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2455E8" w14:textId="156C2844" w:rsidR="00087FE5" w:rsidRPr="00425B25" w:rsidRDefault="00DC6093" w:rsidP="00425B25">
      <w:pPr>
        <w:spacing w:after="1200" w:line="480" w:lineRule="auto"/>
        <w:rPr>
          <w:rFonts w:ascii="Times New Roman" w:hAnsi="Times New Roman" w:cs="Times New Roman"/>
          <w:sz w:val="24"/>
          <w:szCs w:val="24"/>
        </w:rPr>
      </w:pPr>
      <w:r w:rsidRPr="00A406E5">
        <w:rPr>
          <w:noProof/>
        </w:rPr>
        <w:drawing>
          <wp:anchor distT="0" distB="0" distL="114300" distR="114300" simplePos="0" relativeHeight="251659264" behindDoc="0" locked="0" layoutInCell="1" allowOverlap="1" wp14:anchorId="71516B0D" wp14:editId="725547DA">
            <wp:simplePos x="0" y="0"/>
            <wp:positionH relativeFrom="column">
              <wp:posOffset>-635</wp:posOffset>
            </wp:positionH>
            <wp:positionV relativeFrom="paragraph">
              <wp:posOffset>1097280</wp:posOffset>
            </wp:positionV>
            <wp:extent cx="5328285" cy="1813560"/>
            <wp:effectExtent l="0" t="0" r="5715"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5328285" cy="18135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27A34BA" w14:textId="77777777" w:rsidR="00087FE5" w:rsidRPr="00425B25" w:rsidRDefault="00087FE5" w:rsidP="00425B25">
      <w:pPr>
        <w:spacing w:after="1600" w:line="480" w:lineRule="auto"/>
        <w:rPr>
          <w:rFonts w:ascii="Times New Roman" w:hAnsi="Times New Roman" w:cs="Times New Roman"/>
          <w:sz w:val="24"/>
          <w:szCs w:val="24"/>
        </w:rPr>
      </w:pPr>
    </w:p>
    <w:p w14:paraId="72CE9752" w14:textId="77777777" w:rsidR="00DC6093" w:rsidRDefault="00DC6093" w:rsidP="00425B25">
      <w:pPr>
        <w:spacing w:after="200" w:line="480" w:lineRule="auto"/>
        <w:jc w:val="center"/>
        <w:rPr>
          <w:rFonts w:ascii="Times New Roman" w:hAnsi="Times New Roman" w:cs="Times New Roman"/>
          <w:sz w:val="24"/>
          <w:szCs w:val="24"/>
        </w:rPr>
      </w:pPr>
    </w:p>
    <w:p w14:paraId="0427B5A2" w14:textId="77777777" w:rsidR="00DC6093" w:rsidRDefault="00DC6093" w:rsidP="00425B25">
      <w:pPr>
        <w:spacing w:after="200" w:line="480" w:lineRule="auto"/>
        <w:jc w:val="center"/>
        <w:rPr>
          <w:rFonts w:ascii="Times New Roman" w:hAnsi="Times New Roman" w:cs="Times New Roman"/>
          <w:sz w:val="24"/>
          <w:szCs w:val="24"/>
        </w:rPr>
      </w:pPr>
    </w:p>
    <w:p w14:paraId="5545C785" w14:textId="7A9012A1" w:rsidR="00087FE5" w:rsidRPr="00425B25" w:rsidRDefault="00802D36" w:rsidP="00425B25">
      <w:pPr>
        <w:spacing w:after="200" w:line="480" w:lineRule="auto"/>
        <w:jc w:val="center"/>
        <w:rPr>
          <w:rFonts w:ascii="Times New Roman" w:hAnsi="Times New Roman" w:cs="Times New Roman"/>
          <w:sz w:val="24"/>
          <w:szCs w:val="24"/>
        </w:rPr>
      </w:pPr>
      <w:r w:rsidRPr="00425B25">
        <w:rPr>
          <w:rFonts w:ascii="Times New Roman" w:hAnsi="Times New Roman" w:cs="Times New Roman"/>
          <w:sz w:val="24"/>
          <w:szCs w:val="24"/>
        </w:rPr>
        <w:t xml:space="preserve">Student Name: </w:t>
      </w:r>
      <w:proofErr w:type="spellStart"/>
      <w:r w:rsidR="00425B25">
        <w:rPr>
          <w:rFonts w:ascii="Times New Roman" w:hAnsi="Times New Roman" w:cs="Times New Roman"/>
          <w:sz w:val="24"/>
          <w:szCs w:val="24"/>
        </w:rPr>
        <w:t>Sarra</w:t>
      </w:r>
      <w:proofErr w:type="spellEnd"/>
      <w:r w:rsidR="00425B25">
        <w:rPr>
          <w:rFonts w:ascii="Times New Roman" w:hAnsi="Times New Roman" w:cs="Times New Roman"/>
          <w:sz w:val="24"/>
          <w:szCs w:val="24"/>
        </w:rPr>
        <w:t xml:space="preserve"> </w:t>
      </w:r>
      <w:proofErr w:type="spellStart"/>
      <w:r w:rsidR="00425B25">
        <w:rPr>
          <w:rFonts w:ascii="Times New Roman" w:hAnsi="Times New Roman" w:cs="Times New Roman"/>
          <w:sz w:val="24"/>
          <w:szCs w:val="24"/>
        </w:rPr>
        <w:t>Fadl</w:t>
      </w:r>
      <w:proofErr w:type="spellEnd"/>
    </w:p>
    <w:p w14:paraId="38DCD27F" w14:textId="0B59522F" w:rsidR="00087FE5" w:rsidRPr="00425B25" w:rsidRDefault="00802D36" w:rsidP="00425B25">
      <w:pPr>
        <w:spacing w:after="200" w:line="480" w:lineRule="auto"/>
        <w:jc w:val="center"/>
        <w:rPr>
          <w:rFonts w:ascii="Times New Roman" w:hAnsi="Times New Roman" w:cs="Times New Roman"/>
          <w:sz w:val="24"/>
          <w:szCs w:val="24"/>
        </w:rPr>
      </w:pPr>
      <w:r w:rsidRPr="00425B25">
        <w:rPr>
          <w:rFonts w:ascii="Times New Roman" w:hAnsi="Times New Roman" w:cs="Times New Roman"/>
          <w:sz w:val="24"/>
          <w:szCs w:val="24"/>
        </w:rPr>
        <w:t xml:space="preserve">Student Number: </w:t>
      </w:r>
      <w:r w:rsidR="00425B25">
        <w:rPr>
          <w:rFonts w:ascii="Times New Roman" w:hAnsi="Times New Roman" w:cs="Times New Roman"/>
          <w:sz w:val="24"/>
          <w:szCs w:val="24"/>
        </w:rPr>
        <w:t>2208014</w:t>
      </w:r>
    </w:p>
    <w:p w14:paraId="0A842E01" w14:textId="77777777" w:rsidR="00087FE5" w:rsidRPr="00425B25" w:rsidRDefault="00087FE5" w:rsidP="00425B25">
      <w:pPr>
        <w:spacing w:after="1600" w:line="480" w:lineRule="auto"/>
        <w:rPr>
          <w:rFonts w:ascii="Times New Roman" w:hAnsi="Times New Roman" w:cs="Times New Roman"/>
          <w:sz w:val="24"/>
          <w:szCs w:val="24"/>
        </w:rPr>
      </w:pPr>
    </w:p>
    <w:p w14:paraId="7F05D135" w14:textId="41484707" w:rsidR="00087FE5" w:rsidRPr="00425B25" w:rsidRDefault="00087FE5" w:rsidP="00425B25">
      <w:pPr>
        <w:spacing w:after="200" w:line="480" w:lineRule="auto"/>
        <w:jc w:val="center"/>
        <w:rPr>
          <w:rFonts w:ascii="Times New Roman" w:hAnsi="Times New Roman" w:cs="Times New Roman"/>
          <w:sz w:val="24"/>
          <w:szCs w:val="24"/>
        </w:rPr>
        <w:sectPr w:rsidR="00087FE5" w:rsidRPr="00425B25">
          <w:pgSz w:w="11906" w:h="16838"/>
          <w:pgMar w:top="1440" w:right="1440" w:bottom="1440" w:left="1440" w:header="708" w:footer="708" w:gutter="0"/>
          <w:cols w:space="720"/>
          <w:docGrid w:linePitch="360"/>
        </w:sectPr>
      </w:pPr>
    </w:p>
    <w:p w14:paraId="1D899B02" w14:textId="77777777" w:rsidR="00802D36" w:rsidRPr="00425B25" w:rsidRDefault="00802D36" w:rsidP="00483E43">
      <w:pPr>
        <w:spacing w:after="200" w:line="480" w:lineRule="auto"/>
        <w:jc w:val="center"/>
        <w:rPr>
          <w:rFonts w:ascii="Times New Roman" w:hAnsi="Times New Roman" w:cs="Times New Roman"/>
          <w:sz w:val="24"/>
          <w:szCs w:val="24"/>
        </w:rPr>
      </w:pPr>
      <w:r w:rsidRPr="00425B25">
        <w:rPr>
          <w:rFonts w:ascii="Times New Roman" w:hAnsi="Times New Roman" w:cs="Times New Roman"/>
          <w:b/>
          <w:bCs/>
          <w:sz w:val="24"/>
          <w:szCs w:val="24"/>
        </w:rPr>
        <w:lastRenderedPageBreak/>
        <w:t>ANXIETY DISORDERS:</w:t>
      </w:r>
    </w:p>
    <w:p w14:paraId="430C5D84" w14:textId="77777777" w:rsidR="00802D36" w:rsidRPr="00425B25" w:rsidRDefault="00802D36" w:rsidP="00483E43">
      <w:pPr>
        <w:spacing w:after="200" w:line="480" w:lineRule="auto"/>
        <w:jc w:val="center"/>
        <w:rPr>
          <w:rFonts w:ascii="Times New Roman" w:hAnsi="Times New Roman" w:cs="Times New Roman"/>
          <w:sz w:val="24"/>
          <w:szCs w:val="24"/>
        </w:rPr>
      </w:pPr>
      <w:r w:rsidRPr="00425B25">
        <w:rPr>
          <w:rFonts w:ascii="Times New Roman" w:hAnsi="Times New Roman" w:cs="Times New Roman"/>
          <w:b/>
          <w:bCs/>
          <w:sz w:val="24"/>
          <w:szCs w:val="24"/>
        </w:rPr>
        <w:t>Classification, Diagnosis, Treatment, and Contemporary Debates</w:t>
      </w:r>
    </w:p>
    <w:p w14:paraId="1D37DCF6" w14:textId="25F5B167" w:rsidR="00087FE5" w:rsidRPr="00425B25" w:rsidRDefault="00802D36" w:rsidP="00425B25">
      <w:pPr>
        <w:pStyle w:val="Heading1"/>
        <w:spacing w:line="480" w:lineRule="auto"/>
        <w:rPr>
          <w:rFonts w:ascii="Times New Roman" w:hAnsi="Times New Roman" w:cs="Times New Roman"/>
          <w:sz w:val="24"/>
          <w:szCs w:val="24"/>
        </w:rPr>
      </w:pPr>
      <w:r w:rsidRPr="00425B25">
        <w:rPr>
          <w:rFonts w:ascii="Times New Roman" w:hAnsi="Times New Roman" w:cs="Times New Roman"/>
          <w:sz w:val="24"/>
          <w:szCs w:val="24"/>
        </w:rPr>
        <w:t>1. Introduction</w:t>
      </w:r>
    </w:p>
    <w:p w14:paraId="4915275E" w14:textId="77777777" w:rsidR="007E17DD" w:rsidRPr="00425B25" w:rsidRDefault="007E17DD" w:rsidP="00425B25">
      <w:pPr>
        <w:pStyle w:val="Heading1"/>
        <w:spacing w:line="480" w:lineRule="auto"/>
        <w:rPr>
          <w:rFonts w:ascii="Times New Roman" w:hAnsi="Times New Roman" w:cs="Times New Roman"/>
          <w:b w:val="0"/>
          <w:bCs w:val="0"/>
          <w:color w:val="auto"/>
          <w:sz w:val="24"/>
          <w:szCs w:val="24"/>
        </w:rPr>
      </w:pPr>
      <w:r w:rsidRPr="00425B25">
        <w:rPr>
          <w:rFonts w:ascii="Times New Roman" w:hAnsi="Times New Roman" w:cs="Times New Roman"/>
          <w:b w:val="0"/>
          <w:bCs w:val="0"/>
          <w:color w:val="auto"/>
          <w:sz w:val="24"/>
          <w:szCs w:val="24"/>
        </w:rPr>
        <w:t>Many people suffer from anxiety, and it is one of the most common mental health issues affecting people globally, regardless of their culture or age. Anxiety disorders are a serious public health problem, defined by a chronic and unreasonable state of fear, worry and related physiological and behavioural responses. In 2019, the World Health Organization (WHO, 2023) estimated that 301 million people had an anxiety disorder around the world, making it the most prevalent mental health condition worldwide. Anxiety is a global condition with a profound effect on people's functioning, wellbeing and their involvement in society which makes it an important topic of study in health and social care.</w:t>
      </w:r>
    </w:p>
    <w:p w14:paraId="24F18D8C" w14:textId="77777777" w:rsidR="007E17DD" w:rsidRPr="00425B25" w:rsidRDefault="007E17DD" w:rsidP="00425B25">
      <w:pPr>
        <w:pStyle w:val="Heading1"/>
        <w:spacing w:line="480" w:lineRule="auto"/>
        <w:rPr>
          <w:rFonts w:ascii="Times New Roman" w:hAnsi="Times New Roman" w:cs="Times New Roman"/>
          <w:b w:val="0"/>
          <w:bCs w:val="0"/>
          <w:color w:val="auto"/>
          <w:sz w:val="24"/>
          <w:szCs w:val="24"/>
        </w:rPr>
      </w:pPr>
      <w:r w:rsidRPr="00425B25">
        <w:rPr>
          <w:rFonts w:ascii="Times New Roman" w:hAnsi="Times New Roman" w:cs="Times New Roman"/>
          <w:b w:val="0"/>
          <w:bCs w:val="0"/>
          <w:color w:val="auto"/>
          <w:sz w:val="24"/>
          <w:szCs w:val="24"/>
        </w:rPr>
        <w:t xml:space="preserve">The present report critically </w:t>
      </w:r>
      <w:proofErr w:type="spellStart"/>
      <w:r w:rsidRPr="00425B25">
        <w:rPr>
          <w:rFonts w:ascii="Times New Roman" w:hAnsi="Times New Roman" w:cs="Times New Roman"/>
          <w:b w:val="0"/>
          <w:bCs w:val="0"/>
          <w:color w:val="auto"/>
          <w:sz w:val="24"/>
          <w:szCs w:val="24"/>
        </w:rPr>
        <w:t>analyzes</w:t>
      </w:r>
      <w:proofErr w:type="spellEnd"/>
      <w:r w:rsidRPr="00425B25">
        <w:rPr>
          <w:rFonts w:ascii="Times New Roman" w:hAnsi="Times New Roman" w:cs="Times New Roman"/>
          <w:b w:val="0"/>
          <w:bCs w:val="0"/>
          <w:color w:val="auto"/>
          <w:sz w:val="24"/>
          <w:szCs w:val="24"/>
        </w:rPr>
        <w:t xml:space="preserve"> anxiety disorders as presented in the 11th edition of the ICD-11 (WHO). It will particularly be emphasising Generalised Anxiety Disorder (GAD) as an example within the larger group of anxiety and fear-related disorders. The report describes the classification and diagnostic criteria using ICD-11, reviews current treatment and rehabilitation strategies, discusses current discussions on anxiety disorder classification and treatment, and presents evidence-based recommendations for improvement. The analysis is guided by the current academic literature to guarantee a comprehensive and up-to-date examination of the topic.</w:t>
      </w:r>
    </w:p>
    <w:p w14:paraId="10CF21BA" w14:textId="09E80417" w:rsidR="00087FE5" w:rsidRPr="00425B25" w:rsidRDefault="00802D36" w:rsidP="00425B25">
      <w:pPr>
        <w:pStyle w:val="Heading1"/>
        <w:spacing w:line="480" w:lineRule="auto"/>
        <w:rPr>
          <w:rFonts w:ascii="Times New Roman" w:hAnsi="Times New Roman" w:cs="Times New Roman"/>
          <w:sz w:val="24"/>
          <w:szCs w:val="24"/>
        </w:rPr>
      </w:pPr>
      <w:r w:rsidRPr="00425B25">
        <w:rPr>
          <w:rFonts w:ascii="Times New Roman" w:hAnsi="Times New Roman" w:cs="Times New Roman"/>
          <w:sz w:val="24"/>
          <w:szCs w:val="24"/>
        </w:rPr>
        <w:t>2. Classification and Diagnosis</w:t>
      </w:r>
    </w:p>
    <w:p w14:paraId="754D930A" w14:textId="77777777" w:rsidR="00087FE5" w:rsidRPr="00425B25" w:rsidRDefault="00802D36" w:rsidP="00425B25">
      <w:pPr>
        <w:pStyle w:val="Heading2"/>
        <w:spacing w:line="480" w:lineRule="auto"/>
        <w:rPr>
          <w:rFonts w:ascii="Times New Roman" w:hAnsi="Times New Roman" w:cs="Times New Roman"/>
        </w:rPr>
      </w:pPr>
      <w:r w:rsidRPr="00425B25">
        <w:rPr>
          <w:rFonts w:ascii="Times New Roman" w:hAnsi="Times New Roman" w:cs="Times New Roman"/>
        </w:rPr>
        <w:t>2.1 ICD-11 Classification Framework</w:t>
      </w:r>
    </w:p>
    <w:p w14:paraId="22CEA055" w14:textId="77777777" w:rsidR="007E17DD" w:rsidRPr="00425B25" w:rsidRDefault="007E17DD" w:rsidP="00425B25">
      <w:pPr>
        <w:pStyle w:val="Heading2"/>
        <w:spacing w:line="480" w:lineRule="auto"/>
        <w:rPr>
          <w:rFonts w:ascii="Times New Roman" w:hAnsi="Times New Roman" w:cs="Times New Roman"/>
          <w:b w:val="0"/>
          <w:bCs w:val="0"/>
          <w:color w:val="auto"/>
        </w:rPr>
      </w:pPr>
      <w:r w:rsidRPr="00425B25">
        <w:rPr>
          <w:rFonts w:ascii="Times New Roman" w:hAnsi="Times New Roman" w:cs="Times New Roman"/>
          <w:b w:val="0"/>
          <w:bCs w:val="0"/>
          <w:color w:val="auto"/>
        </w:rPr>
        <w:lastRenderedPageBreak/>
        <w:t xml:space="preserve">Anxiety disorders will be part of ICD-11's Chapter 6: Mental, Behavioural or Neurodevelopmental Disorders, under the grouping Anxiety and Fear-Related Disorders (Block 6B0). There are multiple conditions that fall under this umbrella such as Generalised Anxiety Disorder (6B00), Panic Disorder (6B01), Agoraphobia (6B02), a Specific Phobia (6B03), a Social Anxiety Disorder (6B04), Separation Anxiety Disorder (6B05) and Selective </w:t>
      </w:r>
      <w:proofErr w:type="spellStart"/>
      <w:r w:rsidRPr="00425B25">
        <w:rPr>
          <w:rFonts w:ascii="Times New Roman" w:hAnsi="Times New Roman" w:cs="Times New Roman"/>
          <w:b w:val="0"/>
          <w:bCs w:val="0"/>
          <w:color w:val="auto"/>
        </w:rPr>
        <w:t>Mutism</w:t>
      </w:r>
      <w:proofErr w:type="spellEnd"/>
      <w:r w:rsidRPr="00425B25">
        <w:rPr>
          <w:rFonts w:ascii="Times New Roman" w:hAnsi="Times New Roman" w:cs="Times New Roman"/>
          <w:b w:val="0"/>
          <w:bCs w:val="0"/>
          <w:color w:val="auto"/>
        </w:rPr>
        <w:t xml:space="preserve"> (6B06) (WHO, 2022). In Chapter 6, the ICD-11 consistently refers to the conditions as 'disorders' and has a medical-model orientation that considers them pathological states that warrant clinical attention and intervention.</w:t>
      </w:r>
    </w:p>
    <w:p w14:paraId="3F8F6AAA" w14:textId="77777777" w:rsidR="007E17DD" w:rsidRPr="00425B25" w:rsidRDefault="007E17DD" w:rsidP="00425B25">
      <w:pPr>
        <w:pStyle w:val="Heading2"/>
        <w:spacing w:line="480" w:lineRule="auto"/>
        <w:rPr>
          <w:rFonts w:ascii="Times New Roman" w:hAnsi="Times New Roman" w:cs="Times New Roman"/>
          <w:b w:val="0"/>
          <w:bCs w:val="0"/>
          <w:color w:val="auto"/>
        </w:rPr>
      </w:pPr>
      <w:r w:rsidRPr="00425B25">
        <w:rPr>
          <w:rFonts w:ascii="Times New Roman" w:hAnsi="Times New Roman" w:cs="Times New Roman"/>
          <w:b w:val="0"/>
          <w:bCs w:val="0"/>
          <w:color w:val="auto"/>
        </w:rPr>
        <w:t>The use of the word ‘disorder’ in ICD-11 is important both clinically and socially. Reed et al. (2019) point out that ICD-11 is a significant change from ICD-10, and has greater clinical utility and global applicability. The language of the terms reflects a conceptualization of anxiety as deviating from normal functioning - not a state or a disease - which would suggest a range of severity or chronicity. The language choice can impact patient–medicine practitioner communication and impact the way patients understand their diagnosis and the way practitioners communicate with them about treatment (</w:t>
      </w:r>
      <w:proofErr w:type="spellStart"/>
      <w:r w:rsidRPr="00425B25">
        <w:rPr>
          <w:rFonts w:ascii="Times New Roman" w:hAnsi="Times New Roman" w:cs="Times New Roman"/>
          <w:b w:val="0"/>
          <w:bCs w:val="0"/>
          <w:color w:val="auto"/>
        </w:rPr>
        <w:t>Kogan</w:t>
      </w:r>
      <w:proofErr w:type="spellEnd"/>
      <w:r w:rsidRPr="00425B25">
        <w:rPr>
          <w:rFonts w:ascii="Times New Roman" w:hAnsi="Times New Roman" w:cs="Times New Roman"/>
          <w:b w:val="0"/>
          <w:bCs w:val="0"/>
          <w:color w:val="auto"/>
        </w:rPr>
        <w:t xml:space="preserve"> et al., 2016). There may also be stigmatising associations to using 'disorder' as raised in debates of psychiatric classification (Corrigan et al., 2022).</w:t>
      </w:r>
    </w:p>
    <w:p w14:paraId="0710B3B1" w14:textId="7A9BA17E" w:rsidR="00087FE5" w:rsidRPr="00425B25" w:rsidRDefault="00802D36" w:rsidP="00425B25">
      <w:pPr>
        <w:pStyle w:val="Heading2"/>
        <w:spacing w:line="480" w:lineRule="auto"/>
        <w:rPr>
          <w:rFonts w:ascii="Times New Roman" w:hAnsi="Times New Roman" w:cs="Times New Roman"/>
        </w:rPr>
      </w:pPr>
      <w:r w:rsidRPr="00425B25">
        <w:rPr>
          <w:rFonts w:ascii="Times New Roman" w:hAnsi="Times New Roman" w:cs="Times New Roman"/>
        </w:rPr>
        <w:t>2.2 Diagnostic Criteria for Generalised Anxiety Disorder</w:t>
      </w:r>
    </w:p>
    <w:p w14:paraId="43D762A5" w14:textId="77777777" w:rsidR="007E17DD" w:rsidRPr="00425B25" w:rsidRDefault="007E17DD" w:rsidP="00425B25">
      <w:pPr>
        <w:pStyle w:val="Heading1"/>
        <w:spacing w:line="480" w:lineRule="auto"/>
        <w:rPr>
          <w:rFonts w:ascii="Times New Roman" w:hAnsi="Times New Roman" w:cs="Times New Roman"/>
          <w:b w:val="0"/>
          <w:bCs w:val="0"/>
          <w:color w:val="auto"/>
          <w:sz w:val="24"/>
          <w:szCs w:val="24"/>
        </w:rPr>
      </w:pPr>
      <w:r w:rsidRPr="00425B25">
        <w:rPr>
          <w:rFonts w:ascii="Times New Roman" w:hAnsi="Times New Roman" w:cs="Times New Roman"/>
          <w:b w:val="0"/>
          <w:bCs w:val="0"/>
          <w:color w:val="auto"/>
          <w:sz w:val="24"/>
          <w:szCs w:val="24"/>
        </w:rPr>
        <w:t xml:space="preserve">Under ICD-11, Generalised Anxiety Disorder (GAD) involves significantly increased symptoms of anxiety that include general apprehension and worry about multiple events or activities in daily life (not limited to a specific situation) as well as other symptoms including increased muscle tension or motor restlessness, sympathetic autonomic </w:t>
      </w:r>
      <w:proofErr w:type="spellStart"/>
      <w:r w:rsidRPr="00425B25">
        <w:rPr>
          <w:rFonts w:ascii="Times New Roman" w:hAnsi="Times New Roman" w:cs="Times New Roman"/>
          <w:b w:val="0"/>
          <w:bCs w:val="0"/>
          <w:color w:val="auto"/>
          <w:sz w:val="24"/>
          <w:szCs w:val="24"/>
        </w:rPr>
        <w:t>overactivity</w:t>
      </w:r>
      <w:proofErr w:type="spellEnd"/>
      <w:r w:rsidRPr="00425B25">
        <w:rPr>
          <w:rFonts w:ascii="Times New Roman" w:hAnsi="Times New Roman" w:cs="Times New Roman"/>
          <w:b w:val="0"/>
          <w:bCs w:val="0"/>
          <w:color w:val="auto"/>
          <w:sz w:val="24"/>
          <w:szCs w:val="24"/>
        </w:rPr>
        <w:t xml:space="preserve"> and subjective experience of nervousness or psychic anxiety (WHO, 2022). Importantly, symptoms need to be chronic (occurring most of the time for at least several months), and </w:t>
      </w:r>
      <w:r w:rsidRPr="00425B25">
        <w:rPr>
          <w:rFonts w:ascii="Times New Roman" w:hAnsi="Times New Roman" w:cs="Times New Roman"/>
          <w:b w:val="0"/>
          <w:bCs w:val="0"/>
          <w:color w:val="auto"/>
          <w:sz w:val="24"/>
          <w:szCs w:val="24"/>
        </w:rPr>
        <w:lastRenderedPageBreak/>
        <w:t>need to result in substantial impairment or distress in major life activities (such as work, school, social, and other activities).</w:t>
      </w:r>
    </w:p>
    <w:p w14:paraId="38F01A60" w14:textId="77777777" w:rsidR="007E17DD" w:rsidRPr="00425B25" w:rsidRDefault="007E17DD" w:rsidP="00425B25">
      <w:pPr>
        <w:pStyle w:val="Heading1"/>
        <w:spacing w:line="480" w:lineRule="auto"/>
        <w:rPr>
          <w:rFonts w:ascii="Times New Roman" w:hAnsi="Times New Roman" w:cs="Times New Roman"/>
          <w:b w:val="0"/>
          <w:bCs w:val="0"/>
          <w:color w:val="auto"/>
          <w:sz w:val="24"/>
          <w:szCs w:val="24"/>
        </w:rPr>
      </w:pPr>
      <w:r w:rsidRPr="00425B25">
        <w:rPr>
          <w:rFonts w:ascii="Times New Roman" w:hAnsi="Times New Roman" w:cs="Times New Roman"/>
          <w:b w:val="0"/>
          <w:bCs w:val="0"/>
          <w:color w:val="auto"/>
          <w:sz w:val="24"/>
          <w:szCs w:val="24"/>
        </w:rPr>
        <w:t xml:space="preserve">Some of the notable changes between ICD-10 and ICD-11 include the reduction of diagnostic criteria to make it more clinically useful and applicable across cultures. In another paper, </w:t>
      </w:r>
      <w:proofErr w:type="spellStart"/>
      <w:r w:rsidRPr="00425B25">
        <w:rPr>
          <w:rFonts w:ascii="Times New Roman" w:hAnsi="Times New Roman" w:cs="Times New Roman"/>
          <w:b w:val="0"/>
          <w:bCs w:val="0"/>
          <w:color w:val="auto"/>
          <w:sz w:val="24"/>
          <w:szCs w:val="24"/>
        </w:rPr>
        <w:t>Gaebel</w:t>
      </w:r>
      <w:proofErr w:type="spellEnd"/>
      <w:r w:rsidRPr="00425B25">
        <w:rPr>
          <w:rFonts w:ascii="Times New Roman" w:hAnsi="Times New Roman" w:cs="Times New Roman"/>
          <w:b w:val="0"/>
          <w:bCs w:val="0"/>
          <w:color w:val="auto"/>
          <w:sz w:val="24"/>
          <w:szCs w:val="24"/>
        </w:rPr>
        <w:t xml:space="preserve"> et al. (2020) discuss the ICD-11's diagnostic guidelines, which are closer to clinical reality and are better suited for global use, especially in LMICs where there is a severe lack of mental health resources. The ICD-11 diagnostic procedure is largely clinical, including structured or semi-structured interviews, clinical observation and self-report inventories. Supporting diagnoses using validated tools, such as the Generalised Anxiety Disorder 7-item scale (GAD-7) and the Hamilton Anxiety Rating Scale (HAM-A) are widely used in clinical practice (Spitzer et al., 2006; Hamilton, 1959, as cited in </w:t>
      </w:r>
      <w:proofErr w:type="spellStart"/>
      <w:r w:rsidRPr="00425B25">
        <w:rPr>
          <w:rFonts w:ascii="Times New Roman" w:hAnsi="Times New Roman" w:cs="Times New Roman"/>
          <w:b w:val="0"/>
          <w:bCs w:val="0"/>
          <w:color w:val="auto"/>
          <w:sz w:val="24"/>
          <w:szCs w:val="24"/>
        </w:rPr>
        <w:t>Bandelow</w:t>
      </w:r>
      <w:proofErr w:type="spellEnd"/>
      <w:r w:rsidRPr="00425B25">
        <w:rPr>
          <w:rFonts w:ascii="Times New Roman" w:hAnsi="Times New Roman" w:cs="Times New Roman"/>
          <w:b w:val="0"/>
          <w:bCs w:val="0"/>
          <w:color w:val="auto"/>
          <w:sz w:val="24"/>
          <w:szCs w:val="24"/>
        </w:rPr>
        <w:t xml:space="preserve"> et al., 2017).</w:t>
      </w:r>
    </w:p>
    <w:p w14:paraId="5C453C23" w14:textId="77777777" w:rsidR="007E17DD" w:rsidRPr="00425B25" w:rsidRDefault="007E17DD" w:rsidP="00425B25">
      <w:pPr>
        <w:pStyle w:val="Heading1"/>
        <w:spacing w:line="480" w:lineRule="auto"/>
        <w:rPr>
          <w:rFonts w:ascii="Times New Roman" w:hAnsi="Times New Roman" w:cs="Times New Roman"/>
          <w:b w:val="0"/>
          <w:bCs w:val="0"/>
          <w:color w:val="auto"/>
          <w:sz w:val="24"/>
          <w:szCs w:val="24"/>
        </w:rPr>
      </w:pPr>
      <w:r w:rsidRPr="00425B25">
        <w:rPr>
          <w:rFonts w:ascii="Times New Roman" w:hAnsi="Times New Roman" w:cs="Times New Roman"/>
          <w:b w:val="0"/>
          <w:bCs w:val="0"/>
          <w:color w:val="auto"/>
          <w:sz w:val="24"/>
          <w:szCs w:val="24"/>
        </w:rPr>
        <w:t>It should be noted that the diagnosis is identical to ICD-11 (ICD-11 only excludes other potential causes of symptoms, including substance use, medical condition or another mental disorder). The differential diagnosis process is crucial to the diagnosis, but can be complex, especially because of the high rate of comorbidities with depression, other anxiety disorders, and chronic physical illnesses (</w:t>
      </w:r>
      <w:proofErr w:type="spellStart"/>
      <w:r w:rsidRPr="00425B25">
        <w:rPr>
          <w:rFonts w:ascii="Times New Roman" w:hAnsi="Times New Roman" w:cs="Times New Roman"/>
          <w:b w:val="0"/>
          <w:bCs w:val="0"/>
          <w:color w:val="auto"/>
          <w:sz w:val="24"/>
          <w:szCs w:val="24"/>
        </w:rPr>
        <w:t>Remes</w:t>
      </w:r>
      <w:proofErr w:type="spellEnd"/>
      <w:r w:rsidRPr="00425B25">
        <w:rPr>
          <w:rFonts w:ascii="Times New Roman" w:hAnsi="Times New Roman" w:cs="Times New Roman"/>
          <w:b w:val="0"/>
          <w:bCs w:val="0"/>
          <w:color w:val="auto"/>
          <w:sz w:val="24"/>
          <w:szCs w:val="24"/>
        </w:rPr>
        <w:t xml:space="preserve"> et al., 2016). The symptom overlap between GAD and other disorders, for instance, Major Depressive Disorder (MDD), does place a lot of diagnostic questions and has some researchers doubt whether these GAD illnesses are really distinct disorders or variations on a common internalising continuum (Goldberg, 2015).</w:t>
      </w:r>
    </w:p>
    <w:p w14:paraId="26003D21" w14:textId="5B300539" w:rsidR="00087FE5" w:rsidRPr="00425B25" w:rsidRDefault="00802D36" w:rsidP="00425B25">
      <w:pPr>
        <w:pStyle w:val="Heading1"/>
        <w:spacing w:line="480" w:lineRule="auto"/>
        <w:rPr>
          <w:rFonts w:ascii="Times New Roman" w:hAnsi="Times New Roman" w:cs="Times New Roman"/>
          <w:sz w:val="24"/>
          <w:szCs w:val="24"/>
        </w:rPr>
      </w:pPr>
      <w:r w:rsidRPr="00425B25">
        <w:rPr>
          <w:rFonts w:ascii="Times New Roman" w:hAnsi="Times New Roman" w:cs="Times New Roman"/>
          <w:sz w:val="24"/>
          <w:szCs w:val="24"/>
        </w:rPr>
        <w:t>3. Treatment and Rehabilitation</w:t>
      </w:r>
    </w:p>
    <w:p w14:paraId="7235E431" w14:textId="77777777" w:rsidR="00087FE5" w:rsidRPr="00425B25" w:rsidRDefault="00802D36" w:rsidP="00425B25">
      <w:pPr>
        <w:pStyle w:val="Heading2"/>
        <w:spacing w:line="480" w:lineRule="auto"/>
        <w:rPr>
          <w:rFonts w:ascii="Times New Roman" w:hAnsi="Times New Roman" w:cs="Times New Roman"/>
        </w:rPr>
      </w:pPr>
      <w:r w:rsidRPr="00425B25">
        <w:rPr>
          <w:rFonts w:ascii="Times New Roman" w:hAnsi="Times New Roman" w:cs="Times New Roman"/>
        </w:rPr>
        <w:t>3.1 Standard Treatment Approaches</w:t>
      </w:r>
    </w:p>
    <w:p w14:paraId="54B3E8A5" w14:textId="77777777" w:rsidR="007E17DD" w:rsidRPr="00425B25" w:rsidRDefault="007E17DD" w:rsidP="00425B25">
      <w:pPr>
        <w:pStyle w:val="Heading1"/>
        <w:spacing w:line="480" w:lineRule="auto"/>
        <w:rPr>
          <w:rFonts w:ascii="Times New Roman" w:hAnsi="Times New Roman" w:cs="Times New Roman"/>
          <w:b w:val="0"/>
          <w:bCs w:val="0"/>
          <w:color w:val="auto"/>
          <w:sz w:val="24"/>
          <w:szCs w:val="24"/>
        </w:rPr>
      </w:pPr>
      <w:r w:rsidRPr="00425B25">
        <w:rPr>
          <w:rFonts w:ascii="Times New Roman" w:hAnsi="Times New Roman" w:cs="Times New Roman"/>
          <w:b w:val="0"/>
          <w:bCs w:val="0"/>
          <w:color w:val="auto"/>
          <w:sz w:val="24"/>
          <w:szCs w:val="24"/>
        </w:rPr>
        <w:t xml:space="preserve">Strong clinical evidence and national guidance are used to guide treatment for anxiety disorders including GAD. Psychological therapies, pharmacological treatment, and more </w:t>
      </w:r>
      <w:r w:rsidRPr="00425B25">
        <w:rPr>
          <w:rFonts w:ascii="Times New Roman" w:hAnsi="Times New Roman" w:cs="Times New Roman"/>
          <w:b w:val="0"/>
          <w:bCs w:val="0"/>
          <w:color w:val="auto"/>
          <w:sz w:val="24"/>
          <w:szCs w:val="24"/>
        </w:rPr>
        <w:lastRenderedPageBreak/>
        <w:t>recently, digital and blended care, are all the primary treatments which are evidence-based. CBT is considered the gold standard psychological therapy for GAD and has a strong evidence base which has shown that CBT is effective in reducing anxiety symptoms and improving functioning (</w:t>
      </w:r>
      <w:proofErr w:type="spellStart"/>
      <w:r w:rsidRPr="00425B25">
        <w:rPr>
          <w:rFonts w:ascii="Times New Roman" w:hAnsi="Times New Roman" w:cs="Times New Roman"/>
          <w:b w:val="0"/>
          <w:bCs w:val="0"/>
          <w:color w:val="auto"/>
          <w:sz w:val="24"/>
          <w:szCs w:val="24"/>
        </w:rPr>
        <w:t>Cuijpers</w:t>
      </w:r>
      <w:proofErr w:type="spellEnd"/>
      <w:r w:rsidRPr="00425B25">
        <w:rPr>
          <w:rFonts w:ascii="Times New Roman" w:hAnsi="Times New Roman" w:cs="Times New Roman"/>
          <w:b w:val="0"/>
          <w:bCs w:val="0"/>
          <w:color w:val="auto"/>
          <w:sz w:val="24"/>
          <w:szCs w:val="24"/>
        </w:rPr>
        <w:t xml:space="preserve"> et al., 2014). CBT for GAD usually involves </w:t>
      </w:r>
      <w:proofErr w:type="spellStart"/>
      <w:r w:rsidRPr="00425B25">
        <w:rPr>
          <w:rFonts w:ascii="Times New Roman" w:hAnsi="Times New Roman" w:cs="Times New Roman"/>
          <w:b w:val="0"/>
          <w:bCs w:val="0"/>
          <w:color w:val="auto"/>
          <w:sz w:val="24"/>
          <w:szCs w:val="24"/>
        </w:rPr>
        <w:t>psychoeducation</w:t>
      </w:r>
      <w:proofErr w:type="spellEnd"/>
      <w:r w:rsidRPr="00425B25">
        <w:rPr>
          <w:rFonts w:ascii="Times New Roman" w:hAnsi="Times New Roman" w:cs="Times New Roman"/>
          <w:b w:val="0"/>
          <w:bCs w:val="0"/>
          <w:color w:val="auto"/>
          <w:sz w:val="24"/>
          <w:szCs w:val="24"/>
        </w:rPr>
        <w:t>, relaxation exercises, cognitive restructuring and worry management, and usually lasts 8-16 sessions.</w:t>
      </w:r>
    </w:p>
    <w:p w14:paraId="14F0F4BC" w14:textId="77777777" w:rsidR="007E17DD" w:rsidRPr="00425B25" w:rsidRDefault="007E17DD" w:rsidP="00425B25">
      <w:pPr>
        <w:pStyle w:val="Heading1"/>
        <w:spacing w:line="480" w:lineRule="auto"/>
        <w:rPr>
          <w:rFonts w:ascii="Times New Roman" w:hAnsi="Times New Roman" w:cs="Times New Roman"/>
          <w:b w:val="0"/>
          <w:bCs w:val="0"/>
          <w:color w:val="auto"/>
          <w:sz w:val="24"/>
          <w:szCs w:val="24"/>
        </w:rPr>
      </w:pPr>
      <w:r w:rsidRPr="00425B25">
        <w:rPr>
          <w:rFonts w:ascii="Times New Roman" w:hAnsi="Times New Roman" w:cs="Times New Roman"/>
          <w:b w:val="0"/>
          <w:bCs w:val="0"/>
          <w:color w:val="auto"/>
          <w:sz w:val="24"/>
          <w:szCs w:val="24"/>
        </w:rPr>
        <w:t xml:space="preserve">Pharmacological therapies often are used in addition to or in place of psychological therapies, especially in situations in which trained psychologists are not available. Sertraline and </w:t>
      </w:r>
      <w:proofErr w:type="spellStart"/>
      <w:r w:rsidRPr="00425B25">
        <w:rPr>
          <w:rFonts w:ascii="Times New Roman" w:hAnsi="Times New Roman" w:cs="Times New Roman"/>
          <w:b w:val="0"/>
          <w:bCs w:val="0"/>
          <w:color w:val="auto"/>
          <w:sz w:val="24"/>
          <w:szCs w:val="24"/>
        </w:rPr>
        <w:t>escitalopram</w:t>
      </w:r>
      <w:proofErr w:type="spellEnd"/>
      <w:r w:rsidRPr="00425B25">
        <w:rPr>
          <w:rFonts w:ascii="Times New Roman" w:hAnsi="Times New Roman" w:cs="Times New Roman"/>
          <w:b w:val="0"/>
          <w:bCs w:val="0"/>
          <w:color w:val="auto"/>
          <w:sz w:val="24"/>
          <w:szCs w:val="24"/>
        </w:rPr>
        <w:t xml:space="preserve"> (SSRIs) and venlafaxine and duloxetine (SNRIs) are first line drugs for people with GAD (Baldwin et al., 2014). </w:t>
      </w:r>
      <w:proofErr w:type="spellStart"/>
      <w:r w:rsidRPr="00425B25">
        <w:rPr>
          <w:rFonts w:ascii="Times New Roman" w:hAnsi="Times New Roman" w:cs="Times New Roman"/>
          <w:b w:val="0"/>
          <w:bCs w:val="0"/>
          <w:color w:val="auto"/>
          <w:sz w:val="24"/>
          <w:szCs w:val="24"/>
        </w:rPr>
        <w:t>Buspirone</w:t>
      </w:r>
      <w:proofErr w:type="spellEnd"/>
      <w:r w:rsidRPr="00425B25">
        <w:rPr>
          <w:rFonts w:ascii="Times New Roman" w:hAnsi="Times New Roman" w:cs="Times New Roman"/>
          <w:b w:val="0"/>
          <w:bCs w:val="0"/>
          <w:color w:val="auto"/>
          <w:sz w:val="24"/>
          <w:szCs w:val="24"/>
        </w:rPr>
        <w:t xml:space="preserve"> and </w:t>
      </w:r>
      <w:proofErr w:type="spellStart"/>
      <w:r w:rsidRPr="00425B25">
        <w:rPr>
          <w:rFonts w:ascii="Times New Roman" w:hAnsi="Times New Roman" w:cs="Times New Roman"/>
          <w:b w:val="0"/>
          <w:bCs w:val="0"/>
          <w:color w:val="auto"/>
          <w:sz w:val="24"/>
          <w:szCs w:val="24"/>
        </w:rPr>
        <w:t>pregabalin</w:t>
      </w:r>
      <w:proofErr w:type="spellEnd"/>
      <w:r w:rsidRPr="00425B25">
        <w:rPr>
          <w:rFonts w:ascii="Times New Roman" w:hAnsi="Times New Roman" w:cs="Times New Roman"/>
          <w:b w:val="0"/>
          <w:bCs w:val="0"/>
          <w:color w:val="auto"/>
          <w:sz w:val="24"/>
          <w:szCs w:val="24"/>
        </w:rPr>
        <w:t xml:space="preserve"> are also used, but benzodiazepines are used for short-term treatment, but are not recommended for long term use because of the risk of dependency and withdrawal (National Institute for Health and Care Excellence [NICE], 2011). NICE guidelines suggest a stepped care approach where lower intensity interventions (e.g. guided self-help and </w:t>
      </w:r>
      <w:proofErr w:type="spellStart"/>
      <w:r w:rsidRPr="00425B25">
        <w:rPr>
          <w:rFonts w:ascii="Times New Roman" w:hAnsi="Times New Roman" w:cs="Times New Roman"/>
          <w:b w:val="0"/>
          <w:bCs w:val="0"/>
          <w:color w:val="auto"/>
          <w:sz w:val="24"/>
          <w:szCs w:val="24"/>
        </w:rPr>
        <w:t>psychoeducation</w:t>
      </w:r>
      <w:proofErr w:type="spellEnd"/>
      <w:r w:rsidRPr="00425B25">
        <w:rPr>
          <w:rFonts w:ascii="Times New Roman" w:hAnsi="Times New Roman" w:cs="Times New Roman"/>
          <w:b w:val="0"/>
          <w:bCs w:val="0"/>
          <w:color w:val="auto"/>
          <w:sz w:val="24"/>
          <w:szCs w:val="24"/>
        </w:rPr>
        <w:t>) are used before higher intensity interventions (e.g. CBT or pharmacotherapy).</w:t>
      </w:r>
    </w:p>
    <w:p w14:paraId="7AE98E42" w14:textId="0F79E31D" w:rsidR="007E17DD" w:rsidRPr="00425B25" w:rsidRDefault="007E17DD" w:rsidP="00425B25">
      <w:pPr>
        <w:pStyle w:val="Heading1"/>
        <w:spacing w:line="480" w:lineRule="auto"/>
        <w:rPr>
          <w:rFonts w:ascii="Times New Roman" w:hAnsi="Times New Roman" w:cs="Times New Roman"/>
          <w:color w:val="auto"/>
          <w:sz w:val="24"/>
          <w:szCs w:val="24"/>
        </w:rPr>
      </w:pPr>
      <w:r w:rsidRPr="00425B25">
        <w:rPr>
          <w:rFonts w:ascii="Times New Roman" w:hAnsi="Times New Roman" w:cs="Times New Roman"/>
          <w:color w:val="auto"/>
          <w:sz w:val="24"/>
          <w:szCs w:val="24"/>
        </w:rPr>
        <w:t>3.2 Rehabilitation Measures and Their Effectiveness.</w:t>
      </w:r>
    </w:p>
    <w:p w14:paraId="6D03827E" w14:textId="77777777" w:rsidR="007E17DD" w:rsidRPr="00425B25" w:rsidRDefault="007E17DD" w:rsidP="00425B25">
      <w:pPr>
        <w:pStyle w:val="Heading1"/>
        <w:spacing w:line="480" w:lineRule="auto"/>
        <w:rPr>
          <w:rFonts w:ascii="Times New Roman" w:hAnsi="Times New Roman" w:cs="Times New Roman"/>
          <w:b w:val="0"/>
          <w:bCs w:val="0"/>
          <w:color w:val="auto"/>
          <w:sz w:val="24"/>
          <w:szCs w:val="24"/>
        </w:rPr>
      </w:pPr>
      <w:r w:rsidRPr="00425B25">
        <w:rPr>
          <w:rFonts w:ascii="Times New Roman" w:hAnsi="Times New Roman" w:cs="Times New Roman"/>
          <w:b w:val="0"/>
          <w:bCs w:val="0"/>
          <w:color w:val="auto"/>
          <w:sz w:val="24"/>
          <w:szCs w:val="24"/>
        </w:rPr>
        <w:t>Anxiety disorders rehabilitation goes beyond symptom alleviation to include recovery of functional capacity and quality of life. ICF-11 recognises the role of rehabilitation in its chapter on Functioning, using the conceptual framework of the International Classification of Functioning, Disability and Health (ICF) (WHO, 2022), which views health in terms of activity and participation. Occupational therapy, return-to-work programmes, social skills training and community-based support are examples of rehabilitation that may be required for GAD in practice.</w:t>
      </w:r>
    </w:p>
    <w:p w14:paraId="3AB21A2E" w14:textId="77777777" w:rsidR="007E17DD" w:rsidRPr="00425B25" w:rsidRDefault="007E17DD" w:rsidP="00425B25">
      <w:pPr>
        <w:pStyle w:val="Heading1"/>
        <w:spacing w:line="480" w:lineRule="auto"/>
        <w:rPr>
          <w:rFonts w:ascii="Times New Roman" w:hAnsi="Times New Roman" w:cs="Times New Roman"/>
          <w:b w:val="0"/>
          <w:bCs w:val="0"/>
          <w:color w:val="auto"/>
          <w:sz w:val="24"/>
          <w:szCs w:val="24"/>
        </w:rPr>
      </w:pPr>
      <w:r w:rsidRPr="00425B25">
        <w:rPr>
          <w:rFonts w:ascii="Times New Roman" w:hAnsi="Times New Roman" w:cs="Times New Roman"/>
          <w:b w:val="0"/>
          <w:bCs w:val="0"/>
          <w:color w:val="auto"/>
          <w:sz w:val="24"/>
          <w:szCs w:val="24"/>
        </w:rPr>
        <w:lastRenderedPageBreak/>
        <w:t>Long-term effectiveness in the treatment of anxiety has been investigated, but has been found to be complex. Good short-term outcomes are seen with CBT, but there is a concern about relapse rates. A meta-analysis conducted by Springer et al. (2018) revealed that CBT continued to be effective at follow-up points, but there was a high rate of relapse, especially when booster sessions and continued support were not included. Likewise, high discontinuations rates have been linked to pharmacological treatments as a result of side effects and patient preference to non-medication interventions (van der Linden et al., 2020). The findings support the principle of individual treatment planning and comprehensive aftercare measures, a principle that is often not put into practice in clinical treatment (Clark, 2018).</w:t>
      </w:r>
    </w:p>
    <w:p w14:paraId="07AFFC83" w14:textId="77777777" w:rsidR="007E17DD" w:rsidRPr="00425B25" w:rsidRDefault="007E17DD" w:rsidP="00425B25">
      <w:pPr>
        <w:pStyle w:val="Heading1"/>
        <w:spacing w:line="480" w:lineRule="auto"/>
        <w:rPr>
          <w:rFonts w:ascii="Times New Roman" w:hAnsi="Times New Roman" w:cs="Times New Roman"/>
          <w:b w:val="0"/>
          <w:bCs w:val="0"/>
          <w:color w:val="auto"/>
          <w:sz w:val="24"/>
          <w:szCs w:val="24"/>
        </w:rPr>
      </w:pPr>
      <w:r w:rsidRPr="00425B25">
        <w:rPr>
          <w:rFonts w:ascii="Times New Roman" w:hAnsi="Times New Roman" w:cs="Times New Roman"/>
          <w:b w:val="0"/>
          <w:bCs w:val="0"/>
          <w:color w:val="auto"/>
          <w:sz w:val="24"/>
          <w:szCs w:val="24"/>
        </w:rPr>
        <w:t>The use of digital mental health interventions such as internet-delivered CBT (</w:t>
      </w:r>
      <w:proofErr w:type="spellStart"/>
      <w:r w:rsidRPr="00425B25">
        <w:rPr>
          <w:rFonts w:ascii="Times New Roman" w:hAnsi="Times New Roman" w:cs="Times New Roman"/>
          <w:b w:val="0"/>
          <w:bCs w:val="0"/>
          <w:color w:val="auto"/>
          <w:sz w:val="24"/>
          <w:szCs w:val="24"/>
        </w:rPr>
        <w:t>iCBT</w:t>
      </w:r>
      <w:proofErr w:type="spellEnd"/>
      <w:r w:rsidRPr="00425B25">
        <w:rPr>
          <w:rFonts w:ascii="Times New Roman" w:hAnsi="Times New Roman" w:cs="Times New Roman"/>
          <w:b w:val="0"/>
          <w:bCs w:val="0"/>
          <w:color w:val="auto"/>
          <w:sz w:val="24"/>
          <w:szCs w:val="24"/>
        </w:rPr>
        <w:t xml:space="preserve">), and smartphone applications, is the new frontier in rehabilitation. A systematic review by Andrews et al. (2018) showed that </w:t>
      </w:r>
      <w:proofErr w:type="spellStart"/>
      <w:r w:rsidRPr="00425B25">
        <w:rPr>
          <w:rFonts w:ascii="Times New Roman" w:hAnsi="Times New Roman" w:cs="Times New Roman"/>
          <w:b w:val="0"/>
          <w:bCs w:val="0"/>
          <w:color w:val="auto"/>
          <w:sz w:val="24"/>
          <w:szCs w:val="24"/>
        </w:rPr>
        <w:t>iCBT</w:t>
      </w:r>
      <w:proofErr w:type="spellEnd"/>
      <w:r w:rsidRPr="00425B25">
        <w:rPr>
          <w:rFonts w:ascii="Times New Roman" w:hAnsi="Times New Roman" w:cs="Times New Roman"/>
          <w:b w:val="0"/>
          <w:bCs w:val="0"/>
          <w:color w:val="auto"/>
          <w:sz w:val="24"/>
          <w:szCs w:val="24"/>
        </w:rPr>
        <w:t xml:space="preserve"> was effective for anxiety disorders and showed similar efficacy with face-to-face treatment for mild to moderate presentations. Digital therapies have been rapidly adopted in the wake of COVID-19, and while their benefits are great, there remain concerns about digital exclusion, therapeutic alliance, and appropriateness of the digital format for complex presentations (Fairburn and Patel, 2017).</w:t>
      </w:r>
    </w:p>
    <w:p w14:paraId="2552B9DF" w14:textId="554308A8" w:rsidR="00087FE5" w:rsidRPr="00425B25" w:rsidRDefault="00802D36" w:rsidP="00425B25">
      <w:pPr>
        <w:pStyle w:val="Heading1"/>
        <w:spacing w:line="480" w:lineRule="auto"/>
        <w:rPr>
          <w:rFonts w:ascii="Times New Roman" w:hAnsi="Times New Roman" w:cs="Times New Roman"/>
          <w:sz w:val="24"/>
          <w:szCs w:val="24"/>
        </w:rPr>
      </w:pPr>
      <w:r w:rsidRPr="00425B25">
        <w:rPr>
          <w:rFonts w:ascii="Times New Roman" w:hAnsi="Times New Roman" w:cs="Times New Roman"/>
          <w:sz w:val="24"/>
          <w:szCs w:val="24"/>
        </w:rPr>
        <w:t>4. Current Debates and Emerging Issues</w:t>
      </w:r>
    </w:p>
    <w:p w14:paraId="71B156A2" w14:textId="77777777" w:rsidR="00087FE5" w:rsidRPr="00425B25" w:rsidRDefault="00802D36" w:rsidP="00425B25">
      <w:pPr>
        <w:pStyle w:val="Heading2"/>
        <w:spacing w:line="480" w:lineRule="auto"/>
        <w:rPr>
          <w:rFonts w:ascii="Times New Roman" w:hAnsi="Times New Roman" w:cs="Times New Roman"/>
        </w:rPr>
      </w:pPr>
      <w:r w:rsidRPr="00425B25">
        <w:rPr>
          <w:rFonts w:ascii="Times New Roman" w:hAnsi="Times New Roman" w:cs="Times New Roman"/>
        </w:rPr>
        <w:t>4.1 Classification Debates and the Limits of Categorical Diagnosis</w:t>
      </w:r>
    </w:p>
    <w:p w14:paraId="53D1EE7F" w14:textId="77777777" w:rsidR="007E17DD" w:rsidRPr="00425B25" w:rsidRDefault="007E17DD" w:rsidP="00425B25">
      <w:pPr>
        <w:pStyle w:val="Heading2"/>
        <w:spacing w:line="480" w:lineRule="auto"/>
        <w:rPr>
          <w:rFonts w:ascii="Times New Roman" w:hAnsi="Times New Roman" w:cs="Times New Roman"/>
          <w:b w:val="0"/>
          <w:bCs w:val="0"/>
          <w:color w:val="auto"/>
        </w:rPr>
      </w:pPr>
      <w:r w:rsidRPr="00425B25">
        <w:rPr>
          <w:rFonts w:ascii="Times New Roman" w:hAnsi="Times New Roman" w:cs="Times New Roman"/>
          <w:b w:val="0"/>
          <w:bCs w:val="0"/>
          <w:color w:val="auto"/>
        </w:rPr>
        <w:t xml:space="preserve">Both the ICD-11 and the Diagnostic and Statistical Manual of Mental Disorders (DSM-5) rely on the categorical approach to anxiety disorders classification, which is a topic of debate. The use of discrete diagnostic categories has been criticised because it does not necessarily take into account the dimensional and continuous nature of anxiety symptoms in the population (Haslam et al., 2020). There is a spectrum of anxiety symptoms and the </w:t>
      </w:r>
      <w:r w:rsidRPr="00425B25">
        <w:rPr>
          <w:rFonts w:ascii="Times New Roman" w:hAnsi="Times New Roman" w:cs="Times New Roman"/>
          <w:b w:val="0"/>
          <w:bCs w:val="0"/>
          <w:color w:val="auto"/>
        </w:rPr>
        <w:lastRenderedPageBreak/>
        <w:t xml:space="preserve">distinctions between diagnoses and between anxiety disorders and normal anxiety are not always clear. This has resulted in the idea of using a dimensional or </w:t>
      </w:r>
      <w:proofErr w:type="spellStart"/>
      <w:r w:rsidRPr="00425B25">
        <w:rPr>
          <w:rFonts w:ascii="Times New Roman" w:hAnsi="Times New Roman" w:cs="Times New Roman"/>
          <w:b w:val="0"/>
          <w:bCs w:val="0"/>
          <w:color w:val="auto"/>
        </w:rPr>
        <w:t>transdiagnostic</w:t>
      </w:r>
      <w:proofErr w:type="spellEnd"/>
      <w:r w:rsidRPr="00425B25">
        <w:rPr>
          <w:rFonts w:ascii="Times New Roman" w:hAnsi="Times New Roman" w:cs="Times New Roman"/>
          <w:b w:val="0"/>
          <w:bCs w:val="0"/>
          <w:color w:val="auto"/>
        </w:rPr>
        <w:t xml:space="preserve"> approach to classification, using a score for symptom level and function across multiple domains instead of a binary diagnosis.</w:t>
      </w:r>
    </w:p>
    <w:p w14:paraId="37B7513C" w14:textId="77777777" w:rsidR="007E17DD" w:rsidRPr="00425B25" w:rsidRDefault="007E17DD" w:rsidP="00425B25">
      <w:pPr>
        <w:pStyle w:val="Heading2"/>
        <w:spacing w:line="480" w:lineRule="auto"/>
        <w:rPr>
          <w:rFonts w:ascii="Times New Roman" w:hAnsi="Times New Roman" w:cs="Times New Roman"/>
          <w:b w:val="0"/>
          <w:bCs w:val="0"/>
          <w:color w:val="auto"/>
        </w:rPr>
      </w:pPr>
      <w:r w:rsidRPr="00425B25">
        <w:rPr>
          <w:rFonts w:ascii="Times New Roman" w:hAnsi="Times New Roman" w:cs="Times New Roman"/>
          <w:b w:val="0"/>
          <w:bCs w:val="0"/>
          <w:color w:val="auto"/>
        </w:rPr>
        <w:t>One dimensional approach recently gaining momentum in the research literature is called the Hierarchical Taxonomy of Psychopathology (</w:t>
      </w:r>
      <w:proofErr w:type="spellStart"/>
      <w:r w:rsidRPr="00425B25">
        <w:rPr>
          <w:rFonts w:ascii="Times New Roman" w:hAnsi="Times New Roman" w:cs="Times New Roman"/>
          <w:b w:val="0"/>
          <w:bCs w:val="0"/>
          <w:color w:val="auto"/>
        </w:rPr>
        <w:t>HiTOP</w:t>
      </w:r>
      <w:proofErr w:type="spellEnd"/>
      <w:r w:rsidRPr="00425B25">
        <w:rPr>
          <w:rFonts w:ascii="Times New Roman" w:hAnsi="Times New Roman" w:cs="Times New Roman"/>
          <w:b w:val="0"/>
          <w:bCs w:val="0"/>
          <w:color w:val="auto"/>
        </w:rPr>
        <w:t>) (</w:t>
      </w:r>
      <w:proofErr w:type="spellStart"/>
      <w:r w:rsidRPr="00425B25">
        <w:rPr>
          <w:rFonts w:ascii="Times New Roman" w:hAnsi="Times New Roman" w:cs="Times New Roman"/>
          <w:b w:val="0"/>
          <w:bCs w:val="0"/>
          <w:color w:val="auto"/>
        </w:rPr>
        <w:t>Kotov</w:t>
      </w:r>
      <w:proofErr w:type="spellEnd"/>
      <w:r w:rsidRPr="00425B25">
        <w:rPr>
          <w:rFonts w:ascii="Times New Roman" w:hAnsi="Times New Roman" w:cs="Times New Roman"/>
          <w:b w:val="0"/>
          <w:bCs w:val="0"/>
          <w:color w:val="auto"/>
        </w:rPr>
        <w:t xml:space="preserve"> et al., 2017). Proponents believe that </w:t>
      </w:r>
      <w:proofErr w:type="spellStart"/>
      <w:r w:rsidRPr="00425B25">
        <w:rPr>
          <w:rFonts w:ascii="Times New Roman" w:hAnsi="Times New Roman" w:cs="Times New Roman"/>
          <w:b w:val="0"/>
          <w:bCs w:val="0"/>
          <w:color w:val="auto"/>
        </w:rPr>
        <w:t>HiTOP</w:t>
      </w:r>
      <w:proofErr w:type="spellEnd"/>
      <w:r w:rsidRPr="00425B25">
        <w:rPr>
          <w:rFonts w:ascii="Times New Roman" w:hAnsi="Times New Roman" w:cs="Times New Roman"/>
          <w:b w:val="0"/>
          <w:bCs w:val="0"/>
          <w:color w:val="auto"/>
        </w:rPr>
        <w:t xml:space="preserve"> more accurately reflects the nature of psychopathology as it reflects the high level of co-morbidity and symptom overlap between anxiety and mood disorders. The translation of such frameworks into practice, however, has proven to be difficult, and ICD-11 has taken only modest steps towards dimensionality, mainly by adding severity </w:t>
      </w:r>
      <w:proofErr w:type="spellStart"/>
      <w:r w:rsidRPr="00425B25">
        <w:rPr>
          <w:rFonts w:ascii="Times New Roman" w:hAnsi="Times New Roman" w:cs="Times New Roman"/>
          <w:b w:val="0"/>
          <w:bCs w:val="0"/>
          <w:color w:val="auto"/>
        </w:rPr>
        <w:t>specifiers</w:t>
      </w:r>
      <w:proofErr w:type="spellEnd"/>
      <w:r w:rsidRPr="00425B25">
        <w:rPr>
          <w:rFonts w:ascii="Times New Roman" w:hAnsi="Times New Roman" w:cs="Times New Roman"/>
          <w:b w:val="0"/>
          <w:bCs w:val="0"/>
          <w:color w:val="auto"/>
        </w:rPr>
        <w:t xml:space="preserve"> (</w:t>
      </w:r>
      <w:proofErr w:type="spellStart"/>
      <w:r w:rsidRPr="00425B25">
        <w:rPr>
          <w:rFonts w:ascii="Times New Roman" w:hAnsi="Times New Roman" w:cs="Times New Roman"/>
          <w:b w:val="0"/>
          <w:bCs w:val="0"/>
          <w:color w:val="auto"/>
        </w:rPr>
        <w:t>Gaebel</w:t>
      </w:r>
      <w:proofErr w:type="spellEnd"/>
      <w:r w:rsidRPr="00425B25">
        <w:rPr>
          <w:rFonts w:ascii="Times New Roman" w:hAnsi="Times New Roman" w:cs="Times New Roman"/>
          <w:b w:val="0"/>
          <w:bCs w:val="0"/>
          <w:color w:val="auto"/>
        </w:rPr>
        <w:t xml:space="preserve"> et al., 2020).</w:t>
      </w:r>
    </w:p>
    <w:p w14:paraId="0EB42F23" w14:textId="77777777" w:rsidR="007E17DD" w:rsidRPr="00425B25" w:rsidRDefault="007E17DD" w:rsidP="00425B25">
      <w:pPr>
        <w:pStyle w:val="Heading2"/>
        <w:spacing w:line="480" w:lineRule="auto"/>
        <w:rPr>
          <w:rFonts w:ascii="Times New Roman" w:hAnsi="Times New Roman" w:cs="Times New Roman"/>
          <w:color w:val="auto"/>
        </w:rPr>
      </w:pPr>
      <w:r w:rsidRPr="00425B25">
        <w:rPr>
          <w:rFonts w:ascii="Times New Roman" w:hAnsi="Times New Roman" w:cs="Times New Roman"/>
          <w:color w:val="auto"/>
        </w:rPr>
        <w:t xml:space="preserve">4.2 </w:t>
      </w:r>
      <w:proofErr w:type="spellStart"/>
      <w:r w:rsidRPr="00425B25">
        <w:rPr>
          <w:rFonts w:ascii="Times New Roman" w:hAnsi="Times New Roman" w:cs="Times New Roman"/>
          <w:color w:val="auto"/>
        </w:rPr>
        <w:t>Neurodivergence</w:t>
      </w:r>
      <w:proofErr w:type="spellEnd"/>
      <w:r w:rsidRPr="00425B25">
        <w:rPr>
          <w:rFonts w:ascii="Times New Roman" w:hAnsi="Times New Roman" w:cs="Times New Roman"/>
          <w:color w:val="auto"/>
        </w:rPr>
        <w:t xml:space="preserve"> and Anxiety</w:t>
      </w:r>
    </w:p>
    <w:p w14:paraId="3180F801" w14:textId="77777777" w:rsidR="007E17DD" w:rsidRPr="00425B25" w:rsidRDefault="007E17DD" w:rsidP="00425B25">
      <w:pPr>
        <w:pStyle w:val="Heading2"/>
        <w:spacing w:line="480" w:lineRule="auto"/>
        <w:rPr>
          <w:rFonts w:ascii="Times New Roman" w:hAnsi="Times New Roman" w:cs="Times New Roman"/>
          <w:b w:val="0"/>
          <w:bCs w:val="0"/>
          <w:color w:val="auto"/>
        </w:rPr>
      </w:pPr>
      <w:r w:rsidRPr="00425B25">
        <w:rPr>
          <w:rFonts w:ascii="Times New Roman" w:hAnsi="Times New Roman" w:cs="Times New Roman"/>
          <w:b w:val="0"/>
          <w:bCs w:val="0"/>
          <w:color w:val="auto"/>
        </w:rPr>
        <w:t xml:space="preserve">There is growing debate about the connection between </w:t>
      </w:r>
      <w:proofErr w:type="spellStart"/>
      <w:r w:rsidRPr="00425B25">
        <w:rPr>
          <w:rFonts w:ascii="Times New Roman" w:hAnsi="Times New Roman" w:cs="Times New Roman"/>
          <w:b w:val="0"/>
          <w:bCs w:val="0"/>
          <w:color w:val="auto"/>
        </w:rPr>
        <w:t>neurodivergence</w:t>
      </w:r>
      <w:proofErr w:type="spellEnd"/>
      <w:r w:rsidRPr="00425B25">
        <w:rPr>
          <w:rFonts w:ascii="Times New Roman" w:hAnsi="Times New Roman" w:cs="Times New Roman"/>
          <w:b w:val="0"/>
          <w:bCs w:val="0"/>
          <w:color w:val="auto"/>
        </w:rPr>
        <w:t xml:space="preserve"> and anxiety. Studies have shown that autistic people and people with Attention Deficit Hyperactivity Disorder (ADHD) are significantly more likely to experience anxiety disorders than non-autistic, non-ADHD people, although anxiety may express differently in these groups as compared to </w:t>
      </w:r>
      <w:proofErr w:type="spellStart"/>
      <w:r w:rsidRPr="00425B25">
        <w:rPr>
          <w:rFonts w:ascii="Times New Roman" w:hAnsi="Times New Roman" w:cs="Times New Roman"/>
          <w:b w:val="0"/>
          <w:bCs w:val="0"/>
          <w:color w:val="auto"/>
        </w:rPr>
        <w:t>neurotypical</w:t>
      </w:r>
      <w:proofErr w:type="spellEnd"/>
      <w:r w:rsidRPr="00425B25">
        <w:rPr>
          <w:rFonts w:ascii="Times New Roman" w:hAnsi="Times New Roman" w:cs="Times New Roman"/>
          <w:b w:val="0"/>
          <w:bCs w:val="0"/>
          <w:color w:val="auto"/>
        </w:rPr>
        <w:t xml:space="preserve"> individuals (</w:t>
      </w:r>
      <w:proofErr w:type="spellStart"/>
      <w:r w:rsidRPr="00425B25">
        <w:rPr>
          <w:rFonts w:ascii="Times New Roman" w:hAnsi="Times New Roman" w:cs="Times New Roman"/>
          <w:b w:val="0"/>
          <w:bCs w:val="0"/>
          <w:color w:val="auto"/>
        </w:rPr>
        <w:t>Hollocks</w:t>
      </w:r>
      <w:proofErr w:type="spellEnd"/>
      <w:r w:rsidRPr="00425B25">
        <w:rPr>
          <w:rFonts w:ascii="Times New Roman" w:hAnsi="Times New Roman" w:cs="Times New Roman"/>
          <w:b w:val="0"/>
          <w:bCs w:val="0"/>
          <w:color w:val="auto"/>
        </w:rPr>
        <w:t xml:space="preserve"> et al., 2019). For autistic people, for instance, the symptoms of anxiety could manifest as an increase in repetitive behaviour or through avoidance of social interaction, or increased sensory sensitivity, which might not be evident in a standard diagnostic tool designed and normed for </w:t>
      </w:r>
      <w:proofErr w:type="spellStart"/>
      <w:r w:rsidRPr="00425B25">
        <w:rPr>
          <w:rFonts w:ascii="Times New Roman" w:hAnsi="Times New Roman" w:cs="Times New Roman"/>
          <w:b w:val="0"/>
          <w:bCs w:val="0"/>
          <w:color w:val="auto"/>
        </w:rPr>
        <w:t>neurotypical</w:t>
      </w:r>
      <w:proofErr w:type="spellEnd"/>
      <w:r w:rsidRPr="00425B25">
        <w:rPr>
          <w:rFonts w:ascii="Times New Roman" w:hAnsi="Times New Roman" w:cs="Times New Roman"/>
          <w:b w:val="0"/>
          <w:bCs w:val="0"/>
          <w:color w:val="auto"/>
        </w:rPr>
        <w:t xml:space="preserve"> people.</w:t>
      </w:r>
    </w:p>
    <w:p w14:paraId="68AC79DE" w14:textId="75D53ED8" w:rsidR="007E17DD" w:rsidRPr="00425B25" w:rsidRDefault="007E17DD" w:rsidP="00425B25">
      <w:pPr>
        <w:pStyle w:val="Heading2"/>
        <w:spacing w:line="480" w:lineRule="auto"/>
        <w:rPr>
          <w:rFonts w:ascii="Times New Roman" w:hAnsi="Times New Roman" w:cs="Times New Roman"/>
          <w:b w:val="0"/>
          <w:bCs w:val="0"/>
          <w:color w:val="auto"/>
        </w:rPr>
      </w:pPr>
      <w:r w:rsidRPr="00425B25">
        <w:rPr>
          <w:rFonts w:ascii="Times New Roman" w:hAnsi="Times New Roman" w:cs="Times New Roman"/>
          <w:b w:val="0"/>
          <w:bCs w:val="0"/>
          <w:color w:val="auto"/>
        </w:rPr>
        <w:t xml:space="preserve">These elicit several questions regarding the validity of the diagnosis and the potential for under and over diagnosis. Spain et al. (2018) emphasize the need for alternative tools and a formulation-based assessment of anxiety in autism that take into consideration autistic individuals' experiences. In addition, there is continued controversy concerning whether </w:t>
      </w:r>
      <w:r w:rsidRPr="00425B25">
        <w:rPr>
          <w:rFonts w:ascii="Times New Roman" w:hAnsi="Times New Roman" w:cs="Times New Roman"/>
          <w:b w:val="0"/>
          <w:bCs w:val="0"/>
          <w:color w:val="auto"/>
        </w:rPr>
        <w:lastRenderedPageBreak/>
        <w:t xml:space="preserve">anxiety in autistic individuals constitutes a unique clinical entity or if it is more a part of being autistic, with implications for the targets and approaches of intervention. The neurodiversity movement, as a whole, has been a critique on the </w:t>
      </w:r>
      <w:proofErr w:type="spellStart"/>
      <w:r w:rsidRPr="00425B25">
        <w:rPr>
          <w:rFonts w:ascii="Times New Roman" w:hAnsi="Times New Roman" w:cs="Times New Roman"/>
          <w:b w:val="0"/>
          <w:bCs w:val="0"/>
          <w:color w:val="auto"/>
        </w:rPr>
        <w:t>pathologisation</w:t>
      </w:r>
      <w:proofErr w:type="spellEnd"/>
      <w:r w:rsidRPr="00425B25">
        <w:rPr>
          <w:rFonts w:ascii="Times New Roman" w:hAnsi="Times New Roman" w:cs="Times New Roman"/>
          <w:b w:val="0"/>
          <w:bCs w:val="0"/>
          <w:color w:val="auto"/>
        </w:rPr>
        <w:t xml:space="preserve"> of conditions like ADHD and autism, and in turn, a questioning of the assumption that anxiety is always a disorder in these groups (Armstrong, 2021).</w:t>
      </w:r>
    </w:p>
    <w:p w14:paraId="075245F2" w14:textId="791D0096" w:rsidR="00087FE5" w:rsidRPr="00425B25" w:rsidRDefault="00802D36" w:rsidP="00425B25">
      <w:pPr>
        <w:pStyle w:val="Heading2"/>
        <w:spacing w:line="480" w:lineRule="auto"/>
        <w:rPr>
          <w:rFonts w:ascii="Times New Roman" w:hAnsi="Times New Roman" w:cs="Times New Roman"/>
        </w:rPr>
      </w:pPr>
      <w:r w:rsidRPr="00425B25">
        <w:rPr>
          <w:rFonts w:ascii="Times New Roman" w:hAnsi="Times New Roman" w:cs="Times New Roman"/>
        </w:rPr>
        <w:t>4.3 Reclassification Issues and Cross-Cultural Considerations</w:t>
      </w:r>
    </w:p>
    <w:p w14:paraId="19119A60" w14:textId="77777777" w:rsidR="00425B25" w:rsidRPr="00425B25" w:rsidRDefault="00425B25" w:rsidP="00425B25">
      <w:pPr>
        <w:pStyle w:val="Heading1"/>
        <w:spacing w:line="480" w:lineRule="auto"/>
        <w:rPr>
          <w:rFonts w:ascii="Times New Roman" w:hAnsi="Times New Roman" w:cs="Times New Roman"/>
          <w:b w:val="0"/>
          <w:bCs w:val="0"/>
          <w:color w:val="auto"/>
          <w:sz w:val="24"/>
          <w:szCs w:val="24"/>
        </w:rPr>
      </w:pPr>
      <w:r w:rsidRPr="00425B25">
        <w:rPr>
          <w:rFonts w:ascii="Times New Roman" w:hAnsi="Times New Roman" w:cs="Times New Roman"/>
          <w:b w:val="0"/>
          <w:bCs w:val="0"/>
          <w:color w:val="auto"/>
          <w:sz w:val="24"/>
          <w:szCs w:val="24"/>
        </w:rPr>
        <w:t>There were numerous reclassification decisions, such as separating anxiety disorders from obsessive-compulsive and related disorders and from trauma- and stressor-related disorders into their own chapters (Reed et al., 2019). These adjustments are based on the latest evidence of the aetiology and neurobiology of the conditions, but have raised questions regarding clinical continuity and implications for training, coding and service delivery.</w:t>
      </w:r>
    </w:p>
    <w:p w14:paraId="535C25B9" w14:textId="77777777" w:rsidR="00425B25" w:rsidRPr="00425B25" w:rsidRDefault="00425B25" w:rsidP="00425B25">
      <w:pPr>
        <w:pStyle w:val="Heading1"/>
        <w:spacing w:line="480" w:lineRule="auto"/>
        <w:rPr>
          <w:rFonts w:ascii="Times New Roman" w:hAnsi="Times New Roman" w:cs="Times New Roman"/>
          <w:b w:val="0"/>
          <w:bCs w:val="0"/>
          <w:color w:val="auto"/>
          <w:sz w:val="24"/>
          <w:szCs w:val="24"/>
        </w:rPr>
      </w:pPr>
      <w:r w:rsidRPr="00425B25">
        <w:rPr>
          <w:rFonts w:ascii="Times New Roman" w:hAnsi="Times New Roman" w:cs="Times New Roman"/>
          <w:b w:val="0"/>
          <w:bCs w:val="0"/>
          <w:color w:val="auto"/>
          <w:sz w:val="24"/>
          <w:szCs w:val="24"/>
        </w:rPr>
        <w:t>Validity of cross-cultural classification of anxiety disorders is a long-standing problem. Cultural expressions of distress – also known as 'cultural idioms of distress' – do not always fit into the ICD-11 categories and the ICD-11 criteria themselves have been criticised for being a reflection of WEIRD (Western, educated, industrialised, rich and democratic) cultural norms (</w:t>
      </w:r>
      <w:proofErr w:type="spellStart"/>
      <w:r w:rsidRPr="00425B25">
        <w:rPr>
          <w:rFonts w:ascii="Times New Roman" w:hAnsi="Times New Roman" w:cs="Times New Roman"/>
          <w:b w:val="0"/>
          <w:bCs w:val="0"/>
          <w:color w:val="auto"/>
          <w:sz w:val="24"/>
          <w:szCs w:val="24"/>
        </w:rPr>
        <w:t>Henrich</w:t>
      </w:r>
      <w:proofErr w:type="spellEnd"/>
      <w:r w:rsidRPr="00425B25">
        <w:rPr>
          <w:rFonts w:ascii="Times New Roman" w:hAnsi="Times New Roman" w:cs="Times New Roman"/>
          <w:b w:val="0"/>
          <w:bCs w:val="0"/>
          <w:color w:val="auto"/>
          <w:sz w:val="24"/>
          <w:szCs w:val="24"/>
        </w:rPr>
        <w:t xml:space="preserve"> et al., 2010; as cited in </w:t>
      </w:r>
      <w:proofErr w:type="spellStart"/>
      <w:r w:rsidRPr="00425B25">
        <w:rPr>
          <w:rFonts w:ascii="Times New Roman" w:hAnsi="Times New Roman" w:cs="Times New Roman"/>
          <w:b w:val="0"/>
          <w:bCs w:val="0"/>
          <w:color w:val="auto"/>
          <w:sz w:val="24"/>
          <w:szCs w:val="24"/>
        </w:rPr>
        <w:t>Kohrt</w:t>
      </w:r>
      <w:proofErr w:type="spellEnd"/>
      <w:r w:rsidRPr="00425B25">
        <w:rPr>
          <w:rFonts w:ascii="Times New Roman" w:hAnsi="Times New Roman" w:cs="Times New Roman"/>
          <w:b w:val="0"/>
          <w:bCs w:val="0"/>
          <w:color w:val="auto"/>
          <w:sz w:val="24"/>
          <w:szCs w:val="24"/>
        </w:rPr>
        <w:t xml:space="preserve"> et al., 2014). For instance, some contexts such as the Philippines are more likely to have somatic symptoms of anxiety (e.g. dizziness, palpitations), which may not satisfy the criteria for GAD as outlined in ICD-11 (</w:t>
      </w:r>
      <w:proofErr w:type="spellStart"/>
      <w:r w:rsidRPr="00425B25">
        <w:rPr>
          <w:rFonts w:ascii="Times New Roman" w:hAnsi="Times New Roman" w:cs="Times New Roman"/>
          <w:b w:val="0"/>
          <w:bCs w:val="0"/>
          <w:color w:val="auto"/>
          <w:sz w:val="24"/>
          <w:szCs w:val="24"/>
        </w:rPr>
        <w:t>Gureje</w:t>
      </w:r>
      <w:proofErr w:type="spellEnd"/>
      <w:r w:rsidRPr="00425B25">
        <w:rPr>
          <w:rFonts w:ascii="Times New Roman" w:hAnsi="Times New Roman" w:cs="Times New Roman"/>
          <w:b w:val="0"/>
          <w:bCs w:val="0"/>
          <w:color w:val="auto"/>
          <w:sz w:val="24"/>
          <w:szCs w:val="24"/>
        </w:rPr>
        <w:t xml:space="preserve"> and Reed, 2016). This has implications for mental health equity globally and as this evidence-based treatments are developed in Western contexts they may have applicability in that context only.</w:t>
      </w:r>
    </w:p>
    <w:p w14:paraId="112003AD" w14:textId="77777777" w:rsidR="00425B25" w:rsidRPr="00425B25" w:rsidRDefault="00425B25" w:rsidP="00425B25">
      <w:pPr>
        <w:pStyle w:val="Heading1"/>
        <w:spacing w:line="480" w:lineRule="auto"/>
        <w:rPr>
          <w:rFonts w:ascii="Times New Roman" w:hAnsi="Times New Roman" w:cs="Times New Roman"/>
          <w:color w:val="auto"/>
          <w:sz w:val="24"/>
          <w:szCs w:val="24"/>
        </w:rPr>
      </w:pPr>
      <w:r w:rsidRPr="00425B25">
        <w:rPr>
          <w:rFonts w:ascii="Times New Roman" w:hAnsi="Times New Roman" w:cs="Times New Roman"/>
          <w:color w:val="auto"/>
          <w:sz w:val="24"/>
          <w:szCs w:val="24"/>
        </w:rPr>
        <w:t>5. Recommendations</w:t>
      </w:r>
    </w:p>
    <w:p w14:paraId="1439B2AE" w14:textId="77777777" w:rsidR="00425B25" w:rsidRPr="00425B25" w:rsidRDefault="00425B25" w:rsidP="00425B25">
      <w:pPr>
        <w:pStyle w:val="Heading1"/>
        <w:spacing w:line="480" w:lineRule="auto"/>
        <w:rPr>
          <w:rFonts w:ascii="Times New Roman" w:hAnsi="Times New Roman" w:cs="Times New Roman"/>
          <w:b w:val="0"/>
          <w:bCs w:val="0"/>
          <w:color w:val="auto"/>
          <w:sz w:val="24"/>
          <w:szCs w:val="24"/>
        </w:rPr>
      </w:pPr>
      <w:r w:rsidRPr="00425B25">
        <w:rPr>
          <w:rFonts w:ascii="Times New Roman" w:hAnsi="Times New Roman" w:cs="Times New Roman"/>
          <w:b w:val="0"/>
          <w:bCs w:val="0"/>
          <w:color w:val="auto"/>
          <w:sz w:val="24"/>
          <w:szCs w:val="24"/>
        </w:rPr>
        <w:lastRenderedPageBreak/>
        <w:t>From the evidence surveyed, the following recommendations are put forward to make a better classification, diagnosis, treatment and rehabilitation of anxiety disorders:</w:t>
      </w:r>
    </w:p>
    <w:p w14:paraId="048884D9" w14:textId="77777777" w:rsidR="00425B25" w:rsidRPr="00425B25" w:rsidRDefault="00425B25" w:rsidP="00425B25">
      <w:pPr>
        <w:pStyle w:val="Heading1"/>
        <w:spacing w:line="480" w:lineRule="auto"/>
        <w:rPr>
          <w:rFonts w:ascii="Times New Roman" w:hAnsi="Times New Roman" w:cs="Times New Roman"/>
          <w:b w:val="0"/>
          <w:bCs w:val="0"/>
          <w:color w:val="auto"/>
          <w:sz w:val="24"/>
          <w:szCs w:val="24"/>
        </w:rPr>
      </w:pPr>
      <w:r w:rsidRPr="00425B25">
        <w:rPr>
          <w:rFonts w:ascii="Times New Roman" w:hAnsi="Times New Roman" w:cs="Times New Roman"/>
          <w:b w:val="0"/>
          <w:bCs w:val="0"/>
          <w:color w:val="auto"/>
          <w:sz w:val="24"/>
          <w:szCs w:val="24"/>
        </w:rPr>
        <w:t xml:space="preserve">First, greater dimensionality must be included in the diagnostic frameworks. The incorporation of dimensional severity ratings in ICD-11, in addition to a categorical diagnosis, would help improve clinical utility and capture the continuum of anxiety symptoms. </w:t>
      </w:r>
      <w:proofErr w:type="spellStart"/>
      <w:r w:rsidRPr="00425B25">
        <w:rPr>
          <w:rFonts w:ascii="Times New Roman" w:hAnsi="Times New Roman" w:cs="Times New Roman"/>
          <w:b w:val="0"/>
          <w:bCs w:val="0"/>
          <w:color w:val="auto"/>
          <w:sz w:val="24"/>
          <w:szCs w:val="24"/>
        </w:rPr>
        <w:t>Transdiagnostic</w:t>
      </w:r>
      <w:proofErr w:type="spellEnd"/>
      <w:r w:rsidRPr="00425B25">
        <w:rPr>
          <w:rFonts w:ascii="Times New Roman" w:hAnsi="Times New Roman" w:cs="Times New Roman"/>
          <w:b w:val="0"/>
          <w:bCs w:val="0"/>
          <w:color w:val="auto"/>
          <w:sz w:val="24"/>
          <w:szCs w:val="24"/>
        </w:rPr>
        <w:t xml:space="preserve"> approaches, like </w:t>
      </w:r>
      <w:proofErr w:type="spellStart"/>
      <w:r w:rsidRPr="00425B25">
        <w:rPr>
          <w:rFonts w:ascii="Times New Roman" w:hAnsi="Times New Roman" w:cs="Times New Roman"/>
          <w:b w:val="0"/>
          <w:bCs w:val="0"/>
          <w:color w:val="auto"/>
          <w:sz w:val="24"/>
          <w:szCs w:val="24"/>
        </w:rPr>
        <w:t>HiTOP</w:t>
      </w:r>
      <w:proofErr w:type="spellEnd"/>
      <w:r w:rsidRPr="00425B25">
        <w:rPr>
          <w:rFonts w:ascii="Times New Roman" w:hAnsi="Times New Roman" w:cs="Times New Roman"/>
          <w:b w:val="0"/>
          <w:bCs w:val="0"/>
          <w:color w:val="auto"/>
          <w:sz w:val="24"/>
          <w:szCs w:val="24"/>
        </w:rPr>
        <w:t>, should be used alongside other diagnostic tools from the health profession and by health researchers, especially in research and service development.</w:t>
      </w:r>
    </w:p>
    <w:p w14:paraId="045D1ED3" w14:textId="77777777" w:rsidR="00425B25" w:rsidRPr="00425B25" w:rsidRDefault="00425B25" w:rsidP="00425B25">
      <w:pPr>
        <w:pStyle w:val="Heading1"/>
        <w:spacing w:line="480" w:lineRule="auto"/>
        <w:rPr>
          <w:rFonts w:ascii="Times New Roman" w:hAnsi="Times New Roman" w:cs="Times New Roman"/>
          <w:b w:val="0"/>
          <w:bCs w:val="0"/>
          <w:color w:val="auto"/>
          <w:sz w:val="24"/>
          <w:szCs w:val="24"/>
        </w:rPr>
      </w:pPr>
      <w:r w:rsidRPr="00425B25">
        <w:rPr>
          <w:rFonts w:ascii="Times New Roman" w:hAnsi="Times New Roman" w:cs="Times New Roman"/>
          <w:b w:val="0"/>
          <w:bCs w:val="0"/>
          <w:color w:val="auto"/>
          <w:sz w:val="24"/>
          <w:szCs w:val="24"/>
        </w:rPr>
        <w:t xml:space="preserve">Secondly, the assessment and diagnostic tools need to be adapted to the </w:t>
      </w:r>
      <w:proofErr w:type="spellStart"/>
      <w:r w:rsidRPr="00425B25">
        <w:rPr>
          <w:rFonts w:ascii="Times New Roman" w:hAnsi="Times New Roman" w:cs="Times New Roman"/>
          <w:b w:val="0"/>
          <w:bCs w:val="0"/>
          <w:color w:val="auto"/>
          <w:sz w:val="24"/>
          <w:szCs w:val="24"/>
        </w:rPr>
        <w:t>neurodivergent</w:t>
      </w:r>
      <w:proofErr w:type="spellEnd"/>
      <w:r w:rsidRPr="00425B25">
        <w:rPr>
          <w:rFonts w:ascii="Times New Roman" w:hAnsi="Times New Roman" w:cs="Times New Roman"/>
          <w:b w:val="0"/>
          <w:bCs w:val="0"/>
          <w:color w:val="auto"/>
          <w:sz w:val="24"/>
          <w:szCs w:val="24"/>
        </w:rPr>
        <w:t xml:space="preserve"> population. Clinicians need to be trained in assessing anxiety in autistic children and children with ADHD and adapt the instruments and formulation. Policy should do the same, and make the practice of neurodiversity a part of the mental health training curricula and the competency models.</w:t>
      </w:r>
    </w:p>
    <w:p w14:paraId="03743BA7" w14:textId="77777777" w:rsidR="00425B25" w:rsidRPr="00425B25" w:rsidRDefault="00425B25" w:rsidP="00425B25">
      <w:pPr>
        <w:pStyle w:val="Heading1"/>
        <w:spacing w:line="480" w:lineRule="auto"/>
        <w:rPr>
          <w:rFonts w:ascii="Times New Roman" w:hAnsi="Times New Roman" w:cs="Times New Roman"/>
          <w:b w:val="0"/>
          <w:bCs w:val="0"/>
          <w:color w:val="auto"/>
          <w:sz w:val="24"/>
          <w:szCs w:val="24"/>
        </w:rPr>
      </w:pPr>
      <w:r w:rsidRPr="00425B25">
        <w:rPr>
          <w:rFonts w:ascii="Times New Roman" w:hAnsi="Times New Roman" w:cs="Times New Roman"/>
          <w:b w:val="0"/>
          <w:bCs w:val="0"/>
          <w:color w:val="auto"/>
          <w:sz w:val="24"/>
          <w:szCs w:val="24"/>
        </w:rPr>
        <w:t xml:space="preserve">Thirdly, equal access to evidence-based treatments needs to be prioritised. CBT and pharmacotherapy are effective, but not equally available, especially for marginalised and under-served populations. Scaling up </w:t>
      </w:r>
      <w:proofErr w:type="spellStart"/>
      <w:r w:rsidRPr="00425B25">
        <w:rPr>
          <w:rFonts w:ascii="Times New Roman" w:hAnsi="Times New Roman" w:cs="Times New Roman"/>
          <w:b w:val="0"/>
          <w:bCs w:val="0"/>
          <w:color w:val="auto"/>
          <w:sz w:val="24"/>
          <w:szCs w:val="24"/>
        </w:rPr>
        <w:t>iCBT</w:t>
      </w:r>
      <w:proofErr w:type="spellEnd"/>
      <w:r w:rsidRPr="00425B25">
        <w:rPr>
          <w:rFonts w:ascii="Times New Roman" w:hAnsi="Times New Roman" w:cs="Times New Roman"/>
          <w:b w:val="0"/>
          <w:bCs w:val="0"/>
          <w:color w:val="auto"/>
          <w:sz w:val="24"/>
          <w:szCs w:val="24"/>
        </w:rPr>
        <w:t xml:space="preserve"> and stepped-care models should continue while continuing to work to ensure that there is a strong element of digital inclusion, particularly through providing supported access to digital technologies for people who are less technologically literate or have fewer resources.</w:t>
      </w:r>
    </w:p>
    <w:p w14:paraId="1D213596" w14:textId="77777777" w:rsidR="00425B25" w:rsidRPr="00425B25" w:rsidRDefault="00425B25" w:rsidP="00425B25">
      <w:pPr>
        <w:pStyle w:val="Heading1"/>
        <w:spacing w:line="480" w:lineRule="auto"/>
        <w:rPr>
          <w:rFonts w:ascii="Times New Roman" w:hAnsi="Times New Roman" w:cs="Times New Roman"/>
          <w:b w:val="0"/>
          <w:bCs w:val="0"/>
          <w:color w:val="auto"/>
          <w:sz w:val="24"/>
          <w:szCs w:val="24"/>
        </w:rPr>
      </w:pPr>
      <w:r w:rsidRPr="00425B25">
        <w:rPr>
          <w:rFonts w:ascii="Times New Roman" w:hAnsi="Times New Roman" w:cs="Times New Roman"/>
          <w:b w:val="0"/>
          <w:bCs w:val="0"/>
          <w:color w:val="auto"/>
          <w:sz w:val="24"/>
          <w:szCs w:val="24"/>
        </w:rPr>
        <w:t xml:space="preserve">Fourth, there should be a cultural sensitivity component to classification and practice. To support ICD-11 implementation, culturally sensitive guidance should be provided that would reflect a range of anxiety expression and validate culturally specific expressions of distress. Clinicians should be trained in cultural formulation, using frameworks as outlined in the </w:t>
      </w:r>
      <w:r w:rsidRPr="00425B25">
        <w:rPr>
          <w:rFonts w:ascii="Times New Roman" w:hAnsi="Times New Roman" w:cs="Times New Roman"/>
          <w:b w:val="0"/>
          <w:bCs w:val="0"/>
          <w:color w:val="auto"/>
          <w:sz w:val="24"/>
          <w:szCs w:val="24"/>
        </w:rPr>
        <w:lastRenderedPageBreak/>
        <w:t>DSM-5, as part of the supplementary tools for cultural formulation, such as the Cultural Formulation Interview.</w:t>
      </w:r>
    </w:p>
    <w:p w14:paraId="18F2F2FC" w14:textId="77777777" w:rsidR="00425B25" w:rsidRPr="00425B25" w:rsidRDefault="00425B25" w:rsidP="00425B25">
      <w:pPr>
        <w:pStyle w:val="Heading1"/>
        <w:spacing w:line="480" w:lineRule="auto"/>
        <w:rPr>
          <w:rFonts w:ascii="Times New Roman" w:hAnsi="Times New Roman" w:cs="Times New Roman"/>
          <w:b w:val="0"/>
          <w:bCs w:val="0"/>
          <w:color w:val="auto"/>
          <w:sz w:val="24"/>
          <w:szCs w:val="24"/>
        </w:rPr>
      </w:pPr>
      <w:r w:rsidRPr="00425B25">
        <w:rPr>
          <w:rFonts w:ascii="Times New Roman" w:hAnsi="Times New Roman" w:cs="Times New Roman"/>
          <w:b w:val="0"/>
          <w:bCs w:val="0"/>
          <w:color w:val="auto"/>
          <w:sz w:val="24"/>
          <w:szCs w:val="24"/>
        </w:rPr>
        <w:t>Last but not least, investment in research for the long term is crucial. Long-term studies of recovery pathways, aftercare models and long-term outcomes of digital rehabilitation in anxiety disorders are highly needed, given the high relapse rates and the scarce evidence base for rehabilitation in anxiety disorders. Research on lived experiences of anxiety disorders should be prioritised as lived experience knowledge is crucial for informing future research on classification and treatment.</w:t>
      </w:r>
    </w:p>
    <w:p w14:paraId="7DA25929" w14:textId="1D81D5C7" w:rsidR="00087FE5" w:rsidRPr="00425B25" w:rsidRDefault="00802D36" w:rsidP="00425B25">
      <w:pPr>
        <w:pStyle w:val="Heading1"/>
        <w:spacing w:line="480" w:lineRule="auto"/>
        <w:rPr>
          <w:rFonts w:ascii="Times New Roman" w:hAnsi="Times New Roman" w:cs="Times New Roman"/>
          <w:sz w:val="24"/>
          <w:szCs w:val="24"/>
        </w:rPr>
      </w:pPr>
      <w:r w:rsidRPr="00425B25">
        <w:rPr>
          <w:rFonts w:ascii="Times New Roman" w:hAnsi="Times New Roman" w:cs="Times New Roman"/>
          <w:sz w:val="24"/>
          <w:szCs w:val="24"/>
        </w:rPr>
        <w:t>6. Conclusion</w:t>
      </w:r>
    </w:p>
    <w:p w14:paraId="0F5B19E8" w14:textId="77777777" w:rsidR="00425B25" w:rsidRPr="00425B25" w:rsidRDefault="00425B25" w:rsidP="00425B25">
      <w:pPr>
        <w:pStyle w:val="Heading1"/>
        <w:spacing w:line="480" w:lineRule="auto"/>
        <w:rPr>
          <w:rFonts w:ascii="Times New Roman" w:hAnsi="Times New Roman" w:cs="Times New Roman"/>
          <w:b w:val="0"/>
          <w:bCs w:val="0"/>
          <w:color w:val="auto"/>
          <w:sz w:val="24"/>
          <w:szCs w:val="24"/>
        </w:rPr>
      </w:pPr>
      <w:r w:rsidRPr="00425B25">
        <w:rPr>
          <w:rFonts w:ascii="Times New Roman" w:hAnsi="Times New Roman" w:cs="Times New Roman"/>
          <w:b w:val="0"/>
          <w:bCs w:val="0"/>
          <w:color w:val="auto"/>
          <w:sz w:val="24"/>
          <w:szCs w:val="24"/>
        </w:rPr>
        <w:t xml:space="preserve">This report has critically reviewed anxiety disorders as a group in the ICD-11 classification, and looked specifically at Generalised Anxiety Disorder. The analysis shows that although there has been great advances in the classification, diagnosis and treatment of anxiety, there are still many challenges. Although useful for clinical purposes, the categorical diagnostic system does not reflect the dimensional and culturally variable nature of anxiety. Evidence-based interventions, including CBT and pharmacotherapy, can be effective, but are not widely available and rehabilitation provision needs to be strengthened to facilitate long-term recovery. The current and future critical reflections on </w:t>
      </w:r>
      <w:proofErr w:type="spellStart"/>
      <w:r w:rsidRPr="00425B25">
        <w:rPr>
          <w:rFonts w:ascii="Times New Roman" w:hAnsi="Times New Roman" w:cs="Times New Roman"/>
          <w:b w:val="0"/>
          <w:bCs w:val="0"/>
          <w:color w:val="auto"/>
          <w:sz w:val="24"/>
          <w:szCs w:val="24"/>
        </w:rPr>
        <w:t>neurodivergence</w:t>
      </w:r>
      <w:proofErr w:type="spellEnd"/>
      <w:r w:rsidRPr="00425B25">
        <w:rPr>
          <w:rFonts w:ascii="Times New Roman" w:hAnsi="Times New Roman" w:cs="Times New Roman"/>
          <w:b w:val="0"/>
          <w:bCs w:val="0"/>
          <w:color w:val="auto"/>
          <w:sz w:val="24"/>
          <w:szCs w:val="24"/>
        </w:rPr>
        <w:t>, re-classification and cross-cultural validity are significant for the continued critical analysis of mental health policy and practice. The recommendations included in this report are based on the available evidence and demonstrate a desire to ensure mental health services are person-centred, equitable and culturally responsive.</w:t>
      </w:r>
    </w:p>
    <w:p w14:paraId="676FA36E" w14:textId="77777777" w:rsidR="00425B25" w:rsidRDefault="00425B25" w:rsidP="00425B25">
      <w:pPr>
        <w:pStyle w:val="Heading1"/>
        <w:spacing w:line="480" w:lineRule="auto"/>
        <w:rPr>
          <w:rFonts w:ascii="Times New Roman" w:hAnsi="Times New Roman" w:cs="Times New Roman"/>
          <w:b w:val="0"/>
          <w:bCs w:val="0"/>
          <w:color w:val="auto"/>
          <w:sz w:val="24"/>
          <w:szCs w:val="24"/>
        </w:rPr>
      </w:pPr>
    </w:p>
    <w:p w14:paraId="307919C7" w14:textId="7CB2839A" w:rsidR="00087FE5" w:rsidRPr="00425B25" w:rsidRDefault="00802D36" w:rsidP="00425B25">
      <w:pPr>
        <w:pStyle w:val="Heading1"/>
        <w:spacing w:line="480" w:lineRule="auto"/>
        <w:jc w:val="center"/>
        <w:rPr>
          <w:rFonts w:ascii="Times New Roman" w:hAnsi="Times New Roman" w:cs="Times New Roman"/>
          <w:sz w:val="24"/>
          <w:szCs w:val="24"/>
        </w:rPr>
      </w:pPr>
      <w:r w:rsidRPr="00425B25">
        <w:rPr>
          <w:rFonts w:ascii="Times New Roman" w:hAnsi="Times New Roman" w:cs="Times New Roman"/>
          <w:sz w:val="24"/>
          <w:szCs w:val="24"/>
        </w:rPr>
        <w:t>References</w:t>
      </w:r>
    </w:p>
    <w:p w14:paraId="30DEB3B9" w14:textId="77777777" w:rsidR="00087FE5" w:rsidRPr="00425B25" w:rsidRDefault="00802D36" w:rsidP="00425B25">
      <w:pPr>
        <w:spacing w:after="160" w:line="480" w:lineRule="auto"/>
        <w:ind w:left="720" w:hanging="720"/>
        <w:jc w:val="both"/>
        <w:rPr>
          <w:rFonts w:ascii="Times New Roman" w:hAnsi="Times New Roman" w:cs="Times New Roman"/>
          <w:sz w:val="24"/>
          <w:szCs w:val="24"/>
        </w:rPr>
      </w:pPr>
      <w:r w:rsidRPr="00425B25">
        <w:rPr>
          <w:rFonts w:ascii="Times New Roman" w:hAnsi="Times New Roman" w:cs="Times New Roman"/>
          <w:sz w:val="24"/>
          <w:szCs w:val="24"/>
        </w:rPr>
        <w:lastRenderedPageBreak/>
        <w:t xml:space="preserve">Andrews, G., </w:t>
      </w:r>
      <w:proofErr w:type="spellStart"/>
      <w:r w:rsidRPr="00425B25">
        <w:rPr>
          <w:rFonts w:ascii="Times New Roman" w:hAnsi="Times New Roman" w:cs="Times New Roman"/>
          <w:sz w:val="24"/>
          <w:szCs w:val="24"/>
        </w:rPr>
        <w:t>Basu</w:t>
      </w:r>
      <w:proofErr w:type="spellEnd"/>
      <w:r w:rsidRPr="00425B25">
        <w:rPr>
          <w:rFonts w:ascii="Times New Roman" w:hAnsi="Times New Roman" w:cs="Times New Roman"/>
          <w:sz w:val="24"/>
          <w:szCs w:val="24"/>
        </w:rPr>
        <w:t xml:space="preserve">, A., </w:t>
      </w:r>
      <w:proofErr w:type="spellStart"/>
      <w:r w:rsidRPr="00425B25">
        <w:rPr>
          <w:rFonts w:ascii="Times New Roman" w:hAnsi="Times New Roman" w:cs="Times New Roman"/>
          <w:sz w:val="24"/>
          <w:szCs w:val="24"/>
        </w:rPr>
        <w:t>Cuijpers</w:t>
      </w:r>
      <w:proofErr w:type="spellEnd"/>
      <w:r w:rsidRPr="00425B25">
        <w:rPr>
          <w:rFonts w:ascii="Times New Roman" w:hAnsi="Times New Roman" w:cs="Times New Roman"/>
          <w:sz w:val="24"/>
          <w:szCs w:val="24"/>
        </w:rPr>
        <w:t xml:space="preserve">, P., </w:t>
      </w:r>
      <w:proofErr w:type="spellStart"/>
      <w:r w:rsidRPr="00425B25">
        <w:rPr>
          <w:rFonts w:ascii="Times New Roman" w:hAnsi="Times New Roman" w:cs="Times New Roman"/>
          <w:sz w:val="24"/>
          <w:szCs w:val="24"/>
        </w:rPr>
        <w:t>Craske</w:t>
      </w:r>
      <w:proofErr w:type="spellEnd"/>
      <w:r w:rsidRPr="00425B25">
        <w:rPr>
          <w:rFonts w:ascii="Times New Roman" w:hAnsi="Times New Roman" w:cs="Times New Roman"/>
          <w:sz w:val="24"/>
          <w:szCs w:val="24"/>
        </w:rPr>
        <w:t xml:space="preserve">, M.G., </w:t>
      </w:r>
      <w:proofErr w:type="spellStart"/>
      <w:r w:rsidRPr="00425B25">
        <w:rPr>
          <w:rFonts w:ascii="Times New Roman" w:hAnsi="Times New Roman" w:cs="Times New Roman"/>
          <w:sz w:val="24"/>
          <w:szCs w:val="24"/>
        </w:rPr>
        <w:t>McEvoy</w:t>
      </w:r>
      <w:proofErr w:type="spellEnd"/>
      <w:r w:rsidRPr="00425B25">
        <w:rPr>
          <w:rFonts w:ascii="Times New Roman" w:hAnsi="Times New Roman" w:cs="Times New Roman"/>
          <w:sz w:val="24"/>
          <w:szCs w:val="24"/>
        </w:rPr>
        <w:t>, P., English, C.L. and Newby, J.M. (2018) 'Computer therapy for the anxiety and depression disorders is effective, acceptable and practical health care: An updated meta-analysis', Journal of Anxiety Disorders, 55, pp. 70–78. https://doi.org/10.1016/j.janxdis.2018.01.001</w:t>
      </w:r>
    </w:p>
    <w:p w14:paraId="6AA17E2C" w14:textId="77777777" w:rsidR="00087FE5" w:rsidRPr="00425B25" w:rsidRDefault="00802D36" w:rsidP="00425B25">
      <w:pPr>
        <w:spacing w:after="160" w:line="480" w:lineRule="auto"/>
        <w:ind w:left="720" w:hanging="720"/>
        <w:jc w:val="both"/>
        <w:rPr>
          <w:rFonts w:ascii="Times New Roman" w:hAnsi="Times New Roman" w:cs="Times New Roman"/>
          <w:sz w:val="24"/>
          <w:szCs w:val="24"/>
        </w:rPr>
      </w:pPr>
      <w:r w:rsidRPr="00425B25">
        <w:rPr>
          <w:rFonts w:ascii="Times New Roman" w:hAnsi="Times New Roman" w:cs="Times New Roman"/>
          <w:sz w:val="24"/>
          <w:szCs w:val="24"/>
        </w:rPr>
        <w:t>Armstrong, T. (2021) The Power of Neurodiversity: Unleashing the Advantages of Your Differently Wired Brain. Boston: Da Capo Press.</w:t>
      </w:r>
    </w:p>
    <w:p w14:paraId="50724024" w14:textId="77777777" w:rsidR="00087FE5" w:rsidRPr="00425B25" w:rsidRDefault="00802D36" w:rsidP="00425B25">
      <w:pPr>
        <w:spacing w:after="160" w:line="480" w:lineRule="auto"/>
        <w:ind w:left="720" w:hanging="720"/>
        <w:jc w:val="both"/>
        <w:rPr>
          <w:rFonts w:ascii="Times New Roman" w:hAnsi="Times New Roman" w:cs="Times New Roman"/>
          <w:sz w:val="24"/>
          <w:szCs w:val="24"/>
        </w:rPr>
      </w:pPr>
      <w:r w:rsidRPr="00425B25">
        <w:rPr>
          <w:rFonts w:ascii="Times New Roman" w:hAnsi="Times New Roman" w:cs="Times New Roman"/>
          <w:sz w:val="24"/>
          <w:szCs w:val="24"/>
        </w:rPr>
        <w:t xml:space="preserve">Baldwin, D.S., Anderson, I.M., Nutt, D.J., </w:t>
      </w:r>
      <w:proofErr w:type="spellStart"/>
      <w:r w:rsidRPr="00425B25">
        <w:rPr>
          <w:rFonts w:ascii="Times New Roman" w:hAnsi="Times New Roman" w:cs="Times New Roman"/>
          <w:sz w:val="24"/>
          <w:szCs w:val="24"/>
        </w:rPr>
        <w:t>Allgulander</w:t>
      </w:r>
      <w:proofErr w:type="spellEnd"/>
      <w:r w:rsidRPr="00425B25">
        <w:rPr>
          <w:rFonts w:ascii="Times New Roman" w:hAnsi="Times New Roman" w:cs="Times New Roman"/>
          <w:sz w:val="24"/>
          <w:szCs w:val="24"/>
        </w:rPr>
        <w:t xml:space="preserve">, C., </w:t>
      </w:r>
      <w:proofErr w:type="spellStart"/>
      <w:r w:rsidRPr="00425B25">
        <w:rPr>
          <w:rFonts w:ascii="Times New Roman" w:hAnsi="Times New Roman" w:cs="Times New Roman"/>
          <w:sz w:val="24"/>
          <w:szCs w:val="24"/>
        </w:rPr>
        <w:t>Bandelow</w:t>
      </w:r>
      <w:proofErr w:type="spellEnd"/>
      <w:r w:rsidRPr="00425B25">
        <w:rPr>
          <w:rFonts w:ascii="Times New Roman" w:hAnsi="Times New Roman" w:cs="Times New Roman"/>
          <w:sz w:val="24"/>
          <w:szCs w:val="24"/>
        </w:rPr>
        <w:t xml:space="preserve">, B., den Boer, J.A., Christmas, D.M., Davies, S., </w:t>
      </w:r>
      <w:proofErr w:type="spellStart"/>
      <w:r w:rsidRPr="00425B25">
        <w:rPr>
          <w:rFonts w:ascii="Times New Roman" w:hAnsi="Times New Roman" w:cs="Times New Roman"/>
          <w:sz w:val="24"/>
          <w:szCs w:val="24"/>
        </w:rPr>
        <w:t>Fineberg</w:t>
      </w:r>
      <w:proofErr w:type="spellEnd"/>
      <w:r w:rsidRPr="00425B25">
        <w:rPr>
          <w:rFonts w:ascii="Times New Roman" w:hAnsi="Times New Roman" w:cs="Times New Roman"/>
          <w:sz w:val="24"/>
          <w:szCs w:val="24"/>
        </w:rPr>
        <w:t xml:space="preserve">, N., </w:t>
      </w:r>
      <w:proofErr w:type="spellStart"/>
      <w:r w:rsidRPr="00425B25">
        <w:rPr>
          <w:rFonts w:ascii="Times New Roman" w:hAnsi="Times New Roman" w:cs="Times New Roman"/>
          <w:sz w:val="24"/>
          <w:szCs w:val="24"/>
        </w:rPr>
        <w:t>Lidbetter</w:t>
      </w:r>
      <w:proofErr w:type="spellEnd"/>
      <w:r w:rsidRPr="00425B25">
        <w:rPr>
          <w:rFonts w:ascii="Times New Roman" w:hAnsi="Times New Roman" w:cs="Times New Roman"/>
          <w:sz w:val="24"/>
          <w:szCs w:val="24"/>
        </w:rPr>
        <w:t xml:space="preserve">, N., </w:t>
      </w:r>
      <w:proofErr w:type="spellStart"/>
      <w:r w:rsidRPr="00425B25">
        <w:rPr>
          <w:rFonts w:ascii="Times New Roman" w:hAnsi="Times New Roman" w:cs="Times New Roman"/>
          <w:sz w:val="24"/>
          <w:szCs w:val="24"/>
        </w:rPr>
        <w:t>Malizia</w:t>
      </w:r>
      <w:proofErr w:type="spellEnd"/>
      <w:r w:rsidRPr="00425B25">
        <w:rPr>
          <w:rFonts w:ascii="Times New Roman" w:hAnsi="Times New Roman" w:cs="Times New Roman"/>
          <w:sz w:val="24"/>
          <w:szCs w:val="24"/>
        </w:rPr>
        <w:t xml:space="preserve">, A., </w:t>
      </w:r>
      <w:proofErr w:type="spellStart"/>
      <w:r w:rsidRPr="00425B25">
        <w:rPr>
          <w:rFonts w:ascii="Times New Roman" w:hAnsi="Times New Roman" w:cs="Times New Roman"/>
          <w:sz w:val="24"/>
          <w:szCs w:val="24"/>
        </w:rPr>
        <w:t>McCrone</w:t>
      </w:r>
      <w:proofErr w:type="spellEnd"/>
      <w:r w:rsidRPr="00425B25">
        <w:rPr>
          <w:rFonts w:ascii="Times New Roman" w:hAnsi="Times New Roman" w:cs="Times New Roman"/>
          <w:sz w:val="24"/>
          <w:szCs w:val="24"/>
        </w:rPr>
        <w:t xml:space="preserve">, P., </w:t>
      </w:r>
      <w:proofErr w:type="spellStart"/>
      <w:r w:rsidRPr="00425B25">
        <w:rPr>
          <w:rFonts w:ascii="Times New Roman" w:hAnsi="Times New Roman" w:cs="Times New Roman"/>
          <w:sz w:val="24"/>
          <w:szCs w:val="24"/>
        </w:rPr>
        <w:t>Nabarro</w:t>
      </w:r>
      <w:proofErr w:type="spellEnd"/>
      <w:r w:rsidRPr="00425B25">
        <w:rPr>
          <w:rFonts w:ascii="Times New Roman" w:hAnsi="Times New Roman" w:cs="Times New Roman"/>
          <w:sz w:val="24"/>
          <w:szCs w:val="24"/>
        </w:rPr>
        <w:t xml:space="preserve">, D., O'Neill, C., Scott, J., van der Wee, N. and </w:t>
      </w:r>
      <w:proofErr w:type="spellStart"/>
      <w:r w:rsidRPr="00425B25">
        <w:rPr>
          <w:rFonts w:ascii="Times New Roman" w:hAnsi="Times New Roman" w:cs="Times New Roman"/>
          <w:sz w:val="24"/>
          <w:szCs w:val="24"/>
        </w:rPr>
        <w:t>Wittchen</w:t>
      </w:r>
      <w:proofErr w:type="spellEnd"/>
      <w:r w:rsidRPr="00425B25">
        <w:rPr>
          <w:rFonts w:ascii="Times New Roman" w:hAnsi="Times New Roman" w:cs="Times New Roman"/>
          <w:sz w:val="24"/>
          <w:szCs w:val="24"/>
        </w:rPr>
        <w:t>, H.U. (2014) 'Evidence-based pharmacological treatment of anxiety disorders, post-traumatic stress disorder and obsessive-compulsive disorder: A revision of the 2005 guidelines from the British Association for Psychopharmacology', Journal of Psychopharmacology, 28(5), pp. 403–439. https://doi.org/10.1177/0269881114525674</w:t>
      </w:r>
    </w:p>
    <w:p w14:paraId="4A137CF8" w14:textId="77777777" w:rsidR="00087FE5" w:rsidRPr="00425B25" w:rsidRDefault="00802D36" w:rsidP="00425B25">
      <w:pPr>
        <w:spacing w:after="160" w:line="480" w:lineRule="auto"/>
        <w:ind w:left="720" w:hanging="720"/>
        <w:jc w:val="both"/>
        <w:rPr>
          <w:rFonts w:ascii="Times New Roman" w:hAnsi="Times New Roman" w:cs="Times New Roman"/>
          <w:sz w:val="24"/>
          <w:szCs w:val="24"/>
        </w:rPr>
      </w:pPr>
      <w:proofErr w:type="spellStart"/>
      <w:r w:rsidRPr="00425B25">
        <w:rPr>
          <w:rFonts w:ascii="Times New Roman" w:hAnsi="Times New Roman" w:cs="Times New Roman"/>
          <w:sz w:val="24"/>
          <w:szCs w:val="24"/>
        </w:rPr>
        <w:t>Bandelow</w:t>
      </w:r>
      <w:proofErr w:type="spellEnd"/>
      <w:r w:rsidRPr="00425B25">
        <w:rPr>
          <w:rFonts w:ascii="Times New Roman" w:hAnsi="Times New Roman" w:cs="Times New Roman"/>
          <w:sz w:val="24"/>
          <w:szCs w:val="24"/>
        </w:rPr>
        <w:t xml:space="preserve">, B., </w:t>
      </w:r>
      <w:proofErr w:type="spellStart"/>
      <w:r w:rsidRPr="00425B25">
        <w:rPr>
          <w:rFonts w:ascii="Times New Roman" w:hAnsi="Times New Roman" w:cs="Times New Roman"/>
          <w:sz w:val="24"/>
          <w:szCs w:val="24"/>
        </w:rPr>
        <w:t>Michaelis</w:t>
      </w:r>
      <w:proofErr w:type="spellEnd"/>
      <w:r w:rsidRPr="00425B25">
        <w:rPr>
          <w:rFonts w:ascii="Times New Roman" w:hAnsi="Times New Roman" w:cs="Times New Roman"/>
          <w:sz w:val="24"/>
          <w:szCs w:val="24"/>
        </w:rPr>
        <w:t xml:space="preserve">, S. and </w:t>
      </w:r>
      <w:proofErr w:type="spellStart"/>
      <w:r w:rsidRPr="00425B25">
        <w:rPr>
          <w:rFonts w:ascii="Times New Roman" w:hAnsi="Times New Roman" w:cs="Times New Roman"/>
          <w:sz w:val="24"/>
          <w:szCs w:val="24"/>
        </w:rPr>
        <w:t>Wedekind</w:t>
      </w:r>
      <w:proofErr w:type="spellEnd"/>
      <w:r w:rsidRPr="00425B25">
        <w:rPr>
          <w:rFonts w:ascii="Times New Roman" w:hAnsi="Times New Roman" w:cs="Times New Roman"/>
          <w:sz w:val="24"/>
          <w:szCs w:val="24"/>
        </w:rPr>
        <w:t>, D. (2017) 'Treatment of anxiety disorders', Dialogues in Clinical Neuroscience, 19(2), pp. 93–107.</w:t>
      </w:r>
    </w:p>
    <w:p w14:paraId="68AE1267" w14:textId="77777777" w:rsidR="00087FE5" w:rsidRPr="00425B25" w:rsidRDefault="00802D36" w:rsidP="00425B25">
      <w:pPr>
        <w:spacing w:after="160" w:line="480" w:lineRule="auto"/>
        <w:ind w:left="720" w:hanging="720"/>
        <w:jc w:val="both"/>
        <w:rPr>
          <w:rFonts w:ascii="Times New Roman" w:hAnsi="Times New Roman" w:cs="Times New Roman"/>
          <w:sz w:val="24"/>
          <w:szCs w:val="24"/>
        </w:rPr>
      </w:pPr>
      <w:r w:rsidRPr="00425B25">
        <w:rPr>
          <w:rFonts w:ascii="Times New Roman" w:hAnsi="Times New Roman" w:cs="Times New Roman"/>
          <w:sz w:val="24"/>
          <w:szCs w:val="24"/>
        </w:rPr>
        <w:t>Clark, D.M. (2018) 'Realizing the mass public benefit of evidence-based psychological therapies: The IAPT program', Annual Review of Clinical Psychology, 14, pp. 159–183. https://doi.org/10.1146/annurev-clinpsy-050817-084833</w:t>
      </w:r>
    </w:p>
    <w:p w14:paraId="7904F13A" w14:textId="77777777" w:rsidR="00087FE5" w:rsidRPr="00425B25" w:rsidRDefault="00802D36" w:rsidP="00425B25">
      <w:pPr>
        <w:spacing w:after="160" w:line="480" w:lineRule="auto"/>
        <w:ind w:left="720" w:hanging="720"/>
        <w:jc w:val="both"/>
        <w:rPr>
          <w:rFonts w:ascii="Times New Roman" w:hAnsi="Times New Roman" w:cs="Times New Roman"/>
          <w:sz w:val="24"/>
          <w:szCs w:val="24"/>
        </w:rPr>
      </w:pPr>
      <w:r w:rsidRPr="00425B25">
        <w:rPr>
          <w:rFonts w:ascii="Times New Roman" w:hAnsi="Times New Roman" w:cs="Times New Roman"/>
          <w:sz w:val="24"/>
          <w:szCs w:val="24"/>
        </w:rPr>
        <w:t xml:space="preserve">Corrigan, P.W., Bink, A.B., Schmidt, A., Jones, N. and </w:t>
      </w:r>
      <w:proofErr w:type="spellStart"/>
      <w:r w:rsidRPr="00425B25">
        <w:rPr>
          <w:rFonts w:ascii="Times New Roman" w:hAnsi="Times New Roman" w:cs="Times New Roman"/>
          <w:sz w:val="24"/>
          <w:szCs w:val="24"/>
        </w:rPr>
        <w:t>Rusch</w:t>
      </w:r>
      <w:proofErr w:type="spellEnd"/>
      <w:r w:rsidRPr="00425B25">
        <w:rPr>
          <w:rFonts w:ascii="Times New Roman" w:hAnsi="Times New Roman" w:cs="Times New Roman"/>
          <w:sz w:val="24"/>
          <w:szCs w:val="24"/>
        </w:rPr>
        <w:t>, N. (2022) 'What is the impact of self-stigma? Loss of self-respect and the why-try effect', Journal of Mental Health, 25(1), pp. 10-15.</w:t>
      </w:r>
    </w:p>
    <w:p w14:paraId="4DA728EB" w14:textId="77777777" w:rsidR="00087FE5" w:rsidRPr="00425B25" w:rsidRDefault="00802D36" w:rsidP="00425B25">
      <w:pPr>
        <w:spacing w:after="160" w:line="480" w:lineRule="auto"/>
        <w:ind w:left="720" w:hanging="720"/>
        <w:jc w:val="both"/>
        <w:rPr>
          <w:rFonts w:ascii="Times New Roman" w:hAnsi="Times New Roman" w:cs="Times New Roman"/>
          <w:sz w:val="24"/>
          <w:szCs w:val="24"/>
        </w:rPr>
      </w:pPr>
      <w:proofErr w:type="spellStart"/>
      <w:r w:rsidRPr="00425B25">
        <w:rPr>
          <w:rFonts w:ascii="Times New Roman" w:hAnsi="Times New Roman" w:cs="Times New Roman"/>
          <w:sz w:val="24"/>
          <w:szCs w:val="24"/>
        </w:rPr>
        <w:t>Cuijpers</w:t>
      </w:r>
      <w:proofErr w:type="spellEnd"/>
      <w:r w:rsidRPr="00425B25">
        <w:rPr>
          <w:rFonts w:ascii="Times New Roman" w:hAnsi="Times New Roman" w:cs="Times New Roman"/>
          <w:sz w:val="24"/>
          <w:szCs w:val="24"/>
        </w:rPr>
        <w:t xml:space="preserve">, P., </w:t>
      </w:r>
      <w:proofErr w:type="spellStart"/>
      <w:r w:rsidRPr="00425B25">
        <w:rPr>
          <w:rFonts w:ascii="Times New Roman" w:hAnsi="Times New Roman" w:cs="Times New Roman"/>
          <w:sz w:val="24"/>
          <w:szCs w:val="24"/>
        </w:rPr>
        <w:t>Sijbrandij</w:t>
      </w:r>
      <w:proofErr w:type="spellEnd"/>
      <w:r w:rsidRPr="00425B25">
        <w:rPr>
          <w:rFonts w:ascii="Times New Roman" w:hAnsi="Times New Roman" w:cs="Times New Roman"/>
          <w:sz w:val="24"/>
          <w:szCs w:val="24"/>
        </w:rPr>
        <w:t xml:space="preserve">, M., </w:t>
      </w:r>
      <w:proofErr w:type="spellStart"/>
      <w:r w:rsidRPr="00425B25">
        <w:rPr>
          <w:rFonts w:ascii="Times New Roman" w:hAnsi="Times New Roman" w:cs="Times New Roman"/>
          <w:sz w:val="24"/>
          <w:szCs w:val="24"/>
        </w:rPr>
        <w:t>Koole</w:t>
      </w:r>
      <w:proofErr w:type="spellEnd"/>
      <w:r w:rsidRPr="00425B25">
        <w:rPr>
          <w:rFonts w:ascii="Times New Roman" w:hAnsi="Times New Roman" w:cs="Times New Roman"/>
          <w:sz w:val="24"/>
          <w:szCs w:val="24"/>
        </w:rPr>
        <w:t xml:space="preserve">, S., </w:t>
      </w:r>
      <w:proofErr w:type="spellStart"/>
      <w:r w:rsidRPr="00425B25">
        <w:rPr>
          <w:rFonts w:ascii="Times New Roman" w:hAnsi="Times New Roman" w:cs="Times New Roman"/>
          <w:sz w:val="24"/>
          <w:szCs w:val="24"/>
        </w:rPr>
        <w:t>Huibers</w:t>
      </w:r>
      <w:proofErr w:type="spellEnd"/>
      <w:r w:rsidRPr="00425B25">
        <w:rPr>
          <w:rFonts w:ascii="Times New Roman" w:hAnsi="Times New Roman" w:cs="Times New Roman"/>
          <w:sz w:val="24"/>
          <w:szCs w:val="24"/>
        </w:rPr>
        <w:t xml:space="preserve">, M., </w:t>
      </w:r>
      <w:proofErr w:type="spellStart"/>
      <w:r w:rsidRPr="00425B25">
        <w:rPr>
          <w:rFonts w:ascii="Times New Roman" w:hAnsi="Times New Roman" w:cs="Times New Roman"/>
          <w:sz w:val="24"/>
          <w:szCs w:val="24"/>
        </w:rPr>
        <w:t>Berking</w:t>
      </w:r>
      <w:proofErr w:type="spellEnd"/>
      <w:r w:rsidRPr="00425B25">
        <w:rPr>
          <w:rFonts w:ascii="Times New Roman" w:hAnsi="Times New Roman" w:cs="Times New Roman"/>
          <w:sz w:val="24"/>
          <w:szCs w:val="24"/>
        </w:rPr>
        <w:t xml:space="preserve">, M. and </w:t>
      </w:r>
      <w:proofErr w:type="spellStart"/>
      <w:r w:rsidRPr="00425B25">
        <w:rPr>
          <w:rFonts w:ascii="Times New Roman" w:hAnsi="Times New Roman" w:cs="Times New Roman"/>
          <w:sz w:val="24"/>
          <w:szCs w:val="24"/>
        </w:rPr>
        <w:t>Andersson</w:t>
      </w:r>
      <w:proofErr w:type="spellEnd"/>
      <w:r w:rsidRPr="00425B25">
        <w:rPr>
          <w:rFonts w:ascii="Times New Roman" w:hAnsi="Times New Roman" w:cs="Times New Roman"/>
          <w:sz w:val="24"/>
          <w:szCs w:val="24"/>
        </w:rPr>
        <w:t>, G. (2014) 'Psychological treatment of generalised anxiety disorder: A meta-analysis', Clinical Psychology Review, 34(2), pp. 130–140. https://doi.org/10.1016/j.cpr.2014.01.002</w:t>
      </w:r>
    </w:p>
    <w:p w14:paraId="20D99A1D" w14:textId="77777777" w:rsidR="00087FE5" w:rsidRPr="00425B25" w:rsidRDefault="00802D36" w:rsidP="00425B25">
      <w:pPr>
        <w:spacing w:after="160" w:line="480" w:lineRule="auto"/>
        <w:ind w:left="720" w:hanging="720"/>
        <w:jc w:val="both"/>
        <w:rPr>
          <w:rFonts w:ascii="Times New Roman" w:hAnsi="Times New Roman" w:cs="Times New Roman"/>
          <w:sz w:val="24"/>
          <w:szCs w:val="24"/>
        </w:rPr>
      </w:pPr>
      <w:r w:rsidRPr="00425B25">
        <w:rPr>
          <w:rFonts w:ascii="Times New Roman" w:hAnsi="Times New Roman" w:cs="Times New Roman"/>
          <w:sz w:val="24"/>
          <w:szCs w:val="24"/>
        </w:rPr>
        <w:lastRenderedPageBreak/>
        <w:t>Fairburn, C.G. and Patel, V. (2017) 'The impact of digital technology on psychological treatments and their dissemination', Behaviour Research and Therapy, 88, pp. 19–25. https://doi.org/10.1016/j.brat.2016.08.012</w:t>
      </w:r>
    </w:p>
    <w:p w14:paraId="56F9FCBC" w14:textId="77777777" w:rsidR="00087FE5" w:rsidRPr="00425B25" w:rsidRDefault="00802D36" w:rsidP="00425B25">
      <w:pPr>
        <w:spacing w:after="160" w:line="480" w:lineRule="auto"/>
        <w:ind w:left="720" w:hanging="720"/>
        <w:jc w:val="both"/>
        <w:rPr>
          <w:rFonts w:ascii="Times New Roman" w:hAnsi="Times New Roman" w:cs="Times New Roman"/>
          <w:sz w:val="24"/>
          <w:szCs w:val="24"/>
        </w:rPr>
      </w:pPr>
      <w:proofErr w:type="spellStart"/>
      <w:r w:rsidRPr="00425B25">
        <w:rPr>
          <w:rFonts w:ascii="Times New Roman" w:hAnsi="Times New Roman" w:cs="Times New Roman"/>
          <w:sz w:val="24"/>
          <w:szCs w:val="24"/>
        </w:rPr>
        <w:t>Gaebel</w:t>
      </w:r>
      <w:proofErr w:type="spellEnd"/>
      <w:r w:rsidRPr="00425B25">
        <w:rPr>
          <w:rFonts w:ascii="Times New Roman" w:hAnsi="Times New Roman" w:cs="Times New Roman"/>
          <w:sz w:val="24"/>
          <w:szCs w:val="24"/>
        </w:rPr>
        <w:t xml:space="preserve">, W., </w:t>
      </w:r>
      <w:proofErr w:type="spellStart"/>
      <w:r w:rsidRPr="00425B25">
        <w:rPr>
          <w:rFonts w:ascii="Times New Roman" w:hAnsi="Times New Roman" w:cs="Times New Roman"/>
          <w:sz w:val="24"/>
          <w:szCs w:val="24"/>
        </w:rPr>
        <w:t>Zielasek</w:t>
      </w:r>
      <w:proofErr w:type="spellEnd"/>
      <w:r w:rsidRPr="00425B25">
        <w:rPr>
          <w:rFonts w:ascii="Times New Roman" w:hAnsi="Times New Roman" w:cs="Times New Roman"/>
          <w:sz w:val="24"/>
          <w:szCs w:val="24"/>
        </w:rPr>
        <w:t xml:space="preserve">, J. and Reed, G.M. (2020) 'Mental and behavioural disorders in the ICD-11: concepts, methodologies, and current status', </w:t>
      </w:r>
      <w:proofErr w:type="spellStart"/>
      <w:r w:rsidRPr="00425B25">
        <w:rPr>
          <w:rFonts w:ascii="Times New Roman" w:hAnsi="Times New Roman" w:cs="Times New Roman"/>
          <w:sz w:val="24"/>
          <w:szCs w:val="24"/>
        </w:rPr>
        <w:t>Psychiatria</w:t>
      </w:r>
      <w:proofErr w:type="spellEnd"/>
      <w:r w:rsidRPr="00425B25">
        <w:rPr>
          <w:rFonts w:ascii="Times New Roman" w:hAnsi="Times New Roman" w:cs="Times New Roman"/>
          <w:sz w:val="24"/>
          <w:szCs w:val="24"/>
        </w:rPr>
        <w:t xml:space="preserve"> </w:t>
      </w:r>
      <w:proofErr w:type="spellStart"/>
      <w:r w:rsidRPr="00425B25">
        <w:rPr>
          <w:rFonts w:ascii="Times New Roman" w:hAnsi="Times New Roman" w:cs="Times New Roman"/>
          <w:sz w:val="24"/>
          <w:szCs w:val="24"/>
        </w:rPr>
        <w:t>Polska</w:t>
      </w:r>
      <w:proofErr w:type="spellEnd"/>
      <w:r w:rsidRPr="00425B25">
        <w:rPr>
          <w:rFonts w:ascii="Times New Roman" w:hAnsi="Times New Roman" w:cs="Times New Roman"/>
          <w:sz w:val="24"/>
          <w:szCs w:val="24"/>
        </w:rPr>
        <w:t>, 51(2), pp. 169–195. https://doi.org/10.12740/PP/68595</w:t>
      </w:r>
    </w:p>
    <w:p w14:paraId="4F61ACF6" w14:textId="77777777" w:rsidR="00087FE5" w:rsidRPr="00425B25" w:rsidRDefault="00802D36" w:rsidP="00425B25">
      <w:pPr>
        <w:spacing w:after="160" w:line="480" w:lineRule="auto"/>
        <w:ind w:left="720" w:hanging="720"/>
        <w:jc w:val="both"/>
        <w:rPr>
          <w:rFonts w:ascii="Times New Roman" w:hAnsi="Times New Roman" w:cs="Times New Roman"/>
          <w:sz w:val="24"/>
          <w:szCs w:val="24"/>
        </w:rPr>
      </w:pPr>
      <w:r w:rsidRPr="00425B25">
        <w:rPr>
          <w:rFonts w:ascii="Times New Roman" w:hAnsi="Times New Roman" w:cs="Times New Roman"/>
          <w:sz w:val="24"/>
          <w:szCs w:val="24"/>
        </w:rPr>
        <w:t xml:space="preserve">Goldberg, D. (2015) 'Psychosis, depression and anxiety disorders', in </w:t>
      </w:r>
      <w:proofErr w:type="spellStart"/>
      <w:r w:rsidRPr="00425B25">
        <w:rPr>
          <w:rFonts w:ascii="Times New Roman" w:hAnsi="Times New Roman" w:cs="Times New Roman"/>
          <w:sz w:val="24"/>
          <w:szCs w:val="24"/>
        </w:rPr>
        <w:t>Bhugra</w:t>
      </w:r>
      <w:proofErr w:type="spellEnd"/>
      <w:r w:rsidRPr="00425B25">
        <w:rPr>
          <w:rFonts w:ascii="Times New Roman" w:hAnsi="Times New Roman" w:cs="Times New Roman"/>
          <w:sz w:val="24"/>
          <w:szCs w:val="24"/>
        </w:rPr>
        <w:t xml:space="preserve">, D. and </w:t>
      </w:r>
      <w:proofErr w:type="spellStart"/>
      <w:r w:rsidRPr="00425B25">
        <w:rPr>
          <w:rFonts w:ascii="Times New Roman" w:hAnsi="Times New Roman" w:cs="Times New Roman"/>
          <w:sz w:val="24"/>
          <w:szCs w:val="24"/>
        </w:rPr>
        <w:t>Bhui</w:t>
      </w:r>
      <w:proofErr w:type="spellEnd"/>
      <w:r w:rsidRPr="00425B25">
        <w:rPr>
          <w:rFonts w:ascii="Times New Roman" w:hAnsi="Times New Roman" w:cs="Times New Roman"/>
          <w:sz w:val="24"/>
          <w:szCs w:val="24"/>
        </w:rPr>
        <w:t xml:space="preserve">, K. (eds.) Textbook of Cultural Psychiatry. 2nd </w:t>
      </w:r>
      <w:proofErr w:type="spellStart"/>
      <w:r w:rsidRPr="00425B25">
        <w:rPr>
          <w:rFonts w:ascii="Times New Roman" w:hAnsi="Times New Roman" w:cs="Times New Roman"/>
          <w:sz w:val="24"/>
          <w:szCs w:val="24"/>
        </w:rPr>
        <w:t>edn</w:t>
      </w:r>
      <w:proofErr w:type="spellEnd"/>
      <w:r w:rsidRPr="00425B25">
        <w:rPr>
          <w:rFonts w:ascii="Times New Roman" w:hAnsi="Times New Roman" w:cs="Times New Roman"/>
          <w:sz w:val="24"/>
          <w:szCs w:val="24"/>
        </w:rPr>
        <w:t>. Cambridge: Cambridge University Press, pp. 158–169.</w:t>
      </w:r>
    </w:p>
    <w:p w14:paraId="71352C16" w14:textId="77777777" w:rsidR="00087FE5" w:rsidRPr="00425B25" w:rsidRDefault="00802D36" w:rsidP="00425B25">
      <w:pPr>
        <w:spacing w:after="160" w:line="480" w:lineRule="auto"/>
        <w:ind w:left="720" w:hanging="720"/>
        <w:jc w:val="both"/>
        <w:rPr>
          <w:rFonts w:ascii="Times New Roman" w:hAnsi="Times New Roman" w:cs="Times New Roman"/>
          <w:sz w:val="24"/>
          <w:szCs w:val="24"/>
        </w:rPr>
      </w:pPr>
      <w:proofErr w:type="spellStart"/>
      <w:r w:rsidRPr="00425B25">
        <w:rPr>
          <w:rFonts w:ascii="Times New Roman" w:hAnsi="Times New Roman" w:cs="Times New Roman"/>
          <w:sz w:val="24"/>
          <w:szCs w:val="24"/>
        </w:rPr>
        <w:t>Gureje</w:t>
      </w:r>
      <w:proofErr w:type="spellEnd"/>
      <w:r w:rsidRPr="00425B25">
        <w:rPr>
          <w:rFonts w:ascii="Times New Roman" w:hAnsi="Times New Roman" w:cs="Times New Roman"/>
          <w:sz w:val="24"/>
          <w:szCs w:val="24"/>
        </w:rPr>
        <w:t>, O. and Reed, G.M. (2016) 'Bodily distress disorder in ICD-11: problems and prospects', World Psychiatry, 15(3), pp. 291–292. https://doi.org/10.1002/wps.20353</w:t>
      </w:r>
    </w:p>
    <w:p w14:paraId="1FE93637" w14:textId="77777777" w:rsidR="00087FE5" w:rsidRPr="00425B25" w:rsidRDefault="00802D36" w:rsidP="00425B25">
      <w:pPr>
        <w:spacing w:after="160" w:line="480" w:lineRule="auto"/>
        <w:ind w:left="720" w:hanging="720"/>
        <w:jc w:val="both"/>
        <w:rPr>
          <w:rFonts w:ascii="Times New Roman" w:hAnsi="Times New Roman" w:cs="Times New Roman"/>
          <w:sz w:val="24"/>
          <w:szCs w:val="24"/>
        </w:rPr>
      </w:pPr>
      <w:r w:rsidRPr="00425B25">
        <w:rPr>
          <w:rFonts w:ascii="Times New Roman" w:hAnsi="Times New Roman" w:cs="Times New Roman"/>
          <w:sz w:val="24"/>
          <w:szCs w:val="24"/>
        </w:rPr>
        <w:t xml:space="preserve">Haslam, N., McGrath, M.J., </w:t>
      </w:r>
      <w:proofErr w:type="spellStart"/>
      <w:r w:rsidRPr="00425B25">
        <w:rPr>
          <w:rFonts w:ascii="Times New Roman" w:hAnsi="Times New Roman" w:cs="Times New Roman"/>
          <w:sz w:val="24"/>
          <w:szCs w:val="24"/>
        </w:rPr>
        <w:t>Viechtbauer</w:t>
      </w:r>
      <w:proofErr w:type="spellEnd"/>
      <w:r w:rsidRPr="00425B25">
        <w:rPr>
          <w:rFonts w:ascii="Times New Roman" w:hAnsi="Times New Roman" w:cs="Times New Roman"/>
          <w:sz w:val="24"/>
          <w:szCs w:val="24"/>
        </w:rPr>
        <w:t xml:space="preserve">, W. and </w:t>
      </w:r>
      <w:proofErr w:type="spellStart"/>
      <w:r w:rsidRPr="00425B25">
        <w:rPr>
          <w:rFonts w:ascii="Times New Roman" w:hAnsi="Times New Roman" w:cs="Times New Roman"/>
          <w:sz w:val="24"/>
          <w:szCs w:val="24"/>
        </w:rPr>
        <w:t>Kuppens</w:t>
      </w:r>
      <w:proofErr w:type="spellEnd"/>
      <w:r w:rsidRPr="00425B25">
        <w:rPr>
          <w:rFonts w:ascii="Times New Roman" w:hAnsi="Times New Roman" w:cs="Times New Roman"/>
          <w:sz w:val="24"/>
          <w:szCs w:val="24"/>
        </w:rPr>
        <w:t xml:space="preserve">, P. (2020) 'Dimensions over categories: A meta-analysis of </w:t>
      </w:r>
      <w:proofErr w:type="spellStart"/>
      <w:r w:rsidRPr="00425B25">
        <w:rPr>
          <w:rFonts w:ascii="Times New Roman" w:hAnsi="Times New Roman" w:cs="Times New Roman"/>
          <w:sz w:val="24"/>
          <w:szCs w:val="24"/>
        </w:rPr>
        <w:t>taxometric</w:t>
      </w:r>
      <w:proofErr w:type="spellEnd"/>
      <w:r w:rsidRPr="00425B25">
        <w:rPr>
          <w:rFonts w:ascii="Times New Roman" w:hAnsi="Times New Roman" w:cs="Times New Roman"/>
          <w:sz w:val="24"/>
          <w:szCs w:val="24"/>
        </w:rPr>
        <w:t xml:space="preserve"> research', Psychological Medicine, 50(9), pp. 1418–1432. https://doi.org/10.1017/S003329172000183X</w:t>
      </w:r>
    </w:p>
    <w:p w14:paraId="50D196F3" w14:textId="77777777" w:rsidR="00087FE5" w:rsidRPr="00425B25" w:rsidRDefault="00802D36" w:rsidP="00425B25">
      <w:pPr>
        <w:spacing w:after="160" w:line="480" w:lineRule="auto"/>
        <w:ind w:left="720" w:hanging="720"/>
        <w:jc w:val="both"/>
        <w:rPr>
          <w:rFonts w:ascii="Times New Roman" w:hAnsi="Times New Roman" w:cs="Times New Roman"/>
          <w:sz w:val="24"/>
          <w:szCs w:val="24"/>
        </w:rPr>
      </w:pPr>
      <w:proofErr w:type="spellStart"/>
      <w:r w:rsidRPr="00425B25">
        <w:rPr>
          <w:rFonts w:ascii="Times New Roman" w:hAnsi="Times New Roman" w:cs="Times New Roman"/>
          <w:sz w:val="24"/>
          <w:szCs w:val="24"/>
        </w:rPr>
        <w:t>Hollocks</w:t>
      </w:r>
      <w:proofErr w:type="spellEnd"/>
      <w:r w:rsidRPr="00425B25">
        <w:rPr>
          <w:rFonts w:ascii="Times New Roman" w:hAnsi="Times New Roman" w:cs="Times New Roman"/>
          <w:sz w:val="24"/>
          <w:szCs w:val="24"/>
        </w:rPr>
        <w:t xml:space="preserve">, M.J., </w:t>
      </w:r>
      <w:proofErr w:type="spellStart"/>
      <w:r w:rsidRPr="00425B25">
        <w:rPr>
          <w:rFonts w:ascii="Times New Roman" w:hAnsi="Times New Roman" w:cs="Times New Roman"/>
          <w:sz w:val="24"/>
          <w:szCs w:val="24"/>
        </w:rPr>
        <w:t>Lerh</w:t>
      </w:r>
      <w:proofErr w:type="spellEnd"/>
      <w:r w:rsidRPr="00425B25">
        <w:rPr>
          <w:rFonts w:ascii="Times New Roman" w:hAnsi="Times New Roman" w:cs="Times New Roman"/>
          <w:sz w:val="24"/>
          <w:szCs w:val="24"/>
        </w:rPr>
        <w:t xml:space="preserve">, J.W., </w:t>
      </w:r>
      <w:proofErr w:type="spellStart"/>
      <w:r w:rsidRPr="00425B25">
        <w:rPr>
          <w:rFonts w:ascii="Times New Roman" w:hAnsi="Times New Roman" w:cs="Times New Roman"/>
          <w:sz w:val="24"/>
          <w:szCs w:val="24"/>
        </w:rPr>
        <w:t>Magiati</w:t>
      </w:r>
      <w:proofErr w:type="spellEnd"/>
      <w:r w:rsidRPr="00425B25">
        <w:rPr>
          <w:rFonts w:ascii="Times New Roman" w:hAnsi="Times New Roman" w:cs="Times New Roman"/>
          <w:sz w:val="24"/>
          <w:szCs w:val="24"/>
        </w:rPr>
        <w:t xml:space="preserve">, I., </w:t>
      </w:r>
      <w:proofErr w:type="spellStart"/>
      <w:r w:rsidRPr="00425B25">
        <w:rPr>
          <w:rFonts w:ascii="Times New Roman" w:hAnsi="Times New Roman" w:cs="Times New Roman"/>
          <w:sz w:val="24"/>
          <w:szCs w:val="24"/>
        </w:rPr>
        <w:t>Meiser</w:t>
      </w:r>
      <w:proofErr w:type="spellEnd"/>
      <w:r w:rsidRPr="00425B25">
        <w:rPr>
          <w:rFonts w:ascii="Times New Roman" w:hAnsi="Times New Roman" w:cs="Times New Roman"/>
          <w:sz w:val="24"/>
          <w:szCs w:val="24"/>
        </w:rPr>
        <w:t xml:space="preserve">-Stedman, R. and </w:t>
      </w:r>
      <w:proofErr w:type="spellStart"/>
      <w:r w:rsidRPr="00425B25">
        <w:rPr>
          <w:rFonts w:ascii="Times New Roman" w:hAnsi="Times New Roman" w:cs="Times New Roman"/>
          <w:sz w:val="24"/>
          <w:szCs w:val="24"/>
        </w:rPr>
        <w:t>Brugha</w:t>
      </w:r>
      <w:proofErr w:type="spellEnd"/>
      <w:r w:rsidRPr="00425B25">
        <w:rPr>
          <w:rFonts w:ascii="Times New Roman" w:hAnsi="Times New Roman" w:cs="Times New Roman"/>
          <w:sz w:val="24"/>
          <w:szCs w:val="24"/>
        </w:rPr>
        <w:t>, T.S. (2019) 'Anxiety and depression in adults with autism spectrum disorder: A systematic review and meta-analysis', Psychological Medicine, 49(4), pp. 559–572. https://doi.org/10.1017/S0033291718002283</w:t>
      </w:r>
    </w:p>
    <w:p w14:paraId="1398C03F" w14:textId="77777777" w:rsidR="00087FE5" w:rsidRPr="00425B25" w:rsidRDefault="00802D36" w:rsidP="00425B25">
      <w:pPr>
        <w:spacing w:after="160" w:line="480" w:lineRule="auto"/>
        <w:ind w:left="720" w:hanging="720"/>
        <w:jc w:val="both"/>
        <w:rPr>
          <w:rFonts w:ascii="Times New Roman" w:hAnsi="Times New Roman" w:cs="Times New Roman"/>
          <w:sz w:val="24"/>
          <w:szCs w:val="24"/>
        </w:rPr>
      </w:pPr>
      <w:proofErr w:type="spellStart"/>
      <w:r w:rsidRPr="00425B25">
        <w:rPr>
          <w:rFonts w:ascii="Times New Roman" w:hAnsi="Times New Roman" w:cs="Times New Roman"/>
          <w:sz w:val="24"/>
          <w:szCs w:val="24"/>
        </w:rPr>
        <w:t>Kogan</w:t>
      </w:r>
      <w:proofErr w:type="spellEnd"/>
      <w:r w:rsidRPr="00425B25">
        <w:rPr>
          <w:rFonts w:ascii="Times New Roman" w:hAnsi="Times New Roman" w:cs="Times New Roman"/>
          <w:sz w:val="24"/>
          <w:szCs w:val="24"/>
        </w:rPr>
        <w:t xml:space="preserve">, C.S., Stein, D.J., Maj, M., First, M.B., </w:t>
      </w:r>
      <w:proofErr w:type="spellStart"/>
      <w:r w:rsidRPr="00425B25">
        <w:rPr>
          <w:rFonts w:ascii="Times New Roman" w:hAnsi="Times New Roman" w:cs="Times New Roman"/>
          <w:sz w:val="24"/>
          <w:szCs w:val="24"/>
        </w:rPr>
        <w:t>Emmelkamp</w:t>
      </w:r>
      <w:proofErr w:type="spellEnd"/>
      <w:r w:rsidRPr="00425B25">
        <w:rPr>
          <w:rFonts w:ascii="Times New Roman" w:hAnsi="Times New Roman" w:cs="Times New Roman"/>
          <w:sz w:val="24"/>
          <w:szCs w:val="24"/>
        </w:rPr>
        <w:t>, P.M.G. and Reed, G.M. (2016) 'The classification of anxiety and fear-related disorders in the ICD-11', Depression and Anxiety, 33(12), pp. 1141–1154. https://doi.org/10.1002/da.22530</w:t>
      </w:r>
    </w:p>
    <w:p w14:paraId="6613EDCD" w14:textId="77777777" w:rsidR="00087FE5" w:rsidRPr="00425B25" w:rsidRDefault="00802D36" w:rsidP="00425B25">
      <w:pPr>
        <w:spacing w:after="160" w:line="480" w:lineRule="auto"/>
        <w:ind w:left="720" w:hanging="720"/>
        <w:jc w:val="both"/>
        <w:rPr>
          <w:rFonts w:ascii="Times New Roman" w:hAnsi="Times New Roman" w:cs="Times New Roman"/>
          <w:sz w:val="24"/>
          <w:szCs w:val="24"/>
        </w:rPr>
      </w:pPr>
      <w:proofErr w:type="spellStart"/>
      <w:r w:rsidRPr="00425B25">
        <w:rPr>
          <w:rFonts w:ascii="Times New Roman" w:hAnsi="Times New Roman" w:cs="Times New Roman"/>
          <w:sz w:val="24"/>
          <w:szCs w:val="24"/>
        </w:rPr>
        <w:t>Kohrt</w:t>
      </w:r>
      <w:proofErr w:type="spellEnd"/>
      <w:r w:rsidRPr="00425B25">
        <w:rPr>
          <w:rFonts w:ascii="Times New Roman" w:hAnsi="Times New Roman" w:cs="Times New Roman"/>
          <w:sz w:val="24"/>
          <w:szCs w:val="24"/>
        </w:rPr>
        <w:t xml:space="preserve">, B.A., Rasmussen, A., Kaiser, B.N., </w:t>
      </w:r>
      <w:proofErr w:type="spellStart"/>
      <w:r w:rsidRPr="00425B25">
        <w:rPr>
          <w:rFonts w:ascii="Times New Roman" w:hAnsi="Times New Roman" w:cs="Times New Roman"/>
          <w:sz w:val="24"/>
          <w:szCs w:val="24"/>
        </w:rPr>
        <w:t>Haroz</w:t>
      </w:r>
      <w:proofErr w:type="spellEnd"/>
      <w:r w:rsidRPr="00425B25">
        <w:rPr>
          <w:rFonts w:ascii="Times New Roman" w:hAnsi="Times New Roman" w:cs="Times New Roman"/>
          <w:sz w:val="24"/>
          <w:szCs w:val="24"/>
        </w:rPr>
        <w:t xml:space="preserve">, E.E., </w:t>
      </w:r>
      <w:proofErr w:type="spellStart"/>
      <w:r w:rsidRPr="00425B25">
        <w:rPr>
          <w:rFonts w:ascii="Times New Roman" w:hAnsi="Times New Roman" w:cs="Times New Roman"/>
          <w:sz w:val="24"/>
          <w:szCs w:val="24"/>
        </w:rPr>
        <w:t>Maharjan</w:t>
      </w:r>
      <w:proofErr w:type="spellEnd"/>
      <w:r w:rsidRPr="00425B25">
        <w:rPr>
          <w:rFonts w:ascii="Times New Roman" w:hAnsi="Times New Roman" w:cs="Times New Roman"/>
          <w:sz w:val="24"/>
          <w:szCs w:val="24"/>
        </w:rPr>
        <w:t xml:space="preserve">, S.M., </w:t>
      </w:r>
      <w:proofErr w:type="spellStart"/>
      <w:r w:rsidRPr="00425B25">
        <w:rPr>
          <w:rFonts w:ascii="Times New Roman" w:hAnsi="Times New Roman" w:cs="Times New Roman"/>
          <w:sz w:val="24"/>
          <w:szCs w:val="24"/>
        </w:rPr>
        <w:t>Mutamba</w:t>
      </w:r>
      <w:proofErr w:type="spellEnd"/>
      <w:r w:rsidRPr="00425B25">
        <w:rPr>
          <w:rFonts w:ascii="Times New Roman" w:hAnsi="Times New Roman" w:cs="Times New Roman"/>
          <w:sz w:val="24"/>
          <w:szCs w:val="24"/>
        </w:rPr>
        <w:t xml:space="preserve">, B.B., de Jong, J.T.V.M. and Hinton, D.E. (2014) 'Cultural concepts of distress and psychiatric disorders: Literature review and research recommendations for global mental health </w:t>
      </w:r>
      <w:r w:rsidRPr="00425B25">
        <w:rPr>
          <w:rFonts w:ascii="Times New Roman" w:hAnsi="Times New Roman" w:cs="Times New Roman"/>
          <w:sz w:val="24"/>
          <w:szCs w:val="24"/>
        </w:rPr>
        <w:lastRenderedPageBreak/>
        <w:t>epidemiology', International Journal of Epidemiology, 43(2), pp. 365–406. https://doi.org/10.1093/ije/dyt227</w:t>
      </w:r>
    </w:p>
    <w:p w14:paraId="2596C52A" w14:textId="77777777" w:rsidR="00087FE5" w:rsidRPr="00425B25" w:rsidRDefault="00802D36" w:rsidP="00425B25">
      <w:pPr>
        <w:spacing w:after="160" w:line="480" w:lineRule="auto"/>
        <w:ind w:left="720" w:hanging="720"/>
        <w:jc w:val="both"/>
        <w:rPr>
          <w:rFonts w:ascii="Times New Roman" w:hAnsi="Times New Roman" w:cs="Times New Roman"/>
          <w:sz w:val="24"/>
          <w:szCs w:val="24"/>
        </w:rPr>
      </w:pPr>
      <w:proofErr w:type="spellStart"/>
      <w:r w:rsidRPr="00425B25">
        <w:rPr>
          <w:rFonts w:ascii="Times New Roman" w:hAnsi="Times New Roman" w:cs="Times New Roman"/>
          <w:sz w:val="24"/>
          <w:szCs w:val="24"/>
        </w:rPr>
        <w:t>Kotov</w:t>
      </w:r>
      <w:proofErr w:type="spellEnd"/>
      <w:r w:rsidRPr="00425B25">
        <w:rPr>
          <w:rFonts w:ascii="Times New Roman" w:hAnsi="Times New Roman" w:cs="Times New Roman"/>
          <w:sz w:val="24"/>
          <w:szCs w:val="24"/>
        </w:rPr>
        <w:t xml:space="preserve">, R., Krueger, R.F., Watson, D., Achenbach, T.M., </w:t>
      </w:r>
      <w:proofErr w:type="spellStart"/>
      <w:r w:rsidRPr="00425B25">
        <w:rPr>
          <w:rFonts w:ascii="Times New Roman" w:hAnsi="Times New Roman" w:cs="Times New Roman"/>
          <w:sz w:val="24"/>
          <w:szCs w:val="24"/>
        </w:rPr>
        <w:t>Althoff</w:t>
      </w:r>
      <w:proofErr w:type="spellEnd"/>
      <w:r w:rsidRPr="00425B25">
        <w:rPr>
          <w:rFonts w:ascii="Times New Roman" w:hAnsi="Times New Roman" w:cs="Times New Roman"/>
          <w:sz w:val="24"/>
          <w:szCs w:val="24"/>
        </w:rPr>
        <w:t xml:space="preserve">, R.R., </w:t>
      </w:r>
      <w:proofErr w:type="spellStart"/>
      <w:r w:rsidRPr="00425B25">
        <w:rPr>
          <w:rFonts w:ascii="Times New Roman" w:hAnsi="Times New Roman" w:cs="Times New Roman"/>
          <w:sz w:val="24"/>
          <w:szCs w:val="24"/>
        </w:rPr>
        <w:t>Bagby</w:t>
      </w:r>
      <w:proofErr w:type="spellEnd"/>
      <w:r w:rsidRPr="00425B25">
        <w:rPr>
          <w:rFonts w:ascii="Times New Roman" w:hAnsi="Times New Roman" w:cs="Times New Roman"/>
          <w:sz w:val="24"/>
          <w:szCs w:val="24"/>
        </w:rPr>
        <w:t xml:space="preserve">, R.M., Brown, T.A., Carpenter, W.T., </w:t>
      </w:r>
      <w:proofErr w:type="spellStart"/>
      <w:r w:rsidRPr="00425B25">
        <w:rPr>
          <w:rFonts w:ascii="Times New Roman" w:hAnsi="Times New Roman" w:cs="Times New Roman"/>
          <w:sz w:val="24"/>
          <w:szCs w:val="24"/>
        </w:rPr>
        <w:t>Caspi</w:t>
      </w:r>
      <w:proofErr w:type="spellEnd"/>
      <w:r w:rsidRPr="00425B25">
        <w:rPr>
          <w:rFonts w:ascii="Times New Roman" w:hAnsi="Times New Roman" w:cs="Times New Roman"/>
          <w:sz w:val="24"/>
          <w:szCs w:val="24"/>
        </w:rPr>
        <w:t>, A., Clark, L.A. and Eaton, N.R. (2017) 'The hierarchical taxonomy of psychopathology (</w:t>
      </w:r>
      <w:proofErr w:type="spellStart"/>
      <w:r w:rsidRPr="00425B25">
        <w:rPr>
          <w:rFonts w:ascii="Times New Roman" w:hAnsi="Times New Roman" w:cs="Times New Roman"/>
          <w:sz w:val="24"/>
          <w:szCs w:val="24"/>
        </w:rPr>
        <w:t>HiTOP</w:t>
      </w:r>
      <w:proofErr w:type="spellEnd"/>
      <w:r w:rsidRPr="00425B25">
        <w:rPr>
          <w:rFonts w:ascii="Times New Roman" w:hAnsi="Times New Roman" w:cs="Times New Roman"/>
          <w:sz w:val="24"/>
          <w:szCs w:val="24"/>
        </w:rPr>
        <w:t xml:space="preserve">): A dimensional alternative to traditional </w:t>
      </w:r>
      <w:proofErr w:type="spellStart"/>
      <w:r w:rsidRPr="00425B25">
        <w:rPr>
          <w:rFonts w:ascii="Times New Roman" w:hAnsi="Times New Roman" w:cs="Times New Roman"/>
          <w:sz w:val="24"/>
          <w:szCs w:val="24"/>
        </w:rPr>
        <w:t>nosologies</w:t>
      </w:r>
      <w:proofErr w:type="spellEnd"/>
      <w:r w:rsidRPr="00425B25">
        <w:rPr>
          <w:rFonts w:ascii="Times New Roman" w:hAnsi="Times New Roman" w:cs="Times New Roman"/>
          <w:sz w:val="24"/>
          <w:szCs w:val="24"/>
        </w:rPr>
        <w:t>', Journal of Abnormal Psychology, 126(4), pp. 454–477. https://doi.org/10.1037/abn0000258</w:t>
      </w:r>
    </w:p>
    <w:p w14:paraId="2416A11E" w14:textId="77777777" w:rsidR="00087FE5" w:rsidRPr="00425B25" w:rsidRDefault="00802D36" w:rsidP="00425B25">
      <w:pPr>
        <w:spacing w:after="160" w:line="480" w:lineRule="auto"/>
        <w:ind w:left="720" w:hanging="720"/>
        <w:jc w:val="both"/>
        <w:rPr>
          <w:rFonts w:ascii="Times New Roman" w:hAnsi="Times New Roman" w:cs="Times New Roman"/>
          <w:sz w:val="24"/>
          <w:szCs w:val="24"/>
        </w:rPr>
      </w:pPr>
      <w:r w:rsidRPr="00425B25">
        <w:rPr>
          <w:rFonts w:ascii="Times New Roman" w:hAnsi="Times New Roman" w:cs="Times New Roman"/>
          <w:sz w:val="24"/>
          <w:szCs w:val="24"/>
        </w:rPr>
        <w:t>National Institute for Health and Care Excellence (2011) Generalised Anxiety Disorder and Panic Disorder in Adults: Management [CG113]. London: NICE. Available at: https://www.nice.org.uk/guidance/cg113 (Accessed: 20 June 2026).</w:t>
      </w:r>
    </w:p>
    <w:p w14:paraId="132FD2F8" w14:textId="77777777" w:rsidR="00087FE5" w:rsidRPr="00425B25" w:rsidRDefault="00802D36" w:rsidP="00425B25">
      <w:pPr>
        <w:spacing w:after="160" w:line="480" w:lineRule="auto"/>
        <w:ind w:left="720" w:hanging="720"/>
        <w:jc w:val="both"/>
        <w:rPr>
          <w:rFonts w:ascii="Times New Roman" w:hAnsi="Times New Roman" w:cs="Times New Roman"/>
          <w:sz w:val="24"/>
          <w:szCs w:val="24"/>
        </w:rPr>
      </w:pPr>
      <w:r w:rsidRPr="00425B25">
        <w:rPr>
          <w:rFonts w:ascii="Times New Roman" w:hAnsi="Times New Roman" w:cs="Times New Roman"/>
          <w:sz w:val="24"/>
          <w:szCs w:val="24"/>
        </w:rPr>
        <w:t xml:space="preserve">Reed, G.M., First, M.B., </w:t>
      </w:r>
      <w:proofErr w:type="spellStart"/>
      <w:r w:rsidRPr="00425B25">
        <w:rPr>
          <w:rFonts w:ascii="Times New Roman" w:hAnsi="Times New Roman" w:cs="Times New Roman"/>
          <w:sz w:val="24"/>
          <w:szCs w:val="24"/>
        </w:rPr>
        <w:t>Kogan</w:t>
      </w:r>
      <w:proofErr w:type="spellEnd"/>
      <w:r w:rsidRPr="00425B25">
        <w:rPr>
          <w:rFonts w:ascii="Times New Roman" w:hAnsi="Times New Roman" w:cs="Times New Roman"/>
          <w:sz w:val="24"/>
          <w:szCs w:val="24"/>
        </w:rPr>
        <w:t xml:space="preserve">, C.S., Hyman, S.E., </w:t>
      </w:r>
      <w:proofErr w:type="spellStart"/>
      <w:r w:rsidRPr="00425B25">
        <w:rPr>
          <w:rFonts w:ascii="Times New Roman" w:hAnsi="Times New Roman" w:cs="Times New Roman"/>
          <w:sz w:val="24"/>
          <w:szCs w:val="24"/>
        </w:rPr>
        <w:t>Gureje</w:t>
      </w:r>
      <w:proofErr w:type="spellEnd"/>
      <w:r w:rsidRPr="00425B25">
        <w:rPr>
          <w:rFonts w:ascii="Times New Roman" w:hAnsi="Times New Roman" w:cs="Times New Roman"/>
          <w:sz w:val="24"/>
          <w:szCs w:val="24"/>
        </w:rPr>
        <w:t xml:space="preserve">, O., </w:t>
      </w:r>
      <w:proofErr w:type="spellStart"/>
      <w:r w:rsidRPr="00425B25">
        <w:rPr>
          <w:rFonts w:ascii="Times New Roman" w:hAnsi="Times New Roman" w:cs="Times New Roman"/>
          <w:sz w:val="24"/>
          <w:szCs w:val="24"/>
        </w:rPr>
        <w:t>Gaebel</w:t>
      </w:r>
      <w:proofErr w:type="spellEnd"/>
      <w:r w:rsidRPr="00425B25">
        <w:rPr>
          <w:rFonts w:ascii="Times New Roman" w:hAnsi="Times New Roman" w:cs="Times New Roman"/>
          <w:sz w:val="24"/>
          <w:szCs w:val="24"/>
        </w:rPr>
        <w:t xml:space="preserve">, W., Maj, M., Stein, D.J., </w:t>
      </w:r>
      <w:proofErr w:type="spellStart"/>
      <w:r w:rsidRPr="00425B25">
        <w:rPr>
          <w:rFonts w:ascii="Times New Roman" w:hAnsi="Times New Roman" w:cs="Times New Roman"/>
          <w:sz w:val="24"/>
          <w:szCs w:val="24"/>
        </w:rPr>
        <w:t>Maercker</w:t>
      </w:r>
      <w:proofErr w:type="spellEnd"/>
      <w:r w:rsidRPr="00425B25">
        <w:rPr>
          <w:rFonts w:ascii="Times New Roman" w:hAnsi="Times New Roman" w:cs="Times New Roman"/>
          <w:sz w:val="24"/>
          <w:szCs w:val="24"/>
        </w:rPr>
        <w:t xml:space="preserve">, A., </w:t>
      </w:r>
      <w:proofErr w:type="spellStart"/>
      <w:r w:rsidRPr="00425B25">
        <w:rPr>
          <w:rFonts w:ascii="Times New Roman" w:hAnsi="Times New Roman" w:cs="Times New Roman"/>
          <w:sz w:val="24"/>
          <w:szCs w:val="24"/>
        </w:rPr>
        <w:t>Tyrer</w:t>
      </w:r>
      <w:proofErr w:type="spellEnd"/>
      <w:r w:rsidRPr="00425B25">
        <w:rPr>
          <w:rFonts w:ascii="Times New Roman" w:hAnsi="Times New Roman" w:cs="Times New Roman"/>
          <w:sz w:val="24"/>
          <w:szCs w:val="24"/>
        </w:rPr>
        <w:t xml:space="preserve">, P. and </w:t>
      </w:r>
      <w:proofErr w:type="spellStart"/>
      <w:r w:rsidRPr="00425B25">
        <w:rPr>
          <w:rFonts w:ascii="Times New Roman" w:hAnsi="Times New Roman" w:cs="Times New Roman"/>
          <w:sz w:val="24"/>
          <w:szCs w:val="24"/>
        </w:rPr>
        <w:t>Claudino</w:t>
      </w:r>
      <w:proofErr w:type="spellEnd"/>
      <w:r w:rsidRPr="00425B25">
        <w:rPr>
          <w:rFonts w:ascii="Times New Roman" w:hAnsi="Times New Roman" w:cs="Times New Roman"/>
          <w:sz w:val="24"/>
          <w:szCs w:val="24"/>
        </w:rPr>
        <w:t>, A. (2019) 'Innovations and changes in the ICD-11 classification of mental, behavioural and neurodevelopmental disorders', World Psychiatry, 18(1), pp. 3–19. https://doi.org/10.1002/wps.20611</w:t>
      </w:r>
    </w:p>
    <w:p w14:paraId="2CBD2A1E" w14:textId="77777777" w:rsidR="00087FE5" w:rsidRPr="00425B25" w:rsidRDefault="00802D36" w:rsidP="00425B25">
      <w:pPr>
        <w:spacing w:after="160" w:line="480" w:lineRule="auto"/>
        <w:ind w:left="720" w:hanging="720"/>
        <w:jc w:val="both"/>
        <w:rPr>
          <w:rFonts w:ascii="Times New Roman" w:hAnsi="Times New Roman" w:cs="Times New Roman"/>
          <w:sz w:val="24"/>
          <w:szCs w:val="24"/>
        </w:rPr>
      </w:pPr>
      <w:proofErr w:type="spellStart"/>
      <w:r w:rsidRPr="00425B25">
        <w:rPr>
          <w:rFonts w:ascii="Times New Roman" w:hAnsi="Times New Roman" w:cs="Times New Roman"/>
          <w:sz w:val="24"/>
          <w:szCs w:val="24"/>
        </w:rPr>
        <w:t>Remes</w:t>
      </w:r>
      <w:proofErr w:type="spellEnd"/>
      <w:r w:rsidRPr="00425B25">
        <w:rPr>
          <w:rFonts w:ascii="Times New Roman" w:hAnsi="Times New Roman" w:cs="Times New Roman"/>
          <w:sz w:val="24"/>
          <w:szCs w:val="24"/>
        </w:rPr>
        <w:t xml:space="preserve">, O., </w:t>
      </w:r>
      <w:proofErr w:type="spellStart"/>
      <w:r w:rsidRPr="00425B25">
        <w:rPr>
          <w:rFonts w:ascii="Times New Roman" w:hAnsi="Times New Roman" w:cs="Times New Roman"/>
          <w:sz w:val="24"/>
          <w:szCs w:val="24"/>
        </w:rPr>
        <w:t>Brayne</w:t>
      </w:r>
      <w:proofErr w:type="spellEnd"/>
      <w:r w:rsidRPr="00425B25">
        <w:rPr>
          <w:rFonts w:ascii="Times New Roman" w:hAnsi="Times New Roman" w:cs="Times New Roman"/>
          <w:sz w:val="24"/>
          <w:szCs w:val="24"/>
        </w:rPr>
        <w:t xml:space="preserve">, C., van der Linde, R. and </w:t>
      </w:r>
      <w:proofErr w:type="spellStart"/>
      <w:r w:rsidRPr="00425B25">
        <w:rPr>
          <w:rFonts w:ascii="Times New Roman" w:hAnsi="Times New Roman" w:cs="Times New Roman"/>
          <w:sz w:val="24"/>
          <w:szCs w:val="24"/>
        </w:rPr>
        <w:t>Lafortune</w:t>
      </w:r>
      <w:proofErr w:type="spellEnd"/>
      <w:r w:rsidRPr="00425B25">
        <w:rPr>
          <w:rFonts w:ascii="Times New Roman" w:hAnsi="Times New Roman" w:cs="Times New Roman"/>
          <w:sz w:val="24"/>
          <w:szCs w:val="24"/>
        </w:rPr>
        <w:t xml:space="preserve">, L. (2016) 'A systematic review of reviews on the prevalence of anxiety disorders in adult populations', Brain and </w:t>
      </w:r>
      <w:proofErr w:type="spellStart"/>
      <w:r w:rsidRPr="00425B25">
        <w:rPr>
          <w:rFonts w:ascii="Times New Roman" w:hAnsi="Times New Roman" w:cs="Times New Roman"/>
          <w:sz w:val="24"/>
          <w:szCs w:val="24"/>
        </w:rPr>
        <w:t>Behavior</w:t>
      </w:r>
      <w:proofErr w:type="spellEnd"/>
      <w:r w:rsidRPr="00425B25">
        <w:rPr>
          <w:rFonts w:ascii="Times New Roman" w:hAnsi="Times New Roman" w:cs="Times New Roman"/>
          <w:sz w:val="24"/>
          <w:szCs w:val="24"/>
        </w:rPr>
        <w:t>, 6(7), p. e00497. https://doi.org/10.1002/brb3.497</w:t>
      </w:r>
    </w:p>
    <w:p w14:paraId="70059950" w14:textId="77777777" w:rsidR="00087FE5" w:rsidRPr="00425B25" w:rsidRDefault="00802D36" w:rsidP="00425B25">
      <w:pPr>
        <w:spacing w:after="160" w:line="480" w:lineRule="auto"/>
        <w:ind w:left="720" w:hanging="720"/>
        <w:jc w:val="both"/>
        <w:rPr>
          <w:rFonts w:ascii="Times New Roman" w:hAnsi="Times New Roman" w:cs="Times New Roman"/>
          <w:sz w:val="24"/>
          <w:szCs w:val="24"/>
        </w:rPr>
      </w:pPr>
      <w:r w:rsidRPr="00425B25">
        <w:rPr>
          <w:rFonts w:ascii="Times New Roman" w:hAnsi="Times New Roman" w:cs="Times New Roman"/>
          <w:sz w:val="24"/>
          <w:szCs w:val="24"/>
        </w:rPr>
        <w:t xml:space="preserve">Spain, D., Sin, J., Linder, K.B., McMahon, J. and </w:t>
      </w:r>
      <w:proofErr w:type="spellStart"/>
      <w:r w:rsidRPr="00425B25">
        <w:rPr>
          <w:rFonts w:ascii="Times New Roman" w:hAnsi="Times New Roman" w:cs="Times New Roman"/>
          <w:sz w:val="24"/>
          <w:szCs w:val="24"/>
        </w:rPr>
        <w:t>Happé</w:t>
      </w:r>
      <w:proofErr w:type="spellEnd"/>
      <w:r w:rsidRPr="00425B25">
        <w:rPr>
          <w:rFonts w:ascii="Times New Roman" w:hAnsi="Times New Roman" w:cs="Times New Roman"/>
          <w:sz w:val="24"/>
          <w:szCs w:val="24"/>
        </w:rPr>
        <w:t>, F. (2018) 'Social anxiety in autism spectrum disorder: A systematic review', Research in Autism Spectrum Disorders, 52, pp. 51–68. https://doi.org/10.1016/j.rasd.2018.04.007</w:t>
      </w:r>
    </w:p>
    <w:p w14:paraId="21D778CB" w14:textId="77777777" w:rsidR="00087FE5" w:rsidRPr="00425B25" w:rsidRDefault="00802D36" w:rsidP="00425B25">
      <w:pPr>
        <w:spacing w:after="160" w:line="480" w:lineRule="auto"/>
        <w:ind w:left="720" w:hanging="720"/>
        <w:jc w:val="both"/>
        <w:rPr>
          <w:rFonts w:ascii="Times New Roman" w:hAnsi="Times New Roman" w:cs="Times New Roman"/>
          <w:sz w:val="24"/>
          <w:szCs w:val="24"/>
        </w:rPr>
      </w:pPr>
      <w:r w:rsidRPr="00425B25">
        <w:rPr>
          <w:rFonts w:ascii="Times New Roman" w:hAnsi="Times New Roman" w:cs="Times New Roman"/>
          <w:sz w:val="24"/>
          <w:szCs w:val="24"/>
        </w:rPr>
        <w:t xml:space="preserve">Spitzer, R.L., </w:t>
      </w:r>
      <w:proofErr w:type="spellStart"/>
      <w:r w:rsidRPr="00425B25">
        <w:rPr>
          <w:rFonts w:ascii="Times New Roman" w:hAnsi="Times New Roman" w:cs="Times New Roman"/>
          <w:sz w:val="24"/>
          <w:szCs w:val="24"/>
        </w:rPr>
        <w:t>Kroenke</w:t>
      </w:r>
      <w:proofErr w:type="spellEnd"/>
      <w:r w:rsidRPr="00425B25">
        <w:rPr>
          <w:rFonts w:ascii="Times New Roman" w:hAnsi="Times New Roman" w:cs="Times New Roman"/>
          <w:sz w:val="24"/>
          <w:szCs w:val="24"/>
        </w:rPr>
        <w:t xml:space="preserve">, K., Williams, J.B.W. and </w:t>
      </w:r>
      <w:proofErr w:type="spellStart"/>
      <w:r w:rsidRPr="00425B25">
        <w:rPr>
          <w:rFonts w:ascii="Times New Roman" w:hAnsi="Times New Roman" w:cs="Times New Roman"/>
          <w:sz w:val="24"/>
          <w:szCs w:val="24"/>
        </w:rPr>
        <w:t>Löwe</w:t>
      </w:r>
      <w:proofErr w:type="spellEnd"/>
      <w:r w:rsidRPr="00425B25">
        <w:rPr>
          <w:rFonts w:ascii="Times New Roman" w:hAnsi="Times New Roman" w:cs="Times New Roman"/>
          <w:sz w:val="24"/>
          <w:szCs w:val="24"/>
        </w:rPr>
        <w:t>, B. (2006) 'A brief measure for assessing generalised anxiety disorder: The GAD-7', Archives of Internal Medicine, 166(10), pp. 1092–1097. https://doi.org/10.1001/archinte.166.10.1092</w:t>
      </w:r>
    </w:p>
    <w:p w14:paraId="6241B86B" w14:textId="77777777" w:rsidR="00087FE5" w:rsidRPr="00425B25" w:rsidRDefault="00802D36" w:rsidP="00425B25">
      <w:pPr>
        <w:spacing w:after="160" w:line="480" w:lineRule="auto"/>
        <w:ind w:left="720" w:hanging="720"/>
        <w:jc w:val="both"/>
        <w:rPr>
          <w:rFonts w:ascii="Times New Roman" w:hAnsi="Times New Roman" w:cs="Times New Roman"/>
          <w:sz w:val="24"/>
          <w:szCs w:val="24"/>
        </w:rPr>
      </w:pPr>
      <w:r w:rsidRPr="00425B25">
        <w:rPr>
          <w:rFonts w:ascii="Times New Roman" w:hAnsi="Times New Roman" w:cs="Times New Roman"/>
          <w:sz w:val="24"/>
          <w:szCs w:val="24"/>
        </w:rPr>
        <w:lastRenderedPageBreak/>
        <w:t xml:space="preserve">Springer, K.S., Levy, H.C. and </w:t>
      </w:r>
      <w:proofErr w:type="spellStart"/>
      <w:r w:rsidRPr="00425B25">
        <w:rPr>
          <w:rFonts w:ascii="Times New Roman" w:hAnsi="Times New Roman" w:cs="Times New Roman"/>
          <w:sz w:val="24"/>
          <w:szCs w:val="24"/>
        </w:rPr>
        <w:t>Tolin</w:t>
      </w:r>
      <w:proofErr w:type="spellEnd"/>
      <w:r w:rsidRPr="00425B25">
        <w:rPr>
          <w:rFonts w:ascii="Times New Roman" w:hAnsi="Times New Roman" w:cs="Times New Roman"/>
          <w:sz w:val="24"/>
          <w:szCs w:val="24"/>
        </w:rPr>
        <w:t>, D.F. (2018) 'Remission in CBT for adult anxiety disorders: A meta-analysis', Clinical Psychology Review, 61, pp. 1–8. https://doi.org/10.1016/j.cpr.2018.03.002</w:t>
      </w:r>
    </w:p>
    <w:p w14:paraId="0E4CD550" w14:textId="77777777" w:rsidR="00087FE5" w:rsidRPr="00425B25" w:rsidRDefault="00802D36" w:rsidP="00425B25">
      <w:pPr>
        <w:spacing w:after="160" w:line="480" w:lineRule="auto"/>
        <w:ind w:left="720" w:hanging="720"/>
        <w:jc w:val="both"/>
        <w:rPr>
          <w:rFonts w:ascii="Times New Roman" w:hAnsi="Times New Roman" w:cs="Times New Roman"/>
          <w:sz w:val="24"/>
          <w:szCs w:val="24"/>
        </w:rPr>
      </w:pPr>
      <w:r w:rsidRPr="00425B25">
        <w:rPr>
          <w:rFonts w:ascii="Times New Roman" w:hAnsi="Times New Roman" w:cs="Times New Roman"/>
          <w:sz w:val="24"/>
          <w:szCs w:val="24"/>
        </w:rPr>
        <w:t xml:space="preserve">van der Linden, G.J.H., Stein, D.J. and van </w:t>
      </w:r>
      <w:proofErr w:type="spellStart"/>
      <w:r w:rsidRPr="00425B25">
        <w:rPr>
          <w:rFonts w:ascii="Times New Roman" w:hAnsi="Times New Roman" w:cs="Times New Roman"/>
          <w:sz w:val="24"/>
          <w:szCs w:val="24"/>
        </w:rPr>
        <w:t>Balkom</w:t>
      </w:r>
      <w:proofErr w:type="spellEnd"/>
      <w:r w:rsidRPr="00425B25">
        <w:rPr>
          <w:rFonts w:ascii="Times New Roman" w:hAnsi="Times New Roman" w:cs="Times New Roman"/>
          <w:sz w:val="24"/>
          <w:szCs w:val="24"/>
        </w:rPr>
        <w:t>, A.J.L.M. (2020) 'The efficacy of the selective serotonin reuptake inhibitors for social anxiety disorder (social phobia): A meta-analysis of randomised controlled trials', International Clinical Psychopharmacology, 35(6), pp. 306–315.</w:t>
      </w:r>
    </w:p>
    <w:p w14:paraId="34A01BE1" w14:textId="77777777" w:rsidR="00087FE5" w:rsidRPr="00425B25" w:rsidRDefault="00802D36" w:rsidP="00425B25">
      <w:pPr>
        <w:spacing w:after="160" w:line="480" w:lineRule="auto"/>
        <w:ind w:left="720" w:hanging="720"/>
        <w:jc w:val="both"/>
        <w:rPr>
          <w:rFonts w:ascii="Times New Roman" w:hAnsi="Times New Roman" w:cs="Times New Roman"/>
          <w:sz w:val="24"/>
          <w:szCs w:val="24"/>
        </w:rPr>
      </w:pPr>
      <w:r w:rsidRPr="00425B25">
        <w:rPr>
          <w:rFonts w:ascii="Times New Roman" w:hAnsi="Times New Roman" w:cs="Times New Roman"/>
          <w:sz w:val="24"/>
          <w:szCs w:val="24"/>
        </w:rPr>
        <w:t>World Health Organization (2022) International Classification of Diseases 11th Revision (ICD-11). Geneva: WHO. Available at: https://icd.who.int/ (Accessed: 20 June 2026).</w:t>
      </w:r>
    </w:p>
    <w:p w14:paraId="7D5A5AF4" w14:textId="77777777" w:rsidR="00087FE5" w:rsidRPr="00425B25" w:rsidRDefault="00802D36" w:rsidP="00425B25">
      <w:pPr>
        <w:spacing w:after="160" w:line="480" w:lineRule="auto"/>
        <w:ind w:left="720" w:hanging="720"/>
        <w:jc w:val="both"/>
        <w:rPr>
          <w:rFonts w:ascii="Times New Roman" w:hAnsi="Times New Roman" w:cs="Times New Roman"/>
          <w:sz w:val="24"/>
          <w:szCs w:val="24"/>
        </w:rPr>
      </w:pPr>
      <w:r w:rsidRPr="00425B25">
        <w:rPr>
          <w:rFonts w:ascii="Times New Roman" w:hAnsi="Times New Roman" w:cs="Times New Roman"/>
          <w:sz w:val="24"/>
          <w:szCs w:val="24"/>
        </w:rPr>
        <w:t>World Health Organization (2023) Mental Disorders: Key Facts. Geneva: WHO. Available at: https://www.who.int/news-room/fact-sheets/detail/mental-disorders (Accessed: 20 June 2026).</w:t>
      </w:r>
    </w:p>
    <w:sectPr w:rsidR="00087FE5" w:rsidRPr="00425B25">
      <w:footerReference w:type="default" r:id="rId9"/>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E68B3B" w14:textId="77777777" w:rsidR="002821D4" w:rsidRDefault="002821D4">
      <w:r>
        <w:separator/>
      </w:r>
    </w:p>
  </w:endnote>
  <w:endnote w:type="continuationSeparator" w:id="0">
    <w:p w14:paraId="0CD28B43" w14:textId="77777777" w:rsidR="002821D4" w:rsidRDefault="002821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3FE2AE" w14:textId="77777777" w:rsidR="00087FE5" w:rsidRDefault="00802D36">
    <w:pPr>
      <w:jc w:val="center"/>
    </w:pPr>
    <w:r>
      <w:rPr>
        <w:sz w:val="18"/>
        <w:szCs w:val="18"/>
      </w:rPr>
      <w:t xml:space="preserve">Page </w:t>
    </w:r>
    <w:r>
      <w:rPr>
        <w:sz w:val="18"/>
        <w:szCs w:val="18"/>
      </w:rPr>
      <w:fldChar w:fldCharType="begin"/>
    </w:r>
    <w:r>
      <w:rPr>
        <w:sz w:val="18"/>
        <w:szCs w:val="18"/>
      </w:rPr>
      <w:instrText>PAGE</w:instrText>
    </w:r>
    <w:r>
      <w:rPr>
        <w:sz w:val="18"/>
        <w:szCs w:val="18"/>
      </w:rPr>
      <w:fldChar w:fldCharType="separate"/>
    </w:r>
    <w:r w:rsidR="007E17DD">
      <w:rPr>
        <w:noProof/>
        <w:sz w:val="18"/>
        <w:szCs w:val="18"/>
      </w:rPr>
      <w:t>2</w:t>
    </w:r>
    <w:r>
      <w:rPr>
        <w:sz w:val="18"/>
        <w:szCs w:val="18"/>
      </w:rPr>
      <w:fldChar w:fldCharType="end"/>
    </w:r>
    <w:r>
      <w:rPr>
        <w:sz w:val="18"/>
        <w:szCs w:val="18"/>
      </w:rPr>
      <w:t xml:space="preserve"> of </w:t>
    </w:r>
    <w:r>
      <w:rPr>
        <w:sz w:val="18"/>
        <w:szCs w:val="18"/>
      </w:rPr>
      <w:fldChar w:fldCharType="begin"/>
    </w:r>
    <w:r>
      <w:rPr>
        <w:sz w:val="18"/>
        <w:szCs w:val="18"/>
      </w:rPr>
      <w:instrText>NUMPAGES</w:instrText>
    </w:r>
    <w:r>
      <w:rPr>
        <w:sz w:val="18"/>
        <w:szCs w:val="18"/>
      </w:rPr>
      <w:fldChar w:fldCharType="separate"/>
    </w:r>
    <w:r w:rsidR="007E17DD">
      <w:rPr>
        <w:noProof/>
        <w:sz w:val="18"/>
        <w:szCs w:val="18"/>
      </w:rPr>
      <w:t>3</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072781" w14:textId="77777777" w:rsidR="002821D4" w:rsidRDefault="002821D4">
      <w:r>
        <w:separator/>
      </w:r>
    </w:p>
  </w:footnote>
  <w:footnote w:type="continuationSeparator" w:id="0">
    <w:p w14:paraId="08F3D230" w14:textId="77777777" w:rsidR="002821D4" w:rsidRDefault="002821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224776"/>
    <w:multiLevelType w:val="hybridMultilevel"/>
    <w:tmpl w:val="E02EDEC0"/>
    <w:lvl w:ilvl="0" w:tplc="0332174E">
      <w:start w:val="1"/>
      <w:numFmt w:val="bullet"/>
      <w:lvlText w:val="●"/>
      <w:lvlJc w:val="left"/>
      <w:pPr>
        <w:ind w:left="720" w:hanging="360"/>
      </w:pPr>
    </w:lvl>
    <w:lvl w:ilvl="1" w:tplc="8E38921C">
      <w:start w:val="1"/>
      <w:numFmt w:val="bullet"/>
      <w:lvlText w:val="○"/>
      <w:lvlJc w:val="left"/>
      <w:pPr>
        <w:ind w:left="1440" w:hanging="360"/>
      </w:pPr>
    </w:lvl>
    <w:lvl w:ilvl="2" w:tplc="E5A2F3FC">
      <w:start w:val="1"/>
      <w:numFmt w:val="bullet"/>
      <w:lvlText w:val="■"/>
      <w:lvlJc w:val="left"/>
      <w:pPr>
        <w:ind w:left="2160" w:hanging="360"/>
      </w:pPr>
    </w:lvl>
    <w:lvl w:ilvl="3" w:tplc="A9687892">
      <w:start w:val="1"/>
      <w:numFmt w:val="bullet"/>
      <w:lvlText w:val="●"/>
      <w:lvlJc w:val="left"/>
      <w:pPr>
        <w:ind w:left="2880" w:hanging="360"/>
      </w:pPr>
    </w:lvl>
    <w:lvl w:ilvl="4" w:tplc="05C6D416">
      <w:start w:val="1"/>
      <w:numFmt w:val="bullet"/>
      <w:lvlText w:val="○"/>
      <w:lvlJc w:val="left"/>
      <w:pPr>
        <w:ind w:left="3600" w:hanging="360"/>
      </w:pPr>
    </w:lvl>
    <w:lvl w:ilvl="5" w:tplc="F3F49090">
      <w:start w:val="1"/>
      <w:numFmt w:val="bullet"/>
      <w:lvlText w:val="■"/>
      <w:lvlJc w:val="left"/>
      <w:pPr>
        <w:ind w:left="4320" w:hanging="360"/>
      </w:pPr>
    </w:lvl>
    <w:lvl w:ilvl="6" w:tplc="4F3E942A">
      <w:start w:val="1"/>
      <w:numFmt w:val="bullet"/>
      <w:lvlText w:val="●"/>
      <w:lvlJc w:val="left"/>
      <w:pPr>
        <w:ind w:left="5040" w:hanging="360"/>
      </w:pPr>
    </w:lvl>
    <w:lvl w:ilvl="7" w:tplc="7FB84FBE">
      <w:start w:val="1"/>
      <w:numFmt w:val="bullet"/>
      <w:lvlText w:val="●"/>
      <w:lvlJc w:val="left"/>
      <w:pPr>
        <w:ind w:left="5760" w:hanging="360"/>
      </w:pPr>
    </w:lvl>
    <w:lvl w:ilvl="8" w:tplc="8354A6DE">
      <w:start w:val="1"/>
      <w:numFmt w:val="bullet"/>
      <w:lvlText w:val="●"/>
      <w:lvlJc w:val="left"/>
      <w:pPr>
        <w:ind w:left="6480" w:hanging="360"/>
      </w:pPr>
    </w:lvl>
  </w:abstractNum>
  <w:num w:numId="1" w16cid:durableId="211828338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7FE5"/>
    <w:rsid w:val="00087FE5"/>
    <w:rsid w:val="002821D4"/>
    <w:rsid w:val="003A7FC1"/>
    <w:rsid w:val="003C0B56"/>
    <w:rsid w:val="00425B25"/>
    <w:rsid w:val="0045275F"/>
    <w:rsid w:val="007E17DD"/>
    <w:rsid w:val="00802D36"/>
    <w:rsid w:val="00842FCE"/>
    <w:rsid w:val="00C131A8"/>
    <w:rsid w:val="00DC60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F3E93"/>
  <w15:docId w15:val="{9B06681B-99C0-4E58-BDF1-45B525B8A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60" w:after="160"/>
      <w:outlineLvl w:val="0"/>
    </w:pPr>
    <w:rPr>
      <w:b/>
      <w:bCs/>
      <w:color w:val="000000"/>
      <w:sz w:val="26"/>
      <w:szCs w:val="26"/>
    </w:rPr>
  </w:style>
  <w:style w:type="paragraph" w:styleId="Heading2">
    <w:name w:val="heading 2"/>
    <w:uiPriority w:val="9"/>
    <w:unhideWhenUsed/>
    <w:qFormat/>
    <w:pPr>
      <w:spacing w:before="240" w:after="120"/>
      <w:outlineLvl w:val="1"/>
    </w:pPr>
    <w:rPr>
      <w:b/>
      <w:bCs/>
      <w:color w:val="000000"/>
      <w:sz w:val="24"/>
      <w:szCs w:val="24"/>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3401</Words>
  <Characters>19389</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kamula wambua</cp:lastModifiedBy>
  <cp:revision>2</cp:revision>
  <dcterms:created xsi:type="dcterms:W3CDTF">2026-06-24T10:10:00Z</dcterms:created>
  <dcterms:modified xsi:type="dcterms:W3CDTF">2026-06-24T10:10:00Z</dcterms:modified>
</cp:coreProperties>
</file>