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457" w:rsidRPr="004832B6" w:rsidRDefault="005B241B" w:rsidP="00440457">
      <w:pPr>
        <w:pStyle w:val="Heading3"/>
        <w:shd w:val="clear" w:color="auto" w:fill="F4F4F4"/>
        <w:spacing w:before="48" w:beforeAutospacing="0" w:after="48" w:afterAutospacing="0"/>
        <w:rPr>
          <w:rFonts w:ascii="Arial" w:hAnsi="Arial" w:cs="Arial"/>
          <w:color w:val="333333"/>
          <w:spacing w:val="-14"/>
          <w:sz w:val="24"/>
          <w:szCs w:val="24"/>
        </w:rPr>
      </w:pPr>
      <w:r w:rsidRPr="004832B6">
        <w:rPr>
          <w:rFonts w:ascii="Arial" w:hAnsi="Arial" w:cs="Arial"/>
          <w:color w:val="333333"/>
          <w:sz w:val="24"/>
          <w:szCs w:val="24"/>
        </w:rPr>
        <w:t>MA in Cultural Astronomy and Astrology</w:t>
      </w:r>
      <w:r w:rsidRPr="004832B6">
        <w:rPr>
          <w:rFonts w:ascii="Arial" w:hAnsi="Arial" w:cs="Arial"/>
          <w:color w:val="333333"/>
          <w:sz w:val="24"/>
          <w:szCs w:val="24"/>
        </w:rPr>
        <w:br/>
        <w:t>Introduction to Cultural Astronomy and Astrology</w:t>
      </w:r>
      <w:r w:rsidRPr="004832B6">
        <w:rPr>
          <w:rFonts w:ascii="Arial" w:hAnsi="Arial" w:cs="Arial"/>
          <w:color w:val="333333"/>
          <w:sz w:val="24"/>
          <w:szCs w:val="24"/>
        </w:rPr>
        <w:br/>
      </w:r>
      <w:r w:rsidR="00440457" w:rsidRPr="004832B6">
        <w:rPr>
          <w:rFonts w:ascii="Arial" w:hAnsi="Arial" w:cs="Arial"/>
          <w:bCs w:val="0"/>
          <w:color w:val="333333"/>
          <w:sz w:val="24"/>
          <w:szCs w:val="24"/>
        </w:rPr>
        <w:t xml:space="preserve">Philosophy: </w:t>
      </w:r>
      <w:r w:rsidR="00440457" w:rsidRPr="004832B6">
        <w:rPr>
          <w:rFonts w:ascii="Arial" w:hAnsi="Arial" w:cs="Arial"/>
          <w:color w:val="333333"/>
          <w:spacing w:val="-14"/>
          <w:sz w:val="24"/>
          <w:szCs w:val="24"/>
        </w:rPr>
        <w:t>Fate and Freewill in the Cosmos </w:t>
      </w:r>
    </w:p>
    <w:p w:rsidR="00084915" w:rsidRDefault="00084915" w:rsidP="005B241B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333333"/>
          <w:sz w:val="24"/>
          <w:szCs w:val="24"/>
        </w:rPr>
      </w:pPr>
    </w:p>
    <w:p w:rsidR="00084915" w:rsidRPr="004832B6" w:rsidRDefault="00084915" w:rsidP="00084915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333333"/>
          <w:sz w:val="24"/>
          <w:szCs w:val="24"/>
        </w:rPr>
      </w:pPr>
      <w:r w:rsidRPr="004832B6">
        <w:rPr>
          <w:rFonts w:ascii="Arial" w:eastAsia="Times New Roman" w:hAnsi="Arial" w:cs="Arial"/>
          <w:b/>
          <w:bCs/>
          <w:color w:val="333333"/>
          <w:sz w:val="24"/>
          <w:szCs w:val="24"/>
        </w:rPr>
        <w:t>Optional Reading</w:t>
      </w:r>
    </w:p>
    <w:p w:rsidR="00084915" w:rsidRDefault="00084915" w:rsidP="005B241B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333333"/>
          <w:sz w:val="24"/>
          <w:szCs w:val="24"/>
        </w:rPr>
      </w:pPr>
    </w:p>
    <w:p w:rsidR="00084915" w:rsidRDefault="00084915" w:rsidP="005B241B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333333"/>
          <w:sz w:val="24"/>
          <w:szCs w:val="24"/>
        </w:rPr>
      </w:pPr>
    </w:p>
    <w:p w:rsidR="00084915" w:rsidRDefault="00084915" w:rsidP="005B241B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333333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</w:rPr>
        <w:t>Primary Sources – fate and astrology</w:t>
      </w:r>
    </w:p>
    <w:p w:rsidR="00084915" w:rsidRDefault="00084915" w:rsidP="005B241B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333333"/>
          <w:sz w:val="24"/>
          <w:szCs w:val="24"/>
        </w:rPr>
      </w:pPr>
    </w:p>
    <w:p w:rsidR="00084915" w:rsidRDefault="00084915" w:rsidP="005B241B">
      <w:pPr>
        <w:spacing w:after="0" w:line="240" w:lineRule="auto"/>
        <w:contextualSpacing/>
        <w:rPr>
          <w:rFonts w:ascii="Arial" w:eastAsia="Times New Roman" w:hAnsi="Arial" w:cs="Arial"/>
          <w:color w:val="333333"/>
          <w:sz w:val="24"/>
          <w:szCs w:val="24"/>
        </w:rPr>
      </w:pPr>
      <w:r w:rsidRPr="004832B6">
        <w:rPr>
          <w:rFonts w:ascii="Arial" w:eastAsia="Times New Roman" w:hAnsi="Arial" w:cs="Arial"/>
          <w:color w:val="333333"/>
          <w:sz w:val="24"/>
          <w:szCs w:val="24"/>
        </w:rPr>
        <w:t>Greene, Liz, ‘A Psychological Approach to Transits and Progressions’, in The Horoscope in Manifestation: Psychology and Prediction, part 2, pp 131-152, London, CPA Press 2004 [1997].</w:t>
      </w:r>
      <w:r w:rsidRPr="004832B6">
        <w:rPr>
          <w:rFonts w:ascii="Arial" w:eastAsia="Times New Roman" w:hAnsi="Arial" w:cs="Arial"/>
          <w:color w:val="333333"/>
          <w:sz w:val="24"/>
          <w:szCs w:val="24"/>
        </w:rPr>
        <w:br/>
        <w:t>PDF</w:t>
      </w:r>
    </w:p>
    <w:p w:rsidR="00084915" w:rsidRDefault="00084915" w:rsidP="005B241B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333333"/>
          <w:sz w:val="24"/>
          <w:szCs w:val="24"/>
        </w:rPr>
      </w:pPr>
    </w:p>
    <w:p w:rsidR="00084915" w:rsidRDefault="00084915" w:rsidP="005B241B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333333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</w:rPr>
        <w:t xml:space="preserve">Secondary Sources </w:t>
      </w:r>
    </w:p>
    <w:p w:rsidR="00084915" w:rsidRDefault="00084915" w:rsidP="005B241B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333333"/>
          <w:sz w:val="24"/>
          <w:szCs w:val="24"/>
        </w:rPr>
      </w:pPr>
    </w:p>
    <w:p w:rsidR="00084915" w:rsidRPr="004832B6" w:rsidRDefault="00084915" w:rsidP="00084915">
      <w:pPr>
        <w:spacing w:after="0" w:line="240" w:lineRule="auto"/>
        <w:contextualSpacing/>
        <w:rPr>
          <w:rFonts w:ascii="Arial" w:eastAsia="Times New Roman" w:hAnsi="Arial" w:cs="Arial"/>
          <w:color w:val="333333"/>
          <w:sz w:val="24"/>
          <w:szCs w:val="24"/>
        </w:rPr>
      </w:pPr>
      <w:proofErr w:type="spellStart"/>
      <w:r w:rsidRPr="004832B6">
        <w:rPr>
          <w:rFonts w:ascii="Arial" w:eastAsia="Times New Roman" w:hAnsi="Arial" w:cs="Arial"/>
          <w:color w:val="333333"/>
          <w:sz w:val="24"/>
          <w:szCs w:val="24"/>
        </w:rPr>
        <w:t>Lehoux</w:t>
      </w:r>
      <w:proofErr w:type="spellEnd"/>
      <w:r w:rsidRPr="004832B6">
        <w:rPr>
          <w:rFonts w:ascii="Arial" w:eastAsia="Times New Roman" w:hAnsi="Arial" w:cs="Arial"/>
          <w:color w:val="333333"/>
          <w:sz w:val="24"/>
          <w:szCs w:val="24"/>
        </w:rPr>
        <w:t xml:space="preserve">, </w:t>
      </w:r>
      <w:proofErr w:type="spellStart"/>
      <w:r w:rsidRPr="004832B6">
        <w:rPr>
          <w:rFonts w:ascii="Arial" w:eastAsia="Times New Roman" w:hAnsi="Arial" w:cs="Arial"/>
          <w:color w:val="333333"/>
          <w:sz w:val="24"/>
          <w:szCs w:val="24"/>
        </w:rPr>
        <w:t>Daryn</w:t>
      </w:r>
      <w:proofErr w:type="spellEnd"/>
      <w:r w:rsidRPr="004832B6">
        <w:rPr>
          <w:rFonts w:ascii="Arial" w:eastAsia="Times New Roman" w:hAnsi="Arial" w:cs="Arial"/>
          <w:color w:val="333333"/>
          <w:sz w:val="24"/>
          <w:szCs w:val="24"/>
        </w:rPr>
        <w:t>. ‘Tomorrow's News Today: Astrology, Fate, and the Way Out’</w:t>
      </w:r>
      <w:r w:rsidRPr="004832B6">
        <w:rPr>
          <w:rFonts w:ascii="Arial" w:eastAsia="Times New Roman" w:hAnsi="Arial" w:cs="Arial"/>
          <w:color w:val="333333"/>
          <w:sz w:val="24"/>
          <w:szCs w:val="24"/>
        </w:rPr>
        <w:br/>
        <w:t>Representations No. 95 (Summer, 2006), pp. 105-122 </w:t>
      </w:r>
      <w:r w:rsidRPr="004832B6">
        <w:rPr>
          <w:rFonts w:ascii="Arial" w:eastAsia="Times New Roman" w:hAnsi="Arial" w:cs="Arial"/>
          <w:color w:val="333333"/>
          <w:sz w:val="24"/>
          <w:szCs w:val="24"/>
        </w:rPr>
        <w:br/>
        <w:t>JSTOR</w:t>
      </w:r>
    </w:p>
    <w:p w:rsidR="00084915" w:rsidRPr="004832B6" w:rsidRDefault="00084915" w:rsidP="00084915">
      <w:pPr>
        <w:spacing w:after="0" w:line="240" w:lineRule="auto"/>
        <w:contextualSpacing/>
        <w:rPr>
          <w:rFonts w:ascii="Arial" w:eastAsia="Times New Roman" w:hAnsi="Arial" w:cs="Arial"/>
          <w:color w:val="333333"/>
          <w:sz w:val="24"/>
          <w:szCs w:val="24"/>
        </w:rPr>
      </w:pPr>
      <w:r w:rsidRPr="004832B6">
        <w:rPr>
          <w:rFonts w:ascii="Arial" w:eastAsia="Times New Roman" w:hAnsi="Arial" w:cs="Arial"/>
          <w:color w:val="333333"/>
          <w:sz w:val="24"/>
          <w:szCs w:val="24"/>
        </w:rPr>
        <w:br/>
      </w:r>
    </w:p>
    <w:p w:rsidR="00084915" w:rsidRDefault="00084915" w:rsidP="00084915">
      <w:pPr>
        <w:spacing w:after="0" w:line="240" w:lineRule="auto"/>
        <w:contextualSpacing/>
        <w:rPr>
          <w:rFonts w:ascii="Arial" w:eastAsia="Times New Roman" w:hAnsi="Arial" w:cs="Arial"/>
          <w:color w:val="333333"/>
          <w:sz w:val="24"/>
          <w:szCs w:val="24"/>
        </w:rPr>
      </w:pPr>
      <w:r w:rsidRPr="004832B6">
        <w:rPr>
          <w:rFonts w:ascii="Arial" w:eastAsia="Times New Roman" w:hAnsi="Arial" w:cs="Arial"/>
          <w:color w:val="333333"/>
          <w:sz w:val="24"/>
          <w:szCs w:val="24"/>
        </w:rPr>
        <w:t>James, William, ‘The Dilemma of Determinism’, in The Will to Believe and Other Essays. New York: Longman, 1909. </w:t>
      </w:r>
      <w:r w:rsidRPr="004832B6">
        <w:rPr>
          <w:rFonts w:ascii="Arial" w:eastAsia="Times New Roman" w:hAnsi="Arial" w:cs="Arial"/>
          <w:color w:val="333333"/>
          <w:sz w:val="24"/>
          <w:szCs w:val="24"/>
        </w:rPr>
        <w:br/>
        <w:t>PDF</w:t>
      </w:r>
    </w:p>
    <w:p w:rsidR="00084915" w:rsidRDefault="00084915" w:rsidP="00084915">
      <w:pPr>
        <w:spacing w:after="0" w:line="240" w:lineRule="auto"/>
        <w:contextualSpacing/>
        <w:rPr>
          <w:rFonts w:ascii="Arial" w:eastAsia="Times New Roman" w:hAnsi="Arial" w:cs="Arial"/>
          <w:color w:val="333333"/>
          <w:sz w:val="24"/>
          <w:szCs w:val="24"/>
        </w:rPr>
      </w:pPr>
    </w:p>
    <w:p w:rsidR="00084915" w:rsidRPr="004832B6" w:rsidRDefault="00084915" w:rsidP="00084915">
      <w:pPr>
        <w:spacing w:after="0" w:line="240" w:lineRule="auto"/>
        <w:contextualSpacing/>
        <w:rPr>
          <w:rFonts w:ascii="Arial" w:eastAsia="Times New Roman" w:hAnsi="Arial" w:cs="Arial"/>
          <w:color w:val="333333"/>
          <w:sz w:val="24"/>
          <w:szCs w:val="24"/>
        </w:rPr>
      </w:pPr>
      <w:r w:rsidRPr="004832B6">
        <w:rPr>
          <w:rFonts w:ascii="Arial" w:eastAsia="Times New Roman" w:hAnsi="Arial" w:cs="Arial"/>
          <w:color w:val="333333"/>
          <w:sz w:val="24"/>
          <w:szCs w:val="24"/>
        </w:rPr>
        <w:t>Brady, Bernadette, ‘Some Philosophical Roots of Determinism in Astrology’, paper presented at Bath Spa University Graduate School seminar, 18 February 2008.</w:t>
      </w:r>
    </w:p>
    <w:p w:rsidR="00084915" w:rsidRDefault="00084915" w:rsidP="00084915">
      <w:pPr>
        <w:spacing w:after="0" w:line="240" w:lineRule="auto"/>
        <w:contextualSpacing/>
        <w:rPr>
          <w:rFonts w:ascii="Arial" w:eastAsia="Times New Roman" w:hAnsi="Arial" w:cs="Arial"/>
          <w:color w:val="333333"/>
          <w:sz w:val="24"/>
          <w:szCs w:val="24"/>
        </w:rPr>
      </w:pPr>
      <w:r w:rsidRPr="004832B6">
        <w:rPr>
          <w:rFonts w:ascii="Arial" w:eastAsia="Times New Roman" w:hAnsi="Arial" w:cs="Arial"/>
          <w:color w:val="333333"/>
          <w:sz w:val="24"/>
          <w:szCs w:val="24"/>
        </w:rPr>
        <w:t>PDF</w:t>
      </w:r>
    </w:p>
    <w:p w:rsidR="004832B6" w:rsidRPr="004832B6" w:rsidRDefault="00084915" w:rsidP="00084915">
      <w:pPr>
        <w:spacing w:after="0" w:line="240" w:lineRule="auto"/>
        <w:contextualSpacing/>
        <w:rPr>
          <w:rFonts w:ascii="Arial" w:eastAsia="Times New Roman" w:hAnsi="Arial" w:cs="Arial"/>
          <w:color w:val="333333"/>
          <w:sz w:val="24"/>
          <w:szCs w:val="24"/>
        </w:rPr>
      </w:pPr>
      <w:r w:rsidRPr="004832B6">
        <w:rPr>
          <w:rFonts w:ascii="Arial" w:eastAsia="Times New Roman" w:hAnsi="Arial" w:cs="Arial"/>
          <w:color w:val="333333"/>
          <w:sz w:val="24"/>
          <w:szCs w:val="24"/>
        </w:rPr>
        <w:br/>
      </w:r>
    </w:p>
    <w:p w:rsidR="00511374" w:rsidRPr="004832B6" w:rsidRDefault="00511374" w:rsidP="005B241B">
      <w:pPr>
        <w:spacing w:after="240" w:line="240" w:lineRule="auto"/>
        <w:contextualSpacing/>
        <w:rPr>
          <w:rFonts w:ascii="Arial" w:eastAsia="Times New Roman" w:hAnsi="Arial" w:cs="Arial"/>
          <w:color w:val="333333"/>
          <w:sz w:val="24"/>
          <w:szCs w:val="24"/>
        </w:rPr>
      </w:pPr>
      <w:r w:rsidRPr="004832B6">
        <w:rPr>
          <w:rFonts w:ascii="Arial" w:eastAsia="Times New Roman" w:hAnsi="Arial" w:cs="Arial"/>
          <w:color w:val="333333"/>
          <w:sz w:val="24"/>
          <w:szCs w:val="24"/>
        </w:rPr>
        <w:t xml:space="preserve">Kane, Robert. The Significance of Free Will. US: Oxford University Press, 1998, </w:t>
      </w:r>
      <w:proofErr w:type="spellStart"/>
      <w:r w:rsidRPr="004832B6">
        <w:rPr>
          <w:rFonts w:ascii="Arial" w:eastAsia="Times New Roman" w:hAnsi="Arial" w:cs="Arial"/>
          <w:color w:val="333333"/>
          <w:sz w:val="24"/>
          <w:szCs w:val="24"/>
        </w:rPr>
        <w:t>esp</w:t>
      </w:r>
      <w:proofErr w:type="spellEnd"/>
      <w:r w:rsidRPr="004832B6">
        <w:rPr>
          <w:rFonts w:ascii="Arial" w:eastAsia="Times New Roman" w:hAnsi="Arial" w:cs="Arial"/>
          <w:color w:val="333333"/>
          <w:sz w:val="24"/>
          <w:szCs w:val="24"/>
        </w:rPr>
        <w:t xml:space="preserve"> chapters 1 and 3</w:t>
      </w:r>
    </w:p>
    <w:p w:rsidR="00511374" w:rsidRPr="004832B6" w:rsidRDefault="00511374" w:rsidP="005B241B">
      <w:pPr>
        <w:spacing w:after="240" w:line="240" w:lineRule="auto"/>
        <w:contextualSpacing/>
        <w:rPr>
          <w:rFonts w:ascii="Arial" w:eastAsia="Times New Roman" w:hAnsi="Arial" w:cs="Arial"/>
          <w:color w:val="333333"/>
          <w:sz w:val="24"/>
          <w:szCs w:val="24"/>
        </w:rPr>
      </w:pPr>
      <w:r w:rsidRPr="004832B6">
        <w:rPr>
          <w:rFonts w:ascii="Arial" w:eastAsia="Times New Roman" w:hAnsi="Arial" w:cs="Arial"/>
          <w:color w:val="333333"/>
          <w:sz w:val="24"/>
          <w:szCs w:val="24"/>
        </w:rPr>
        <w:t>OXFORD SCHOLARSHIP, VIA ATHENS</w:t>
      </w:r>
    </w:p>
    <w:p w:rsidR="00511374" w:rsidRPr="004832B6" w:rsidRDefault="00511374" w:rsidP="005B241B">
      <w:pPr>
        <w:spacing w:after="240" w:line="240" w:lineRule="auto"/>
        <w:contextualSpacing/>
        <w:rPr>
          <w:rFonts w:ascii="Arial" w:eastAsia="Times New Roman" w:hAnsi="Arial" w:cs="Arial"/>
          <w:color w:val="333333"/>
          <w:sz w:val="24"/>
          <w:szCs w:val="24"/>
        </w:rPr>
      </w:pPr>
    </w:p>
    <w:p w:rsidR="00511374" w:rsidRPr="004832B6" w:rsidRDefault="00511374" w:rsidP="005B241B">
      <w:pPr>
        <w:spacing w:after="240" w:line="240" w:lineRule="auto"/>
        <w:contextualSpacing/>
        <w:rPr>
          <w:rFonts w:ascii="Arial" w:eastAsia="Times New Roman" w:hAnsi="Arial" w:cs="Arial"/>
          <w:color w:val="333333"/>
          <w:sz w:val="24"/>
          <w:szCs w:val="24"/>
        </w:rPr>
      </w:pPr>
      <w:r w:rsidRPr="004832B6">
        <w:rPr>
          <w:rFonts w:ascii="Arial" w:eastAsia="Times New Roman" w:hAnsi="Arial" w:cs="Arial"/>
          <w:color w:val="333333"/>
          <w:sz w:val="24"/>
          <w:szCs w:val="24"/>
        </w:rPr>
        <w:t>Bernstein, Mark, </w:t>
      </w:r>
      <w:r w:rsidRPr="004832B6">
        <w:rPr>
          <w:rFonts w:ascii="Arial" w:eastAsia="Times New Roman" w:hAnsi="Arial" w:cs="Arial"/>
          <w:i/>
          <w:iCs/>
          <w:color w:val="333333"/>
          <w:sz w:val="24"/>
          <w:szCs w:val="24"/>
        </w:rPr>
        <w:t>Fatalism</w:t>
      </w:r>
      <w:r w:rsidRPr="004832B6">
        <w:rPr>
          <w:rFonts w:ascii="Arial" w:eastAsia="Times New Roman" w:hAnsi="Arial" w:cs="Arial"/>
          <w:color w:val="333333"/>
          <w:sz w:val="24"/>
          <w:szCs w:val="24"/>
        </w:rPr>
        <w:t>,  </w:t>
      </w:r>
      <w:hyperlink r:id="rId4" w:history="1">
        <w:r w:rsidRPr="004832B6">
          <w:rPr>
            <w:rFonts w:ascii="Arial" w:eastAsia="Times New Roman" w:hAnsi="Arial" w:cs="Arial"/>
            <w:color w:val="0066CC"/>
            <w:sz w:val="24"/>
            <w:szCs w:val="24"/>
          </w:rPr>
          <w:t>The Oxford Handbook of Free Will</w:t>
        </w:r>
      </w:hyperlink>
      <w:r w:rsidRPr="004832B6">
        <w:rPr>
          <w:rFonts w:ascii="Arial" w:eastAsia="Times New Roman" w:hAnsi="Arial" w:cs="Arial"/>
          <w:color w:val="333333"/>
          <w:sz w:val="24"/>
          <w:szCs w:val="24"/>
        </w:rPr>
        <w:t>, Oxford Handbooks Online, 2005</w:t>
      </w:r>
    </w:p>
    <w:p w:rsidR="00511374" w:rsidRPr="004832B6" w:rsidRDefault="00511374" w:rsidP="005B241B">
      <w:pPr>
        <w:spacing w:after="240" w:line="240" w:lineRule="auto"/>
        <w:contextualSpacing/>
        <w:rPr>
          <w:rFonts w:ascii="Arial" w:eastAsia="Times New Roman" w:hAnsi="Arial" w:cs="Arial"/>
          <w:color w:val="333333"/>
          <w:sz w:val="24"/>
          <w:szCs w:val="24"/>
        </w:rPr>
      </w:pPr>
      <w:r w:rsidRPr="004832B6">
        <w:rPr>
          <w:rFonts w:ascii="Arial" w:eastAsia="Times New Roman" w:hAnsi="Arial" w:cs="Arial"/>
          <w:color w:val="333333"/>
          <w:sz w:val="24"/>
          <w:szCs w:val="24"/>
        </w:rPr>
        <w:t>http://www.oxfordhandbooks.com/oso/public/content/oho_philosophy/9780195178548/toc.html.</w:t>
      </w:r>
      <w:r w:rsidRPr="004832B6">
        <w:rPr>
          <w:rFonts w:ascii="Arial" w:eastAsia="Times New Roman" w:hAnsi="Arial" w:cs="Arial"/>
          <w:color w:val="333333"/>
          <w:sz w:val="24"/>
          <w:szCs w:val="24"/>
        </w:rPr>
        <w:br/>
      </w:r>
      <w:r w:rsidRPr="004832B6">
        <w:rPr>
          <w:rFonts w:ascii="Arial" w:eastAsia="Times New Roman" w:hAnsi="Arial" w:cs="Arial"/>
          <w:color w:val="333333"/>
          <w:sz w:val="24"/>
          <w:szCs w:val="24"/>
        </w:rPr>
        <w:br/>
        <w:t>THE DETERMINISM AND FREEDOM PHILOSOPHY WEBSITE</w:t>
      </w:r>
      <w:r w:rsidRPr="004832B6">
        <w:rPr>
          <w:rFonts w:ascii="Arial" w:eastAsia="Times New Roman" w:hAnsi="Arial" w:cs="Arial"/>
          <w:color w:val="333333"/>
          <w:sz w:val="24"/>
          <w:szCs w:val="24"/>
        </w:rPr>
        <w:br/>
      </w:r>
      <w:hyperlink r:id="rId5" w:history="1">
        <w:r w:rsidRPr="004832B6">
          <w:rPr>
            <w:rFonts w:ascii="Arial" w:eastAsia="Times New Roman" w:hAnsi="Arial" w:cs="Arial"/>
            <w:color w:val="0000FF"/>
            <w:sz w:val="24"/>
            <w:szCs w:val="24"/>
          </w:rPr>
          <w:t>http://www.ucl.ac.uk/~uctytho/dfwIntroIndex.htm</w:t>
        </w:r>
      </w:hyperlink>
      <w:r w:rsidRPr="004832B6">
        <w:rPr>
          <w:rFonts w:ascii="Arial" w:eastAsia="Times New Roman" w:hAnsi="Arial" w:cs="Arial"/>
          <w:color w:val="333333"/>
          <w:sz w:val="24"/>
          <w:szCs w:val="24"/>
        </w:rPr>
        <w:t>.</w:t>
      </w:r>
    </w:p>
    <w:p w:rsidR="00511374" w:rsidRPr="004832B6" w:rsidRDefault="00511374" w:rsidP="004832B6">
      <w:pPr>
        <w:spacing w:after="240" w:line="240" w:lineRule="auto"/>
        <w:contextualSpacing/>
        <w:rPr>
          <w:rFonts w:ascii="Arial" w:eastAsia="Times New Roman" w:hAnsi="Arial" w:cs="Arial"/>
          <w:color w:val="333333"/>
          <w:sz w:val="24"/>
          <w:szCs w:val="24"/>
        </w:rPr>
      </w:pPr>
      <w:r w:rsidRPr="004832B6">
        <w:rPr>
          <w:rFonts w:ascii="Arial" w:eastAsia="Times New Roman" w:hAnsi="Arial" w:cs="Arial"/>
          <w:color w:val="333333"/>
          <w:sz w:val="24"/>
          <w:szCs w:val="24"/>
        </w:rPr>
        <w:t xml:space="preserve">This web site contains a large number of academic papers by the leading thinkers in this field, focus on authors such as Kane, for the libertarian position and </w:t>
      </w:r>
      <w:proofErr w:type="spellStart"/>
      <w:r w:rsidRPr="004832B6">
        <w:rPr>
          <w:rFonts w:ascii="Arial" w:eastAsia="Times New Roman" w:hAnsi="Arial" w:cs="Arial"/>
          <w:color w:val="333333"/>
          <w:sz w:val="24"/>
          <w:szCs w:val="24"/>
        </w:rPr>
        <w:t>Honderick</w:t>
      </w:r>
      <w:proofErr w:type="spellEnd"/>
      <w:r w:rsidRPr="004832B6">
        <w:rPr>
          <w:rFonts w:ascii="Arial" w:eastAsia="Times New Roman" w:hAnsi="Arial" w:cs="Arial"/>
          <w:color w:val="333333"/>
          <w:sz w:val="24"/>
          <w:szCs w:val="24"/>
        </w:rPr>
        <w:t xml:space="preserve"> for the hard </w:t>
      </w:r>
      <w:proofErr w:type="spellStart"/>
      <w:r w:rsidRPr="004832B6">
        <w:rPr>
          <w:rFonts w:ascii="Arial" w:eastAsia="Times New Roman" w:hAnsi="Arial" w:cs="Arial"/>
          <w:color w:val="333333"/>
          <w:sz w:val="24"/>
          <w:szCs w:val="24"/>
        </w:rPr>
        <w:t>incompatibilist</w:t>
      </w:r>
      <w:proofErr w:type="spellEnd"/>
      <w:r w:rsidRPr="004832B6">
        <w:rPr>
          <w:rFonts w:ascii="Arial" w:eastAsia="Times New Roman" w:hAnsi="Arial" w:cs="Arial"/>
          <w:color w:val="333333"/>
          <w:sz w:val="24"/>
          <w:szCs w:val="24"/>
        </w:rPr>
        <w:t xml:space="preserve"> position (there is only determinism and no free will) and Hume for the compatibilist position. </w:t>
      </w:r>
      <w:r w:rsidRPr="004832B6">
        <w:rPr>
          <w:rFonts w:ascii="Arial" w:eastAsia="Times New Roman" w:hAnsi="Arial" w:cs="Arial"/>
          <w:color w:val="333333"/>
          <w:sz w:val="24"/>
          <w:szCs w:val="24"/>
        </w:rPr>
        <w:br/>
      </w:r>
      <w:r w:rsidRPr="004832B6">
        <w:rPr>
          <w:rFonts w:ascii="Arial" w:eastAsia="Times New Roman" w:hAnsi="Arial" w:cs="Arial"/>
          <w:color w:val="333333"/>
          <w:sz w:val="24"/>
          <w:szCs w:val="24"/>
        </w:rPr>
        <w:lastRenderedPageBreak/>
        <w:br/>
      </w:r>
      <w:r w:rsidRPr="004832B6">
        <w:rPr>
          <w:rFonts w:ascii="Arial" w:eastAsia="Times New Roman" w:hAnsi="Arial" w:cs="Arial"/>
          <w:b/>
          <w:bCs/>
          <w:color w:val="333333"/>
          <w:sz w:val="24"/>
          <w:szCs w:val="24"/>
        </w:rPr>
        <w:t>Optional Reading: Books</w:t>
      </w:r>
    </w:p>
    <w:p w:rsidR="00511374" w:rsidRPr="001C5303" w:rsidRDefault="00511374" w:rsidP="005B241B">
      <w:pPr>
        <w:spacing w:before="100" w:beforeAutospacing="1" w:after="0" w:line="240" w:lineRule="auto"/>
        <w:contextualSpacing/>
        <w:rPr>
          <w:rFonts w:eastAsia="Times New Roman" w:cs="Arial"/>
          <w:color w:val="333333"/>
          <w:sz w:val="24"/>
          <w:szCs w:val="24"/>
        </w:rPr>
      </w:pPr>
      <w:r w:rsidRPr="001C5303">
        <w:rPr>
          <w:rFonts w:eastAsia="Times New Roman" w:cs="Arial"/>
          <w:color w:val="333333"/>
          <w:sz w:val="24"/>
          <w:szCs w:val="24"/>
        </w:rPr>
        <w:t>The number of books available on determinism is vast. However, these may be relevant should you wish to write about this topic</w:t>
      </w:r>
    </w:p>
    <w:p w:rsidR="00511374" w:rsidRDefault="00511374" w:rsidP="004832B6">
      <w:pPr>
        <w:spacing w:before="100" w:beforeAutospacing="1" w:after="0" w:line="240" w:lineRule="auto"/>
        <w:contextualSpacing/>
        <w:rPr>
          <w:rFonts w:eastAsia="Times New Roman" w:cs="Arial"/>
          <w:color w:val="333333"/>
          <w:sz w:val="24"/>
          <w:szCs w:val="24"/>
        </w:rPr>
      </w:pPr>
      <w:r w:rsidRPr="001C5303">
        <w:rPr>
          <w:rFonts w:eastAsia="Times New Roman" w:cs="Arial"/>
          <w:color w:val="333333"/>
          <w:sz w:val="24"/>
          <w:szCs w:val="24"/>
        </w:rPr>
        <w:br/>
        <w:t>Adorno, Theodor, W., ‘The Stars Down to Earth: The Los Angeles Times Astrology Column’, in The Stars Down to Earth and Other Essays on the Irrational in Culture, edited by Stephen Crook, pp. 34-127. London: Routledge, 1994.</w:t>
      </w:r>
      <w:r w:rsidRPr="001C5303">
        <w:rPr>
          <w:rFonts w:eastAsia="Times New Roman" w:cs="Arial"/>
          <w:color w:val="333333"/>
          <w:sz w:val="24"/>
          <w:szCs w:val="24"/>
        </w:rPr>
        <w:br/>
      </w:r>
      <w:r w:rsidRPr="001C5303">
        <w:rPr>
          <w:rFonts w:eastAsia="Times New Roman" w:cs="Arial"/>
          <w:color w:val="333333"/>
          <w:sz w:val="24"/>
          <w:szCs w:val="24"/>
        </w:rPr>
        <w:br/>
        <w:t>Dawkins, Richard, The Blind Watchmaker, London: Penguin 1991,  Chap 1</w:t>
      </w:r>
      <w:r w:rsidRPr="001C5303">
        <w:rPr>
          <w:rFonts w:eastAsia="Times New Roman" w:cs="Arial"/>
          <w:color w:val="333333"/>
          <w:sz w:val="24"/>
          <w:szCs w:val="24"/>
        </w:rPr>
        <w:br/>
      </w:r>
      <w:r w:rsidRPr="001C5303">
        <w:rPr>
          <w:rFonts w:eastAsia="Times New Roman" w:cs="Arial"/>
          <w:color w:val="333333"/>
          <w:sz w:val="24"/>
          <w:szCs w:val="24"/>
        </w:rPr>
        <w:br/>
        <w:t>Hawking, Stephen, Black Holes and Baby Universes, London: Bantam 1994, chap 12 (‘Is Everything Determined?’)</w:t>
      </w:r>
      <w:r w:rsidRPr="001C5303">
        <w:rPr>
          <w:rFonts w:eastAsia="Times New Roman" w:cs="Arial"/>
          <w:color w:val="333333"/>
          <w:sz w:val="24"/>
          <w:szCs w:val="24"/>
        </w:rPr>
        <w:br/>
      </w:r>
      <w:r w:rsidRPr="001C5303">
        <w:rPr>
          <w:rFonts w:eastAsia="Times New Roman" w:cs="Arial"/>
          <w:color w:val="333333"/>
          <w:sz w:val="24"/>
          <w:szCs w:val="24"/>
        </w:rPr>
        <w:br/>
        <w:t xml:space="preserve">Hume, David, An Enquiry Concerning Human Understanding. Edited by Eric Steinberg. Cambridge: Hackett Publishing Company, 1977, Reprint, 2nd. pp 53-69 (Section VIII </w:t>
      </w:r>
      <w:proofErr w:type="gramStart"/>
      <w:r w:rsidRPr="001C5303">
        <w:rPr>
          <w:rFonts w:eastAsia="Times New Roman" w:cs="Arial"/>
          <w:color w:val="333333"/>
          <w:sz w:val="24"/>
          <w:szCs w:val="24"/>
        </w:rPr>
        <w:t>Of</w:t>
      </w:r>
      <w:proofErr w:type="gramEnd"/>
      <w:r w:rsidRPr="001C5303">
        <w:rPr>
          <w:rFonts w:eastAsia="Times New Roman" w:cs="Arial"/>
          <w:color w:val="333333"/>
          <w:sz w:val="24"/>
          <w:szCs w:val="24"/>
        </w:rPr>
        <w:t xml:space="preserve"> Liberty and Necessity).</w:t>
      </w:r>
    </w:p>
    <w:p w:rsidR="001C5303" w:rsidRDefault="001C5303" w:rsidP="004832B6">
      <w:pPr>
        <w:spacing w:before="100" w:beforeAutospacing="1" w:after="0" w:line="240" w:lineRule="auto"/>
        <w:contextualSpacing/>
        <w:rPr>
          <w:rFonts w:eastAsia="Times New Roman" w:cs="Arial"/>
          <w:color w:val="333333"/>
          <w:sz w:val="24"/>
          <w:szCs w:val="24"/>
        </w:rPr>
      </w:pPr>
    </w:p>
    <w:p w:rsidR="001C5303" w:rsidRDefault="001C5303" w:rsidP="004832B6">
      <w:pPr>
        <w:spacing w:before="100" w:beforeAutospacing="1" w:after="0" w:line="240" w:lineRule="auto"/>
        <w:contextualSpacing/>
        <w:rPr>
          <w:rFonts w:eastAsia="Times New Roman" w:cs="Arial"/>
          <w:b/>
          <w:color w:val="333333"/>
          <w:sz w:val="24"/>
          <w:szCs w:val="24"/>
        </w:rPr>
      </w:pPr>
    </w:p>
    <w:p w:rsidR="001C5303" w:rsidRPr="001C5303" w:rsidRDefault="001C5303" w:rsidP="004832B6">
      <w:pPr>
        <w:spacing w:before="100" w:beforeAutospacing="1" w:after="0" w:line="240" w:lineRule="auto"/>
        <w:contextualSpacing/>
        <w:rPr>
          <w:rFonts w:eastAsia="Times New Roman" w:cs="Arial"/>
          <w:b/>
          <w:color w:val="333333"/>
          <w:sz w:val="24"/>
          <w:szCs w:val="24"/>
        </w:rPr>
      </w:pPr>
      <w:bookmarkStart w:id="0" w:name="_GoBack"/>
      <w:bookmarkEnd w:id="0"/>
      <w:r w:rsidRPr="001C5303">
        <w:rPr>
          <w:rFonts w:eastAsia="Times New Roman" w:cs="Arial"/>
          <w:b/>
          <w:color w:val="333333"/>
          <w:sz w:val="24"/>
          <w:szCs w:val="24"/>
        </w:rPr>
        <w:t>Additional books and JSTOR papers</w:t>
      </w:r>
    </w:p>
    <w:p w:rsidR="001C5303" w:rsidRPr="001C5303" w:rsidRDefault="001C5303" w:rsidP="004832B6">
      <w:pPr>
        <w:spacing w:before="100" w:beforeAutospacing="1" w:after="0" w:line="240" w:lineRule="auto"/>
        <w:contextualSpacing/>
        <w:rPr>
          <w:rFonts w:eastAsia="Times New Roman" w:cs="Arial"/>
          <w:color w:val="333333"/>
          <w:sz w:val="24"/>
          <w:szCs w:val="24"/>
        </w:rPr>
      </w:pPr>
    </w:p>
    <w:p w:rsidR="001C5303" w:rsidRPr="001C5303" w:rsidRDefault="001C5303" w:rsidP="001C5303">
      <w:pPr>
        <w:autoSpaceDE w:val="0"/>
        <w:autoSpaceDN w:val="0"/>
        <w:adjustRightInd w:val="0"/>
        <w:spacing w:after="0" w:line="240" w:lineRule="auto"/>
        <w:ind w:left="720" w:hanging="720"/>
        <w:rPr>
          <w:rFonts w:cs="Segoe UI"/>
          <w:sz w:val="24"/>
          <w:szCs w:val="24"/>
        </w:rPr>
      </w:pPr>
      <w:proofErr w:type="spellStart"/>
      <w:r w:rsidRPr="001C5303">
        <w:rPr>
          <w:rFonts w:cs="Segoe UI"/>
          <w:sz w:val="24"/>
          <w:szCs w:val="24"/>
        </w:rPr>
        <w:t>Broadie</w:t>
      </w:r>
      <w:proofErr w:type="spellEnd"/>
      <w:r w:rsidRPr="001C5303">
        <w:rPr>
          <w:rFonts w:cs="Segoe UI"/>
          <w:sz w:val="24"/>
          <w:szCs w:val="24"/>
        </w:rPr>
        <w:t xml:space="preserve">, Sarah, 'From Necessity to </w:t>
      </w:r>
      <w:r w:rsidRPr="001C5303">
        <w:rPr>
          <w:rFonts w:cs="Segoe UI"/>
          <w:color w:val="000000"/>
          <w:sz w:val="24"/>
          <w:szCs w:val="24"/>
        </w:rPr>
        <w:t>Fate</w:t>
      </w:r>
      <w:r w:rsidRPr="001C5303">
        <w:rPr>
          <w:rFonts w:cs="Segoe UI"/>
          <w:sz w:val="24"/>
          <w:szCs w:val="24"/>
        </w:rPr>
        <w:t xml:space="preserve">: A Fallacy?', </w:t>
      </w:r>
      <w:r w:rsidRPr="001C5303">
        <w:rPr>
          <w:rFonts w:cs="Segoe UI"/>
          <w:i/>
          <w:iCs/>
          <w:sz w:val="24"/>
          <w:szCs w:val="24"/>
        </w:rPr>
        <w:t>The Journal of Ethics,</w:t>
      </w:r>
      <w:r w:rsidRPr="001C5303">
        <w:rPr>
          <w:rFonts w:cs="Segoe UI"/>
          <w:sz w:val="24"/>
          <w:szCs w:val="24"/>
        </w:rPr>
        <w:t xml:space="preserve"> 5 (2001), 21-37.</w:t>
      </w:r>
    </w:p>
    <w:p w:rsidR="001C5303" w:rsidRPr="001C5303" w:rsidRDefault="001C5303" w:rsidP="001C5303">
      <w:pPr>
        <w:rPr>
          <w:rFonts w:cs="Segoe UI"/>
          <w:sz w:val="24"/>
          <w:szCs w:val="24"/>
        </w:rPr>
      </w:pPr>
      <w:proofErr w:type="spellStart"/>
      <w:r w:rsidRPr="001C5303">
        <w:rPr>
          <w:rFonts w:cs="Segoe UI"/>
          <w:sz w:val="24"/>
          <w:szCs w:val="24"/>
        </w:rPr>
        <w:t>Broadie</w:t>
      </w:r>
      <w:proofErr w:type="spellEnd"/>
      <w:r w:rsidRPr="001C5303">
        <w:rPr>
          <w:rFonts w:cs="Segoe UI"/>
          <w:sz w:val="24"/>
          <w:szCs w:val="24"/>
        </w:rPr>
        <w:t xml:space="preserve">, Sarah, </w:t>
      </w:r>
      <w:r w:rsidRPr="001C5303">
        <w:rPr>
          <w:rFonts w:cs="Segoe UI"/>
          <w:i/>
          <w:iCs/>
          <w:sz w:val="24"/>
          <w:szCs w:val="24"/>
        </w:rPr>
        <w:t>Nature and Divinity in Plato's Timaeus</w:t>
      </w:r>
      <w:r w:rsidRPr="001C5303">
        <w:rPr>
          <w:rFonts w:cs="Segoe UI"/>
          <w:sz w:val="24"/>
          <w:szCs w:val="24"/>
        </w:rPr>
        <w:t xml:space="preserve"> (</w:t>
      </w:r>
      <w:proofErr w:type="gramStart"/>
      <w:r w:rsidRPr="001C5303">
        <w:rPr>
          <w:rFonts w:cs="Segoe UI"/>
          <w:sz w:val="24"/>
          <w:szCs w:val="24"/>
        </w:rPr>
        <w:t>Cambridge ;</w:t>
      </w:r>
      <w:proofErr w:type="gramEnd"/>
      <w:r w:rsidRPr="001C5303">
        <w:rPr>
          <w:rFonts w:cs="Segoe UI"/>
          <w:sz w:val="24"/>
          <w:szCs w:val="24"/>
        </w:rPr>
        <w:t xml:space="preserve"> New York: Cambridge University Press, 2012).</w:t>
      </w:r>
    </w:p>
    <w:p w:rsidR="001C5303" w:rsidRPr="001C5303" w:rsidRDefault="001C5303" w:rsidP="001C5303">
      <w:pPr>
        <w:rPr>
          <w:rFonts w:cs="Segoe UI"/>
          <w:sz w:val="24"/>
          <w:szCs w:val="24"/>
        </w:rPr>
      </w:pPr>
      <w:r w:rsidRPr="001C5303">
        <w:rPr>
          <w:rFonts w:cs="Segoe UI"/>
          <w:sz w:val="24"/>
          <w:szCs w:val="24"/>
        </w:rPr>
        <w:t xml:space="preserve">Brady, Bernadette, 'The Star of Bethlehem and Luke's Shepherds: An Exploration of the Astrological Features of the Two Nativity Stories', in </w:t>
      </w:r>
      <w:r w:rsidRPr="001C5303">
        <w:rPr>
          <w:rFonts w:cs="Segoe UI"/>
          <w:i/>
          <w:iCs/>
          <w:sz w:val="24"/>
          <w:szCs w:val="24"/>
        </w:rPr>
        <w:t>Ancient Cosmologies and Modern Prophets</w:t>
      </w:r>
      <w:r w:rsidRPr="001C5303">
        <w:rPr>
          <w:rFonts w:cs="Segoe UI"/>
          <w:sz w:val="24"/>
          <w:szCs w:val="24"/>
        </w:rPr>
        <w:t xml:space="preserve">, ed. by Ivan </w:t>
      </w:r>
      <w:proofErr w:type="spellStart"/>
      <w:r w:rsidRPr="001C5303">
        <w:rPr>
          <w:rFonts w:cs="Segoe UI"/>
          <w:sz w:val="24"/>
          <w:szCs w:val="24"/>
        </w:rPr>
        <w:t>Šprajc</w:t>
      </w:r>
      <w:proofErr w:type="spellEnd"/>
      <w:r w:rsidRPr="001C5303">
        <w:rPr>
          <w:rFonts w:cs="Segoe UI"/>
          <w:sz w:val="24"/>
          <w:szCs w:val="24"/>
        </w:rPr>
        <w:t xml:space="preserve"> and Peter </w:t>
      </w:r>
      <w:proofErr w:type="spellStart"/>
      <w:r w:rsidRPr="001C5303">
        <w:rPr>
          <w:rFonts w:cs="Segoe UI"/>
          <w:sz w:val="24"/>
          <w:szCs w:val="24"/>
        </w:rPr>
        <w:t>Pehani</w:t>
      </w:r>
      <w:proofErr w:type="spellEnd"/>
      <w:r w:rsidRPr="001C5303">
        <w:rPr>
          <w:rFonts w:cs="Segoe UI"/>
          <w:sz w:val="24"/>
          <w:szCs w:val="24"/>
        </w:rPr>
        <w:t xml:space="preserve"> (Ljubljana, Slovene: Slovene Anthropological Society, 2013), pp. 443-456.</w:t>
      </w:r>
    </w:p>
    <w:p w:rsidR="001C5303" w:rsidRPr="001C5303" w:rsidRDefault="001C5303" w:rsidP="001C5303">
      <w:pPr>
        <w:rPr>
          <w:rFonts w:cs="Segoe UI"/>
          <w:sz w:val="24"/>
          <w:szCs w:val="24"/>
        </w:rPr>
      </w:pPr>
      <w:proofErr w:type="spellStart"/>
      <w:r w:rsidRPr="001C5303">
        <w:rPr>
          <w:rFonts w:cs="Segoe UI"/>
          <w:sz w:val="24"/>
          <w:szCs w:val="24"/>
        </w:rPr>
        <w:t>Burrus</w:t>
      </w:r>
      <w:proofErr w:type="spellEnd"/>
      <w:r w:rsidRPr="001C5303">
        <w:rPr>
          <w:rFonts w:cs="Segoe UI"/>
          <w:sz w:val="24"/>
          <w:szCs w:val="24"/>
        </w:rPr>
        <w:t xml:space="preserve">, Jeremy, and </w:t>
      </w:r>
      <w:proofErr w:type="spellStart"/>
      <w:r w:rsidRPr="001C5303">
        <w:rPr>
          <w:rFonts w:cs="Segoe UI"/>
          <w:sz w:val="24"/>
          <w:szCs w:val="24"/>
        </w:rPr>
        <w:t>Roese</w:t>
      </w:r>
      <w:proofErr w:type="spellEnd"/>
      <w:r w:rsidRPr="001C5303">
        <w:rPr>
          <w:rFonts w:cs="Segoe UI"/>
          <w:sz w:val="24"/>
          <w:szCs w:val="24"/>
        </w:rPr>
        <w:t xml:space="preserve">, Neal J., 'Long Ago It Was Meant to Be: The Interplay between Time, Construal, and </w:t>
      </w:r>
      <w:r w:rsidRPr="001C5303">
        <w:rPr>
          <w:rFonts w:cs="Segoe UI"/>
          <w:color w:val="000000"/>
          <w:sz w:val="24"/>
          <w:szCs w:val="24"/>
        </w:rPr>
        <w:t>Fate</w:t>
      </w:r>
      <w:r w:rsidRPr="001C5303">
        <w:rPr>
          <w:rFonts w:cs="Segoe UI"/>
          <w:sz w:val="24"/>
          <w:szCs w:val="24"/>
        </w:rPr>
        <w:t xml:space="preserve"> Beliefs', </w:t>
      </w:r>
      <w:r w:rsidRPr="001C5303">
        <w:rPr>
          <w:rFonts w:cs="Segoe UI"/>
          <w:i/>
          <w:iCs/>
          <w:sz w:val="24"/>
          <w:szCs w:val="24"/>
        </w:rPr>
        <w:t xml:space="preserve">Personality Social Psychological </w:t>
      </w:r>
      <w:proofErr w:type="spellStart"/>
      <w:r w:rsidRPr="001C5303">
        <w:rPr>
          <w:rFonts w:cs="Segoe UI"/>
          <w:i/>
          <w:iCs/>
          <w:sz w:val="24"/>
          <w:szCs w:val="24"/>
        </w:rPr>
        <w:t>Buttetin</w:t>
      </w:r>
      <w:proofErr w:type="spellEnd"/>
      <w:r w:rsidRPr="001C5303">
        <w:rPr>
          <w:rFonts w:cs="Segoe UI"/>
          <w:i/>
          <w:iCs/>
          <w:sz w:val="24"/>
          <w:szCs w:val="24"/>
        </w:rPr>
        <w:t>,</w:t>
      </w:r>
      <w:r w:rsidRPr="001C5303">
        <w:rPr>
          <w:rFonts w:cs="Segoe UI"/>
          <w:sz w:val="24"/>
          <w:szCs w:val="24"/>
        </w:rPr>
        <w:t xml:space="preserve"> 32 (2006), 1050-1058.</w:t>
      </w:r>
    </w:p>
    <w:p w:rsidR="001C5303" w:rsidRPr="001C5303" w:rsidRDefault="001C5303" w:rsidP="001C5303">
      <w:pPr>
        <w:rPr>
          <w:rFonts w:cs="Segoe UI"/>
          <w:sz w:val="24"/>
          <w:szCs w:val="24"/>
        </w:rPr>
      </w:pPr>
      <w:r w:rsidRPr="001C5303">
        <w:rPr>
          <w:rFonts w:cs="Segoe UI"/>
          <w:sz w:val="24"/>
          <w:szCs w:val="24"/>
        </w:rPr>
        <w:t xml:space="preserve">Cahn, Steven M, </w:t>
      </w:r>
      <w:r w:rsidRPr="001C5303">
        <w:rPr>
          <w:rFonts w:cs="Segoe UI"/>
          <w:i/>
          <w:iCs/>
          <w:color w:val="000000"/>
          <w:sz w:val="24"/>
          <w:szCs w:val="24"/>
        </w:rPr>
        <w:t>Fate</w:t>
      </w:r>
      <w:r w:rsidRPr="001C5303">
        <w:rPr>
          <w:rFonts w:cs="Segoe UI"/>
          <w:i/>
          <w:iCs/>
          <w:sz w:val="24"/>
          <w:szCs w:val="24"/>
        </w:rPr>
        <w:t>, Time and Logic</w:t>
      </w:r>
      <w:r w:rsidRPr="001C5303">
        <w:rPr>
          <w:rFonts w:cs="Segoe UI"/>
          <w:sz w:val="24"/>
          <w:szCs w:val="24"/>
        </w:rPr>
        <w:t xml:space="preserve"> (New Haven: Yale University Press, 1967).</w:t>
      </w:r>
    </w:p>
    <w:p w:rsidR="001C5303" w:rsidRPr="001C5303" w:rsidRDefault="001C5303" w:rsidP="001C5303">
      <w:pPr>
        <w:rPr>
          <w:rFonts w:cs="Segoe UI"/>
          <w:sz w:val="24"/>
          <w:szCs w:val="24"/>
        </w:rPr>
      </w:pPr>
      <w:r w:rsidRPr="001C5303">
        <w:rPr>
          <w:rFonts w:cs="Segoe UI"/>
          <w:sz w:val="24"/>
          <w:szCs w:val="24"/>
        </w:rPr>
        <w:t xml:space="preserve">Cunning, David, 'Descartes on the Immutability of the Divine Will', </w:t>
      </w:r>
      <w:r w:rsidRPr="001C5303">
        <w:rPr>
          <w:rFonts w:cs="Segoe UI"/>
          <w:i/>
          <w:iCs/>
          <w:sz w:val="24"/>
          <w:szCs w:val="24"/>
        </w:rPr>
        <w:t>Religious Studies,</w:t>
      </w:r>
      <w:r w:rsidRPr="001C5303">
        <w:rPr>
          <w:rFonts w:cs="Segoe UI"/>
          <w:sz w:val="24"/>
          <w:szCs w:val="24"/>
        </w:rPr>
        <w:t xml:space="preserve"> 39 (2003), 79-92.</w:t>
      </w:r>
    </w:p>
    <w:p w:rsidR="001C5303" w:rsidRPr="001C5303" w:rsidRDefault="001C5303" w:rsidP="001C5303">
      <w:pPr>
        <w:rPr>
          <w:rFonts w:cs="Segoe UI"/>
          <w:sz w:val="24"/>
          <w:szCs w:val="24"/>
        </w:rPr>
      </w:pPr>
      <w:r w:rsidRPr="001C5303">
        <w:rPr>
          <w:rFonts w:cs="Segoe UI"/>
          <w:sz w:val="24"/>
          <w:szCs w:val="24"/>
        </w:rPr>
        <w:t xml:space="preserve">den </w:t>
      </w:r>
      <w:proofErr w:type="spellStart"/>
      <w:r w:rsidRPr="001C5303">
        <w:rPr>
          <w:rFonts w:cs="Segoe UI"/>
          <w:sz w:val="24"/>
          <w:szCs w:val="24"/>
        </w:rPr>
        <w:t>Boeft</w:t>
      </w:r>
      <w:proofErr w:type="spellEnd"/>
      <w:r w:rsidRPr="001C5303">
        <w:rPr>
          <w:rFonts w:cs="Segoe UI"/>
          <w:sz w:val="24"/>
          <w:szCs w:val="24"/>
        </w:rPr>
        <w:t xml:space="preserve">, J., </w:t>
      </w:r>
      <w:proofErr w:type="spellStart"/>
      <w:r w:rsidRPr="001C5303">
        <w:rPr>
          <w:rFonts w:cs="Segoe UI"/>
          <w:i/>
          <w:iCs/>
          <w:sz w:val="24"/>
          <w:szCs w:val="24"/>
        </w:rPr>
        <w:t>Calcidius</w:t>
      </w:r>
      <w:proofErr w:type="spellEnd"/>
      <w:r w:rsidRPr="001C5303">
        <w:rPr>
          <w:rFonts w:cs="Segoe UI"/>
          <w:i/>
          <w:iCs/>
          <w:sz w:val="24"/>
          <w:szCs w:val="24"/>
        </w:rPr>
        <w:t xml:space="preserve"> on </w:t>
      </w:r>
      <w:r w:rsidRPr="001C5303">
        <w:rPr>
          <w:rFonts w:cs="Segoe UI"/>
          <w:i/>
          <w:iCs/>
          <w:color w:val="000000"/>
          <w:sz w:val="24"/>
          <w:szCs w:val="24"/>
        </w:rPr>
        <w:t>Fate</w:t>
      </w:r>
      <w:r w:rsidRPr="001C5303">
        <w:rPr>
          <w:rFonts w:cs="Segoe UI"/>
          <w:sz w:val="24"/>
          <w:szCs w:val="24"/>
        </w:rPr>
        <w:t xml:space="preserve"> (Leiden: </w:t>
      </w:r>
      <w:proofErr w:type="spellStart"/>
      <w:r w:rsidRPr="001C5303">
        <w:rPr>
          <w:rFonts w:cs="Segoe UI"/>
          <w:sz w:val="24"/>
          <w:szCs w:val="24"/>
        </w:rPr>
        <w:t>E.</w:t>
      </w:r>
      <w:proofErr w:type="gramStart"/>
      <w:r w:rsidRPr="001C5303">
        <w:rPr>
          <w:rFonts w:cs="Segoe UI"/>
          <w:sz w:val="24"/>
          <w:szCs w:val="24"/>
        </w:rPr>
        <w:t>J.Brill</w:t>
      </w:r>
      <w:proofErr w:type="spellEnd"/>
      <w:proofErr w:type="gramEnd"/>
      <w:r w:rsidRPr="001C5303">
        <w:rPr>
          <w:rFonts w:cs="Segoe UI"/>
          <w:sz w:val="24"/>
          <w:szCs w:val="24"/>
        </w:rPr>
        <w:t>, 1970).</w:t>
      </w:r>
    </w:p>
    <w:p w:rsidR="001C5303" w:rsidRPr="001C5303" w:rsidRDefault="001C5303" w:rsidP="001C5303">
      <w:pPr>
        <w:rPr>
          <w:rFonts w:cs="Segoe UI"/>
          <w:sz w:val="24"/>
          <w:szCs w:val="24"/>
        </w:rPr>
      </w:pPr>
      <w:proofErr w:type="spellStart"/>
      <w:r w:rsidRPr="001C5303">
        <w:rPr>
          <w:rFonts w:cs="Segoe UI"/>
          <w:sz w:val="24"/>
          <w:szCs w:val="24"/>
        </w:rPr>
        <w:t>Denzey</w:t>
      </w:r>
      <w:proofErr w:type="spellEnd"/>
      <w:r w:rsidRPr="001C5303">
        <w:rPr>
          <w:rFonts w:cs="Segoe UI"/>
          <w:sz w:val="24"/>
          <w:szCs w:val="24"/>
        </w:rPr>
        <w:t xml:space="preserve">, Nicola, 'A New Star on the Horizon - Astral </w:t>
      </w:r>
      <w:proofErr w:type="spellStart"/>
      <w:r w:rsidRPr="001C5303">
        <w:rPr>
          <w:rFonts w:cs="Segoe UI"/>
          <w:sz w:val="24"/>
          <w:szCs w:val="24"/>
        </w:rPr>
        <w:t>Christologies</w:t>
      </w:r>
      <w:proofErr w:type="spellEnd"/>
      <w:r w:rsidRPr="001C5303">
        <w:rPr>
          <w:rFonts w:cs="Segoe UI"/>
          <w:sz w:val="24"/>
          <w:szCs w:val="24"/>
        </w:rPr>
        <w:t xml:space="preserve"> and Stellar Debates in Early Christian Discourse', in </w:t>
      </w:r>
      <w:r w:rsidRPr="001C5303">
        <w:rPr>
          <w:rFonts w:cs="Segoe UI"/>
          <w:i/>
          <w:iCs/>
          <w:sz w:val="24"/>
          <w:szCs w:val="24"/>
        </w:rPr>
        <w:t>Prayer, Magic, and the Stars in the Ancient and Late Antique World</w:t>
      </w:r>
      <w:r w:rsidRPr="001C5303">
        <w:rPr>
          <w:rFonts w:cs="Segoe UI"/>
          <w:sz w:val="24"/>
          <w:szCs w:val="24"/>
        </w:rPr>
        <w:t xml:space="preserve">, ed. by Scott B. </w:t>
      </w:r>
      <w:proofErr w:type="spellStart"/>
      <w:r w:rsidRPr="001C5303">
        <w:rPr>
          <w:rFonts w:cs="Segoe UI"/>
          <w:sz w:val="24"/>
          <w:szCs w:val="24"/>
        </w:rPr>
        <w:t>Noegel</w:t>
      </w:r>
      <w:proofErr w:type="spellEnd"/>
      <w:r w:rsidRPr="001C5303">
        <w:rPr>
          <w:rFonts w:cs="Segoe UI"/>
          <w:sz w:val="24"/>
          <w:szCs w:val="24"/>
        </w:rPr>
        <w:t xml:space="preserve">, Joel Thomas Walker and Brannon M. Wheeler (University Park, </w:t>
      </w:r>
      <w:proofErr w:type="gramStart"/>
      <w:r w:rsidRPr="001C5303">
        <w:rPr>
          <w:rFonts w:cs="Segoe UI"/>
          <w:sz w:val="24"/>
          <w:szCs w:val="24"/>
        </w:rPr>
        <w:t>Pa. ;</w:t>
      </w:r>
      <w:proofErr w:type="gramEnd"/>
      <w:r w:rsidRPr="001C5303">
        <w:rPr>
          <w:rFonts w:cs="Segoe UI"/>
          <w:sz w:val="24"/>
          <w:szCs w:val="24"/>
        </w:rPr>
        <w:t xml:space="preserve"> [Great Britain]: Pennsylvania State University Press, 2003), pp. 207-222.</w:t>
      </w:r>
    </w:p>
    <w:p w:rsidR="001C5303" w:rsidRPr="001C5303" w:rsidRDefault="001C5303" w:rsidP="001C5303">
      <w:pPr>
        <w:rPr>
          <w:rFonts w:cs="Segoe UI"/>
          <w:sz w:val="24"/>
          <w:szCs w:val="24"/>
        </w:rPr>
      </w:pPr>
      <w:r w:rsidRPr="001C5303">
        <w:rPr>
          <w:rFonts w:cs="Segoe UI"/>
          <w:sz w:val="24"/>
          <w:szCs w:val="24"/>
        </w:rPr>
        <w:lastRenderedPageBreak/>
        <w:t xml:space="preserve">Dietrich, B. C., 'The Spinning of </w:t>
      </w:r>
      <w:r w:rsidRPr="001C5303">
        <w:rPr>
          <w:rFonts w:cs="Segoe UI"/>
          <w:color w:val="000000"/>
          <w:sz w:val="24"/>
          <w:szCs w:val="24"/>
        </w:rPr>
        <w:t>Fate</w:t>
      </w:r>
      <w:r w:rsidRPr="001C5303">
        <w:rPr>
          <w:rFonts w:cs="Segoe UI"/>
          <w:sz w:val="24"/>
          <w:szCs w:val="24"/>
        </w:rPr>
        <w:t xml:space="preserve"> in Homer', </w:t>
      </w:r>
      <w:r w:rsidRPr="001C5303">
        <w:rPr>
          <w:rFonts w:cs="Segoe UI"/>
          <w:i/>
          <w:iCs/>
          <w:sz w:val="24"/>
          <w:szCs w:val="24"/>
        </w:rPr>
        <w:t>Phoenix,</w:t>
      </w:r>
      <w:r w:rsidRPr="001C5303">
        <w:rPr>
          <w:rFonts w:cs="Segoe UI"/>
          <w:sz w:val="24"/>
          <w:szCs w:val="24"/>
        </w:rPr>
        <w:t xml:space="preserve"> 16 (1962), 86-101.</w:t>
      </w:r>
    </w:p>
    <w:p w:rsidR="001C5303" w:rsidRPr="001C5303" w:rsidRDefault="001C5303" w:rsidP="001C5303">
      <w:pPr>
        <w:rPr>
          <w:rFonts w:cs="Segoe UI"/>
          <w:sz w:val="24"/>
          <w:szCs w:val="24"/>
        </w:rPr>
      </w:pPr>
      <w:proofErr w:type="spellStart"/>
      <w:r w:rsidRPr="001C5303">
        <w:rPr>
          <w:rFonts w:cs="Segoe UI"/>
          <w:sz w:val="24"/>
          <w:szCs w:val="24"/>
        </w:rPr>
        <w:t>Dodds</w:t>
      </w:r>
      <w:proofErr w:type="spellEnd"/>
      <w:r w:rsidRPr="001C5303">
        <w:rPr>
          <w:rFonts w:cs="Segoe UI"/>
          <w:sz w:val="24"/>
          <w:szCs w:val="24"/>
        </w:rPr>
        <w:t xml:space="preserve">, E. R., 'On Misunderstanding the 'Oedipus Rex'', </w:t>
      </w:r>
      <w:r w:rsidRPr="001C5303">
        <w:rPr>
          <w:rFonts w:cs="Segoe UI"/>
          <w:i/>
          <w:iCs/>
          <w:sz w:val="24"/>
          <w:szCs w:val="24"/>
        </w:rPr>
        <w:t>Greece &amp; Rome,</w:t>
      </w:r>
      <w:r w:rsidRPr="001C5303">
        <w:rPr>
          <w:rFonts w:cs="Segoe UI"/>
          <w:sz w:val="24"/>
          <w:szCs w:val="24"/>
        </w:rPr>
        <w:t xml:space="preserve"> 13 (1966), 37-49.</w:t>
      </w:r>
    </w:p>
    <w:p w:rsidR="001C5303" w:rsidRPr="001C5303" w:rsidRDefault="001C5303" w:rsidP="001C5303">
      <w:pPr>
        <w:rPr>
          <w:rFonts w:cs="Segoe UI"/>
          <w:sz w:val="24"/>
          <w:szCs w:val="24"/>
        </w:rPr>
      </w:pPr>
      <w:proofErr w:type="spellStart"/>
      <w:r w:rsidRPr="001C5303">
        <w:rPr>
          <w:rFonts w:cs="Segoe UI"/>
          <w:sz w:val="24"/>
          <w:szCs w:val="24"/>
        </w:rPr>
        <w:t>Doob</w:t>
      </w:r>
      <w:proofErr w:type="spellEnd"/>
      <w:r w:rsidRPr="001C5303">
        <w:rPr>
          <w:rFonts w:cs="Segoe UI"/>
          <w:sz w:val="24"/>
          <w:szCs w:val="24"/>
        </w:rPr>
        <w:t xml:space="preserve">, Leonard W., </w:t>
      </w:r>
      <w:proofErr w:type="gramStart"/>
      <w:r w:rsidRPr="001C5303">
        <w:rPr>
          <w:rFonts w:cs="Segoe UI"/>
          <w:i/>
          <w:iCs/>
          <w:sz w:val="24"/>
          <w:szCs w:val="24"/>
        </w:rPr>
        <w:t>Inevitability :</w:t>
      </w:r>
      <w:proofErr w:type="gramEnd"/>
      <w:r w:rsidRPr="001C5303">
        <w:rPr>
          <w:rFonts w:cs="Segoe UI"/>
          <w:i/>
          <w:iCs/>
          <w:sz w:val="24"/>
          <w:szCs w:val="24"/>
        </w:rPr>
        <w:t xml:space="preserve"> Determinism, Fatalism and Destiny</w:t>
      </w:r>
      <w:r w:rsidRPr="001C5303">
        <w:rPr>
          <w:rFonts w:cs="Segoe UI"/>
          <w:sz w:val="24"/>
          <w:szCs w:val="24"/>
        </w:rPr>
        <w:t xml:space="preserve"> (New York ; London: Greenwood, 1988), p. [168]p.</w:t>
      </w:r>
    </w:p>
    <w:p w:rsidR="001C5303" w:rsidRPr="001C5303" w:rsidRDefault="001C5303" w:rsidP="001C5303">
      <w:pPr>
        <w:rPr>
          <w:rFonts w:cs="Segoe UI"/>
          <w:sz w:val="24"/>
          <w:szCs w:val="24"/>
        </w:rPr>
      </w:pPr>
      <w:r w:rsidRPr="001C5303">
        <w:rPr>
          <w:rFonts w:cs="Segoe UI"/>
          <w:sz w:val="24"/>
          <w:szCs w:val="24"/>
        </w:rPr>
        <w:t xml:space="preserve">Gould, Josiah B., 'The Stoic Conception of </w:t>
      </w:r>
      <w:r w:rsidRPr="001C5303">
        <w:rPr>
          <w:rFonts w:cs="Segoe UI"/>
          <w:color w:val="000000"/>
          <w:sz w:val="24"/>
          <w:szCs w:val="24"/>
        </w:rPr>
        <w:t>Fate</w:t>
      </w:r>
      <w:r w:rsidRPr="001C5303">
        <w:rPr>
          <w:rFonts w:cs="Segoe UI"/>
          <w:sz w:val="24"/>
          <w:szCs w:val="24"/>
        </w:rPr>
        <w:t xml:space="preserve">', </w:t>
      </w:r>
      <w:r w:rsidRPr="001C5303">
        <w:rPr>
          <w:rFonts w:cs="Segoe UI"/>
          <w:i/>
          <w:iCs/>
          <w:sz w:val="24"/>
          <w:szCs w:val="24"/>
        </w:rPr>
        <w:t>Journal of the History of Ideas,</w:t>
      </w:r>
      <w:r w:rsidRPr="001C5303">
        <w:rPr>
          <w:rFonts w:cs="Segoe UI"/>
          <w:sz w:val="24"/>
          <w:szCs w:val="24"/>
        </w:rPr>
        <w:t xml:space="preserve"> 35 (1974), 17-32.</w:t>
      </w:r>
    </w:p>
    <w:p w:rsidR="001C5303" w:rsidRPr="001C5303" w:rsidRDefault="001C5303" w:rsidP="001C5303">
      <w:pPr>
        <w:rPr>
          <w:rFonts w:cs="Segoe UI"/>
          <w:sz w:val="24"/>
          <w:szCs w:val="24"/>
        </w:rPr>
      </w:pPr>
      <w:proofErr w:type="spellStart"/>
      <w:r w:rsidRPr="001C5303">
        <w:rPr>
          <w:rFonts w:cs="Segoe UI"/>
          <w:sz w:val="24"/>
          <w:szCs w:val="24"/>
        </w:rPr>
        <w:t>Hegedus</w:t>
      </w:r>
      <w:proofErr w:type="spellEnd"/>
      <w:r w:rsidRPr="001C5303">
        <w:rPr>
          <w:rFonts w:cs="Segoe UI"/>
          <w:sz w:val="24"/>
          <w:szCs w:val="24"/>
        </w:rPr>
        <w:t xml:space="preserve">, Tim, 'The Magi and the Star in the Gospel of Matthew and Early Christian Tradition', </w:t>
      </w:r>
      <w:r w:rsidRPr="001C5303">
        <w:rPr>
          <w:rFonts w:cs="Segoe UI"/>
          <w:i/>
          <w:iCs/>
          <w:sz w:val="24"/>
          <w:szCs w:val="24"/>
        </w:rPr>
        <w:t xml:space="preserve">Laval </w:t>
      </w:r>
      <w:proofErr w:type="spellStart"/>
      <w:r w:rsidRPr="001C5303">
        <w:rPr>
          <w:rFonts w:cs="Segoe UI"/>
          <w:i/>
          <w:iCs/>
          <w:sz w:val="24"/>
          <w:szCs w:val="24"/>
        </w:rPr>
        <w:t>Théologique</w:t>
      </w:r>
      <w:proofErr w:type="spellEnd"/>
      <w:r w:rsidRPr="001C5303">
        <w:rPr>
          <w:rFonts w:cs="Segoe UI"/>
          <w:i/>
          <w:iCs/>
          <w:sz w:val="24"/>
          <w:szCs w:val="24"/>
        </w:rPr>
        <w:t xml:space="preserve"> et </w:t>
      </w:r>
      <w:proofErr w:type="spellStart"/>
      <w:r w:rsidRPr="001C5303">
        <w:rPr>
          <w:rFonts w:cs="Segoe UI"/>
          <w:i/>
          <w:iCs/>
          <w:sz w:val="24"/>
          <w:szCs w:val="24"/>
        </w:rPr>
        <w:t>Philosophique</w:t>
      </w:r>
      <w:proofErr w:type="spellEnd"/>
      <w:r w:rsidRPr="001C5303">
        <w:rPr>
          <w:rFonts w:cs="Segoe UI"/>
          <w:i/>
          <w:iCs/>
          <w:sz w:val="24"/>
          <w:szCs w:val="24"/>
        </w:rPr>
        <w:t>,</w:t>
      </w:r>
      <w:r w:rsidRPr="001C5303">
        <w:rPr>
          <w:rFonts w:cs="Segoe UI"/>
          <w:sz w:val="24"/>
          <w:szCs w:val="24"/>
        </w:rPr>
        <w:t xml:space="preserve"> 59 (2003), 81-95.</w:t>
      </w:r>
    </w:p>
    <w:p w:rsidR="001C5303" w:rsidRPr="001C5303" w:rsidRDefault="001C5303" w:rsidP="001C5303">
      <w:pPr>
        <w:rPr>
          <w:rFonts w:cs="Segoe UI"/>
          <w:sz w:val="24"/>
          <w:szCs w:val="24"/>
        </w:rPr>
      </w:pPr>
      <w:r w:rsidRPr="001C5303">
        <w:rPr>
          <w:rFonts w:cs="Segoe UI"/>
          <w:sz w:val="24"/>
          <w:szCs w:val="24"/>
        </w:rPr>
        <w:t xml:space="preserve">Hodges, Horace Jeffery, 'Gnostic Liberation from Astrological Determinism: </w:t>
      </w:r>
      <w:proofErr w:type="spellStart"/>
      <w:r w:rsidRPr="001C5303">
        <w:rPr>
          <w:rFonts w:cs="Segoe UI"/>
          <w:sz w:val="24"/>
          <w:szCs w:val="24"/>
        </w:rPr>
        <w:t>Hipparchan</w:t>
      </w:r>
      <w:proofErr w:type="spellEnd"/>
      <w:r w:rsidRPr="001C5303">
        <w:rPr>
          <w:rFonts w:cs="Segoe UI"/>
          <w:sz w:val="24"/>
          <w:szCs w:val="24"/>
        </w:rPr>
        <w:t xml:space="preserve"> "Trepidation" and the Breaking of </w:t>
      </w:r>
      <w:r w:rsidRPr="001C5303">
        <w:rPr>
          <w:rFonts w:cs="Segoe UI"/>
          <w:color w:val="000000"/>
          <w:sz w:val="24"/>
          <w:szCs w:val="24"/>
        </w:rPr>
        <w:t>Fate</w:t>
      </w:r>
      <w:r w:rsidRPr="001C5303">
        <w:rPr>
          <w:rFonts w:cs="Segoe UI"/>
          <w:sz w:val="24"/>
          <w:szCs w:val="24"/>
        </w:rPr>
        <w:t xml:space="preserve">', </w:t>
      </w:r>
      <w:proofErr w:type="spellStart"/>
      <w:r w:rsidRPr="001C5303">
        <w:rPr>
          <w:rFonts w:cs="Segoe UI"/>
          <w:i/>
          <w:iCs/>
          <w:sz w:val="24"/>
          <w:szCs w:val="24"/>
        </w:rPr>
        <w:t>Vigiliae</w:t>
      </w:r>
      <w:proofErr w:type="spellEnd"/>
      <w:r w:rsidRPr="001C5303">
        <w:rPr>
          <w:rFonts w:cs="Segoe UI"/>
          <w:i/>
          <w:iCs/>
          <w:sz w:val="24"/>
          <w:szCs w:val="24"/>
        </w:rPr>
        <w:t xml:space="preserve"> </w:t>
      </w:r>
      <w:proofErr w:type="spellStart"/>
      <w:r w:rsidRPr="001C5303">
        <w:rPr>
          <w:rFonts w:cs="Segoe UI"/>
          <w:i/>
          <w:iCs/>
          <w:sz w:val="24"/>
          <w:szCs w:val="24"/>
        </w:rPr>
        <w:t>Christianae</w:t>
      </w:r>
      <w:proofErr w:type="spellEnd"/>
      <w:r w:rsidRPr="001C5303">
        <w:rPr>
          <w:rFonts w:cs="Segoe UI"/>
          <w:i/>
          <w:iCs/>
          <w:sz w:val="24"/>
          <w:szCs w:val="24"/>
        </w:rPr>
        <w:t>,</w:t>
      </w:r>
      <w:r w:rsidRPr="001C5303">
        <w:rPr>
          <w:rFonts w:cs="Segoe UI"/>
          <w:sz w:val="24"/>
          <w:szCs w:val="24"/>
        </w:rPr>
        <w:t xml:space="preserve"> 51 (1997), 359-373.</w:t>
      </w:r>
    </w:p>
    <w:p w:rsidR="001C5303" w:rsidRPr="001C5303" w:rsidRDefault="001C5303" w:rsidP="001C5303">
      <w:pPr>
        <w:rPr>
          <w:rFonts w:cs="Segoe UI"/>
          <w:sz w:val="24"/>
          <w:szCs w:val="24"/>
        </w:rPr>
      </w:pPr>
      <w:r w:rsidRPr="001C5303">
        <w:rPr>
          <w:rFonts w:cs="Segoe UI"/>
          <w:sz w:val="24"/>
          <w:szCs w:val="24"/>
        </w:rPr>
        <w:t xml:space="preserve">Hodgson, David, 'Quantum Physics, Consciousness, and Free Will ', in </w:t>
      </w:r>
      <w:r w:rsidRPr="001C5303">
        <w:rPr>
          <w:rFonts w:cs="Segoe UI"/>
          <w:i/>
          <w:iCs/>
          <w:sz w:val="24"/>
          <w:szCs w:val="24"/>
        </w:rPr>
        <w:t>The Oxford Handbook of Free Will</w:t>
      </w:r>
      <w:r w:rsidRPr="001C5303">
        <w:rPr>
          <w:rFonts w:cs="Segoe UI"/>
          <w:sz w:val="24"/>
          <w:szCs w:val="24"/>
        </w:rPr>
        <w:t xml:space="preserve"> (Oxford: Oxford University Press, 2002), pp. 85-110.</w:t>
      </w:r>
    </w:p>
    <w:p w:rsidR="001C5303" w:rsidRPr="001C5303" w:rsidRDefault="001C5303" w:rsidP="001C5303">
      <w:pPr>
        <w:rPr>
          <w:rFonts w:cs="Segoe UI"/>
          <w:sz w:val="24"/>
          <w:szCs w:val="24"/>
        </w:rPr>
      </w:pPr>
      <w:r w:rsidRPr="001C5303">
        <w:rPr>
          <w:rFonts w:cs="Segoe UI"/>
          <w:sz w:val="24"/>
          <w:szCs w:val="24"/>
        </w:rPr>
        <w:t xml:space="preserve">James, William, </w:t>
      </w:r>
      <w:r w:rsidRPr="001C5303">
        <w:rPr>
          <w:rFonts w:cs="Segoe UI"/>
          <w:i/>
          <w:iCs/>
          <w:sz w:val="24"/>
          <w:szCs w:val="24"/>
        </w:rPr>
        <w:t>The Will to Believe. Essays in Popular Philosophy</w:t>
      </w:r>
      <w:r w:rsidRPr="001C5303">
        <w:rPr>
          <w:rFonts w:cs="Segoe UI"/>
          <w:sz w:val="24"/>
          <w:szCs w:val="24"/>
        </w:rPr>
        <w:t xml:space="preserve"> (London, New York: Longmans, Green and co, 1912).</w:t>
      </w:r>
    </w:p>
    <w:p w:rsidR="001C5303" w:rsidRPr="001C5303" w:rsidRDefault="001C5303" w:rsidP="001C5303">
      <w:pPr>
        <w:rPr>
          <w:rFonts w:cs="Segoe UI"/>
          <w:sz w:val="24"/>
          <w:szCs w:val="24"/>
        </w:rPr>
      </w:pPr>
      <w:r w:rsidRPr="001C5303">
        <w:rPr>
          <w:rFonts w:cs="Segoe UI"/>
          <w:sz w:val="24"/>
          <w:szCs w:val="24"/>
        </w:rPr>
        <w:t xml:space="preserve">Johnson, A. H., 'The Social Philosophy of Alfred North Whitehead', </w:t>
      </w:r>
      <w:r w:rsidRPr="001C5303">
        <w:rPr>
          <w:rFonts w:cs="Segoe UI"/>
          <w:i/>
          <w:iCs/>
          <w:sz w:val="24"/>
          <w:szCs w:val="24"/>
        </w:rPr>
        <w:t>The Journal of Philosophy,</w:t>
      </w:r>
      <w:r w:rsidRPr="001C5303">
        <w:rPr>
          <w:rFonts w:cs="Segoe UI"/>
          <w:sz w:val="24"/>
          <w:szCs w:val="24"/>
        </w:rPr>
        <w:t xml:space="preserve"> 40 (1943), 261-271.</w:t>
      </w:r>
    </w:p>
    <w:p w:rsidR="001C5303" w:rsidRPr="001C5303" w:rsidRDefault="001C5303" w:rsidP="001C5303">
      <w:pPr>
        <w:rPr>
          <w:rFonts w:cs="Segoe UI"/>
          <w:sz w:val="24"/>
          <w:szCs w:val="24"/>
        </w:rPr>
      </w:pPr>
      <w:r w:rsidRPr="001C5303">
        <w:rPr>
          <w:rFonts w:cs="Segoe UI"/>
          <w:sz w:val="24"/>
          <w:szCs w:val="24"/>
        </w:rPr>
        <w:t xml:space="preserve">Kane, Robert, </w:t>
      </w:r>
      <w:r w:rsidRPr="001C5303">
        <w:rPr>
          <w:rFonts w:cs="Segoe UI"/>
          <w:i/>
          <w:iCs/>
          <w:sz w:val="24"/>
          <w:szCs w:val="24"/>
        </w:rPr>
        <w:t>The Significance of Free Will</w:t>
      </w:r>
      <w:r w:rsidRPr="001C5303">
        <w:rPr>
          <w:rFonts w:cs="Segoe UI"/>
          <w:sz w:val="24"/>
          <w:szCs w:val="24"/>
        </w:rPr>
        <w:t xml:space="preserve"> (New </w:t>
      </w:r>
      <w:proofErr w:type="gramStart"/>
      <w:r w:rsidRPr="001C5303">
        <w:rPr>
          <w:rFonts w:cs="Segoe UI"/>
          <w:sz w:val="24"/>
          <w:szCs w:val="24"/>
        </w:rPr>
        <w:t>York ;</w:t>
      </w:r>
      <w:proofErr w:type="gramEnd"/>
      <w:r w:rsidRPr="001C5303">
        <w:rPr>
          <w:rFonts w:cs="Segoe UI"/>
          <w:sz w:val="24"/>
          <w:szCs w:val="24"/>
        </w:rPr>
        <w:t xml:space="preserve"> Oxford: Oxford University Press, 1996), p. 268p.</w:t>
      </w:r>
    </w:p>
    <w:p w:rsidR="001C5303" w:rsidRPr="001C5303" w:rsidRDefault="001C5303" w:rsidP="001C5303">
      <w:pPr>
        <w:rPr>
          <w:rFonts w:cs="Segoe UI"/>
          <w:sz w:val="24"/>
          <w:szCs w:val="24"/>
        </w:rPr>
      </w:pPr>
      <w:r w:rsidRPr="001C5303">
        <w:rPr>
          <w:rFonts w:cs="Segoe UI"/>
          <w:sz w:val="24"/>
          <w:szCs w:val="24"/>
        </w:rPr>
        <w:t xml:space="preserve">Kent, Eliza F., '"What's Written on the Forehead Will Never Fail": Karma, </w:t>
      </w:r>
      <w:r w:rsidRPr="001C5303">
        <w:rPr>
          <w:rFonts w:cs="Segoe UI"/>
          <w:color w:val="000000"/>
          <w:sz w:val="24"/>
          <w:szCs w:val="24"/>
        </w:rPr>
        <w:t>Fate</w:t>
      </w:r>
      <w:r w:rsidRPr="001C5303">
        <w:rPr>
          <w:rFonts w:cs="Segoe UI"/>
          <w:sz w:val="24"/>
          <w:szCs w:val="24"/>
        </w:rPr>
        <w:t xml:space="preserve">, and </w:t>
      </w:r>
      <w:proofErr w:type="spellStart"/>
      <w:r w:rsidRPr="001C5303">
        <w:rPr>
          <w:rFonts w:cs="Segoe UI"/>
          <w:sz w:val="24"/>
          <w:szCs w:val="24"/>
        </w:rPr>
        <w:t>Headwriting</w:t>
      </w:r>
      <w:proofErr w:type="spellEnd"/>
      <w:r w:rsidRPr="001C5303">
        <w:rPr>
          <w:rFonts w:cs="Segoe UI"/>
          <w:sz w:val="24"/>
          <w:szCs w:val="24"/>
        </w:rPr>
        <w:t xml:space="preserve"> in Indian Folktales', </w:t>
      </w:r>
      <w:r w:rsidRPr="001C5303">
        <w:rPr>
          <w:rFonts w:cs="Segoe UI"/>
          <w:i/>
          <w:iCs/>
          <w:sz w:val="24"/>
          <w:szCs w:val="24"/>
        </w:rPr>
        <w:t>Asian Ethnology,</w:t>
      </w:r>
      <w:r w:rsidRPr="001C5303">
        <w:rPr>
          <w:rFonts w:cs="Segoe UI"/>
          <w:sz w:val="24"/>
          <w:szCs w:val="24"/>
        </w:rPr>
        <w:t xml:space="preserve"> 68 (2009), 1-26.</w:t>
      </w:r>
    </w:p>
    <w:p w:rsidR="001C5303" w:rsidRPr="001C5303" w:rsidRDefault="001C5303" w:rsidP="001C5303">
      <w:pPr>
        <w:rPr>
          <w:rFonts w:cs="Segoe UI"/>
          <w:sz w:val="24"/>
          <w:szCs w:val="24"/>
        </w:rPr>
      </w:pPr>
      <w:proofErr w:type="spellStart"/>
      <w:r w:rsidRPr="001C5303">
        <w:rPr>
          <w:rFonts w:cs="Segoe UI"/>
          <w:sz w:val="24"/>
          <w:szCs w:val="24"/>
        </w:rPr>
        <w:t>Kleywegt</w:t>
      </w:r>
      <w:proofErr w:type="spellEnd"/>
      <w:r w:rsidRPr="001C5303">
        <w:rPr>
          <w:rFonts w:cs="Segoe UI"/>
          <w:sz w:val="24"/>
          <w:szCs w:val="24"/>
        </w:rPr>
        <w:t>, A.J, '</w:t>
      </w:r>
      <w:r w:rsidRPr="001C5303">
        <w:rPr>
          <w:rFonts w:cs="Segoe UI"/>
          <w:color w:val="000000"/>
          <w:sz w:val="24"/>
          <w:szCs w:val="24"/>
        </w:rPr>
        <w:t>Fate</w:t>
      </w:r>
      <w:r w:rsidRPr="001C5303">
        <w:rPr>
          <w:rFonts w:cs="Segoe UI"/>
          <w:sz w:val="24"/>
          <w:szCs w:val="24"/>
        </w:rPr>
        <w:t xml:space="preserve">, Free Will, and the Text of Cicero', </w:t>
      </w:r>
      <w:r w:rsidRPr="001C5303">
        <w:rPr>
          <w:rFonts w:cs="Segoe UI"/>
          <w:i/>
          <w:iCs/>
          <w:sz w:val="24"/>
          <w:szCs w:val="24"/>
        </w:rPr>
        <w:t xml:space="preserve">Mnemosyne </w:t>
      </w:r>
      <w:r w:rsidRPr="001C5303">
        <w:rPr>
          <w:rFonts w:cs="Segoe UI"/>
          <w:sz w:val="24"/>
          <w:szCs w:val="24"/>
        </w:rPr>
        <w:t>26 (1973), 342-349.</w:t>
      </w:r>
    </w:p>
    <w:p w:rsidR="001C5303" w:rsidRPr="001C5303" w:rsidRDefault="001C5303" w:rsidP="001C5303">
      <w:pPr>
        <w:rPr>
          <w:rFonts w:cs="Segoe UI"/>
          <w:sz w:val="24"/>
          <w:szCs w:val="24"/>
        </w:rPr>
      </w:pPr>
      <w:r w:rsidRPr="001C5303">
        <w:rPr>
          <w:rFonts w:cs="Segoe UI"/>
          <w:sz w:val="24"/>
          <w:szCs w:val="24"/>
        </w:rPr>
        <w:t xml:space="preserve">Lewis, Nicola </w:t>
      </w:r>
      <w:proofErr w:type="spellStart"/>
      <w:r w:rsidRPr="001C5303">
        <w:rPr>
          <w:rFonts w:cs="Segoe UI"/>
          <w:sz w:val="24"/>
          <w:szCs w:val="24"/>
        </w:rPr>
        <w:t>Denzey</w:t>
      </w:r>
      <w:proofErr w:type="spellEnd"/>
      <w:r w:rsidRPr="001C5303">
        <w:rPr>
          <w:rFonts w:cs="Segoe UI"/>
          <w:sz w:val="24"/>
          <w:szCs w:val="24"/>
        </w:rPr>
        <w:t xml:space="preserve">, </w:t>
      </w:r>
      <w:r w:rsidRPr="001C5303">
        <w:rPr>
          <w:rFonts w:cs="Segoe UI"/>
          <w:i/>
          <w:iCs/>
          <w:sz w:val="24"/>
          <w:szCs w:val="24"/>
        </w:rPr>
        <w:t xml:space="preserve">Cosmology and </w:t>
      </w:r>
      <w:r w:rsidRPr="001C5303">
        <w:rPr>
          <w:rFonts w:cs="Segoe UI"/>
          <w:i/>
          <w:iCs/>
          <w:color w:val="000000"/>
          <w:sz w:val="24"/>
          <w:szCs w:val="24"/>
        </w:rPr>
        <w:t>Fate</w:t>
      </w:r>
      <w:r w:rsidRPr="001C5303">
        <w:rPr>
          <w:rFonts w:cs="Segoe UI"/>
          <w:i/>
          <w:iCs/>
          <w:sz w:val="24"/>
          <w:szCs w:val="24"/>
        </w:rPr>
        <w:t xml:space="preserve"> in Gnosticism and </w:t>
      </w:r>
      <w:proofErr w:type="spellStart"/>
      <w:r w:rsidRPr="001C5303">
        <w:rPr>
          <w:rFonts w:cs="Segoe UI"/>
          <w:i/>
          <w:iCs/>
          <w:sz w:val="24"/>
          <w:szCs w:val="24"/>
        </w:rPr>
        <w:t>Graeco</w:t>
      </w:r>
      <w:proofErr w:type="spellEnd"/>
      <w:r w:rsidRPr="001C5303">
        <w:rPr>
          <w:rFonts w:cs="Segoe UI"/>
          <w:i/>
          <w:iCs/>
          <w:sz w:val="24"/>
          <w:szCs w:val="24"/>
        </w:rPr>
        <w:t xml:space="preserve">-Roman </w:t>
      </w:r>
      <w:proofErr w:type="gramStart"/>
      <w:r w:rsidRPr="001C5303">
        <w:rPr>
          <w:rFonts w:cs="Segoe UI"/>
          <w:i/>
          <w:iCs/>
          <w:sz w:val="24"/>
          <w:szCs w:val="24"/>
        </w:rPr>
        <w:t>Antiquity :</w:t>
      </w:r>
      <w:proofErr w:type="gramEnd"/>
      <w:r w:rsidRPr="001C5303">
        <w:rPr>
          <w:rFonts w:cs="Segoe UI"/>
          <w:i/>
          <w:iCs/>
          <w:sz w:val="24"/>
          <w:szCs w:val="24"/>
        </w:rPr>
        <w:t xml:space="preserve"> Under Pitiless Skies</w:t>
      </w:r>
      <w:r w:rsidRPr="001C5303">
        <w:rPr>
          <w:rFonts w:cs="Segoe UI"/>
          <w:sz w:val="24"/>
          <w:szCs w:val="24"/>
        </w:rPr>
        <w:t xml:space="preserve"> (Leiden: Brill, 2013).</w:t>
      </w:r>
    </w:p>
    <w:p w:rsidR="001C5303" w:rsidRPr="001C5303" w:rsidRDefault="001C5303" w:rsidP="001C5303">
      <w:pPr>
        <w:rPr>
          <w:rFonts w:cs="Segoe UI"/>
          <w:sz w:val="24"/>
          <w:szCs w:val="24"/>
        </w:rPr>
      </w:pPr>
      <w:r w:rsidRPr="001C5303">
        <w:rPr>
          <w:rFonts w:cs="Segoe UI"/>
          <w:sz w:val="24"/>
          <w:szCs w:val="24"/>
        </w:rPr>
        <w:t>Moore, George Foot, '</w:t>
      </w:r>
      <w:r w:rsidRPr="001C5303">
        <w:rPr>
          <w:rFonts w:cs="Segoe UI"/>
          <w:color w:val="000000"/>
          <w:sz w:val="24"/>
          <w:szCs w:val="24"/>
        </w:rPr>
        <w:t>Fate</w:t>
      </w:r>
      <w:r w:rsidRPr="001C5303">
        <w:rPr>
          <w:rFonts w:cs="Segoe UI"/>
          <w:sz w:val="24"/>
          <w:szCs w:val="24"/>
        </w:rPr>
        <w:t xml:space="preserve"> and Free Will in the Jewish Philosophies According to Josephus', </w:t>
      </w:r>
      <w:r w:rsidRPr="001C5303">
        <w:rPr>
          <w:rFonts w:cs="Segoe UI"/>
          <w:i/>
          <w:iCs/>
          <w:sz w:val="24"/>
          <w:szCs w:val="24"/>
        </w:rPr>
        <w:t>The Harvard Theological Review,</w:t>
      </w:r>
      <w:r w:rsidRPr="001C5303">
        <w:rPr>
          <w:rFonts w:cs="Segoe UI"/>
          <w:sz w:val="24"/>
          <w:szCs w:val="24"/>
        </w:rPr>
        <w:t xml:space="preserve"> 22 (1929), 371-389.</w:t>
      </w:r>
    </w:p>
    <w:p w:rsidR="001C5303" w:rsidRPr="001C5303" w:rsidRDefault="001C5303" w:rsidP="001C5303">
      <w:pPr>
        <w:rPr>
          <w:rFonts w:cs="Segoe UI"/>
          <w:sz w:val="24"/>
          <w:szCs w:val="24"/>
        </w:rPr>
      </w:pPr>
      <w:proofErr w:type="spellStart"/>
      <w:r w:rsidRPr="001C5303">
        <w:rPr>
          <w:rFonts w:cs="Segoe UI"/>
          <w:sz w:val="24"/>
          <w:szCs w:val="24"/>
        </w:rPr>
        <w:t>Nikolopoulou</w:t>
      </w:r>
      <w:proofErr w:type="spellEnd"/>
      <w:r w:rsidRPr="001C5303">
        <w:rPr>
          <w:rFonts w:cs="Segoe UI"/>
          <w:sz w:val="24"/>
          <w:szCs w:val="24"/>
        </w:rPr>
        <w:t xml:space="preserve">, </w:t>
      </w:r>
      <w:proofErr w:type="spellStart"/>
      <w:r w:rsidRPr="001C5303">
        <w:rPr>
          <w:rFonts w:cs="Segoe UI"/>
          <w:sz w:val="24"/>
          <w:szCs w:val="24"/>
        </w:rPr>
        <w:t>Kalliopi</w:t>
      </w:r>
      <w:proofErr w:type="spellEnd"/>
      <w:r w:rsidRPr="001C5303">
        <w:rPr>
          <w:rFonts w:cs="Segoe UI"/>
          <w:sz w:val="24"/>
          <w:szCs w:val="24"/>
        </w:rPr>
        <w:t xml:space="preserve">, 'Feet, </w:t>
      </w:r>
      <w:r w:rsidRPr="001C5303">
        <w:rPr>
          <w:rFonts w:cs="Segoe UI"/>
          <w:color w:val="000000"/>
          <w:sz w:val="24"/>
          <w:szCs w:val="24"/>
        </w:rPr>
        <w:t>Fate</w:t>
      </w:r>
      <w:r w:rsidRPr="001C5303">
        <w:rPr>
          <w:rFonts w:cs="Segoe UI"/>
          <w:sz w:val="24"/>
          <w:szCs w:val="24"/>
        </w:rPr>
        <w:t xml:space="preserve">, and Finitude: On Standing and Inertia in the </w:t>
      </w:r>
      <w:r w:rsidRPr="001C5303">
        <w:rPr>
          <w:rFonts w:cs="Segoe UI"/>
          <w:i/>
          <w:iCs/>
          <w:sz w:val="24"/>
          <w:szCs w:val="24"/>
        </w:rPr>
        <w:t>Iliad</w:t>
      </w:r>
      <w:r w:rsidRPr="001C5303">
        <w:rPr>
          <w:rFonts w:cs="Segoe UI"/>
          <w:sz w:val="24"/>
          <w:szCs w:val="24"/>
        </w:rPr>
        <w:t xml:space="preserve">', </w:t>
      </w:r>
      <w:r w:rsidRPr="001C5303">
        <w:rPr>
          <w:rFonts w:cs="Segoe UI"/>
          <w:i/>
          <w:iCs/>
          <w:sz w:val="24"/>
          <w:szCs w:val="24"/>
        </w:rPr>
        <w:t>College Literature,</w:t>
      </w:r>
      <w:r w:rsidRPr="001C5303">
        <w:rPr>
          <w:rFonts w:cs="Segoe UI"/>
          <w:sz w:val="24"/>
          <w:szCs w:val="24"/>
        </w:rPr>
        <w:t xml:space="preserve"> 34 (2007), 174-193.</w:t>
      </w:r>
    </w:p>
    <w:p w:rsidR="001C5303" w:rsidRPr="001C5303" w:rsidRDefault="001C5303" w:rsidP="001C5303">
      <w:pPr>
        <w:rPr>
          <w:sz w:val="24"/>
          <w:szCs w:val="24"/>
        </w:rPr>
      </w:pPr>
      <w:r w:rsidRPr="001C5303">
        <w:rPr>
          <w:rFonts w:cs="Segoe UI"/>
          <w:sz w:val="24"/>
          <w:szCs w:val="24"/>
        </w:rPr>
        <w:t>Patch, Howard Rollin, '</w:t>
      </w:r>
      <w:r w:rsidRPr="001C5303">
        <w:rPr>
          <w:rFonts w:cs="Segoe UI"/>
          <w:color w:val="000000"/>
          <w:sz w:val="24"/>
          <w:szCs w:val="24"/>
        </w:rPr>
        <w:t>Fate</w:t>
      </w:r>
      <w:r w:rsidRPr="001C5303">
        <w:rPr>
          <w:rFonts w:cs="Segoe UI"/>
          <w:sz w:val="24"/>
          <w:szCs w:val="24"/>
        </w:rPr>
        <w:t xml:space="preserve"> in Boethius and the </w:t>
      </w:r>
      <w:proofErr w:type="spellStart"/>
      <w:r w:rsidRPr="001C5303">
        <w:rPr>
          <w:rFonts w:cs="Segoe UI"/>
          <w:sz w:val="24"/>
          <w:szCs w:val="24"/>
        </w:rPr>
        <w:t>Neoplatonists</w:t>
      </w:r>
      <w:proofErr w:type="spellEnd"/>
      <w:r w:rsidRPr="001C5303">
        <w:rPr>
          <w:rFonts w:cs="Segoe UI"/>
          <w:sz w:val="24"/>
          <w:szCs w:val="24"/>
        </w:rPr>
        <w:t xml:space="preserve">', </w:t>
      </w:r>
      <w:r w:rsidRPr="001C5303">
        <w:rPr>
          <w:rFonts w:cs="Segoe UI"/>
          <w:i/>
          <w:iCs/>
          <w:sz w:val="24"/>
          <w:szCs w:val="24"/>
        </w:rPr>
        <w:t>Speculum,</w:t>
      </w:r>
      <w:r w:rsidRPr="001C5303">
        <w:rPr>
          <w:rFonts w:cs="Segoe UI"/>
          <w:sz w:val="24"/>
          <w:szCs w:val="24"/>
        </w:rPr>
        <w:t xml:space="preserve"> 4 (1929), 62-72.</w:t>
      </w:r>
    </w:p>
    <w:p w:rsidR="001C5303" w:rsidRPr="004832B6" w:rsidRDefault="001C5303" w:rsidP="004832B6">
      <w:pPr>
        <w:spacing w:before="100" w:beforeAutospacing="1" w:after="0" w:line="240" w:lineRule="auto"/>
        <w:contextualSpacing/>
        <w:rPr>
          <w:rFonts w:ascii="Arial" w:hAnsi="Arial" w:cs="Arial"/>
          <w:sz w:val="24"/>
          <w:szCs w:val="24"/>
        </w:rPr>
      </w:pPr>
    </w:p>
    <w:sectPr w:rsidR="001C5303" w:rsidRPr="004832B6" w:rsidSect="00880D7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11374"/>
    <w:rsid w:val="000346EC"/>
    <w:rsid w:val="00084915"/>
    <w:rsid w:val="001C5303"/>
    <w:rsid w:val="0027523C"/>
    <w:rsid w:val="003706D2"/>
    <w:rsid w:val="003D63EF"/>
    <w:rsid w:val="0041321E"/>
    <w:rsid w:val="00440457"/>
    <w:rsid w:val="00450B4F"/>
    <w:rsid w:val="004832B6"/>
    <w:rsid w:val="00511374"/>
    <w:rsid w:val="005B241B"/>
    <w:rsid w:val="006C0854"/>
    <w:rsid w:val="00880D74"/>
    <w:rsid w:val="008D0110"/>
    <w:rsid w:val="009D511A"/>
    <w:rsid w:val="00AF06F1"/>
    <w:rsid w:val="00C0215A"/>
    <w:rsid w:val="00C5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B84B4"/>
  <w15:docId w15:val="{025BD6C4-ACD2-4BFE-A99F-7E409CC25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D74"/>
  </w:style>
  <w:style w:type="paragraph" w:styleId="Heading3">
    <w:name w:val="heading 3"/>
    <w:basedOn w:val="Normal"/>
    <w:link w:val="Heading3Char"/>
    <w:uiPriority w:val="9"/>
    <w:qFormat/>
    <w:rsid w:val="004832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1137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11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511374"/>
  </w:style>
  <w:style w:type="character" w:customStyle="1" w:styleId="msoins0">
    <w:name w:val="msoins"/>
    <w:basedOn w:val="DefaultParagraphFont"/>
    <w:rsid w:val="00511374"/>
  </w:style>
  <w:style w:type="character" w:customStyle="1" w:styleId="msodel0">
    <w:name w:val="msodel"/>
    <w:basedOn w:val="DefaultParagraphFont"/>
    <w:rsid w:val="00511374"/>
  </w:style>
  <w:style w:type="character" w:styleId="Hyperlink">
    <w:name w:val="Hyperlink"/>
    <w:basedOn w:val="DefaultParagraphFont"/>
    <w:uiPriority w:val="99"/>
    <w:semiHidden/>
    <w:unhideWhenUsed/>
    <w:rsid w:val="00511374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4832B6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cl.ac.uk/~uctytho/dfwIntroIndex.htm" TargetMode="External"/><Relationship Id="rId4" Type="http://schemas.openxmlformats.org/officeDocument/2006/relationships/hyperlink" Target="http://www.oxfordhandbooks.com/oso/public/content/oho_philosophy/9780195178548/toc.html?q=fre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849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</dc:creator>
  <cp:lastModifiedBy>Author</cp:lastModifiedBy>
  <cp:revision>7</cp:revision>
  <dcterms:created xsi:type="dcterms:W3CDTF">2013-09-19T11:15:00Z</dcterms:created>
  <dcterms:modified xsi:type="dcterms:W3CDTF">2016-01-25T15:11:00Z</dcterms:modified>
</cp:coreProperties>
</file>