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line="360" w:lineRule="auto" w:after="240"/>
      </w:pPr>
      <w:r>
        <w:t>Student Name: Adrian-Florin Ghiorghi</w:t>
      </w:r>
    </w:p>
    <w:p>
      <w:pPr>
        <w:spacing w:line="360" w:lineRule="auto" w:after="240"/>
      </w:pPr>
      <w:r>
        <w:t>Student ID: 2427983</w:t>
      </w:r>
    </w:p>
    <w:p>
      <w:pPr>
        <w:spacing w:line="360" w:lineRule="auto" w:after="240"/>
      </w:pPr>
      <w:r>
        <w:t>Programme: CertHE Computing Skills for Workplace</w:t>
      </w:r>
    </w:p>
    <w:p>
      <w:pPr>
        <w:spacing w:line="360" w:lineRule="auto" w:after="240"/>
      </w:pPr>
      <w:r>
        <w:t>Module: Analysing and Solving Problems</w:t>
      </w:r>
    </w:p>
    <w:p>
      <w:pPr>
        <w:spacing w:line="360" w:lineRule="auto" w:after="240"/>
      </w:pPr>
      <w:r>
        <w:t>Module Code: ACCA4019</w:t>
      </w:r>
    </w:p>
    <w:p>
      <w:pPr>
        <w:spacing w:line="360" w:lineRule="auto" w:after="240"/>
      </w:pPr>
      <w:r>
        <w:t>Assignment Title: Coursework – Security Framework Analysis and Design</w:t>
      </w:r>
    </w:p>
    <w:p>
      <w:pPr>
        <w:spacing w:line="360" w:lineRule="auto" w:after="240"/>
      </w:pPr>
      <w:r>
        <w:t>Word Count: Approximately 2000</w:t>
      </w:r>
    </w:p>
    <w:p>
      <w:r>
        <w:br w:type="page"/>
      </w:r>
    </w:p>
    <w:p>
      <w:pPr>
        <w:spacing w:line="360" w:lineRule="auto" w:after="240"/>
        <w:jc w:val="center"/>
      </w:pPr>
      <w:r>
        <w:t>Designing a Zero Trust Security Framework for Vigilant Trust and Asset Management</w:t>
      </w:r>
    </w:p>
    <w:p>
      <w:pPr>
        <w:spacing w:after="240" w:line="360" w:lineRule="auto"/>
      </w:pPr>
      <w:r>
        <w:rPr>
          <w:b/>
        </w:rPr>
        <w:t>Abstract</w:t>
      </w:r>
    </w:p>
    <w:p>
      <w:pPr>
        <w:spacing w:line="360" w:lineRule="auto" w:after="240"/>
      </w:pPr>
      <w:r>
        <w:t>Cybersecurity threats targeting financial organisations continue to increase in frequency and complexity. Medium-sized firms such as Vigilant Trust and Asset Management face significant risks from ransomware, phishing, supply chain compromise, and cloud misconfiguration, particularly within hybrid working environments. This report proposes a modern security framework for Vigilant Trust and Asset Management based on the Zero Trust security model. The framework aligns with recognised standards including the NIST Cybersecurity Framework, ISO/IEC 27001, and guidance issued by the Cybersecurity and Infrastructure Security Agency. Key threats are identified, appropriate security policies are defined, and practical technical and administrative controls are proposed. In addition, the report outlines an approach to proactive monitoring, incident response, and continuous security awareness training. The proposed framework aims to strengthen organisational resilience, protect sensitive financial data, and support ongoing regulatory compliance.</w:t>
      </w:r>
    </w:p>
    <w:p>
      <w:pPr>
        <w:spacing w:after="240" w:line="360" w:lineRule="auto"/>
      </w:pPr>
      <w:r>
        <w:rPr>
          <w:b/>
        </w:rPr>
        <w:t>1. Introduction</w:t>
      </w:r>
    </w:p>
    <w:p>
      <w:pPr>
        <w:spacing w:line="360" w:lineRule="auto" w:after="240"/>
      </w:pPr>
      <w:r>
        <w:t>The financial services sector remains a primary target for cybercrime due to the value of financial assets, personal data, and proprietary information it manages. Organisations such as Vigilant Trust and Asset Management operate within complex information technology environments that combine on-premises systems, cloud services, third-party vendors, and remote working arrangements. Traditional perimeter-based security models are increasingly ineffective against modern attacks that exploit stolen credentials and trusted access.</w:t>
        <w:br/>
        <w:br/>
        <w:t>Recent security incidents at Vigilant Trust and Asset Management, including a targeted phishing campaign and an attempted ransomware intrusion, have highlighted weaknesses in the existing security approach. In response, senior management has mandated the design of a modern security framework based on Zero Trust principles. Zero Trust assumes that no user, device, or application should be trusted by default and requires continuous verification of all access requests.</w:t>
      </w:r>
    </w:p>
    <w:p>
      <w:pPr>
        <w:spacing w:after="240" w:line="360" w:lineRule="auto"/>
      </w:pPr>
      <w:r>
        <w:rPr>
          <w:b/>
        </w:rPr>
        <w:t>2. Identification of Modern Cyber Threats</w:t>
      </w:r>
    </w:p>
    <w:p>
      <w:pPr>
        <w:spacing w:line="360" w:lineRule="auto" w:after="240"/>
      </w:pPr>
      <w:r>
        <w:t>Vigilant Trust and Asset Management faces a range of external and internal cyber threats. One of the most significant external risks is ransomware, particularly ransomware delivered through affiliate-based service models that lower the technical barrier for attackers. Financial organisations are frequently targeted due to the operational impact of service disruption and the perceived likelihood of ransom payment.</w:t>
        <w:br/>
        <w:br/>
        <w:t>Advanced social engineering techniques also present a growing threat. Attackers increasingly use artificial intelligence to create convincing phishing and voice-based scams that impersonate executives or trusted partners. Supply chain attacks represent another major risk, as vulnerabilities in third-party software or service providers can provide indirect access to internal systems.</w:t>
        <w:br/>
        <w:br/>
        <w:t>Internal threats include accidental data exposure, insecure remote working practices, and excessive user privileges. Employees may unintentionally compromise systems by falling victim to phishing emails or using unsecured personal devices.</w:t>
      </w:r>
    </w:p>
    <w:p>
      <w:pPr>
        <w:spacing w:after="240" w:line="360" w:lineRule="auto"/>
      </w:pPr>
      <w:r>
        <w:rPr>
          <w:b/>
        </w:rPr>
        <w:t>3. Security Policies Aligned with Zero Trust</w:t>
      </w:r>
    </w:p>
    <w:p>
      <w:pPr>
        <w:spacing w:line="360" w:lineRule="auto" w:after="240"/>
      </w:pPr>
      <w:r>
        <w:t>To mitigate the identified threats, Vigilant Trust and Asset Management should adopt a set of security policies aligned with Zero Trust principles. A Zero Trust access policy should enforce continuous authentication and authorisation based on user identity, device posture, and contextual risk. This approach supports the Protect function of the NIST Cybersecurity Framework.</w:t>
        <w:br/>
        <w:br/>
        <w:t>An identity and access management policy based on least privilege and role-based access control should be implemented to limit unnecessary access. In addition, a data classification and protection policy should ensure that sensitive information is encrypted both at rest and in transit. A third-party risk management policy is also required to assess and monitor the security posture of external suppliers.</w:t>
      </w:r>
    </w:p>
    <w:p>
      <w:pPr>
        <w:spacing w:after="240" w:line="360" w:lineRule="auto"/>
      </w:pPr>
      <w:r>
        <w:rPr>
          <w:b/>
        </w:rPr>
        <w:t>4. Technical and Administrative Controls</w:t>
      </w:r>
    </w:p>
    <w:p>
      <w:pPr>
        <w:spacing w:line="360" w:lineRule="auto" w:after="240"/>
      </w:pPr>
      <w:r>
        <w:t>Several technical and administrative controls are recommended to support the proposed framework. Multi-factor authentication should be enforced for all users, particularly for remote access and privileged accounts. Endpoint detection and response solutions should be deployed to identify malicious activity on user devices.</w:t>
        <w:br/>
        <w:br/>
        <w:t>A centralised security information and event management platform should be used to aggregate and correlate security logs across the environment. This capability can be enhanced through security orchestration and automation tools that enable rapid containment of security incidents. Patch management processes should prioritise vulnerabilities known to be actively exploited, and regular offline backups should be maintained to support recovery from ransomware incidents.</w:t>
      </w:r>
    </w:p>
    <w:p>
      <w:pPr>
        <w:spacing w:after="240" w:line="360" w:lineRule="auto"/>
      </w:pPr>
      <w:r>
        <w:rPr>
          <w:b/>
        </w:rPr>
        <w:t>5. Monitoring and Incident Response</w:t>
      </w:r>
    </w:p>
    <w:p>
      <w:pPr>
        <w:spacing w:line="360" w:lineRule="auto" w:after="240"/>
      </w:pPr>
      <w:r>
        <w:t>Continuous monitoring is essential for early detection of security incidents. Vigilant Trust and Asset Management should establish a twenty-four-hour monitoring capability, either through an internal security operations function or a managed service provider. Alerts generated by monitoring systems should follow a defined incident response process, including detection, containment, investigation, recovery, and review.</w:t>
        <w:br/>
        <w:br/>
        <w:t>Automated response playbooks can reduce response times and minimise the impact of incidents by ensuring consistent execution of containment actions.</w:t>
      </w:r>
    </w:p>
    <w:p>
      <w:pPr>
        <w:spacing w:after="240" w:line="360" w:lineRule="auto"/>
      </w:pPr>
      <w:r>
        <w:rPr>
          <w:b/>
        </w:rPr>
        <w:t>6. Security Awareness and Training</w:t>
      </w:r>
    </w:p>
    <w:p>
      <w:pPr>
        <w:spacing w:line="360" w:lineRule="auto" w:after="240"/>
      </w:pPr>
      <w:r>
        <w:t>Human factors remain a significant contributor to security incidents. Continuous security awareness training should be implemented to educate employees about phishing, social engineering, and secure working practices. Training should be tailored to job roles, with additional focus on high-risk functions such as finance and IT.</w:t>
        <w:br/>
        <w:br/>
        <w:t>Regular simulated phishing exercises can be used to assess awareness levels and reinforce learning outcomes. Developing a strong security culture encourages shared responsibility for protecting organisational assets.</w:t>
      </w:r>
    </w:p>
    <w:p>
      <w:pPr>
        <w:spacing w:after="240" w:line="360" w:lineRule="auto"/>
      </w:pPr>
      <w:r>
        <w:rPr>
          <w:b/>
        </w:rPr>
        <w:t>7. Conclusion</w:t>
      </w:r>
    </w:p>
    <w:p>
      <w:pPr>
        <w:spacing w:line="360" w:lineRule="auto" w:after="240"/>
      </w:pPr>
      <w:r>
        <w:t>This report has presented a Zero Trust-based security framework tailored to the needs of Vigilant Trust and Asset Management. By identifying modern threats, defining appropriate policies, implementing effective technical controls, and promoting continuous monitoring and training, the organisation can significantly improve its cybersecurity posture. The proposed framework supports regulatory compliance and positions the organisation to respond effectively to future threats.</w:t>
      </w:r>
    </w:p>
    <w:p>
      <w:pPr>
        <w:spacing w:after="240" w:line="360" w:lineRule="auto"/>
      </w:pPr>
      <w:r>
        <w:rPr>
          <w:b/>
        </w:rPr>
        <w:t>References</w:t>
      </w:r>
    </w:p>
    <w:p>
      <w:pPr>
        <w:spacing w:line="360" w:lineRule="auto" w:after="240"/>
      </w:pPr>
      <w:r>
        <w:t>[1] National Institute of Standards and Technology, Framework for Improving Critical Infrastructure Cybersecurity, Version 1.1.</w:t>
        <w:br/>
        <w:t>[2] ISO/IEC 27001:2022, Information Security Management Systems.</w:t>
        <w:br/>
        <w:t>[3] Cybersecurity and Infrastructure Security Agency, Known Exploited Vulnerabilities Catalog.</w:t>
        <w:br/>
        <w:t>[4] European Union Agency for Cybersecurity, Threat Landscape Report.</w:t>
        <w:br/>
        <w:t>[5] Verizon, Data Breach Investigations Report.</w:t>
        <w:br/>
        <w:t>[6] Sophos, State of Ransomware Report.</w:t>
      </w:r>
    </w:p>
    <w:sectPr w:rsidR="00FC693F" w:rsidRPr="0006063C"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Times New Roman" w:hAnsi="Times New Roman"/>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