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33229A" w14:textId="68A0A8A0" w:rsidR="000A3975" w:rsidRPr="0063467A" w:rsidRDefault="0063467A" w:rsidP="00C05E0D">
      <w:pPr>
        <w:rPr>
          <w:rFonts w:ascii="Times New Roman" w:hAnsi="Times New Roman" w:cs="Times New Roman"/>
          <w:b/>
          <w:bCs/>
          <w:szCs w:val="24"/>
        </w:rPr>
      </w:pPr>
      <w:r w:rsidRPr="0063467A">
        <w:rPr>
          <w:rFonts w:ascii="Times New Roman" w:hAnsi="Times New Roman" w:cs="Times New Roman"/>
          <w:b/>
          <w:bCs/>
          <w:szCs w:val="24"/>
        </w:rPr>
        <w:t>FINANCIAL APPRAISAL OF THE COASTAL TIDE OFFSHORE WIND FARM</w:t>
      </w:r>
    </w:p>
    <w:p w14:paraId="269FCE99" w14:textId="0BB6C5E3" w:rsidR="00150BA5" w:rsidRPr="0063467A" w:rsidRDefault="0063467A" w:rsidP="00343A34">
      <w:pPr>
        <w:rPr>
          <w:rFonts w:ascii="Times New Roman" w:hAnsi="Times New Roman" w:cs="Times New Roman"/>
          <w:b/>
          <w:bCs/>
          <w:szCs w:val="24"/>
        </w:rPr>
      </w:pPr>
      <w:r w:rsidRPr="0063467A">
        <w:rPr>
          <w:rFonts w:ascii="Times New Roman" w:hAnsi="Times New Roman" w:cs="Times New Roman"/>
          <w:b/>
          <w:bCs/>
          <w:szCs w:val="24"/>
        </w:rPr>
        <w:br w:type="page"/>
      </w:r>
    </w:p>
    <w:p w14:paraId="0C48D031" w14:textId="77777777" w:rsidR="00280E74" w:rsidRDefault="00280E74" w:rsidP="00280E74">
      <w:pPr>
        <w:pStyle w:val="Heading1"/>
      </w:pPr>
      <w:bookmarkStart w:id="0" w:name="_Toc224428891"/>
      <w:r>
        <w:lastRenderedPageBreak/>
        <w:t xml:space="preserve">Executive </w:t>
      </w:r>
      <w:r w:rsidRPr="00EF7CC0">
        <w:t>Summary</w:t>
      </w:r>
      <w:bookmarkEnd w:id="0"/>
    </w:p>
    <w:p w14:paraId="6067A1DE" w14:textId="77777777" w:rsidR="00280E74" w:rsidRPr="00EF7CC0" w:rsidRDefault="00280E74" w:rsidP="00280E74">
      <w:r w:rsidRPr="000A3975">
        <w:t>This report appraises the Coastal Tide Offshore Wind Farm, a 50 MW (£50 million capex) development off the UK's northeast coast. NorthernEdge Energy Ltd is seeking immediate board and lender approval to proceed because the scheme aligns with UK net-zero delivery, energy-security priorities, and long-run contracted revenue. Financing relies on a hybrid capital structure: 60% senior project debt, 25% green bond refinancing, and 15% UK Government Contracts for Difference (CfD) support.</w:t>
      </w:r>
    </w:p>
    <w:p w14:paraId="02B9B917" w14:textId="77777777" w:rsidR="00280E74" w:rsidRDefault="00280E74" w:rsidP="00280E74">
      <w:r w:rsidRPr="00EF7CC0">
        <w:t xml:space="preserve">The core capital appraisal confirms the project is viable, delivering a base-case NPV of +£3.9M, an Internal Rate of Return (IRR) of 9.4%, and a Profitability Index of 1.08. However, it possesses limited defensive tolerance against extreme worst-case scenarios. To protect this margin, stringent cost control mechanisms are established, notably Earned Value Management (EVM) integrated with a two-tier contingency reserve. A robust reporting governance framework is also specified, tying real-time schedule and cost metrics directly to lender compliance thresholds. The project is fundamentally sound but requires aggressive, proactive management during the 36-month construction phase to </w:t>
      </w:r>
      <w:proofErr w:type="spellStart"/>
      <w:r w:rsidRPr="00EF7CC0">
        <w:t>materialise</w:t>
      </w:r>
      <w:proofErr w:type="spellEnd"/>
      <w:r w:rsidRPr="00EF7CC0">
        <w:t xml:space="preserve"> the projected value.</w:t>
      </w:r>
    </w:p>
    <w:p w14:paraId="6BEED7C4" w14:textId="2685C754" w:rsidR="00280E74" w:rsidRDefault="00280E74" w:rsidP="00280E74">
      <w:pPr>
        <w:spacing w:after="200" w:line="276" w:lineRule="auto"/>
        <w:jc w:val="left"/>
      </w:pPr>
      <w:r>
        <w:br w:type="page"/>
      </w:r>
    </w:p>
    <w:p w14:paraId="44157F1D" w14:textId="695ABF72" w:rsidR="00280E74" w:rsidRPr="00280E74" w:rsidRDefault="00280E74" w:rsidP="00280E74">
      <w:pPr>
        <w:spacing w:after="200" w:line="276" w:lineRule="auto"/>
        <w:jc w:val="left"/>
        <w:rPr>
          <w:b/>
          <w:bCs/>
          <w:sz w:val="32"/>
          <w:szCs w:val="32"/>
        </w:rPr>
      </w:pPr>
      <w:r w:rsidRPr="00280E74">
        <w:rPr>
          <w:b/>
          <w:bCs/>
          <w:sz w:val="32"/>
          <w:szCs w:val="32"/>
        </w:rPr>
        <w:lastRenderedPageBreak/>
        <w:t>List of Tables</w:t>
      </w:r>
    </w:p>
    <w:p w14:paraId="217A0CC0" w14:textId="150FF69D" w:rsidR="00280E74" w:rsidRDefault="00280E74">
      <w:pPr>
        <w:pStyle w:val="TableofFigures"/>
        <w:tabs>
          <w:tab w:val="right" w:leader="dot" w:pos="9016"/>
        </w:tabs>
        <w:rPr>
          <w:noProof/>
        </w:rPr>
      </w:pPr>
      <w:r>
        <w:rPr>
          <w:rFonts w:asciiTheme="majorHAnsi" w:eastAsiaTheme="majorEastAsia" w:hAnsiTheme="majorHAnsi" w:cstheme="majorBidi"/>
          <w:b/>
          <w:bCs/>
          <w:color w:val="000000"/>
          <w:sz w:val="32"/>
          <w:szCs w:val="28"/>
        </w:rPr>
        <w:fldChar w:fldCharType="begin"/>
      </w:r>
      <w:r>
        <w:rPr>
          <w:rFonts w:asciiTheme="majorHAnsi" w:eastAsiaTheme="majorEastAsia" w:hAnsiTheme="majorHAnsi" w:cstheme="majorBidi"/>
          <w:b/>
          <w:bCs/>
          <w:color w:val="000000"/>
          <w:sz w:val="32"/>
          <w:szCs w:val="28"/>
        </w:rPr>
        <w:instrText xml:space="preserve"> TOC \h \z \c "Table" </w:instrText>
      </w:r>
      <w:r>
        <w:rPr>
          <w:rFonts w:asciiTheme="majorHAnsi" w:eastAsiaTheme="majorEastAsia" w:hAnsiTheme="majorHAnsi" w:cstheme="majorBidi"/>
          <w:b/>
          <w:bCs/>
          <w:color w:val="000000"/>
          <w:sz w:val="32"/>
          <w:szCs w:val="28"/>
        </w:rPr>
        <w:fldChar w:fldCharType="separate"/>
      </w:r>
      <w:hyperlink w:anchor="_Toc224428847" w:history="1">
        <w:r w:rsidRPr="00112B34">
          <w:rPr>
            <w:rStyle w:val="Hyperlink"/>
            <w:noProof/>
          </w:rPr>
          <w:t>Table 1 Comparison of Financing Options — Coastal Tide Offshore Wind Farm</w:t>
        </w:r>
        <w:r>
          <w:rPr>
            <w:noProof/>
            <w:webHidden/>
          </w:rPr>
          <w:tab/>
        </w:r>
        <w:r>
          <w:rPr>
            <w:noProof/>
            <w:webHidden/>
          </w:rPr>
          <w:fldChar w:fldCharType="begin"/>
        </w:r>
        <w:r>
          <w:rPr>
            <w:noProof/>
            <w:webHidden/>
          </w:rPr>
          <w:instrText xml:space="preserve"> PAGEREF _Toc224428847 \h </w:instrText>
        </w:r>
        <w:r>
          <w:rPr>
            <w:noProof/>
            <w:webHidden/>
          </w:rPr>
        </w:r>
        <w:r>
          <w:rPr>
            <w:noProof/>
            <w:webHidden/>
          </w:rPr>
          <w:fldChar w:fldCharType="separate"/>
        </w:r>
        <w:r>
          <w:rPr>
            <w:noProof/>
            <w:webHidden/>
          </w:rPr>
          <w:t>6</w:t>
        </w:r>
        <w:r>
          <w:rPr>
            <w:noProof/>
            <w:webHidden/>
          </w:rPr>
          <w:fldChar w:fldCharType="end"/>
        </w:r>
      </w:hyperlink>
    </w:p>
    <w:p w14:paraId="6247EA0E" w14:textId="36D1C252" w:rsidR="00280E74" w:rsidRDefault="00A01459">
      <w:pPr>
        <w:pStyle w:val="TableofFigures"/>
        <w:tabs>
          <w:tab w:val="right" w:leader="dot" w:pos="9016"/>
        </w:tabs>
        <w:rPr>
          <w:noProof/>
        </w:rPr>
      </w:pPr>
      <w:hyperlink w:anchor="_Toc224428848" w:history="1">
        <w:r w:rsidR="00280E74" w:rsidRPr="00112B34">
          <w:rPr>
            <w:rStyle w:val="Hyperlink"/>
            <w:noProof/>
          </w:rPr>
          <w:t>Table 2 Projected Cash Flow Summary — Coastal Tide Offshore Wind Farm</w:t>
        </w:r>
        <w:r w:rsidR="00280E74">
          <w:rPr>
            <w:noProof/>
            <w:webHidden/>
          </w:rPr>
          <w:tab/>
        </w:r>
        <w:r w:rsidR="00280E74">
          <w:rPr>
            <w:noProof/>
            <w:webHidden/>
          </w:rPr>
          <w:fldChar w:fldCharType="begin"/>
        </w:r>
        <w:r w:rsidR="00280E74">
          <w:rPr>
            <w:noProof/>
            <w:webHidden/>
          </w:rPr>
          <w:instrText xml:space="preserve"> PAGEREF _Toc224428848 \h </w:instrText>
        </w:r>
        <w:r w:rsidR="00280E74">
          <w:rPr>
            <w:noProof/>
            <w:webHidden/>
          </w:rPr>
        </w:r>
        <w:r w:rsidR="00280E74">
          <w:rPr>
            <w:noProof/>
            <w:webHidden/>
          </w:rPr>
          <w:fldChar w:fldCharType="separate"/>
        </w:r>
        <w:r w:rsidR="00280E74">
          <w:rPr>
            <w:noProof/>
            <w:webHidden/>
          </w:rPr>
          <w:t>9</w:t>
        </w:r>
        <w:r w:rsidR="00280E74">
          <w:rPr>
            <w:noProof/>
            <w:webHidden/>
          </w:rPr>
          <w:fldChar w:fldCharType="end"/>
        </w:r>
      </w:hyperlink>
    </w:p>
    <w:p w14:paraId="7BEAFFC9" w14:textId="54A5ECAD" w:rsidR="00280E74" w:rsidRDefault="00A01459">
      <w:pPr>
        <w:pStyle w:val="TableofFigures"/>
        <w:tabs>
          <w:tab w:val="right" w:leader="dot" w:pos="9016"/>
        </w:tabs>
        <w:rPr>
          <w:noProof/>
        </w:rPr>
      </w:pPr>
      <w:hyperlink w:anchor="_Toc224428849" w:history="1">
        <w:r w:rsidR="00280E74" w:rsidRPr="00112B34">
          <w:rPr>
            <w:rStyle w:val="Hyperlink"/>
            <w:noProof/>
          </w:rPr>
          <w:t>Table 3 Scenario Analysis — Best-Case, Base-Case and Worst-Case Outcomes</w:t>
        </w:r>
        <w:r w:rsidR="00280E74">
          <w:rPr>
            <w:noProof/>
            <w:webHidden/>
          </w:rPr>
          <w:tab/>
        </w:r>
        <w:r w:rsidR="00280E74">
          <w:rPr>
            <w:noProof/>
            <w:webHidden/>
          </w:rPr>
          <w:fldChar w:fldCharType="begin"/>
        </w:r>
        <w:r w:rsidR="00280E74">
          <w:rPr>
            <w:noProof/>
            <w:webHidden/>
          </w:rPr>
          <w:instrText xml:space="preserve"> PAGEREF _Toc224428849 \h </w:instrText>
        </w:r>
        <w:r w:rsidR="00280E74">
          <w:rPr>
            <w:noProof/>
            <w:webHidden/>
          </w:rPr>
        </w:r>
        <w:r w:rsidR="00280E74">
          <w:rPr>
            <w:noProof/>
            <w:webHidden/>
          </w:rPr>
          <w:fldChar w:fldCharType="separate"/>
        </w:r>
        <w:r w:rsidR="00280E74">
          <w:rPr>
            <w:noProof/>
            <w:webHidden/>
          </w:rPr>
          <w:t>11</w:t>
        </w:r>
        <w:r w:rsidR="00280E74">
          <w:rPr>
            <w:noProof/>
            <w:webHidden/>
          </w:rPr>
          <w:fldChar w:fldCharType="end"/>
        </w:r>
      </w:hyperlink>
    </w:p>
    <w:p w14:paraId="0163C705" w14:textId="42E42E74" w:rsidR="00280E74" w:rsidRDefault="00A01459">
      <w:pPr>
        <w:pStyle w:val="TableofFigures"/>
        <w:tabs>
          <w:tab w:val="right" w:leader="dot" w:pos="9016"/>
        </w:tabs>
        <w:rPr>
          <w:noProof/>
        </w:rPr>
      </w:pPr>
      <w:hyperlink w:anchor="_Toc224428850" w:history="1">
        <w:r w:rsidR="00280E74" w:rsidRPr="00112B34">
          <w:rPr>
            <w:rStyle w:val="Hyperlink"/>
            <w:noProof/>
          </w:rPr>
          <w:t>Table 4 EVM Baseline Metrics — Coastal Tide Offshore Wind Farm (Year 1 Construction Snapshot at Month 12)</w:t>
        </w:r>
        <w:r w:rsidR="00280E74">
          <w:rPr>
            <w:noProof/>
            <w:webHidden/>
          </w:rPr>
          <w:tab/>
        </w:r>
        <w:r w:rsidR="00280E74">
          <w:rPr>
            <w:noProof/>
            <w:webHidden/>
          </w:rPr>
          <w:fldChar w:fldCharType="begin"/>
        </w:r>
        <w:r w:rsidR="00280E74">
          <w:rPr>
            <w:noProof/>
            <w:webHidden/>
          </w:rPr>
          <w:instrText xml:space="preserve"> PAGEREF _Toc224428850 \h </w:instrText>
        </w:r>
        <w:r w:rsidR="00280E74">
          <w:rPr>
            <w:noProof/>
            <w:webHidden/>
          </w:rPr>
        </w:r>
        <w:r w:rsidR="00280E74">
          <w:rPr>
            <w:noProof/>
            <w:webHidden/>
          </w:rPr>
          <w:fldChar w:fldCharType="separate"/>
        </w:r>
        <w:r w:rsidR="00280E74">
          <w:rPr>
            <w:noProof/>
            <w:webHidden/>
          </w:rPr>
          <w:t>13</w:t>
        </w:r>
        <w:r w:rsidR="00280E74">
          <w:rPr>
            <w:noProof/>
            <w:webHidden/>
          </w:rPr>
          <w:fldChar w:fldCharType="end"/>
        </w:r>
      </w:hyperlink>
    </w:p>
    <w:p w14:paraId="6BD6CE2D" w14:textId="41136494" w:rsidR="00280E74" w:rsidRDefault="00A01459">
      <w:pPr>
        <w:pStyle w:val="TableofFigures"/>
        <w:tabs>
          <w:tab w:val="right" w:leader="dot" w:pos="9016"/>
        </w:tabs>
        <w:rPr>
          <w:noProof/>
        </w:rPr>
      </w:pPr>
      <w:hyperlink w:anchor="_Toc224428851" w:history="1">
        <w:r w:rsidR="00280E74" w:rsidRPr="00112B34">
          <w:rPr>
            <w:rStyle w:val="Hyperlink"/>
            <w:noProof/>
          </w:rPr>
          <w:t>Table 5 Financial Reporting Framework — Coastal Tide Offshore Wind Farm</w:t>
        </w:r>
        <w:r w:rsidR="00280E74">
          <w:rPr>
            <w:noProof/>
            <w:webHidden/>
          </w:rPr>
          <w:tab/>
        </w:r>
        <w:r w:rsidR="00280E74">
          <w:rPr>
            <w:noProof/>
            <w:webHidden/>
          </w:rPr>
          <w:fldChar w:fldCharType="begin"/>
        </w:r>
        <w:r w:rsidR="00280E74">
          <w:rPr>
            <w:noProof/>
            <w:webHidden/>
          </w:rPr>
          <w:instrText xml:space="preserve"> PAGEREF _Toc224428851 \h </w:instrText>
        </w:r>
        <w:r w:rsidR="00280E74">
          <w:rPr>
            <w:noProof/>
            <w:webHidden/>
          </w:rPr>
        </w:r>
        <w:r w:rsidR="00280E74">
          <w:rPr>
            <w:noProof/>
            <w:webHidden/>
          </w:rPr>
          <w:fldChar w:fldCharType="separate"/>
        </w:r>
        <w:r w:rsidR="00280E74">
          <w:rPr>
            <w:noProof/>
            <w:webHidden/>
          </w:rPr>
          <w:t>16</w:t>
        </w:r>
        <w:r w:rsidR="00280E74">
          <w:rPr>
            <w:noProof/>
            <w:webHidden/>
          </w:rPr>
          <w:fldChar w:fldCharType="end"/>
        </w:r>
      </w:hyperlink>
    </w:p>
    <w:p w14:paraId="20CA013C" w14:textId="2AB07981" w:rsidR="00280E74" w:rsidRDefault="00280E74" w:rsidP="00280E74">
      <w:pPr>
        <w:spacing w:after="200" w:line="276" w:lineRule="auto"/>
        <w:jc w:val="left"/>
        <w:rPr>
          <w:rFonts w:asciiTheme="majorHAnsi" w:eastAsiaTheme="majorEastAsia" w:hAnsiTheme="majorHAnsi" w:cstheme="majorBidi"/>
          <w:b/>
          <w:bCs/>
          <w:color w:val="000000"/>
          <w:sz w:val="32"/>
          <w:szCs w:val="28"/>
        </w:rPr>
      </w:pPr>
      <w:r>
        <w:rPr>
          <w:rFonts w:asciiTheme="majorHAnsi" w:eastAsiaTheme="majorEastAsia" w:hAnsiTheme="majorHAnsi" w:cstheme="majorBidi"/>
          <w:b/>
          <w:bCs/>
          <w:color w:val="000000"/>
          <w:sz w:val="32"/>
          <w:szCs w:val="28"/>
        </w:rPr>
        <w:fldChar w:fldCharType="end"/>
      </w:r>
    </w:p>
    <w:p w14:paraId="12C0FD4F" w14:textId="3AD7692A" w:rsidR="00280E74" w:rsidRDefault="00280E74" w:rsidP="00280E74">
      <w:pPr>
        <w:spacing w:after="200" w:line="276" w:lineRule="auto"/>
        <w:jc w:val="left"/>
        <w:rPr>
          <w:rFonts w:asciiTheme="majorHAnsi" w:eastAsiaTheme="majorEastAsia" w:hAnsiTheme="majorHAnsi" w:cstheme="majorBidi"/>
          <w:b/>
          <w:bCs/>
          <w:color w:val="000000"/>
          <w:sz w:val="32"/>
          <w:szCs w:val="28"/>
        </w:rPr>
      </w:pPr>
      <w:r>
        <w:rPr>
          <w:rFonts w:asciiTheme="majorHAnsi" w:eastAsiaTheme="majorEastAsia" w:hAnsiTheme="majorHAnsi" w:cstheme="majorBidi"/>
          <w:b/>
          <w:bCs/>
          <w:color w:val="000000"/>
          <w:sz w:val="32"/>
          <w:szCs w:val="28"/>
        </w:rPr>
        <w:t>List of Figures</w:t>
      </w:r>
    </w:p>
    <w:p w14:paraId="7F920C64" w14:textId="0EF22F25" w:rsidR="00280E74" w:rsidRDefault="00280E74">
      <w:pPr>
        <w:pStyle w:val="TableofFigures"/>
        <w:tabs>
          <w:tab w:val="right" w:leader="dot" w:pos="9016"/>
        </w:tabs>
        <w:rPr>
          <w:rFonts w:asciiTheme="minorHAnsi" w:hAnsiTheme="minorHAnsi"/>
          <w:noProof/>
          <w:kern w:val="2"/>
          <w:szCs w:val="24"/>
          <w14:ligatures w14:val="standardContextual"/>
        </w:rPr>
      </w:pPr>
      <w:r>
        <w:fldChar w:fldCharType="begin"/>
      </w:r>
      <w:r>
        <w:instrText xml:space="preserve"> TOC \h \z \c "Figure" </w:instrText>
      </w:r>
      <w:r>
        <w:fldChar w:fldCharType="separate"/>
      </w:r>
      <w:hyperlink w:anchor="_Toc224428871" w:history="1">
        <w:r w:rsidRPr="00047831">
          <w:rPr>
            <w:rStyle w:val="Hyperlink"/>
            <w:noProof/>
          </w:rPr>
          <w:t>Figure 1 Recommended Financing Structure for Coastal Tide Offshore Wind Farm (£50M)</w:t>
        </w:r>
        <w:r>
          <w:rPr>
            <w:noProof/>
            <w:webHidden/>
          </w:rPr>
          <w:tab/>
        </w:r>
        <w:r>
          <w:rPr>
            <w:noProof/>
            <w:webHidden/>
          </w:rPr>
          <w:fldChar w:fldCharType="begin"/>
        </w:r>
        <w:r>
          <w:rPr>
            <w:noProof/>
            <w:webHidden/>
          </w:rPr>
          <w:instrText xml:space="preserve"> PAGEREF _Toc224428871 \h </w:instrText>
        </w:r>
        <w:r>
          <w:rPr>
            <w:noProof/>
            <w:webHidden/>
          </w:rPr>
        </w:r>
        <w:r>
          <w:rPr>
            <w:noProof/>
            <w:webHidden/>
          </w:rPr>
          <w:fldChar w:fldCharType="separate"/>
        </w:r>
        <w:r>
          <w:rPr>
            <w:noProof/>
            <w:webHidden/>
          </w:rPr>
          <w:t>8</w:t>
        </w:r>
        <w:r>
          <w:rPr>
            <w:noProof/>
            <w:webHidden/>
          </w:rPr>
          <w:fldChar w:fldCharType="end"/>
        </w:r>
      </w:hyperlink>
    </w:p>
    <w:p w14:paraId="20F264BF" w14:textId="3DD90D52" w:rsidR="00280E74" w:rsidRDefault="00A01459">
      <w:pPr>
        <w:pStyle w:val="TableofFigures"/>
        <w:tabs>
          <w:tab w:val="right" w:leader="dot" w:pos="9016"/>
        </w:tabs>
        <w:rPr>
          <w:rFonts w:asciiTheme="minorHAnsi" w:hAnsiTheme="minorHAnsi"/>
          <w:noProof/>
          <w:kern w:val="2"/>
          <w:szCs w:val="24"/>
          <w14:ligatures w14:val="standardContextual"/>
        </w:rPr>
      </w:pPr>
      <w:hyperlink w:anchor="_Toc224428872" w:history="1">
        <w:r w:rsidR="00280E74" w:rsidRPr="00047831">
          <w:rPr>
            <w:rStyle w:val="Hyperlink"/>
            <w:noProof/>
          </w:rPr>
          <w:t>Figure 2 NPV Sensitivity — Best, Base and Worst Case Scenarios (£M)</w:t>
        </w:r>
        <w:r w:rsidR="00280E74">
          <w:rPr>
            <w:noProof/>
            <w:webHidden/>
          </w:rPr>
          <w:tab/>
        </w:r>
        <w:r w:rsidR="00280E74">
          <w:rPr>
            <w:noProof/>
            <w:webHidden/>
          </w:rPr>
          <w:fldChar w:fldCharType="begin"/>
        </w:r>
        <w:r w:rsidR="00280E74">
          <w:rPr>
            <w:noProof/>
            <w:webHidden/>
          </w:rPr>
          <w:instrText xml:space="preserve"> PAGEREF _Toc224428872 \h </w:instrText>
        </w:r>
        <w:r w:rsidR="00280E74">
          <w:rPr>
            <w:noProof/>
            <w:webHidden/>
          </w:rPr>
        </w:r>
        <w:r w:rsidR="00280E74">
          <w:rPr>
            <w:noProof/>
            <w:webHidden/>
          </w:rPr>
          <w:fldChar w:fldCharType="separate"/>
        </w:r>
        <w:r w:rsidR="00280E74">
          <w:rPr>
            <w:noProof/>
            <w:webHidden/>
          </w:rPr>
          <w:t>12</w:t>
        </w:r>
        <w:r w:rsidR="00280E74">
          <w:rPr>
            <w:noProof/>
            <w:webHidden/>
          </w:rPr>
          <w:fldChar w:fldCharType="end"/>
        </w:r>
      </w:hyperlink>
    </w:p>
    <w:p w14:paraId="0E0FB600" w14:textId="315A08B1" w:rsidR="00280E74" w:rsidRDefault="00A01459">
      <w:pPr>
        <w:pStyle w:val="TableofFigures"/>
        <w:tabs>
          <w:tab w:val="right" w:leader="dot" w:pos="9016"/>
        </w:tabs>
        <w:rPr>
          <w:rFonts w:asciiTheme="minorHAnsi" w:hAnsiTheme="minorHAnsi"/>
          <w:noProof/>
          <w:kern w:val="2"/>
          <w:szCs w:val="24"/>
          <w14:ligatures w14:val="standardContextual"/>
        </w:rPr>
      </w:pPr>
      <w:hyperlink w:anchor="_Toc224428873" w:history="1">
        <w:r w:rsidR="00280E74" w:rsidRPr="00047831">
          <w:rPr>
            <w:rStyle w:val="Hyperlink"/>
            <w:noProof/>
          </w:rPr>
          <w:t>Figure 3 EVM S-Curve — Planned Value, Earned Value and Actual Cost, Coastal Tide Wind Farm Construction Phase</w:t>
        </w:r>
        <w:r w:rsidR="00280E74">
          <w:rPr>
            <w:noProof/>
            <w:webHidden/>
          </w:rPr>
          <w:tab/>
        </w:r>
        <w:r w:rsidR="00280E74">
          <w:rPr>
            <w:noProof/>
            <w:webHidden/>
          </w:rPr>
          <w:fldChar w:fldCharType="begin"/>
        </w:r>
        <w:r w:rsidR="00280E74">
          <w:rPr>
            <w:noProof/>
            <w:webHidden/>
          </w:rPr>
          <w:instrText xml:space="preserve"> PAGEREF _Toc224428873 \h </w:instrText>
        </w:r>
        <w:r w:rsidR="00280E74">
          <w:rPr>
            <w:noProof/>
            <w:webHidden/>
          </w:rPr>
        </w:r>
        <w:r w:rsidR="00280E74">
          <w:rPr>
            <w:noProof/>
            <w:webHidden/>
          </w:rPr>
          <w:fldChar w:fldCharType="separate"/>
        </w:r>
        <w:r w:rsidR="00280E74">
          <w:rPr>
            <w:noProof/>
            <w:webHidden/>
          </w:rPr>
          <w:t>14</w:t>
        </w:r>
        <w:r w:rsidR="00280E74">
          <w:rPr>
            <w:noProof/>
            <w:webHidden/>
          </w:rPr>
          <w:fldChar w:fldCharType="end"/>
        </w:r>
      </w:hyperlink>
    </w:p>
    <w:p w14:paraId="5818B60F" w14:textId="115A7269" w:rsidR="00280E74" w:rsidRDefault="00280E74" w:rsidP="00280E74">
      <w:r>
        <w:fldChar w:fldCharType="end"/>
      </w:r>
    </w:p>
    <w:p w14:paraId="5503E44E" w14:textId="202665B0" w:rsidR="00280E74" w:rsidRPr="00280E74" w:rsidRDefault="00280E74" w:rsidP="00280E74">
      <w:pPr>
        <w:spacing w:after="200" w:line="276" w:lineRule="auto"/>
        <w:jc w:val="left"/>
      </w:pPr>
      <w:r>
        <w:br w:type="page"/>
      </w:r>
    </w:p>
    <w:sdt>
      <w:sdtPr>
        <w:rPr>
          <w:rFonts w:ascii="Arial" w:eastAsiaTheme="minorEastAsia" w:hAnsi="Arial" w:cstheme="minorBidi"/>
          <w:b w:val="0"/>
          <w:bCs w:val="0"/>
          <w:color w:val="auto"/>
          <w:sz w:val="24"/>
          <w:szCs w:val="22"/>
        </w:rPr>
        <w:id w:val="-742416584"/>
        <w:docPartObj>
          <w:docPartGallery w:val="Table of Contents"/>
          <w:docPartUnique/>
        </w:docPartObj>
      </w:sdtPr>
      <w:sdtEndPr>
        <w:rPr>
          <w:noProof/>
        </w:rPr>
      </w:sdtEndPr>
      <w:sdtContent>
        <w:p w14:paraId="44A4CA9E" w14:textId="0AD6B4BA" w:rsidR="00C5576F" w:rsidRDefault="00C5576F">
          <w:pPr>
            <w:pStyle w:val="TOCHeading"/>
          </w:pPr>
          <w:r>
            <w:t>Table of Contents</w:t>
          </w:r>
        </w:p>
        <w:p w14:paraId="157CCF5B" w14:textId="73DE7B4D" w:rsidR="00280E74" w:rsidRDefault="00C5576F">
          <w:pPr>
            <w:pStyle w:val="TOC1"/>
            <w:tabs>
              <w:tab w:val="right" w:leader="dot" w:pos="9016"/>
            </w:tabs>
            <w:rPr>
              <w:rFonts w:cstheme="minorBidi"/>
              <w:b w:val="0"/>
              <w:bCs w:val="0"/>
              <w:i w:val="0"/>
              <w:iCs w:val="0"/>
              <w:noProof/>
              <w:kern w:val="2"/>
              <w:szCs w:val="24"/>
              <w14:ligatures w14:val="standardContextual"/>
            </w:rPr>
          </w:pPr>
          <w:r>
            <w:rPr>
              <w:b w:val="0"/>
              <w:bCs w:val="0"/>
            </w:rPr>
            <w:fldChar w:fldCharType="begin"/>
          </w:r>
          <w:r>
            <w:instrText xml:space="preserve"> TOC \o "1-3" \h \z \u </w:instrText>
          </w:r>
          <w:r>
            <w:rPr>
              <w:b w:val="0"/>
              <w:bCs w:val="0"/>
            </w:rPr>
            <w:fldChar w:fldCharType="separate"/>
          </w:r>
          <w:hyperlink w:anchor="_Toc224428891" w:history="1">
            <w:r w:rsidR="00280E74" w:rsidRPr="00BD1BC0">
              <w:rPr>
                <w:rStyle w:val="Hyperlink"/>
                <w:noProof/>
              </w:rPr>
              <w:t>Executive Summary</w:t>
            </w:r>
            <w:r w:rsidR="00280E74">
              <w:rPr>
                <w:noProof/>
                <w:webHidden/>
              </w:rPr>
              <w:tab/>
            </w:r>
            <w:r w:rsidR="00280E74">
              <w:rPr>
                <w:noProof/>
                <w:webHidden/>
              </w:rPr>
              <w:fldChar w:fldCharType="begin"/>
            </w:r>
            <w:r w:rsidR="00280E74">
              <w:rPr>
                <w:noProof/>
                <w:webHidden/>
              </w:rPr>
              <w:instrText xml:space="preserve"> PAGEREF _Toc224428891 \h </w:instrText>
            </w:r>
            <w:r w:rsidR="00280E74">
              <w:rPr>
                <w:noProof/>
                <w:webHidden/>
              </w:rPr>
            </w:r>
            <w:r w:rsidR="00280E74">
              <w:rPr>
                <w:noProof/>
                <w:webHidden/>
              </w:rPr>
              <w:fldChar w:fldCharType="separate"/>
            </w:r>
            <w:r w:rsidR="00280E74">
              <w:rPr>
                <w:noProof/>
                <w:webHidden/>
              </w:rPr>
              <w:t>2</w:t>
            </w:r>
            <w:r w:rsidR="00280E74">
              <w:rPr>
                <w:noProof/>
                <w:webHidden/>
              </w:rPr>
              <w:fldChar w:fldCharType="end"/>
            </w:r>
          </w:hyperlink>
        </w:p>
        <w:p w14:paraId="702BA3C2" w14:textId="17BABC4E" w:rsidR="00280E74" w:rsidRDefault="00A01459">
          <w:pPr>
            <w:pStyle w:val="TOC1"/>
            <w:tabs>
              <w:tab w:val="right" w:leader="dot" w:pos="9016"/>
            </w:tabs>
            <w:rPr>
              <w:rFonts w:cstheme="minorBidi"/>
              <w:b w:val="0"/>
              <w:bCs w:val="0"/>
              <w:i w:val="0"/>
              <w:iCs w:val="0"/>
              <w:noProof/>
              <w:kern w:val="2"/>
              <w:szCs w:val="24"/>
              <w14:ligatures w14:val="standardContextual"/>
            </w:rPr>
          </w:pPr>
          <w:hyperlink w:anchor="_Toc224428892" w:history="1">
            <w:r w:rsidR="00280E74" w:rsidRPr="00BD1BC0">
              <w:rPr>
                <w:rStyle w:val="Hyperlink"/>
                <w:noProof/>
              </w:rPr>
              <w:t>Introduction and Project Overview</w:t>
            </w:r>
            <w:r w:rsidR="00280E74">
              <w:rPr>
                <w:noProof/>
                <w:webHidden/>
              </w:rPr>
              <w:tab/>
            </w:r>
            <w:r w:rsidR="00280E74">
              <w:rPr>
                <w:noProof/>
                <w:webHidden/>
              </w:rPr>
              <w:fldChar w:fldCharType="begin"/>
            </w:r>
            <w:r w:rsidR="00280E74">
              <w:rPr>
                <w:noProof/>
                <w:webHidden/>
              </w:rPr>
              <w:instrText xml:space="preserve"> PAGEREF _Toc224428892 \h </w:instrText>
            </w:r>
            <w:r w:rsidR="00280E74">
              <w:rPr>
                <w:noProof/>
                <w:webHidden/>
              </w:rPr>
            </w:r>
            <w:r w:rsidR="00280E74">
              <w:rPr>
                <w:noProof/>
                <w:webHidden/>
              </w:rPr>
              <w:fldChar w:fldCharType="separate"/>
            </w:r>
            <w:r w:rsidR="00280E74">
              <w:rPr>
                <w:noProof/>
                <w:webHidden/>
              </w:rPr>
              <w:t>5</w:t>
            </w:r>
            <w:r w:rsidR="00280E74">
              <w:rPr>
                <w:noProof/>
                <w:webHidden/>
              </w:rPr>
              <w:fldChar w:fldCharType="end"/>
            </w:r>
          </w:hyperlink>
        </w:p>
        <w:p w14:paraId="5536312D" w14:textId="535D3928" w:rsidR="00280E74" w:rsidRDefault="00A01459">
          <w:pPr>
            <w:pStyle w:val="TOC1"/>
            <w:tabs>
              <w:tab w:val="right" w:leader="dot" w:pos="9016"/>
            </w:tabs>
            <w:rPr>
              <w:rFonts w:cstheme="minorBidi"/>
              <w:b w:val="0"/>
              <w:bCs w:val="0"/>
              <w:i w:val="0"/>
              <w:iCs w:val="0"/>
              <w:noProof/>
              <w:kern w:val="2"/>
              <w:szCs w:val="24"/>
              <w14:ligatures w14:val="standardContextual"/>
            </w:rPr>
          </w:pPr>
          <w:hyperlink w:anchor="_Toc224428893" w:history="1">
            <w:r w:rsidR="00280E74" w:rsidRPr="00BD1BC0">
              <w:rPr>
                <w:rStyle w:val="Hyperlink"/>
                <w:noProof/>
              </w:rPr>
              <w:t>Section A: Sources of Financing</w:t>
            </w:r>
            <w:r w:rsidR="00280E74">
              <w:rPr>
                <w:noProof/>
                <w:webHidden/>
              </w:rPr>
              <w:tab/>
            </w:r>
            <w:r w:rsidR="00280E74">
              <w:rPr>
                <w:noProof/>
                <w:webHidden/>
              </w:rPr>
              <w:fldChar w:fldCharType="begin"/>
            </w:r>
            <w:r w:rsidR="00280E74">
              <w:rPr>
                <w:noProof/>
                <w:webHidden/>
              </w:rPr>
              <w:instrText xml:space="preserve"> PAGEREF _Toc224428893 \h </w:instrText>
            </w:r>
            <w:r w:rsidR="00280E74">
              <w:rPr>
                <w:noProof/>
                <w:webHidden/>
              </w:rPr>
            </w:r>
            <w:r w:rsidR="00280E74">
              <w:rPr>
                <w:noProof/>
                <w:webHidden/>
              </w:rPr>
              <w:fldChar w:fldCharType="separate"/>
            </w:r>
            <w:r w:rsidR="00280E74">
              <w:rPr>
                <w:noProof/>
                <w:webHidden/>
              </w:rPr>
              <w:t>6</w:t>
            </w:r>
            <w:r w:rsidR="00280E74">
              <w:rPr>
                <w:noProof/>
                <w:webHidden/>
              </w:rPr>
              <w:fldChar w:fldCharType="end"/>
            </w:r>
          </w:hyperlink>
        </w:p>
        <w:p w14:paraId="1B09742D" w14:textId="0D9A6C8C" w:rsidR="00280E74" w:rsidRDefault="00A01459">
          <w:pPr>
            <w:pStyle w:val="TOC1"/>
            <w:tabs>
              <w:tab w:val="right" w:leader="dot" w:pos="9016"/>
            </w:tabs>
            <w:rPr>
              <w:rFonts w:cstheme="minorBidi"/>
              <w:b w:val="0"/>
              <w:bCs w:val="0"/>
              <w:i w:val="0"/>
              <w:iCs w:val="0"/>
              <w:noProof/>
              <w:kern w:val="2"/>
              <w:szCs w:val="24"/>
              <w14:ligatures w14:val="standardContextual"/>
            </w:rPr>
          </w:pPr>
          <w:hyperlink w:anchor="_Toc224428894" w:history="1">
            <w:r w:rsidR="00280E74" w:rsidRPr="00BD1BC0">
              <w:rPr>
                <w:rStyle w:val="Hyperlink"/>
                <w:noProof/>
              </w:rPr>
              <w:t>Section B: Capital Investment Appraisal</w:t>
            </w:r>
            <w:r w:rsidR="00280E74">
              <w:rPr>
                <w:noProof/>
                <w:webHidden/>
              </w:rPr>
              <w:tab/>
            </w:r>
            <w:r w:rsidR="00280E74">
              <w:rPr>
                <w:noProof/>
                <w:webHidden/>
              </w:rPr>
              <w:fldChar w:fldCharType="begin"/>
            </w:r>
            <w:r w:rsidR="00280E74">
              <w:rPr>
                <w:noProof/>
                <w:webHidden/>
              </w:rPr>
              <w:instrText xml:space="preserve"> PAGEREF _Toc224428894 \h </w:instrText>
            </w:r>
            <w:r w:rsidR="00280E74">
              <w:rPr>
                <w:noProof/>
                <w:webHidden/>
              </w:rPr>
            </w:r>
            <w:r w:rsidR="00280E74">
              <w:rPr>
                <w:noProof/>
                <w:webHidden/>
              </w:rPr>
              <w:fldChar w:fldCharType="separate"/>
            </w:r>
            <w:r w:rsidR="00280E74">
              <w:rPr>
                <w:noProof/>
                <w:webHidden/>
              </w:rPr>
              <w:t>9</w:t>
            </w:r>
            <w:r w:rsidR="00280E74">
              <w:rPr>
                <w:noProof/>
                <w:webHidden/>
              </w:rPr>
              <w:fldChar w:fldCharType="end"/>
            </w:r>
          </w:hyperlink>
        </w:p>
        <w:p w14:paraId="54BA9A3E" w14:textId="3955C03A" w:rsidR="00280E74" w:rsidRDefault="00A01459">
          <w:pPr>
            <w:pStyle w:val="TOC2"/>
            <w:tabs>
              <w:tab w:val="right" w:leader="dot" w:pos="9016"/>
            </w:tabs>
            <w:rPr>
              <w:rFonts w:cstheme="minorBidi"/>
              <w:b w:val="0"/>
              <w:bCs w:val="0"/>
              <w:noProof/>
              <w:kern w:val="2"/>
              <w:sz w:val="24"/>
              <w:szCs w:val="24"/>
              <w14:ligatures w14:val="standardContextual"/>
            </w:rPr>
          </w:pPr>
          <w:hyperlink w:anchor="_Toc224428895" w:history="1">
            <w:r w:rsidR="00280E74" w:rsidRPr="00BD1BC0">
              <w:rPr>
                <w:rStyle w:val="Hyperlink"/>
                <w:noProof/>
              </w:rPr>
              <w:t>Key Assumptions</w:t>
            </w:r>
            <w:r w:rsidR="00280E74">
              <w:rPr>
                <w:noProof/>
                <w:webHidden/>
              </w:rPr>
              <w:tab/>
            </w:r>
            <w:r w:rsidR="00280E74">
              <w:rPr>
                <w:noProof/>
                <w:webHidden/>
              </w:rPr>
              <w:fldChar w:fldCharType="begin"/>
            </w:r>
            <w:r w:rsidR="00280E74">
              <w:rPr>
                <w:noProof/>
                <w:webHidden/>
              </w:rPr>
              <w:instrText xml:space="preserve"> PAGEREF _Toc224428895 \h </w:instrText>
            </w:r>
            <w:r w:rsidR="00280E74">
              <w:rPr>
                <w:noProof/>
                <w:webHidden/>
              </w:rPr>
            </w:r>
            <w:r w:rsidR="00280E74">
              <w:rPr>
                <w:noProof/>
                <w:webHidden/>
              </w:rPr>
              <w:fldChar w:fldCharType="separate"/>
            </w:r>
            <w:r w:rsidR="00280E74">
              <w:rPr>
                <w:noProof/>
                <w:webHidden/>
              </w:rPr>
              <w:t>9</w:t>
            </w:r>
            <w:r w:rsidR="00280E74">
              <w:rPr>
                <w:noProof/>
                <w:webHidden/>
              </w:rPr>
              <w:fldChar w:fldCharType="end"/>
            </w:r>
          </w:hyperlink>
        </w:p>
        <w:p w14:paraId="15BC29B2" w14:textId="35FA70AE" w:rsidR="00280E74" w:rsidRDefault="00A01459">
          <w:pPr>
            <w:pStyle w:val="TOC2"/>
            <w:tabs>
              <w:tab w:val="right" w:leader="dot" w:pos="9016"/>
            </w:tabs>
            <w:rPr>
              <w:rFonts w:cstheme="minorBidi"/>
              <w:b w:val="0"/>
              <w:bCs w:val="0"/>
              <w:noProof/>
              <w:kern w:val="2"/>
              <w:sz w:val="24"/>
              <w:szCs w:val="24"/>
              <w14:ligatures w14:val="standardContextual"/>
            </w:rPr>
          </w:pPr>
          <w:hyperlink w:anchor="_Toc224428896" w:history="1">
            <w:r w:rsidR="00280E74" w:rsidRPr="00BD1BC0">
              <w:rPr>
                <w:rStyle w:val="Hyperlink"/>
                <w:noProof/>
              </w:rPr>
              <w:t>Results</w:t>
            </w:r>
            <w:r w:rsidR="00280E74">
              <w:rPr>
                <w:noProof/>
                <w:webHidden/>
              </w:rPr>
              <w:tab/>
            </w:r>
            <w:r w:rsidR="00280E74">
              <w:rPr>
                <w:noProof/>
                <w:webHidden/>
              </w:rPr>
              <w:fldChar w:fldCharType="begin"/>
            </w:r>
            <w:r w:rsidR="00280E74">
              <w:rPr>
                <w:noProof/>
                <w:webHidden/>
              </w:rPr>
              <w:instrText xml:space="preserve"> PAGEREF _Toc224428896 \h </w:instrText>
            </w:r>
            <w:r w:rsidR="00280E74">
              <w:rPr>
                <w:noProof/>
                <w:webHidden/>
              </w:rPr>
            </w:r>
            <w:r w:rsidR="00280E74">
              <w:rPr>
                <w:noProof/>
                <w:webHidden/>
              </w:rPr>
              <w:fldChar w:fldCharType="separate"/>
            </w:r>
            <w:r w:rsidR="00280E74">
              <w:rPr>
                <w:noProof/>
                <w:webHidden/>
              </w:rPr>
              <w:t>10</w:t>
            </w:r>
            <w:r w:rsidR="00280E74">
              <w:rPr>
                <w:noProof/>
                <w:webHidden/>
              </w:rPr>
              <w:fldChar w:fldCharType="end"/>
            </w:r>
          </w:hyperlink>
        </w:p>
        <w:p w14:paraId="6E985E17" w14:textId="17173D5C" w:rsidR="00280E74" w:rsidRDefault="00A01459">
          <w:pPr>
            <w:pStyle w:val="TOC2"/>
            <w:tabs>
              <w:tab w:val="right" w:leader="dot" w:pos="9016"/>
            </w:tabs>
            <w:rPr>
              <w:rFonts w:cstheme="minorBidi"/>
              <w:b w:val="0"/>
              <w:bCs w:val="0"/>
              <w:noProof/>
              <w:kern w:val="2"/>
              <w:sz w:val="24"/>
              <w:szCs w:val="24"/>
              <w14:ligatures w14:val="standardContextual"/>
            </w:rPr>
          </w:pPr>
          <w:hyperlink w:anchor="_Toc224428897" w:history="1">
            <w:r w:rsidR="00280E74" w:rsidRPr="00BD1BC0">
              <w:rPr>
                <w:rStyle w:val="Hyperlink"/>
                <w:noProof/>
              </w:rPr>
              <w:t>Scenario Analysis</w:t>
            </w:r>
            <w:r w:rsidR="00280E74">
              <w:rPr>
                <w:noProof/>
                <w:webHidden/>
              </w:rPr>
              <w:tab/>
            </w:r>
            <w:r w:rsidR="00280E74">
              <w:rPr>
                <w:noProof/>
                <w:webHidden/>
              </w:rPr>
              <w:fldChar w:fldCharType="begin"/>
            </w:r>
            <w:r w:rsidR="00280E74">
              <w:rPr>
                <w:noProof/>
                <w:webHidden/>
              </w:rPr>
              <w:instrText xml:space="preserve"> PAGEREF _Toc224428897 \h </w:instrText>
            </w:r>
            <w:r w:rsidR="00280E74">
              <w:rPr>
                <w:noProof/>
                <w:webHidden/>
              </w:rPr>
            </w:r>
            <w:r w:rsidR="00280E74">
              <w:rPr>
                <w:noProof/>
                <w:webHidden/>
              </w:rPr>
              <w:fldChar w:fldCharType="separate"/>
            </w:r>
            <w:r w:rsidR="00280E74">
              <w:rPr>
                <w:noProof/>
                <w:webHidden/>
              </w:rPr>
              <w:t>11</w:t>
            </w:r>
            <w:r w:rsidR="00280E74">
              <w:rPr>
                <w:noProof/>
                <w:webHidden/>
              </w:rPr>
              <w:fldChar w:fldCharType="end"/>
            </w:r>
          </w:hyperlink>
        </w:p>
        <w:p w14:paraId="665E7CAF" w14:textId="32554E00" w:rsidR="00280E74" w:rsidRDefault="00A01459">
          <w:pPr>
            <w:pStyle w:val="TOC1"/>
            <w:tabs>
              <w:tab w:val="right" w:leader="dot" w:pos="9016"/>
            </w:tabs>
            <w:rPr>
              <w:rFonts w:cstheme="minorBidi"/>
              <w:b w:val="0"/>
              <w:bCs w:val="0"/>
              <w:i w:val="0"/>
              <w:iCs w:val="0"/>
              <w:noProof/>
              <w:kern w:val="2"/>
              <w:szCs w:val="24"/>
              <w14:ligatures w14:val="standardContextual"/>
            </w:rPr>
          </w:pPr>
          <w:hyperlink w:anchor="_Toc224428898" w:history="1">
            <w:r w:rsidR="00280E74" w:rsidRPr="00BD1BC0">
              <w:rPr>
                <w:rStyle w:val="Hyperlink"/>
                <w:noProof/>
              </w:rPr>
              <w:t>Section C: Cost Control Mechanisms</w:t>
            </w:r>
            <w:r w:rsidR="00280E74">
              <w:rPr>
                <w:noProof/>
                <w:webHidden/>
              </w:rPr>
              <w:tab/>
            </w:r>
            <w:r w:rsidR="00280E74">
              <w:rPr>
                <w:noProof/>
                <w:webHidden/>
              </w:rPr>
              <w:fldChar w:fldCharType="begin"/>
            </w:r>
            <w:r w:rsidR="00280E74">
              <w:rPr>
                <w:noProof/>
                <w:webHidden/>
              </w:rPr>
              <w:instrText xml:space="preserve"> PAGEREF _Toc224428898 \h </w:instrText>
            </w:r>
            <w:r w:rsidR="00280E74">
              <w:rPr>
                <w:noProof/>
                <w:webHidden/>
              </w:rPr>
            </w:r>
            <w:r w:rsidR="00280E74">
              <w:rPr>
                <w:noProof/>
                <w:webHidden/>
              </w:rPr>
              <w:fldChar w:fldCharType="separate"/>
            </w:r>
            <w:r w:rsidR="00280E74">
              <w:rPr>
                <w:noProof/>
                <w:webHidden/>
              </w:rPr>
              <w:t>13</w:t>
            </w:r>
            <w:r w:rsidR="00280E74">
              <w:rPr>
                <w:noProof/>
                <w:webHidden/>
              </w:rPr>
              <w:fldChar w:fldCharType="end"/>
            </w:r>
          </w:hyperlink>
        </w:p>
        <w:p w14:paraId="51E227CE" w14:textId="044E4E71" w:rsidR="00280E74" w:rsidRDefault="00A01459">
          <w:pPr>
            <w:pStyle w:val="TOC2"/>
            <w:tabs>
              <w:tab w:val="right" w:leader="dot" w:pos="9016"/>
            </w:tabs>
            <w:rPr>
              <w:rFonts w:cstheme="minorBidi"/>
              <w:b w:val="0"/>
              <w:bCs w:val="0"/>
              <w:noProof/>
              <w:kern w:val="2"/>
              <w:sz w:val="24"/>
              <w:szCs w:val="24"/>
              <w14:ligatures w14:val="standardContextual"/>
            </w:rPr>
          </w:pPr>
          <w:hyperlink w:anchor="_Toc224428899" w:history="1">
            <w:r w:rsidR="00280E74" w:rsidRPr="00BD1BC0">
              <w:rPr>
                <w:rStyle w:val="Hyperlink"/>
                <w:noProof/>
              </w:rPr>
              <w:t>Earned Value Management</w:t>
            </w:r>
            <w:r w:rsidR="00280E74">
              <w:rPr>
                <w:noProof/>
                <w:webHidden/>
              </w:rPr>
              <w:tab/>
            </w:r>
            <w:r w:rsidR="00280E74">
              <w:rPr>
                <w:noProof/>
                <w:webHidden/>
              </w:rPr>
              <w:fldChar w:fldCharType="begin"/>
            </w:r>
            <w:r w:rsidR="00280E74">
              <w:rPr>
                <w:noProof/>
                <w:webHidden/>
              </w:rPr>
              <w:instrText xml:space="preserve"> PAGEREF _Toc224428899 \h </w:instrText>
            </w:r>
            <w:r w:rsidR="00280E74">
              <w:rPr>
                <w:noProof/>
                <w:webHidden/>
              </w:rPr>
            </w:r>
            <w:r w:rsidR="00280E74">
              <w:rPr>
                <w:noProof/>
                <w:webHidden/>
              </w:rPr>
              <w:fldChar w:fldCharType="separate"/>
            </w:r>
            <w:r w:rsidR="00280E74">
              <w:rPr>
                <w:noProof/>
                <w:webHidden/>
              </w:rPr>
              <w:t>13</w:t>
            </w:r>
            <w:r w:rsidR="00280E74">
              <w:rPr>
                <w:noProof/>
                <w:webHidden/>
              </w:rPr>
              <w:fldChar w:fldCharType="end"/>
            </w:r>
          </w:hyperlink>
        </w:p>
        <w:p w14:paraId="6C1DE8B1" w14:textId="3F60D4F0" w:rsidR="00280E74" w:rsidRDefault="00A01459">
          <w:pPr>
            <w:pStyle w:val="TOC2"/>
            <w:tabs>
              <w:tab w:val="right" w:leader="dot" w:pos="9016"/>
            </w:tabs>
            <w:rPr>
              <w:rFonts w:cstheme="minorBidi"/>
              <w:b w:val="0"/>
              <w:bCs w:val="0"/>
              <w:noProof/>
              <w:kern w:val="2"/>
              <w:sz w:val="24"/>
              <w:szCs w:val="24"/>
              <w14:ligatures w14:val="standardContextual"/>
            </w:rPr>
          </w:pPr>
          <w:hyperlink w:anchor="_Toc224428900" w:history="1">
            <w:r w:rsidR="00280E74" w:rsidRPr="00BD1BC0">
              <w:rPr>
                <w:rStyle w:val="Hyperlink"/>
                <w:noProof/>
              </w:rPr>
              <w:t>Contingency Budgeting</w:t>
            </w:r>
            <w:r w:rsidR="00280E74">
              <w:rPr>
                <w:noProof/>
                <w:webHidden/>
              </w:rPr>
              <w:tab/>
            </w:r>
            <w:r w:rsidR="00280E74">
              <w:rPr>
                <w:noProof/>
                <w:webHidden/>
              </w:rPr>
              <w:fldChar w:fldCharType="begin"/>
            </w:r>
            <w:r w:rsidR="00280E74">
              <w:rPr>
                <w:noProof/>
                <w:webHidden/>
              </w:rPr>
              <w:instrText xml:space="preserve"> PAGEREF _Toc224428900 \h </w:instrText>
            </w:r>
            <w:r w:rsidR="00280E74">
              <w:rPr>
                <w:noProof/>
                <w:webHidden/>
              </w:rPr>
            </w:r>
            <w:r w:rsidR="00280E74">
              <w:rPr>
                <w:noProof/>
                <w:webHidden/>
              </w:rPr>
              <w:fldChar w:fldCharType="separate"/>
            </w:r>
            <w:r w:rsidR="00280E74">
              <w:rPr>
                <w:noProof/>
                <w:webHidden/>
              </w:rPr>
              <w:t>14</w:t>
            </w:r>
            <w:r w:rsidR="00280E74">
              <w:rPr>
                <w:noProof/>
                <w:webHidden/>
              </w:rPr>
              <w:fldChar w:fldCharType="end"/>
            </w:r>
          </w:hyperlink>
        </w:p>
        <w:p w14:paraId="5274CCDB" w14:textId="25ADC6FA" w:rsidR="00280E74" w:rsidRDefault="00A01459">
          <w:pPr>
            <w:pStyle w:val="TOC2"/>
            <w:tabs>
              <w:tab w:val="right" w:leader="dot" w:pos="9016"/>
            </w:tabs>
            <w:rPr>
              <w:rFonts w:cstheme="minorBidi"/>
              <w:b w:val="0"/>
              <w:bCs w:val="0"/>
              <w:noProof/>
              <w:kern w:val="2"/>
              <w:sz w:val="24"/>
              <w:szCs w:val="24"/>
              <w14:ligatures w14:val="standardContextual"/>
            </w:rPr>
          </w:pPr>
          <w:hyperlink w:anchor="_Toc224428901" w:history="1">
            <w:r w:rsidR="00280E74" w:rsidRPr="00BD1BC0">
              <w:rPr>
                <w:rStyle w:val="Hyperlink"/>
                <w:noProof/>
              </w:rPr>
              <w:t>Risk Mitigation Strategies</w:t>
            </w:r>
            <w:r w:rsidR="00280E74">
              <w:rPr>
                <w:noProof/>
                <w:webHidden/>
              </w:rPr>
              <w:tab/>
            </w:r>
            <w:r w:rsidR="00280E74">
              <w:rPr>
                <w:noProof/>
                <w:webHidden/>
              </w:rPr>
              <w:fldChar w:fldCharType="begin"/>
            </w:r>
            <w:r w:rsidR="00280E74">
              <w:rPr>
                <w:noProof/>
                <w:webHidden/>
              </w:rPr>
              <w:instrText xml:space="preserve"> PAGEREF _Toc224428901 \h </w:instrText>
            </w:r>
            <w:r w:rsidR="00280E74">
              <w:rPr>
                <w:noProof/>
                <w:webHidden/>
              </w:rPr>
            </w:r>
            <w:r w:rsidR="00280E74">
              <w:rPr>
                <w:noProof/>
                <w:webHidden/>
              </w:rPr>
              <w:fldChar w:fldCharType="separate"/>
            </w:r>
            <w:r w:rsidR="00280E74">
              <w:rPr>
                <w:noProof/>
                <w:webHidden/>
              </w:rPr>
              <w:t>15</w:t>
            </w:r>
            <w:r w:rsidR="00280E74">
              <w:rPr>
                <w:noProof/>
                <w:webHidden/>
              </w:rPr>
              <w:fldChar w:fldCharType="end"/>
            </w:r>
          </w:hyperlink>
        </w:p>
        <w:p w14:paraId="65E3BF74" w14:textId="0BAA1C13" w:rsidR="00280E74" w:rsidRDefault="00A01459">
          <w:pPr>
            <w:pStyle w:val="TOC1"/>
            <w:tabs>
              <w:tab w:val="right" w:leader="dot" w:pos="9016"/>
            </w:tabs>
            <w:rPr>
              <w:rFonts w:cstheme="minorBidi"/>
              <w:b w:val="0"/>
              <w:bCs w:val="0"/>
              <w:i w:val="0"/>
              <w:iCs w:val="0"/>
              <w:noProof/>
              <w:kern w:val="2"/>
              <w:szCs w:val="24"/>
              <w14:ligatures w14:val="standardContextual"/>
            </w:rPr>
          </w:pPr>
          <w:hyperlink w:anchor="_Toc224428902" w:history="1">
            <w:r w:rsidR="00280E74" w:rsidRPr="00BD1BC0">
              <w:rPr>
                <w:rStyle w:val="Hyperlink"/>
                <w:noProof/>
              </w:rPr>
              <w:t>Section D: Project Financial Reporting</w:t>
            </w:r>
            <w:r w:rsidR="00280E74">
              <w:rPr>
                <w:noProof/>
                <w:webHidden/>
              </w:rPr>
              <w:tab/>
            </w:r>
            <w:r w:rsidR="00280E74">
              <w:rPr>
                <w:noProof/>
                <w:webHidden/>
              </w:rPr>
              <w:fldChar w:fldCharType="begin"/>
            </w:r>
            <w:r w:rsidR="00280E74">
              <w:rPr>
                <w:noProof/>
                <w:webHidden/>
              </w:rPr>
              <w:instrText xml:space="preserve"> PAGEREF _Toc224428902 \h </w:instrText>
            </w:r>
            <w:r w:rsidR="00280E74">
              <w:rPr>
                <w:noProof/>
                <w:webHidden/>
              </w:rPr>
            </w:r>
            <w:r w:rsidR="00280E74">
              <w:rPr>
                <w:noProof/>
                <w:webHidden/>
              </w:rPr>
              <w:fldChar w:fldCharType="separate"/>
            </w:r>
            <w:r w:rsidR="00280E74">
              <w:rPr>
                <w:noProof/>
                <w:webHidden/>
              </w:rPr>
              <w:t>16</w:t>
            </w:r>
            <w:r w:rsidR="00280E74">
              <w:rPr>
                <w:noProof/>
                <w:webHidden/>
              </w:rPr>
              <w:fldChar w:fldCharType="end"/>
            </w:r>
          </w:hyperlink>
        </w:p>
        <w:p w14:paraId="6D34B36F" w14:textId="64C62050" w:rsidR="00280E74" w:rsidRDefault="00A01459">
          <w:pPr>
            <w:pStyle w:val="TOC2"/>
            <w:tabs>
              <w:tab w:val="right" w:leader="dot" w:pos="9016"/>
            </w:tabs>
            <w:rPr>
              <w:rFonts w:cstheme="minorBidi"/>
              <w:b w:val="0"/>
              <w:bCs w:val="0"/>
              <w:noProof/>
              <w:kern w:val="2"/>
              <w:sz w:val="24"/>
              <w:szCs w:val="24"/>
              <w14:ligatures w14:val="standardContextual"/>
            </w:rPr>
          </w:pPr>
          <w:hyperlink w:anchor="_Toc224428903" w:history="1">
            <w:r w:rsidR="00280E74" w:rsidRPr="00BD1BC0">
              <w:rPr>
                <w:rStyle w:val="Hyperlink"/>
                <w:noProof/>
              </w:rPr>
              <w:t>Report Types and Frequency</w:t>
            </w:r>
            <w:r w:rsidR="00280E74">
              <w:rPr>
                <w:noProof/>
                <w:webHidden/>
              </w:rPr>
              <w:tab/>
            </w:r>
            <w:r w:rsidR="00280E74">
              <w:rPr>
                <w:noProof/>
                <w:webHidden/>
              </w:rPr>
              <w:fldChar w:fldCharType="begin"/>
            </w:r>
            <w:r w:rsidR="00280E74">
              <w:rPr>
                <w:noProof/>
                <w:webHidden/>
              </w:rPr>
              <w:instrText xml:space="preserve"> PAGEREF _Toc224428903 \h </w:instrText>
            </w:r>
            <w:r w:rsidR="00280E74">
              <w:rPr>
                <w:noProof/>
                <w:webHidden/>
              </w:rPr>
            </w:r>
            <w:r w:rsidR="00280E74">
              <w:rPr>
                <w:noProof/>
                <w:webHidden/>
              </w:rPr>
              <w:fldChar w:fldCharType="separate"/>
            </w:r>
            <w:r w:rsidR="00280E74">
              <w:rPr>
                <w:noProof/>
                <w:webHidden/>
              </w:rPr>
              <w:t>16</w:t>
            </w:r>
            <w:r w:rsidR="00280E74">
              <w:rPr>
                <w:noProof/>
                <w:webHidden/>
              </w:rPr>
              <w:fldChar w:fldCharType="end"/>
            </w:r>
          </w:hyperlink>
        </w:p>
        <w:p w14:paraId="19D4918D" w14:textId="6C7C6BC5" w:rsidR="00280E74" w:rsidRDefault="00A01459">
          <w:pPr>
            <w:pStyle w:val="TOC2"/>
            <w:tabs>
              <w:tab w:val="right" w:leader="dot" w:pos="9016"/>
            </w:tabs>
            <w:rPr>
              <w:rFonts w:cstheme="minorBidi"/>
              <w:b w:val="0"/>
              <w:bCs w:val="0"/>
              <w:noProof/>
              <w:kern w:val="2"/>
              <w:sz w:val="24"/>
              <w:szCs w:val="24"/>
              <w14:ligatures w14:val="standardContextual"/>
            </w:rPr>
          </w:pPr>
          <w:hyperlink w:anchor="_Toc224428904" w:history="1">
            <w:r w:rsidR="00280E74" w:rsidRPr="00BD1BC0">
              <w:rPr>
                <w:rStyle w:val="Hyperlink"/>
                <w:noProof/>
              </w:rPr>
              <w:t>KPIs and Governance Structure</w:t>
            </w:r>
            <w:r w:rsidR="00280E74">
              <w:rPr>
                <w:noProof/>
                <w:webHidden/>
              </w:rPr>
              <w:tab/>
            </w:r>
            <w:r w:rsidR="00280E74">
              <w:rPr>
                <w:noProof/>
                <w:webHidden/>
              </w:rPr>
              <w:fldChar w:fldCharType="begin"/>
            </w:r>
            <w:r w:rsidR="00280E74">
              <w:rPr>
                <w:noProof/>
                <w:webHidden/>
              </w:rPr>
              <w:instrText xml:space="preserve"> PAGEREF _Toc224428904 \h </w:instrText>
            </w:r>
            <w:r w:rsidR="00280E74">
              <w:rPr>
                <w:noProof/>
                <w:webHidden/>
              </w:rPr>
            </w:r>
            <w:r w:rsidR="00280E74">
              <w:rPr>
                <w:noProof/>
                <w:webHidden/>
              </w:rPr>
              <w:fldChar w:fldCharType="separate"/>
            </w:r>
            <w:r w:rsidR="00280E74">
              <w:rPr>
                <w:noProof/>
                <w:webHidden/>
              </w:rPr>
              <w:t>17</w:t>
            </w:r>
            <w:r w:rsidR="00280E74">
              <w:rPr>
                <w:noProof/>
                <w:webHidden/>
              </w:rPr>
              <w:fldChar w:fldCharType="end"/>
            </w:r>
          </w:hyperlink>
        </w:p>
        <w:p w14:paraId="0AE09B2D" w14:textId="2521014D" w:rsidR="00280E74" w:rsidRDefault="00A01459">
          <w:pPr>
            <w:pStyle w:val="TOC2"/>
            <w:tabs>
              <w:tab w:val="right" w:leader="dot" w:pos="9016"/>
            </w:tabs>
            <w:rPr>
              <w:rFonts w:cstheme="minorBidi"/>
              <w:b w:val="0"/>
              <w:bCs w:val="0"/>
              <w:noProof/>
              <w:kern w:val="2"/>
              <w:sz w:val="24"/>
              <w:szCs w:val="24"/>
              <w14:ligatures w14:val="standardContextual"/>
            </w:rPr>
          </w:pPr>
          <w:hyperlink w:anchor="_Toc224428905" w:history="1">
            <w:r w:rsidR="00280E74" w:rsidRPr="00BD1BC0">
              <w:rPr>
                <w:rStyle w:val="Hyperlink"/>
                <w:noProof/>
              </w:rPr>
              <w:t>Software Tools</w:t>
            </w:r>
            <w:r w:rsidR="00280E74">
              <w:rPr>
                <w:noProof/>
                <w:webHidden/>
              </w:rPr>
              <w:tab/>
            </w:r>
            <w:r w:rsidR="00280E74">
              <w:rPr>
                <w:noProof/>
                <w:webHidden/>
              </w:rPr>
              <w:fldChar w:fldCharType="begin"/>
            </w:r>
            <w:r w:rsidR="00280E74">
              <w:rPr>
                <w:noProof/>
                <w:webHidden/>
              </w:rPr>
              <w:instrText xml:space="preserve"> PAGEREF _Toc224428905 \h </w:instrText>
            </w:r>
            <w:r w:rsidR="00280E74">
              <w:rPr>
                <w:noProof/>
                <w:webHidden/>
              </w:rPr>
            </w:r>
            <w:r w:rsidR="00280E74">
              <w:rPr>
                <w:noProof/>
                <w:webHidden/>
              </w:rPr>
              <w:fldChar w:fldCharType="separate"/>
            </w:r>
            <w:r w:rsidR="00280E74">
              <w:rPr>
                <w:noProof/>
                <w:webHidden/>
              </w:rPr>
              <w:t>17</w:t>
            </w:r>
            <w:r w:rsidR="00280E74">
              <w:rPr>
                <w:noProof/>
                <w:webHidden/>
              </w:rPr>
              <w:fldChar w:fldCharType="end"/>
            </w:r>
          </w:hyperlink>
        </w:p>
        <w:p w14:paraId="65ADD5BA" w14:textId="521F22BD" w:rsidR="00280E74" w:rsidRDefault="00A01459">
          <w:pPr>
            <w:pStyle w:val="TOC1"/>
            <w:tabs>
              <w:tab w:val="right" w:leader="dot" w:pos="9016"/>
            </w:tabs>
            <w:rPr>
              <w:rFonts w:cstheme="minorBidi"/>
              <w:b w:val="0"/>
              <w:bCs w:val="0"/>
              <w:i w:val="0"/>
              <w:iCs w:val="0"/>
              <w:noProof/>
              <w:kern w:val="2"/>
              <w:szCs w:val="24"/>
              <w14:ligatures w14:val="standardContextual"/>
            </w:rPr>
          </w:pPr>
          <w:hyperlink w:anchor="_Toc224428906" w:history="1">
            <w:r w:rsidR="00280E74" w:rsidRPr="00BD1BC0">
              <w:rPr>
                <w:rStyle w:val="Hyperlink"/>
                <w:noProof/>
              </w:rPr>
              <w:t>Conclusion and Investment Recommendation</w:t>
            </w:r>
            <w:r w:rsidR="00280E74">
              <w:rPr>
                <w:noProof/>
                <w:webHidden/>
              </w:rPr>
              <w:tab/>
            </w:r>
            <w:r w:rsidR="00280E74">
              <w:rPr>
                <w:noProof/>
                <w:webHidden/>
              </w:rPr>
              <w:fldChar w:fldCharType="begin"/>
            </w:r>
            <w:r w:rsidR="00280E74">
              <w:rPr>
                <w:noProof/>
                <w:webHidden/>
              </w:rPr>
              <w:instrText xml:space="preserve"> PAGEREF _Toc224428906 \h </w:instrText>
            </w:r>
            <w:r w:rsidR="00280E74">
              <w:rPr>
                <w:noProof/>
                <w:webHidden/>
              </w:rPr>
            </w:r>
            <w:r w:rsidR="00280E74">
              <w:rPr>
                <w:noProof/>
                <w:webHidden/>
              </w:rPr>
              <w:fldChar w:fldCharType="separate"/>
            </w:r>
            <w:r w:rsidR="00280E74">
              <w:rPr>
                <w:noProof/>
                <w:webHidden/>
              </w:rPr>
              <w:t>19</w:t>
            </w:r>
            <w:r w:rsidR="00280E74">
              <w:rPr>
                <w:noProof/>
                <w:webHidden/>
              </w:rPr>
              <w:fldChar w:fldCharType="end"/>
            </w:r>
          </w:hyperlink>
        </w:p>
        <w:p w14:paraId="58ED2C3E" w14:textId="6AF7A4DC" w:rsidR="00280E74" w:rsidRDefault="00A01459">
          <w:pPr>
            <w:pStyle w:val="TOC1"/>
            <w:tabs>
              <w:tab w:val="right" w:leader="dot" w:pos="9016"/>
            </w:tabs>
            <w:rPr>
              <w:rFonts w:cstheme="minorBidi"/>
              <w:b w:val="0"/>
              <w:bCs w:val="0"/>
              <w:i w:val="0"/>
              <w:iCs w:val="0"/>
              <w:noProof/>
              <w:kern w:val="2"/>
              <w:szCs w:val="24"/>
              <w14:ligatures w14:val="standardContextual"/>
            </w:rPr>
          </w:pPr>
          <w:hyperlink w:anchor="_Toc224428907" w:history="1">
            <w:r w:rsidR="00280E74" w:rsidRPr="00BD1BC0">
              <w:rPr>
                <w:rStyle w:val="Hyperlink"/>
                <w:noProof/>
              </w:rPr>
              <w:t>References</w:t>
            </w:r>
            <w:r w:rsidR="00280E74">
              <w:rPr>
                <w:noProof/>
                <w:webHidden/>
              </w:rPr>
              <w:tab/>
            </w:r>
            <w:r w:rsidR="00280E74">
              <w:rPr>
                <w:noProof/>
                <w:webHidden/>
              </w:rPr>
              <w:fldChar w:fldCharType="begin"/>
            </w:r>
            <w:r w:rsidR="00280E74">
              <w:rPr>
                <w:noProof/>
                <w:webHidden/>
              </w:rPr>
              <w:instrText xml:space="preserve"> PAGEREF _Toc224428907 \h </w:instrText>
            </w:r>
            <w:r w:rsidR="00280E74">
              <w:rPr>
                <w:noProof/>
                <w:webHidden/>
              </w:rPr>
            </w:r>
            <w:r w:rsidR="00280E74">
              <w:rPr>
                <w:noProof/>
                <w:webHidden/>
              </w:rPr>
              <w:fldChar w:fldCharType="separate"/>
            </w:r>
            <w:r w:rsidR="00280E74">
              <w:rPr>
                <w:noProof/>
                <w:webHidden/>
              </w:rPr>
              <w:t>21</w:t>
            </w:r>
            <w:r w:rsidR="00280E74">
              <w:rPr>
                <w:noProof/>
                <w:webHidden/>
              </w:rPr>
              <w:fldChar w:fldCharType="end"/>
            </w:r>
          </w:hyperlink>
        </w:p>
        <w:p w14:paraId="00FDE2A6" w14:textId="1DC7210A" w:rsidR="00C5576F" w:rsidRDefault="00C5576F">
          <w:r>
            <w:rPr>
              <w:b/>
              <w:bCs/>
              <w:noProof/>
            </w:rPr>
            <w:fldChar w:fldCharType="end"/>
          </w:r>
        </w:p>
      </w:sdtContent>
    </w:sdt>
    <w:p w14:paraId="46FE5E00" w14:textId="130C8F86" w:rsidR="00150BA5" w:rsidRDefault="00150BA5" w:rsidP="00EF7CC0"/>
    <w:p w14:paraId="7C1684F2" w14:textId="7405891E" w:rsidR="00280E74" w:rsidRDefault="00524C13" w:rsidP="00DD388B">
      <w:r>
        <w:br w:type="page"/>
      </w:r>
    </w:p>
    <w:p w14:paraId="53838815" w14:textId="10805751" w:rsidR="00150BA5" w:rsidRDefault="00524C13" w:rsidP="00EF7CC0">
      <w:pPr>
        <w:pStyle w:val="Heading1"/>
      </w:pPr>
      <w:bookmarkStart w:id="1" w:name="_Toc224428892"/>
      <w:r>
        <w:lastRenderedPageBreak/>
        <w:t>Introduction and Project Overview</w:t>
      </w:r>
      <w:bookmarkEnd w:id="1"/>
    </w:p>
    <w:p w14:paraId="78087447" w14:textId="77777777" w:rsidR="00150BA5" w:rsidRDefault="00524C13" w:rsidP="00EF7CC0">
      <w:r w:rsidRPr="00EF7CC0">
        <w:rPr>
          <w:b/>
          <w:bCs/>
        </w:rPr>
        <w:t>The Coastal Tide project</w:t>
      </w:r>
      <w:r>
        <w:t xml:space="preserve"> is a proposed 50 MW offshore wind farm (ten 5 MW turbines) located off the UK's northeast coast. </w:t>
      </w:r>
      <w:r w:rsidRPr="00EF7CC0">
        <w:rPr>
          <w:b/>
          <w:bCs/>
          <w:i/>
          <w:iCs/>
        </w:rPr>
        <w:t>NorthernEdge Energy Ltd</w:t>
      </w:r>
      <w:r>
        <w:t xml:space="preserve"> is seeking immediate board and lender sign-off on a strict £50 million capital budget for this development. That capex covers the entire build — from the seabed foundations up to the grid connection. The current engineering timeline sets out a 36-month construction phase before the site goes live in Year 4, designed to run for a standard 25-year operational lifecycle.</w:t>
      </w:r>
    </w:p>
    <w:p w14:paraId="7761C226" w14:textId="77777777" w:rsidR="00150BA5" w:rsidRDefault="00524C13" w:rsidP="00EF7CC0">
      <w:r>
        <w:t>This report has been prepared to support the final investment decision. The macro context is obviously strong; the UK government's legally binding Net Zero 2050 target and its 50 GW offshore wind goal for 2030 (DESNZ, 2024) make this project highly relevant. But good policy intentions don't pay off debt. Both senior management and prospective lenders require hard financial evidence that the scheme is not just viable, but fundable and tightly controllable.</w:t>
      </w:r>
    </w:p>
    <w:p w14:paraId="7C621D78" w14:textId="77777777" w:rsidR="00150BA5" w:rsidRDefault="00524C13" w:rsidP="00EF7CC0">
      <w:r>
        <w:t>To justify that investment, this report evaluates the project across four dimensions. Section A maps out how NorthernEdge actually funds the £50m capex, evaluating standard debt alongside green bonds and government support mechanisms. Section B runs the core capital appraisal — pulling NPV and IRR numbers while testing base, best, and worst-case scenarios. Because offshore builds are notorious for cost creep, Section C establishes a heavy Earned Value Management control framework to protect that margin. Finally, Section D outlines the reporting dashboards and KPIs that lenders will expect to see functioning from day one.</w:t>
      </w:r>
    </w:p>
    <w:p w14:paraId="10E38E5F" w14:textId="77777777" w:rsidR="00EF7CC0" w:rsidRDefault="00EF7CC0">
      <w:pPr>
        <w:spacing w:after="200" w:line="276" w:lineRule="auto"/>
        <w:jc w:val="left"/>
        <w:rPr>
          <w:rFonts w:asciiTheme="majorHAnsi" w:eastAsiaTheme="majorEastAsia" w:hAnsiTheme="majorHAnsi" w:cstheme="majorBidi"/>
          <w:b/>
          <w:bCs/>
          <w:color w:val="000000"/>
          <w:sz w:val="32"/>
          <w:szCs w:val="28"/>
        </w:rPr>
      </w:pPr>
      <w:r>
        <w:br w:type="page"/>
      </w:r>
    </w:p>
    <w:p w14:paraId="5B117390" w14:textId="3CE74F8C" w:rsidR="00150BA5" w:rsidRDefault="00524C13" w:rsidP="00EF7CC0">
      <w:pPr>
        <w:pStyle w:val="Heading1"/>
      </w:pPr>
      <w:bookmarkStart w:id="2" w:name="_Toc224428893"/>
      <w:r>
        <w:lastRenderedPageBreak/>
        <w:t>Section A: Sources of Financing</w:t>
      </w:r>
      <w:bookmarkEnd w:id="2"/>
    </w:p>
    <w:p w14:paraId="478B359A" w14:textId="77777777" w:rsidR="00150BA5" w:rsidRDefault="00524C13" w:rsidP="00EF7CC0">
      <w:r>
        <w:t>Finding £50 million for an offshore build requires a capital structure that provides lenders enough security without crushing the project's internal returns. Simply drawing the entire required sum from a single debt facility is completely unrealistic for infrastructure of this scale. Developers rely on a hybrid model where different layers of financing handle different financial risks (Weber, Staub-Bisang and Alfen, 2016). Three options are evaluated here: traditional senior project debt, green bonds, and the essential revenue floor provided by the UK government's Contracts for Difference (CfD) alongside direct capital grants.</w:t>
      </w:r>
    </w:p>
    <w:p w14:paraId="2FD45C12" w14:textId="1F633361" w:rsidR="00280E74" w:rsidRPr="00280E74" w:rsidRDefault="00280E74" w:rsidP="00280E74">
      <w:pPr>
        <w:pStyle w:val="Caption"/>
        <w:keepNext/>
        <w:rPr>
          <w:sz w:val="24"/>
          <w:szCs w:val="24"/>
        </w:rPr>
      </w:pPr>
      <w:bookmarkStart w:id="3" w:name="_Toc224428847"/>
      <w:r w:rsidRPr="00280E74">
        <w:rPr>
          <w:sz w:val="24"/>
          <w:szCs w:val="24"/>
        </w:rPr>
        <w:t xml:space="preserve">Table </w:t>
      </w:r>
      <w:r w:rsidRPr="00280E74">
        <w:rPr>
          <w:sz w:val="24"/>
          <w:szCs w:val="24"/>
        </w:rPr>
        <w:fldChar w:fldCharType="begin"/>
      </w:r>
      <w:r w:rsidRPr="00280E74">
        <w:rPr>
          <w:sz w:val="24"/>
          <w:szCs w:val="24"/>
        </w:rPr>
        <w:instrText xml:space="preserve"> SEQ Table \* ARABIC </w:instrText>
      </w:r>
      <w:r w:rsidRPr="00280E74">
        <w:rPr>
          <w:sz w:val="24"/>
          <w:szCs w:val="24"/>
        </w:rPr>
        <w:fldChar w:fldCharType="separate"/>
      </w:r>
      <w:r>
        <w:rPr>
          <w:noProof/>
          <w:sz w:val="24"/>
          <w:szCs w:val="24"/>
        </w:rPr>
        <w:t>1</w:t>
      </w:r>
      <w:r w:rsidRPr="00280E74">
        <w:rPr>
          <w:sz w:val="24"/>
          <w:szCs w:val="24"/>
        </w:rPr>
        <w:fldChar w:fldCharType="end"/>
      </w:r>
      <w:r w:rsidRPr="00280E74">
        <w:rPr>
          <w:sz w:val="24"/>
          <w:szCs w:val="24"/>
        </w:rPr>
        <w:t xml:space="preserve"> Comparison of Financing Options — Coastal Tide Offshore Wind Farm</w:t>
      </w:r>
      <w:bookmarkEnd w:id="3"/>
    </w:p>
    <w:p w14:paraId="0BD396CE" w14:textId="430AA0BF" w:rsidR="00AB5335" w:rsidRPr="00EF7CC0" w:rsidRDefault="00AB5335" w:rsidP="00EF7CC0">
      <w:pPr>
        <w:rPr>
          <w:i/>
          <w:iCs/>
        </w:rPr>
      </w:pPr>
      <w:r w:rsidRPr="00AB5335">
        <w:rPr>
          <w:i/>
          <w:iCs/>
          <w:noProof/>
        </w:rPr>
        <w:drawing>
          <wp:inline distT="0" distB="0" distL="0" distR="0" wp14:anchorId="09C585E6" wp14:editId="5C7463BA">
            <wp:extent cx="5731510" cy="5381625"/>
            <wp:effectExtent l="0" t="0" r="0" b="3175"/>
            <wp:docPr id="5065226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6522634" name=""/>
                    <pic:cNvPicPr/>
                  </pic:nvPicPr>
                  <pic:blipFill>
                    <a:blip r:embed="rId8"/>
                    <a:stretch>
                      <a:fillRect/>
                    </a:stretch>
                  </pic:blipFill>
                  <pic:spPr>
                    <a:xfrm>
                      <a:off x="0" y="0"/>
                      <a:ext cx="5731510" cy="5381625"/>
                    </a:xfrm>
                    <a:prstGeom prst="rect">
                      <a:avLst/>
                    </a:prstGeom>
                  </pic:spPr>
                </pic:pic>
              </a:graphicData>
            </a:graphic>
          </wp:inline>
        </w:drawing>
      </w:r>
    </w:p>
    <w:p w14:paraId="21ED4418" w14:textId="77777777" w:rsidR="00150BA5" w:rsidRDefault="00524C13" w:rsidP="00EF7CC0">
      <w:r>
        <w:rPr>
          <w:b/>
        </w:rPr>
        <w:lastRenderedPageBreak/>
        <w:t>Senior Project Finance Debt</w:t>
      </w:r>
      <w:r>
        <w:t xml:space="preserve"> serves as the heavy lifter in this capital structure, covering 60% of the capex (£30 million). Structured as limited-recourse lending through a Special Purpose Vehicle (SPV), banks assess cash generation rather than parent balance sheets (Weber, Staub-Bisang and Alfen, 2016). Fixed-price EPC contracts and watertight insurance convince lenders to drop significant risk premiums during construction.</w:t>
      </w:r>
    </w:p>
    <w:p w14:paraId="265A10E8" w14:textId="77777777" w:rsidR="00150BA5" w:rsidRDefault="00524C13" w:rsidP="00EF7CC0">
      <w:r w:rsidRPr="00DD388B">
        <w:t>When construction wraps up, green bonds refinance 25% of the capital (£12.5 million) against the wind farm's stable, CfD-backed cash flows. Once aligned to Climate Bonds standards, they can attract ESG-focused investors and often price 15-20 basis points below conventional bonds, reducing refinancing costs (Maltais and Nykvist, 2020; Climate Bonds Initiative, 2024; Löffler, Petreski and Stephan, 2021).</w:t>
      </w:r>
    </w:p>
    <w:p w14:paraId="684752FE" w14:textId="77777777" w:rsidR="00150BA5" w:rsidRDefault="00524C13" w:rsidP="00EF7CC0">
      <w:r>
        <w:t>However, capturing the full "greenium" requires realistic expectations. Since the pricing advantage favours high-rated corporate issuers (Löffler, Petreski and Stephan, 2021), a standalone SPV lacks the required long-term credit history. Without specific credit enhancements, this limitation restricts the actual funding strategy.</w:t>
      </w:r>
    </w:p>
    <w:p w14:paraId="1347DBC1" w14:textId="77777777" w:rsidR="00150BA5" w:rsidRDefault="00524C13" w:rsidP="00EF7CC0">
      <w:r>
        <w:t xml:space="preserve">Finally, </w:t>
      </w:r>
      <w:r>
        <w:rPr>
          <w:b/>
        </w:rPr>
        <w:t>government CfD and grant support</w:t>
      </w:r>
      <w:r>
        <w:t xml:space="preserve"> (about 15% of the mix, or £7.5 million) isn't just unconditional capital — it's the foundation of bankability itself. The CfD mechanism locks in a strike price floor. When wholesale electricity prices crash below that level, NorthernEdge gets a top-up payment (DESNZ, 2024). It's this exact revenue certainty that makes the senior debt viable at a reasonable cost. Throw in some UKRI capital grants, and the equity requirement from sponsors drops noticeably. As seen in Allocation Round 6, when the strike price parameters are actually realistic, the scheme works — pulling in 6 GW of fixed-bottom offshore wind in one go (DESNZ, 2024).</w:t>
      </w:r>
    </w:p>
    <w:p w14:paraId="46C629CB" w14:textId="77777777" w:rsidR="00150BA5" w:rsidRDefault="00524C13" w:rsidP="00EF7CC0">
      <w:r w:rsidRPr="00DD388B">
        <w:t>The structure we're pushing for - 60% senior debt, 25% green bond refinancing, and 15% CfD backstop with grants - is built to optimise returns for NorthernEdge's sponsors while keeping the whole thing bankable. Pure sponsor equity would preserve control but raise the WACC and dilute returns, while a PPP could spread risk but slow procurement and fit a single-asset SPV less effectively.</w:t>
      </w:r>
    </w:p>
    <w:p w14:paraId="3B3E30CE" w14:textId="77777777" w:rsidR="00150BA5" w:rsidRDefault="00524C13" w:rsidP="00EF7CC0">
      <w:pPr>
        <w:jc w:val="center"/>
      </w:pPr>
      <w:r>
        <w:rPr>
          <w:noProof/>
        </w:rPr>
        <w:lastRenderedPageBreak/>
        <w:drawing>
          <wp:inline distT="0" distB="0" distL="0" distR="0" wp14:anchorId="6D5F7348" wp14:editId="01D68FB7">
            <wp:extent cx="5040000" cy="3847232"/>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_1.png"/>
                    <pic:cNvPicPr/>
                  </pic:nvPicPr>
                  <pic:blipFill>
                    <a:blip r:embed="rId9"/>
                    <a:stretch>
                      <a:fillRect/>
                    </a:stretch>
                  </pic:blipFill>
                  <pic:spPr>
                    <a:xfrm>
                      <a:off x="0" y="0"/>
                      <a:ext cx="5040000" cy="3847232"/>
                    </a:xfrm>
                    <a:prstGeom prst="rect">
                      <a:avLst/>
                    </a:prstGeom>
                  </pic:spPr>
                </pic:pic>
              </a:graphicData>
            </a:graphic>
          </wp:inline>
        </w:drawing>
      </w:r>
    </w:p>
    <w:p w14:paraId="5BE3236E" w14:textId="7204DF23" w:rsidR="00150BA5" w:rsidRPr="00280E74" w:rsidRDefault="00280E74" w:rsidP="00280E74">
      <w:pPr>
        <w:pStyle w:val="Caption"/>
        <w:jc w:val="center"/>
        <w:rPr>
          <w:sz w:val="24"/>
          <w:szCs w:val="24"/>
        </w:rPr>
      </w:pPr>
      <w:bookmarkStart w:id="4" w:name="_Toc224428871"/>
      <w:r w:rsidRPr="00280E74">
        <w:rPr>
          <w:sz w:val="24"/>
          <w:szCs w:val="24"/>
        </w:rPr>
        <w:t xml:space="preserve">Figure </w:t>
      </w:r>
      <w:r w:rsidRPr="00280E74">
        <w:rPr>
          <w:sz w:val="24"/>
          <w:szCs w:val="24"/>
        </w:rPr>
        <w:fldChar w:fldCharType="begin"/>
      </w:r>
      <w:r w:rsidRPr="00280E74">
        <w:rPr>
          <w:sz w:val="24"/>
          <w:szCs w:val="24"/>
        </w:rPr>
        <w:instrText xml:space="preserve"> SEQ Figure \* ARABIC </w:instrText>
      </w:r>
      <w:r w:rsidRPr="00280E74">
        <w:rPr>
          <w:sz w:val="24"/>
          <w:szCs w:val="24"/>
        </w:rPr>
        <w:fldChar w:fldCharType="separate"/>
      </w:r>
      <w:r>
        <w:rPr>
          <w:noProof/>
          <w:sz w:val="24"/>
          <w:szCs w:val="24"/>
        </w:rPr>
        <w:t>1</w:t>
      </w:r>
      <w:r w:rsidRPr="00280E74">
        <w:rPr>
          <w:sz w:val="24"/>
          <w:szCs w:val="24"/>
        </w:rPr>
        <w:fldChar w:fldCharType="end"/>
      </w:r>
      <w:r w:rsidRPr="00280E74">
        <w:rPr>
          <w:sz w:val="24"/>
          <w:szCs w:val="24"/>
        </w:rPr>
        <w:t xml:space="preserve"> Recommended Financing Structure for Coastal Tide Offshore Wind Farm (£50M)</w:t>
      </w:r>
      <w:bookmarkEnd w:id="4"/>
    </w:p>
    <w:p w14:paraId="563DD5DA" w14:textId="77777777" w:rsidR="00EF7CC0" w:rsidRDefault="00EF7CC0">
      <w:pPr>
        <w:spacing w:after="200" w:line="276" w:lineRule="auto"/>
        <w:jc w:val="left"/>
        <w:rPr>
          <w:rFonts w:asciiTheme="majorHAnsi" w:eastAsiaTheme="majorEastAsia" w:hAnsiTheme="majorHAnsi" w:cstheme="majorBidi"/>
          <w:b/>
          <w:bCs/>
          <w:color w:val="000000"/>
          <w:sz w:val="32"/>
          <w:szCs w:val="28"/>
        </w:rPr>
      </w:pPr>
      <w:r>
        <w:br w:type="page"/>
      </w:r>
    </w:p>
    <w:p w14:paraId="33D30F93" w14:textId="08B30119" w:rsidR="00150BA5" w:rsidRDefault="00524C13" w:rsidP="00EF7CC0">
      <w:pPr>
        <w:pStyle w:val="Heading1"/>
      </w:pPr>
      <w:bookmarkStart w:id="5" w:name="_Toc224428894"/>
      <w:r>
        <w:lastRenderedPageBreak/>
        <w:t>Section B: Capital Investment Appraisal</w:t>
      </w:r>
      <w:bookmarkEnd w:id="5"/>
    </w:p>
    <w:p w14:paraId="4309415C" w14:textId="77777777" w:rsidR="00150BA5" w:rsidRDefault="00524C13" w:rsidP="00EF7CC0">
      <w:r>
        <w:t>This appraisal provides the hard numbers for the Coastal Tide go/no-go sanction decision. Four techniques are modelled here — Net Present Value (NPV), Internal Rate of Return (IRR), Discounted Payback Period, and Profitability Index (PI) — grounded in the cash flow assumptions detailed below (Brealey, Myers and Allen, 2020; Ross, Westerfield and Jordan, 2019).</w:t>
      </w:r>
    </w:p>
    <w:p w14:paraId="551D40C9" w14:textId="77777777" w:rsidR="00150BA5" w:rsidRDefault="00524C13" w:rsidP="00EF7CC0">
      <w:pPr>
        <w:pStyle w:val="Heading2"/>
      </w:pPr>
      <w:bookmarkStart w:id="6" w:name="_Toc224428895"/>
      <w:r>
        <w:t>Key Assumptions</w:t>
      </w:r>
      <w:bookmarkEnd w:id="6"/>
    </w:p>
    <w:p w14:paraId="5E4B3B1B" w14:textId="0F37A8BA" w:rsidR="00150BA5" w:rsidRDefault="00524C13" w:rsidP="00EF7CC0">
      <w:pPr>
        <w:pStyle w:val="ListParagraph"/>
        <w:numPr>
          <w:ilvl w:val="0"/>
          <w:numId w:val="11"/>
        </w:numPr>
      </w:pPr>
      <w:r w:rsidRPr="00EF7CC0">
        <w:rPr>
          <w:b/>
        </w:rPr>
        <w:t>Total capital expenditure</w:t>
      </w:r>
      <w:r>
        <w:t>: £50M, pushed out across Years 0–3 (£10M, £18M, £14M, £8M)</w:t>
      </w:r>
    </w:p>
    <w:p w14:paraId="07275DB8" w14:textId="28C123D8" w:rsidR="00150BA5" w:rsidRDefault="00524C13" w:rsidP="00EF7CC0">
      <w:pPr>
        <w:pStyle w:val="ListParagraph"/>
        <w:numPr>
          <w:ilvl w:val="0"/>
          <w:numId w:val="11"/>
        </w:numPr>
      </w:pPr>
      <w:r w:rsidRPr="00EF7CC0">
        <w:rPr>
          <w:b/>
        </w:rPr>
        <w:t>Annual operating revenue</w:t>
      </w:r>
      <w:r>
        <w:t>: £8.2M from Year 4 (driven by the CfD strike price and minimal merchant exposure)</w:t>
      </w:r>
    </w:p>
    <w:p w14:paraId="0C430655" w14:textId="53FACBF2" w:rsidR="00150BA5" w:rsidRDefault="00524C13" w:rsidP="00EF7CC0">
      <w:pPr>
        <w:pStyle w:val="ListParagraph"/>
        <w:numPr>
          <w:ilvl w:val="0"/>
          <w:numId w:val="11"/>
        </w:numPr>
      </w:pPr>
      <w:r>
        <w:t>Annual operating costs (O&amp;M, insurance, seabed lease): £2.1M per year</w:t>
      </w:r>
    </w:p>
    <w:p w14:paraId="02569DFC" w14:textId="5FF14278" w:rsidR="00150BA5" w:rsidRDefault="00524C13" w:rsidP="00EF7CC0">
      <w:pPr>
        <w:pStyle w:val="ListParagraph"/>
        <w:numPr>
          <w:ilvl w:val="0"/>
          <w:numId w:val="11"/>
        </w:numPr>
      </w:pPr>
      <w:r>
        <w:t>Net annual operating cash flow: £6.1M</w:t>
      </w:r>
    </w:p>
    <w:p w14:paraId="4FF77B60" w14:textId="18451AE0" w:rsidR="00150BA5" w:rsidRDefault="00524C13" w:rsidP="00EF7CC0">
      <w:pPr>
        <w:pStyle w:val="ListParagraph"/>
        <w:numPr>
          <w:ilvl w:val="0"/>
          <w:numId w:val="11"/>
        </w:numPr>
      </w:pPr>
      <w:r w:rsidRPr="00EF7CC0">
        <w:rPr>
          <w:b/>
        </w:rPr>
        <w:t>Discount rate (WACC)</w:t>
      </w:r>
      <w:r>
        <w:t>: 8.5% (assuming a blend of 60% senior debt at roughly 6.8% and 40% equity at 11.2%)</w:t>
      </w:r>
    </w:p>
    <w:p w14:paraId="6444FFDF" w14:textId="2E42E12F" w:rsidR="00150BA5" w:rsidRDefault="00524C13" w:rsidP="00EF7CC0">
      <w:pPr>
        <w:pStyle w:val="ListParagraph"/>
        <w:numPr>
          <w:ilvl w:val="0"/>
          <w:numId w:val="11"/>
        </w:numPr>
      </w:pPr>
      <w:r w:rsidRPr="00EF7CC0">
        <w:rPr>
          <w:b/>
        </w:rPr>
        <w:t>Project life</w:t>
      </w:r>
      <w:r>
        <w:t>: 25 years (Years 4–28), allocating £2M for decommissioning in Year 28</w:t>
      </w:r>
    </w:p>
    <w:p w14:paraId="4618F15E" w14:textId="355C57EB" w:rsidR="00150BA5" w:rsidRDefault="00524C13" w:rsidP="00EF7CC0">
      <w:pPr>
        <w:pStyle w:val="ListParagraph"/>
        <w:numPr>
          <w:ilvl w:val="0"/>
          <w:numId w:val="11"/>
        </w:numPr>
      </w:pPr>
      <w:r w:rsidRPr="00EF7CC0">
        <w:rPr>
          <w:b/>
        </w:rPr>
        <w:t>Terminal value</w:t>
      </w:r>
      <w:r>
        <w:t>: nil (since decommissioning is fully costed out)</w:t>
      </w:r>
    </w:p>
    <w:p w14:paraId="45F07771" w14:textId="43F0FFC3" w:rsidR="00150BA5" w:rsidRPr="00280E74" w:rsidRDefault="00280E74" w:rsidP="00280E74">
      <w:pPr>
        <w:pStyle w:val="Caption"/>
        <w:rPr>
          <w:i/>
          <w:iCs/>
          <w:sz w:val="24"/>
          <w:szCs w:val="24"/>
        </w:rPr>
      </w:pPr>
      <w:bookmarkStart w:id="7" w:name="_Toc224428848"/>
      <w:r w:rsidRPr="00280E74">
        <w:rPr>
          <w:sz w:val="24"/>
          <w:szCs w:val="24"/>
        </w:rPr>
        <w:t xml:space="preserve">Table </w:t>
      </w:r>
      <w:r w:rsidRPr="00280E74">
        <w:rPr>
          <w:sz w:val="24"/>
          <w:szCs w:val="24"/>
        </w:rPr>
        <w:fldChar w:fldCharType="begin"/>
      </w:r>
      <w:r w:rsidRPr="00280E74">
        <w:rPr>
          <w:sz w:val="24"/>
          <w:szCs w:val="24"/>
        </w:rPr>
        <w:instrText xml:space="preserve"> SEQ Table \* ARABIC </w:instrText>
      </w:r>
      <w:r w:rsidRPr="00280E74">
        <w:rPr>
          <w:sz w:val="24"/>
          <w:szCs w:val="24"/>
        </w:rPr>
        <w:fldChar w:fldCharType="separate"/>
      </w:r>
      <w:r>
        <w:rPr>
          <w:noProof/>
          <w:sz w:val="24"/>
          <w:szCs w:val="24"/>
        </w:rPr>
        <w:t>2</w:t>
      </w:r>
      <w:r w:rsidRPr="00280E74">
        <w:rPr>
          <w:sz w:val="24"/>
          <w:szCs w:val="24"/>
        </w:rPr>
        <w:fldChar w:fldCharType="end"/>
      </w:r>
      <w:r w:rsidRPr="00280E74">
        <w:rPr>
          <w:sz w:val="24"/>
          <w:szCs w:val="24"/>
        </w:rPr>
        <w:t xml:space="preserve"> Projected Cash Flow Summary — Coastal Tide Offshore Wind Farm</w:t>
      </w:r>
      <w:bookmarkEnd w:id="7"/>
    </w:p>
    <w:tbl>
      <w:tblPr>
        <w:tblStyle w:val="GridTable1Light-Accent1"/>
        <w:tblW w:w="0" w:type="auto"/>
        <w:tblLook w:val="04A0" w:firstRow="1" w:lastRow="0" w:firstColumn="1" w:lastColumn="0" w:noHBand="0" w:noVBand="1"/>
      </w:tblPr>
      <w:tblGrid>
        <w:gridCol w:w="1423"/>
        <w:gridCol w:w="1431"/>
        <w:gridCol w:w="1484"/>
        <w:gridCol w:w="1484"/>
        <w:gridCol w:w="1910"/>
        <w:gridCol w:w="1510"/>
      </w:tblGrid>
      <w:tr w:rsidR="00150BA5" w14:paraId="21A6FD26" w14:textId="77777777" w:rsidTr="00AB533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04" w:type="dxa"/>
          </w:tcPr>
          <w:p w14:paraId="35231127" w14:textId="77777777" w:rsidR="00150BA5" w:rsidRDefault="00524C13" w:rsidP="00EF7CC0">
            <w:r>
              <w:t>Year</w:t>
            </w:r>
          </w:p>
        </w:tc>
        <w:tc>
          <w:tcPr>
            <w:tcW w:w="1504" w:type="dxa"/>
          </w:tcPr>
          <w:p w14:paraId="1D55DC9D" w14:textId="77777777" w:rsidR="00150BA5" w:rsidRDefault="00524C13" w:rsidP="00EF7CC0">
            <w:pPr>
              <w:cnfStyle w:val="100000000000" w:firstRow="1" w:lastRow="0" w:firstColumn="0" w:lastColumn="0" w:oddVBand="0" w:evenVBand="0" w:oddHBand="0" w:evenHBand="0" w:firstRowFirstColumn="0" w:firstRowLastColumn="0" w:lastRowFirstColumn="0" w:lastRowLastColumn="0"/>
            </w:pPr>
            <w:r>
              <w:t>Capex (£M)</w:t>
            </w:r>
          </w:p>
        </w:tc>
        <w:tc>
          <w:tcPr>
            <w:tcW w:w="1504" w:type="dxa"/>
          </w:tcPr>
          <w:p w14:paraId="01FD258A" w14:textId="77777777" w:rsidR="00150BA5" w:rsidRDefault="00524C13" w:rsidP="00EF7CC0">
            <w:pPr>
              <w:cnfStyle w:val="100000000000" w:firstRow="1" w:lastRow="0" w:firstColumn="0" w:lastColumn="0" w:oddVBand="0" w:evenVBand="0" w:oddHBand="0" w:evenHBand="0" w:firstRowFirstColumn="0" w:firstRowLastColumn="0" w:lastRowFirstColumn="0" w:lastRowLastColumn="0"/>
            </w:pPr>
            <w:r>
              <w:t>Operating Revenue (£M)</w:t>
            </w:r>
          </w:p>
        </w:tc>
        <w:tc>
          <w:tcPr>
            <w:tcW w:w="1504" w:type="dxa"/>
          </w:tcPr>
          <w:p w14:paraId="6795E2F1" w14:textId="77777777" w:rsidR="00150BA5" w:rsidRDefault="00524C13" w:rsidP="00EF7CC0">
            <w:pPr>
              <w:cnfStyle w:val="100000000000" w:firstRow="1" w:lastRow="0" w:firstColumn="0" w:lastColumn="0" w:oddVBand="0" w:evenVBand="0" w:oddHBand="0" w:evenHBand="0" w:firstRowFirstColumn="0" w:firstRowLastColumn="0" w:lastRowFirstColumn="0" w:lastRowLastColumn="0"/>
            </w:pPr>
            <w:r>
              <w:t>Operating Costs (£M)</w:t>
            </w:r>
          </w:p>
        </w:tc>
        <w:tc>
          <w:tcPr>
            <w:tcW w:w="1504" w:type="dxa"/>
          </w:tcPr>
          <w:p w14:paraId="7C302026" w14:textId="77777777" w:rsidR="00150BA5" w:rsidRDefault="00524C13" w:rsidP="00EF7CC0">
            <w:pPr>
              <w:cnfStyle w:val="100000000000" w:firstRow="1" w:lastRow="0" w:firstColumn="0" w:lastColumn="0" w:oddVBand="0" w:evenVBand="0" w:oddHBand="0" w:evenHBand="0" w:firstRowFirstColumn="0" w:firstRowLastColumn="0" w:lastRowFirstColumn="0" w:lastRowLastColumn="0"/>
            </w:pPr>
            <w:r>
              <w:t>Net Cash Flow (£M)</w:t>
            </w:r>
          </w:p>
        </w:tc>
        <w:tc>
          <w:tcPr>
            <w:tcW w:w="1504" w:type="dxa"/>
          </w:tcPr>
          <w:p w14:paraId="5D4E5886" w14:textId="77777777" w:rsidR="00150BA5" w:rsidRDefault="00524C13" w:rsidP="00EF7CC0">
            <w:pPr>
              <w:cnfStyle w:val="100000000000" w:firstRow="1" w:lastRow="0" w:firstColumn="0" w:lastColumn="0" w:oddVBand="0" w:evenVBand="0" w:oddHBand="0" w:evenHBand="0" w:firstRowFirstColumn="0" w:firstRowLastColumn="0" w:lastRowFirstColumn="0" w:lastRowLastColumn="0"/>
            </w:pPr>
            <w:r>
              <w:t>Cumulative Cash Flow (£M)</w:t>
            </w:r>
          </w:p>
        </w:tc>
      </w:tr>
      <w:tr w:rsidR="00150BA5" w14:paraId="3D349864" w14:textId="77777777" w:rsidTr="00AB5335">
        <w:tc>
          <w:tcPr>
            <w:cnfStyle w:val="001000000000" w:firstRow="0" w:lastRow="0" w:firstColumn="1" w:lastColumn="0" w:oddVBand="0" w:evenVBand="0" w:oddHBand="0" w:evenHBand="0" w:firstRowFirstColumn="0" w:firstRowLastColumn="0" w:lastRowFirstColumn="0" w:lastRowLastColumn="0"/>
            <w:tcW w:w="1504" w:type="dxa"/>
          </w:tcPr>
          <w:p w14:paraId="1E4A66EF" w14:textId="77777777" w:rsidR="00150BA5" w:rsidRDefault="00524C13" w:rsidP="00EF7CC0">
            <w:r>
              <w:t>0</w:t>
            </w:r>
          </w:p>
        </w:tc>
        <w:tc>
          <w:tcPr>
            <w:tcW w:w="1504" w:type="dxa"/>
          </w:tcPr>
          <w:p w14:paraId="275BA748" w14:textId="77777777" w:rsidR="00150BA5" w:rsidRDefault="00524C13" w:rsidP="00EF7CC0">
            <w:pPr>
              <w:cnfStyle w:val="000000000000" w:firstRow="0" w:lastRow="0" w:firstColumn="0" w:lastColumn="0" w:oddVBand="0" w:evenVBand="0" w:oddHBand="0" w:evenHBand="0" w:firstRowFirstColumn="0" w:firstRowLastColumn="0" w:lastRowFirstColumn="0" w:lastRowLastColumn="0"/>
            </w:pPr>
            <w:r>
              <w:t>(10.0)</w:t>
            </w:r>
          </w:p>
        </w:tc>
        <w:tc>
          <w:tcPr>
            <w:tcW w:w="1504" w:type="dxa"/>
          </w:tcPr>
          <w:p w14:paraId="022D4170" w14:textId="77777777" w:rsidR="00150BA5" w:rsidRDefault="00524C13" w:rsidP="00EF7CC0">
            <w:pPr>
              <w:cnfStyle w:val="000000000000" w:firstRow="0" w:lastRow="0" w:firstColumn="0" w:lastColumn="0" w:oddVBand="0" w:evenVBand="0" w:oddHBand="0" w:evenHBand="0" w:firstRowFirstColumn="0" w:firstRowLastColumn="0" w:lastRowFirstColumn="0" w:lastRowLastColumn="0"/>
            </w:pPr>
            <w:r>
              <w:t>—</w:t>
            </w:r>
          </w:p>
        </w:tc>
        <w:tc>
          <w:tcPr>
            <w:tcW w:w="1504" w:type="dxa"/>
          </w:tcPr>
          <w:p w14:paraId="1D3415B8" w14:textId="77777777" w:rsidR="00150BA5" w:rsidRDefault="00524C13" w:rsidP="00EF7CC0">
            <w:pPr>
              <w:cnfStyle w:val="000000000000" w:firstRow="0" w:lastRow="0" w:firstColumn="0" w:lastColumn="0" w:oddVBand="0" w:evenVBand="0" w:oddHBand="0" w:evenHBand="0" w:firstRowFirstColumn="0" w:firstRowLastColumn="0" w:lastRowFirstColumn="0" w:lastRowLastColumn="0"/>
            </w:pPr>
            <w:r>
              <w:t>—</w:t>
            </w:r>
          </w:p>
        </w:tc>
        <w:tc>
          <w:tcPr>
            <w:tcW w:w="1504" w:type="dxa"/>
          </w:tcPr>
          <w:p w14:paraId="7231F7E1" w14:textId="77777777" w:rsidR="00150BA5" w:rsidRDefault="00524C13" w:rsidP="00EF7CC0">
            <w:pPr>
              <w:cnfStyle w:val="000000000000" w:firstRow="0" w:lastRow="0" w:firstColumn="0" w:lastColumn="0" w:oddVBand="0" w:evenVBand="0" w:oddHBand="0" w:evenHBand="0" w:firstRowFirstColumn="0" w:firstRowLastColumn="0" w:lastRowFirstColumn="0" w:lastRowLastColumn="0"/>
            </w:pPr>
            <w:r>
              <w:t>(10.0)</w:t>
            </w:r>
          </w:p>
        </w:tc>
        <w:tc>
          <w:tcPr>
            <w:tcW w:w="1504" w:type="dxa"/>
          </w:tcPr>
          <w:p w14:paraId="01FF60E3" w14:textId="77777777" w:rsidR="00150BA5" w:rsidRDefault="00524C13" w:rsidP="00EF7CC0">
            <w:pPr>
              <w:cnfStyle w:val="000000000000" w:firstRow="0" w:lastRow="0" w:firstColumn="0" w:lastColumn="0" w:oddVBand="0" w:evenVBand="0" w:oddHBand="0" w:evenHBand="0" w:firstRowFirstColumn="0" w:firstRowLastColumn="0" w:lastRowFirstColumn="0" w:lastRowLastColumn="0"/>
            </w:pPr>
            <w:r>
              <w:t>(10.0)</w:t>
            </w:r>
          </w:p>
        </w:tc>
      </w:tr>
      <w:tr w:rsidR="00150BA5" w14:paraId="40A44CFE" w14:textId="77777777" w:rsidTr="00AB5335">
        <w:tc>
          <w:tcPr>
            <w:cnfStyle w:val="001000000000" w:firstRow="0" w:lastRow="0" w:firstColumn="1" w:lastColumn="0" w:oddVBand="0" w:evenVBand="0" w:oddHBand="0" w:evenHBand="0" w:firstRowFirstColumn="0" w:firstRowLastColumn="0" w:lastRowFirstColumn="0" w:lastRowLastColumn="0"/>
            <w:tcW w:w="1504" w:type="dxa"/>
          </w:tcPr>
          <w:p w14:paraId="25C70973" w14:textId="77777777" w:rsidR="00150BA5" w:rsidRDefault="00524C13" w:rsidP="00EF7CC0">
            <w:r>
              <w:t>1</w:t>
            </w:r>
          </w:p>
        </w:tc>
        <w:tc>
          <w:tcPr>
            <w:tcW w:w="1504" w:type="dxa"/>
          </w:tcPr>
          <w:p w14:paraId="5FC25871" w14:textId="77777777" w:rsidR="00150BA5" w:rsidRDefault="00524C13" w:rsidP="00EF7CC0">
            <w:pPr>
              <w:cnfStyle w:val="000000000000" w:firstRow="0" w:lastRow="0" w:firstColumn="0" w:lastColumn="0" w:oddVBand="0" w:evenVBand="0" w:oddHBand="0" w:evenHBand="0" w:firstRowFirstColumn="0" w:firstRowLastColumn="0" w:lastRowFirstColumn="0" w:lastRowLastColumn="0"/>
            </w:pPr>
            <w:r>
              <w:t>(18.0)</w:t>
            </w:r>
          </w:p>
        </w:tc>
        <w:tc>
          <w:tcPr>
            <w:tcW w:w="1504" w:type="dxa"/>
          </w:tcPr>
          <w:p w14:paraId="3DC7D4D2" w14:textId="77777777" w:rsidR="00150BA5" w:rsidRDefault="00524C13" w:rsidP="00EF7CC0">
            <w:pPr>
              <w:cnfStyle w:val="000000000000" w:firstRow="0" w:lastRow="0" w:firstColumn="0" w:lastColumn="0" w:oddVBand="0" w:evenVBand="0" w:oddHBand="0" w:evenHBand="0" w:firstRowFirstColumn="0" w:firstRowLastColumn="0" w:lastRowFirstColumn="0" w:lastRowLastColumn="0"/>
            </w:pPr>
            <w:r>
              <w:t>—</w:t>
            </w:r>
          </w:p>
        </w:tc>
        <w:tc>
          <w:tcPr>
            <w:tcW w:w="1504" w:type="dxa"/>
          </w:tcPr>
          <w:p w14:paraId="363C5A1A" w14:textId="77777777" w:rsidR="00150BA5" w:rsidRDefault="00524C13" w:rsidP="00EF7CC0">
            <w:pPr>
              <w:cnfStyle w:val="000000000000" w:firstRow="0" w:lastRow="0" w:firstColumn="0" w:lastColumn="0" w:oddVBand="0" w:evenVBand="0" w:oddHBand="0" w:evenHBand="0" w:firstRowFirstColumn="0" w:firstRowLastColumn="0" w:lastRowFirstColumn="0" w:lastRowLastColumn="0"/>
            </w:pPr>
            <w:r>
              <w:t>—</w:t>
            </w:r>
          </w:p>
        </w:tc>
        <w:tc>
          <w:tcPr>
            <w:tcW w:w="1504" w:type="dxa"/>
          </w:tcPr>
          <w:p w14:paraId="44595ACE" w14:textId="77777777" w:rsidR="00150BA5" w:rsidRDefault="00524C13" w:rsidP="00EF7CC0">
            <w:pPr>
              <w:cnfStyle w:val="000000000000" w:firstRow="0" w:lastRow="0" w:firstColumn="0" w:lastColumn="0" w:oddVBand="0" w:evenVBand="0" w:oddHBand="0" w:evenHBand="0" w:firstRowFirstColumn="0" w:firstRowLastColumn="0" w:lastRowFirstColumn="0" w:lastRowLastColumn="0"/>
            </w:pPr>
            <w:r>
              <w:t>(18.0)</w:t>
            </w:r>
          </w:p>
        </w:tc>
        <w:tc>
          <w:tcPr>
            <w:tcW w:w="1504" w:type="dxa"/>
          </w:tcPr>
          <w:p w14:paraId="32FD75FE" w14:textId="77777777" w:rsidR="00150BA5" w:rsidRDefault="00524C13" w:rsidP="00EF7CC0">
            <w:pPr>
              <w:cnfStyle w:val="000000000000" w:firstRow="0" w:lastRow="0" w:firstColumn="0" w:lastColumn="0" w:oddVBand="0" w:evenVBand="0" w:oddHBand="0" w:evenHBand="0" w:firstRowFirstColumn="0" w:firstRowLastColumn="0" w:lastRowFirstColumn="0" w:lastRowLastColumn="0"/>
            </w:pPr>
            <w:r>
              <w:t>(28.0)</w:t>
            </w:r>
          </w:p>
        </w:tc>
      </w:tr>
      <w:tr w:rsidR="00150BA5" w14:paraId="3FFE3611" w14:textId="77777777" w:rsidTr="00AB5335">
        <w:tc>
          <w:tcPr>
            <w:cnfStyle w:val="001000000000" w:firstRow="0" w:lastRow="0" w:firstColumn="1" w:lastColumn="0" w:oddVBand="0" w:evenVBand="0" w:oddHBand="0" w:evenHBand="0" w:firstRowFirstColumn="0" w:firstRowLastColumn="0" w:lastRowFirstColumn="0" w:lastRowLastColumn="0"/>
            <w:tcW w:w="1504" w:type="dxa"/>
          </w:tcPr>
          <w:p w14:paraId="7A2A7D31" w14:textId="77777777" w:rsidR="00150BA5" w:rsidRDefault="00524C13" w:rsidP="00EF7CC0">
            <w:r>
              <w:t>2</w:t>
            </w:r>
          </w:p>
        </w:tc>
        <w:tc>
          <w:tcPr>
            <w:tcW w:w="1504" w:type="dxa"/>
          </w:tcPr>
          <w:p w14:paraId="4B11C799" w14:textId="77777777" w:rsidR="00150BA5" w:rsidRDefault="00524C13" w:rsidP="00EF7CC0">
            <w:pPr>
              <w:cnfStyle w:val="000000000000" w:firstRow="0" w:lastRow="0" w:firstColumn="0" w:lastColumn="0" w:oddVBand="0" w:evenVBand="0" w:oddHBand="0" w:evenHBand="0" w:firstRowFirstColumn="0" w:firstRowLastColumn="0" w:lastRowFirstColumn="0" w:lastRowLastColumn="0"/>
            </w:pPr>
            <w:r>
              <w:t>(14.0)</w:t>
            </w:r>
          </w:p>
        </w:tc>
        <w:tc>
          <w:tcPr>
            <w:tcW w:w="1504" w:type="dxa"/>
          </w:tcPr>
          <w:p w14:paraId="042309BC" w14:textId="77777777" w:rsidR="00150BA5" w:rsidRDefault="00524C13" w:rsidP="00EF7CC0">
            <w:pPr>
              <w:cnfStyle w:val="000000000000" w:firstRow="0" w:lastRow="0" w:firstColumn="0" w:lastColumn="0" w:oddVBand="0" w:evenVBand="0" w:oddHBand="0" w:evenHBand="0" w:firstRowFirstColumn="0" w:firstRowLastColumn="0" w:lastRowFirstColumn="0" w:lastRowLastColumn="0"/>
            </w:pPr>
            <w:r>
              <w:t>—</w:t>
            </w:r>
          </w:p>
        </w:tc>
        <w:tc>
          <w:tcPr>
            <w:tcW w:w="1504" w:type="dxa"/>
          </w:tcPr>
          <w:p w14:paraId="4F3919E8" w14:textId="77777777" w:rsidR="00150BA5" w:rsidRDefault="00524C13" w:rsidP="00EF7CC0">
            <w:pPr>
              <w:cnfStyle w:val="000000000000" w:firstRow="0" w:lastRow="0" w:firstColumn="0" w:lastColumn="0" w:oddVBand="0" w:evenVBand="0" w:oddHBand="0" w:evenHBand="0" w:firstRowFirstColumn="0" w:firstRowLastColumn="0" w:lastRowFirstColumn="0" w:lastRowLastColumn="0"/>
            </w:pPr>
            <w:r>
              <w:t>—</w:t>
            </w:r>
          </w:p>
        </w:tc>
        <w:tc>
          <w:tcPr>
            <w:tcW w:w="1504" w:type="dxa"/>
          </w:tcPr>
          <w:p w14:paraId="5CA3C45A" w14:textId="77777777" w:rsidR="00150BA5" w:rsidRDefault="00524C13" w:rsidP="00EF7CC0">
            <w:pPr>
              <w:cnfStyle w:val="000000000000" w:firstRow="0" w:lastRow="0" w:firstColumn="0" w:lastColumn="0" w:oddVBand="0" w:evenVBand="0" w:oddHBand="0" w:evenHBand="0" w:firstRowFirstColumn="0" w:firstRowLastColumn="0" w:lastRowFirstColumn="0" w:lastRowLastColumn="0"/>
            </w:pPr>
            <w:r>
              <w:t>(14.0)</w:t>
            </w:r>
          </w:p>
        </w:tc>
        <w:tc>
          <w:tcPr>
            <w:tcW w:w="1504" w:type="dxa"/>
          </w:tcPr>
          <w:p w14:paraId="11B0A031" w14:textId="77777777" w:rsidR="00150BA5" w:rsidRDefault="00524C13" w:rsidP="00EF7CC0">
            <w:pPr>
              <w:cnfStyle w:val="000000000000" w:firstRow="0" w:lastRow="0" w:firstColumn="0" w:lastColumn="0" w:oddVBand="0" w:evenVBand="0" w:oddHBand="0" w:evenHBand="0" w:firstRowFirstColumn="0" w:firstRowLastColumn="0" w:lastRowFirstColumn="0" w:lastRowLastColumn="0"/>
            </w:pPr>
            <w:r>
              <w:t>(42.0)</w:t>
            </w:r>
          </w:p>
        </w:tc>
      </w:tr>
      <w:tr w:rsidR="00150BA5" w14:paraId="47E86074" w14:textId="77777777" w:rsidTr="00AB5335">
        <w:tc>
          <w:tcPr>
            <w:cnfStyle w:val="001000000000" w:firstRow="0" w:lastRow="0" w:firstColumn="1" w:lastColumn="0" w:oddVBand="0" w:evenVBand="0" w:oddHBand="0" w:evenHBand="0" w:firstRowFirstColumn="0" w:firstRowLastColumn="0" w:lastRowFirstColumn="0" w:lastRowLastColumn="0"/>
            <w:tcW w:w="1504" w:type="dxa"/>
          </w:tcPr>
          <w:p w14:paraId="166D01D8" w14:textId="77777777" w:rsidR="00150BA5" w:rsidRDefault="00524C13" w:rsidP="00EF7CC0">
            <w:r>
              <w:t>3</w:t>
            </w:r>
          </w:p>
        </w:tc>
        <w:tc>
          <w:tcPr>
            <w:tcW w:w="1504" w:type="dxa"/>
          </w:tcPr>
          <w:p w14:paraId="6EEC82DF" w14:textId="77777777" w:rsidR="00150BA5" w:rsidRDefault="00524C13" w:rsidP="00EF7CC0">
            <w:pPr>
              <w:cnfStyle w:val="000000000000" w:firstRow="0" w:lastRow="0" w:firstColumn="0" w:lastColumn="0" w:oddVBand="0" w:evenVBand="0" w:oddHBand="0" w:evenHBand="0" w:firstRowFirstColumn="0" w:firstRowLastColumn="0" w:lastRowFirstColumn="0" w:lastRowLastColumn="0"/>
            </w:pPr>
            <w:r>
              <w:t>(8.0)</w:t>
            </w:r>
          </w:p>
        </w:tc>
        <w:tc>
          <w:tcPr>
            <w:tcW w:w="1504" w:type="dxa"/>
          </w:tcPr>
          <w:p w14:paraId="0265A930" w14:textId="77777777" w:rsidR="00150BA5" w:rsidRDefault="00524C13" w:rsidP="00EF7CC0">
            <w:pPr>
              <w:cnfStyle w:val="000000000000" w:firstRow="0" w:lastRow="0" w:firstColumn="0" w:lastColumn="0" w:oddVBand="0" w:evenVBand="0" w:oddHBand="0" w:evenHBand="0" w:firstRowFirstColumn="0" w:firstRowLastColumn="0" w:lastRowFirstColumn="0" w:lastRowLastColumn="0"/>
            </w:pPr>
            <w:r>
              <w:t>—</w:t>
            </w:r>
          </w:p>
        </w:tc>
        <w:tc>
          <w:tcPr>
            <w:tcW w:w="1504" w:type="dxa"/>
          </w:tcPr>
          <w:p w14:paraId="111859CD" w14:textId="77777777" w:rsidR="00150BA5" w:rsidRDefault="00524C13" w:rsidP="00EF7CC0">
            <w:pPr>
              <w:cnfStyle w:val="000000000000" w:firstRow="0" w:lastRow="0" w:firstColumn="0" w:lastColumn="0" w:oddVBand="0" w:evenVBand="0" w:oddHBand="0" w:evenHBand="0" w:firstRowFirstColumn="0" w:firstRowLastColumn="0" w:lastRowFirstColumn="0" w:lastRowLastColumn="0"/>
            </w:pPr>
            <w:r>
              <w:t>—</w:t>
            </w:r>
          </w:p>
        </w:tc>
        <w:tc>
          <w:tcPr>
            <w:tcW w:w="1504" w:type="dxa"/>
          </w:tcPr>
          <w:p w14:paraId="6E39CC43" w14:textId="77777777" w:rsidR="00150BA5" w:rsidRDefault="00524C13" w:rsidP="00EF7CC0">
            <w:pPr>
              <w:cnfStyle w:val="000000000000" w:firstRow="0" w:lastRow="0" w:firstColumn="0" w:lastColumn="0" w:oddVBand="0" w:evenVBand="0" w:oddHBand="0" w:evenHBand="0" w:firstRowFirstColumn="0" w:firstRowLastColumn="0" w:lastRowFirstColumn="0" w:lastRowLastColumn="0"/>
            </w:pPr>
            <w:r>
              <w:t>(8.0)</w:t>
            </w:r>
          </w:p>
        </w:tc>
        <w:tc>
          <w:tcPr>
            <w:tcW w:w="1504" w:type="dxa"/>
          </w:tcPr>
          <w:p w14:paraId="3A5E1F6D" w14:textId="77777777" w:rsidR="00150BA5" w:rsidRDefault="00524C13" w:rsidP="00EF7CC0">
            <w:pPr>
              <w:cnfStyle w:val="000000000000" w:firstRow="0" w:lastRow="0" w:firstColumn="0" w:lastColumn="0" w:oddVBand="0" w:evenVBand="0" w:oddHBand="0" w:evenHBand="0" w:firstRowFirstColumn="0" w:firstRowLastColumn="0" w:lastRowFirstColumn="0" w:lastRowLastColumn="0"/>
            </w:pPr>
            <w:r>
              <w:t>(50.0)</w:t>
            </w:r>
          </w:p>
        </w:tc>
      </w:tr>
      <w:tr w:rsidR="00150BA5" w14:paraId="44A00320" w14:textId="77777777" w:rsidTr="00AB5335">
        <w:tc>
          <w:tcPr>
            <w:cnfStyle w:val="001000000000" w:firstRow="0" w:lastRow="0" w:firstColumn="1" w:lastColumn="0" w:oddVBand="0" w:evenVBand="0" w:oddHBand="0" w:evenHBand="0" w:firstRowFirstColumn="0" w:firstRowLastColumn="0" w:lastRowFirstColumn="0" w:lastRowLastColumn="0"/>
            <w:tcW w:w="1504" w:type="dxa"/>
          </w:tcPr>
          <w:p w14:paraId="38C92366" w14:textId="77777777" w:rsidR="00150BA5" w:rsidRDefault="00524C13" w:rsidP="00EF7CC0">
            <w:r>
              <w:t>4</w:t>
            </w:r>
          </w:p>
        </w:tc>
        <w:tc>
          <w:tcPr>
            <w:tcW w:w="1504" w:type="dxa"/>
          </w:tcPr>
          <w:p w14:paraId="175FD10E" w14:textId="77777777" w:rsidR="00150BA5" w:rsidRDefault="00524C13" w:rsidP="00EF7CC0">
            <w:pPr>
              <w:cnfStyle w:val="000000000000" w:firstRow="0" w:lastRow="0" w:firstColumn="0" w:lastColumn="0" w:oddVBand="0" w:evenVBand="0" w:oddHBand="0" w:evenHBand="0" w:firstRowFirstColumn="0" w:firstRowLastColumn="0" w:lastRowFirstColumn="0" w:lastRowLastColumn="0"/>
            </w:pPr>
            <w:r>
              <w:t>—</w:t>
            </w:r>
          </w:p>
        </w:tc>
        <w:tc>
          <w:tcPr>
            <w:tcW w:w="1504" w:type="dxa"/>
          </w:tcPr>
          <w:p w14:paraId="51E3C71F" w14:textId="77777777" w:rsidR="00150BA5" w:rsidRDefault="00524C13" w:rsidP="00EF7CC0">
            <w:pPr>
              <w:cnfStyle w:val="000000000000" w:firstRow="0" w:lastRow="0" w:firstColumn="0" w:lastColumn="0" w:oddVBand="0" w:evenVBand="0" w:oddHBand="0" w:evenHBand="0" w:firstRowFirstColumn="0" w:firstRowLastColumn="0" w:lastRowFirstColumn="0" w:lastRowLastColumn="0"/>
            </w:pPr>
            <w:r>
              <w:t>8.2</w:t>
            </w:r>
          </w:p>
        </w:tc>
        <w:tc>
          <w:tcPr>
            <w:tcW w:w="1504" w:type="dxa"/>
          </w:tcPr>
          <w:p w14:paraId="2A5AE394" w14:textId="77777777" w:rsidR="00150BA5" w:rsidRDefault="00524C13" w:rsidP="00EF7CC0">
            <w:pPr>
              <w:cnfStyle w:val="000000000000" w:firstRow="0" w:lastRow="0" w:firstColumn="0" w:lastColumn="0" w:oddVBand="0" w:evenVBand="0" w:oddHBand="0" w:evenHBand="0" w:firstRowFirstColumn="0" w:firstRowLastColumn="0" w:lastRowFirstColumn="0" w:lastRowLastColumn="0"/>
            </w:pPr>
            <w:r>
              <w:t>(2.1)</w:t>
            </w:r>
          </w:p>
        </w:tc>
        <w:tc>
          <w:tcPr>
            <w:tcW w:w="1504" w:type="dxa"/>
          </w:tcPr>
          <w:p w14:paraId="7BD96D25" w14:textId="77777777" w:rsidR="00150BA5" w:rsidRDefault="00524C13" w:rsidP="00EF7CC0">
            <w:pPr>
              <w:cnfStyle w:val="000000000000" w:firstRow="0" w:lastRow="0" w:firstColumn="0" w:lastColumn="0" w:oddVBand="0" w:evenVBand="0" w:oddHBand="0" w:evenHBand="0" w:firstRowFirstColumn="0" w:firstRowLastColumn="0" w:lastRowFirstColumn="0" w:lastRowLastColumn="0"/>
            </w:pPr>
            <w:r>
              <w:t>6.1</w:t>
            </w:r>
          </w:p>
        </w:tc>
        <w:tc>
          <w:tcPr>
            <w:tcW w:w="1504" w:type="dxa"/>
          </w:tcPr>
          <w:p w14:paraId="5F3D101D" w14:textId="77777777" w:rsidR="00150BA5" w:rsidRDefault="00524C13" w:rsidP="00EF7CC0">
            <w:pPr>
              <w:cnfStyle w:val="000000000000" w:firstRow="0" w:lastRow="0" w:firstColumn="0" w:lastColumn="0" w:oddVBand="0" w:evenVBand="0" w:oddHBand="0" w:evenHBand="0" w:firstRowFirstColumn="0" w:firstRowLastColumn="0" w:lastRowFirstColumn="0" w:lastRowLastColumn="0"/>
            </w:pPr>
            <w:r>
              <w:t>(43.9)</w:t>
            </w:r>
          </w:p>
        </w:tc>
      </w:tr>
      <w:tr w:rsidR="00150BA5" w14:paraId="5A68C083" w14:textId="77777777" w:rsidTr="00AB5335">
        <w:tc>
          <w:tcPr>
            <w:cnfStyle w:val="001000000000" w:firstRow="0" w:lastRow="0" w:firstColumn="1" w:lastColumn="0" w:oddVBand="0" w:evenVBand="0" w:oddHBand="0" w:evenHBand="0" w:firstRowFirstColumn="0" w:firstRowLastColumn="0" w:lastRowFirstColumn="0" w:lastRowLastColumn="0"/>
            <w:tcW w:w="1504" w:type="dxa"/>
          </w:tcPr>
          <w:p w14:paraId="49A4AD41" w14:textId="77777777" w:rsidR="00150BA5" w:rsidRDefault="00524C13" w:rsidP="00EF7CC0">
            <w:r>
              <w:t>5</w:t>
            </w:r>
          </w:p>
        </w:tc>
        <w:tc>
          <w:tcPr>
            <w:tcW w:w="1504" w:type="dxa"/>
          </w:tcPr>
          <w:p w14:paraId="4D976D28" w14:textId="77777777" w:rsidR="00150BA5" w:rsidRDefault="00524C13" w:rsidP="00EF7CC0">
            <w:pPr>
              <w:cnfStyle w:val="000000000000" w:firstRow="0" w:lastRow="0" w:firstColumn="0" w:lastColumn="0" w:oddVBand="0" w:evenVBand="0" w:oddHBand="0" w:evenHBand="0" w:firstRowFirstColumn="0" w:firstRowLastColumn="0" w:lastRowFirstColumn="0" w:lastRowLastColumn="0"/>
            </w:pPr>
            <w:r>
              <w:t>—</w:t>
            </w:r>
          </w:p>
        </w:tc>
        <w:tc>
          <w:tcPr>
            <w:tcW w:w="1504" w:type="dxa"/>
          </w:tcPr>
          <w:p w14:paraId="45436981" w14:textId="77777777" w:rsidR="00150BA5" w:rsidRDefault="00524C13" w:rsidP="00EF7CC0">
            <w:pPr>
              <w:cnfStyle w:val="000000000000" w:firstRow="0" w:lastRow="0" w:firstColumn="0" w:lastColumn="0" w:oddVBand="0" w:evenVBand="0" w:oddHBand="0" w:evenHBand="0" w:firstRowFirstColumn="0" w:firstRowLastColumn="0" w:lastRowFirstColumn="0" w:lastRowLastColumn="0"/>
            </w:pPr>
            <w:r>
              <w:t>8.2</w:t>
            </w:r>
          </w:p>
        </w:tc>
        <w:tc>
          <w:tcPr>
            <w:tcW w:w="1504" w:type="dxa"/>
          </w:tcPr>
          <w:p w14:paraId="463348C3" w14:textId="77777777" w:rsidR="00150BA5" w:rsidRDefault="00524C13" w:rsidP="00EF7CC0">
            <w:pPr>
              <w:cnfStyle w:val="000000000000" w:firstRow="0" w:lastRow="0" w:firstColumn="0" w:lastColumn="0" w:oddVBand="0" w:evenVBand="0" w:oddHBand="0" w:evenHBand="0" w:firstRowFirstColumn="0" w:firstRowLastColumn="0" w:lastRowFirstColumn="0" w:lastRowLastColumn="0"/>
            </w:pPr>
            <w:r>
              <w:t>(2.1)</w:t>
            </w:r>
          </w:p>
        </w:tc>
        <w:tc>
          <w:tcPr>
            <w:tcW w:w="1504" w:type="dxa"/>
          </w:tcPr>
          <w:p w14:paraId="387B44F2" w14:textId="77777777" w:rsidR="00150BA5" w:rsidRDefault="00524C13" w:rsidP="00EF7CC0">
            <w:pPr>
              <w:cnfStyle w:val="000000000000" w:firstRow="0" w:lastRow="0" w:firstColumn="0" w:lastColumn="0" w:oddVBand="0" w:evenVBand="0" w:oddHBand="0" w:evenHBand="0" w:firstRowFirstColumn="0" w:firstRowLastColumn="0" w:lastRowFirstColumn="0" w:lastRowLastColumn="0"/>
            </w:pPr>
            <w:r>
              <w:t>6.1</w:t>
            </w:r>
          </w:p>
        </w:tc>
        <w:tc>
          <w:tcPr>
            <w:tcW w:w="1504" w:type="dxa"/>
          </w:tcPr>
          <w:p w14:paraId="6C10C52A" w14:textId="77777777" w:rsidR="00150BA5" w:rsidRDefault="00524C13" w:rsidP="00EF7CC0">
            <w:pPr>
              <w:cnfStyle w:val="000000000000" w:firstRow="0" w:lastRow="0" w:firstColumn="0" w:lastColumn="0" w:oddVBand="0" w:evenVBand="0" w:oddHBand="0" w:evenHBand="0" w:firstRowFirstColumn="0" w:firstRowLastColumn="0" w:lastRowFirstColumn="0" w:lastRowLastColumn="0"/>
            </w:pPr>
            <w:r>
              <w:t>(37.8)</w:t>
            </w:r>
          </w:p>
        </w:tc>
      </w:tr>
      <w:tr w:rsidR="00150BA5" w14:paraId="63BBB8C4" w14:textId="77777777" w:rsidTr="00AB5335">
        <w:tc>
          <w:tcPr>
            <w:cnfStyle w:val="001000000000" w:firstRow="0" w:lastRow="0" w:firstColumn="1" w:lastColumn="0" w:oddVBand="0" w:evenVBand="0" w:oddHBand="0" w:evenHBand="0" w:firstRowFirstColumn="0" w:firstRowLastColumn="0" w:lastRowFirstColumn="0" w:lastRowLastColumn="0"/>
            <w:tcW w:w="1504" w:type="dxa"/>
          </w:tcPr>
          <w:p w14:paraId="7FAE3CC6" w14:textId="77777777" w:rsidR="00150BA5" w:rsidRDefault="00524C13" w:rsidP="00EF7CC0">
            <w:r>
              <w:lastRenderedPageBreak/>
              <w:t>6</w:t>
            </w:r>
          </w:p>
        </w:tc>
        <w:tc>
          <w:tcPr>
            <w:tcW w:w="1504" w:type="dxa"/>
          </w:tcPr>
          <w:p w14:paraId="5A5E7A4E" w14:textId="77777777" w:rsidR="00150BA5" w:rsidRDefault="00524C13" w:rsidP="00EF7CC0">
            <w:pPr>
              <w:cnfStyle w:val="000000000000" w:firstRow="0" w:lastRow="0" w:firstColumn="0" w:lastColumn="0" w:oddVBand="0" w:evenVBand="0" w:oddHBand="0" w:evenHBand="0" w:firstRowFirstColumn="0" w:firstRowLastColumn="0" w:lastRowFirstColumn="0" w:lastRowLastColumn="0"/>
            </w:pPr>
            <w:r>
              <w:t>—</w:t>
            </w:r>
          </w:p>
        </w:tc>
        <w:tc>
          <w:tcPr>
            <w:tcW w:w="1504" w:type="dxa"/>
          </w:tcPr>
          <w:p w14:paraId="7586DE45" w14:textId="77777777" w:rsidR="00150BA5" w:rsidRDefault="00524C13" w:rsidP="00EF7CC0">
            <w:pPr>
              <w:cnfStyle w:val="000000000000" w:firstRow="0" w:lastRow="0" w:firstColumn="0" w:lastColumn="0" w:oddVBand="0" w:evenVBand="0" w:oddHBand="0" w:evenHBand="0" w:firstRowFirstColumn="0" w:firstRowLastColumn="0" w:lastRowFirstColumn="0" w:lastRowLastColumn="0"/>
            </w:pPr>
            <w:r>
              <w:t>8.2</w:t>
            </w:r>
          </w:p>
        </w:tc>
        <w:tc>
          <w:tcPr>
            <w:tcW w:w="1504" w:type="dxa"/>
          </w:tcPr>
          <w:p w14:paraId="5209F866" w14:textId="77777777" w:rsidR="00150BA5" w:rsidRDefault="00524C13" w:rsidP="00EF7CC0">
            <w:pPr>
              <w:cnfStyle w:val="000000000000" w:firstRow="0" w:lastRow="0" w:firstColumn="0" w:lastColumn="0" w:oddVBand="0" w:evenVBand="0" w:oddHBand="0" w:evenHBand="0" w:firstRowFirstColumn="0" w:firstRowLastColumn="0" w:lastRowFirstColumn="0" w:lastRowLastColumn="0"/>
            </w:pPr>
            <w:r>
              <w:t>(2.1)</w:t>
            </w:r>
          </w:p>
        </w:tc>
        <w:tc>
          <w:tcPr>
            <w:tcW w:w="1504" w:type="dxa"/>
          </w:tcPr>
          <w:p w14:paraId="638B3A25" w14:textId="77777777" w:rsidR="00150BA5" w:rsidRDefault="00524C13" w:rsidP="00EF7CC0">
            <w:pPr>
              <w:cnfStyle w:val="000000000000" w:firstRow="0" w:lastRow="0" w:firstColumn="0" w:lastColumn="0" w:oddVBand="0" w:evenVBand="0" w:oddHBand="0" w:evenHBand="0" w:firstRowFirstColumn="0" w:firstRowLastColumn="0" w:lastRowFirstColumn="0" w:lastRowLastColumn="0"/>
            </w:pPr>
            <w:r>
              <w:t>6.1</w:t>
            </w:r>
          </w:p>
        </w:tc>
        <w:tc>
          <w:tcPr>
            <w:tcW w:w="1504" w:type="dxa"/>
          </w:tcPr>
          <w:p w14:paraId="6F427627" w14:textId="77777777" w:rsidR="00150BA5" w:rsidRDefault="00524C13" w:rsidP="00EF7CC0">
            <w:pPr>
              <w:cnfStyle w:val="000000000000" w:firstRow="0" w:lastRow="0" w:firstColumn="0" w:lastColumn="0" w:oddVBand="0" w:evenVBand="0" w:oddHBand="0" w:evenHBand="0" w:firstRowFirstColumn="0" w:firstRowLastColumn="0" w:lastRowFirstColumn="0" w:lastRowLastColumn="0"/>
            </w:pPr>
            <w:r>
              <w:t>(31.7)</w:t>
            </w:r>
          </w:p>
        </w:tc>
      </w:tr>
      <w:tr w:rsidR="00150BA5" w14:paraId="3C742219" w14:textId="77777777" w:rsidTr="00AB5335">
        <w:tc>
          <w:tcPr>
            <w:cnfStyle w:val="001000000000" w:firstRow="0" w:lastRow="0" w:firstColumn="1" w:lastColumn="0" w:oddVBand="0" w:evenVBand="0" w:oddHBand="0" w:evenHBand="0" w:firstRowFirstColumn="0" w:firstRowLastColumn="0" w:lastRowFirstColumn="0" w:lastRowLastColumn="0"/>
            <w:tcW w:w="1504" w:type="dxa"/>
          </w:tcPr>
          <w:p w14:paraId="33AC281F" w14:textId="77777777" w:rsidR="00150BA5" w:rsidRDefault="00524C13" w:rsidP="00EF7CC0">
            <w:r>
              <w:t>7</w:t>
            </w:r>
          </w:p>
        </w:tc>
        <w:tc>
          <w:tcPr>
            <w:tcW w:w="1504" w:type="dxa"/>
          </w:tcPr>
          <w:p w14:paraId="6E8BFCD5" w14:textId="77777777" w:rsidR="00150BA5" w:rsidRDefault="00524C13" w:rsidP="00EF7CC0">
            <w:pPr>
              <w:cnfStyle w:val="000000000000" w:firstRow="0" w:lastRow="0" w:firstColumn="0" w:lastColumn="0" w:oddVBand="0" w:evenVBand="0" w:oddHBand="0" w:evenHBand="0" w:firstRowFirstColumn="0" w:firstRowLastColumn="0" w:lastRowFirstColumn="0" w:lastRowLastColumn="0"/>
            </w:pPr>
            <w:r>
              <w:t>—</w:t>
            </w:r>
          </w:p>
        </w:tc>
        <w:tc>
          <w:tcPr>
            <w:tcW w:w="1504" w:type="dxa"/>
          </w:tcPr>
          <w:p w14:paraId="0B6F73D7" w14:textId="77777777" w:rsidR="00150BA5" w:rsidRDefault="00524C13" w:rsidP="00EF7CC0">
            <w:pPr>
              <w:cnfStyle w:val="000000000000" w:firstRow="0" w:lastRow="0" w:firstColumn="0" w:lastColumn="0" w:oddVBand="0" w:evenVBand="0" w:oddHBand="0" w:evenHBand="0" w:firstRowFirstColumn="0" w:firstRowLastColumn="0" w:lastRowFirstColumn="0" w:lastRowLastColumn="0"/>
            </w:pPr>
            <w:r>
              <w:t>8.2</w:t>
            </w:r>
          </w:p>
        </w:tc>
        <w:tc>
          <w:tcPr>
            <w:tcW w:w="1504" w:type="dxa"/>
          </w:tcPr>
          <w:p w14:paraId="4DBBA757" w14:textId="77777777" w:rsidR="00150BA5" w:rsidRDefault="00524C13" w:rsidP="00EF7CC0">
            <w:pPr>
              <w:cnfStyle w:val="000000000000" w:firstRow="0" w:lastRow="0" w:firstColumn="0" w:lastColumn="0" w:oddVBand="0" w:evenVBand="0" w:oddHBand="0" w:evenHBand="0" w:firstRowFirstColumn="0" w:firstRowLastColumn="0" w:lastRowFirstColumn="0" w:lastRowLastColumn="0"/>
            </w:pPr>
            <w:r>
              <w:t>(2.1)</w:t>
            </w:r>
          </w:p>
        </w:tc>
        <w:tc>
          <w:tcPr>
            <w:tcW w:w="1504" w:type="dxa"/>
          </w:tcPr>
          <w:p w14:paraId="330FA333" w14:textId="77777777" w:rsidR="00150BA5" w:rsidRDefault="00524C13" w:rsidP="00EF7CC0">
            <w:pPr>
              <w:cnfStyle w:val="000000000000" w:firstRow="0" w:lastRow="0" w:firstColumn="0" w:lastColumn="0" w:oddVBand="0" w:evenVBand="0" w:oddHBand="0" w:evenHBand="0" w:firstRowFirstColumn="0" w:firstRowLastColumn="0" w:lastRowFirstColumn="0" w:lastRowLastColumn="0"/>
            </w:pPr>
            <w:r>
              <w:t>6.1</w:t>
            </w:r>
          </w:p>
        </w:tc>
        <w:tc>
          <w:tcPr>
            <w:tcW w:w="1504" w:type="dxa"/>
          </w:tcPr>
          <w:p w14:paraId="79F4B942" w14:textId="77777777" w:rsidR="00150BA5" w:rsidRDefault="00524C13" w:rsidP="00EF7CC0">
            <w:pPr>
              <w:cnfStyle w:val="000000000000" w:firstRow="0" w:lastRow="0" w:firstColumn="0" w:lastColumn="0" w:oddVBand="0" w:evenVBand="0" w:oddHBand="0" w:evenHBand="0" w:firstRowFirstColumn="0" w:firstRowLastColumn="0" w:lastRowFirstColumn="0" w:lastRowLastColumn="0"/>
            </w:pPr>
            <w:r>
              <w:t>(25.6)</w:t>
            </w:r>
          </w:p>
        </w:tc>
      </w:tr>
      <w:tr w:rsidR="00150BA5" w14:paraId="7FD1223A" w14:textId="77777777" w:rsidTr="00AB5335">
        <w:tc>
          <w:tcPr>
            <w:cnfStyle w:val="001000000000" w:firstRow="0" w:lastRow="0" w:firstColumn="1" w:lastColumn="0" w:oddVBand="0" w:evenVBand="0" w:oddHBand="0" w:evenHBand="0" w:firstRowFirstColumn="0" w:firstRowLastColumn="0" w:lastRowFirstColumn="0" w:lastRowLastColumn="0"/>
            <w:tcW w:w="1504" w:type="dxa"/>
          </w:tcPr>
          <w:p w14:paraId="4E4CDBFE" w14:textId="77777777" w:rsidR="00150BA5" w:rsidRDefault="00524C13" w:rsidP="00EF7CC0">
            <w:r>
              <w:t>8</w:t>
            </w:r>
          </w:p>
        </w:tc>
        <w:tc>
          <w:tcPr>
            <w:tcW w:w="1504" w:type="dxa"/>
          </w:tcPr>
          <w:p w14:paraId="75A080FA" w14:textId="77777777" w:rsidR="00150BA5" w:rsidRDefault="00524C13" w:rsidP="00EF7CC0">
            <w:pPr>
              <w:cnfStyle w:val="000000000000" w:firstRow="0" w:lastRow="0" w:firstColumn="0" w:lastColumn="0" w:oddVBand="0" w:evenVBand="0" w:oddHBand="0" w:evenHBand="0" w:firstRowFirstColumn="0" w:firstRowLastColumn="0" w:lastRowFirstColumn="0" w:lastRowLastColumn="0"/>
            </w:pPr>
            <w:r>
              <w:t>—</w:t>
            </w:r>
          </w:p>
        </w:tc>
        <w:tc>
          <w:tcPr>
            <w:tcW w:w="1504" w:type="dxa"/>
          </w:tcPr>
          <w:p w14:paraId="2980F1A1" w14:textId="77777777" w:rsidR="00150BA5" w:rsidRDefault="00524C13" w:rsidP="00EF7CC0">
            <w:pPr>
              <w:cnfStyle w:val="000000000000" w:firstRow="0" w:lastRow="0" w:firstColumn="0" w:lastColumn="0" w:oddVBand="0" w:evenVBand="0" w:oddHBand="0" w:evenHBand="0" w:firstRowFirstColumn="0" w:firstRowLastColumn="0" w:lastRowFirstColumn="0" w:lastRowLastColumn="0"/>
            </w:pPr>
            <w:r>
              <w:t>8.2</w:t>
            </w:r>
          </w:p>
        </w:tc>
        <w:tc>
          <w:tcPr>
            <w:tcW w:w="1504" w:type="dxa"/>
          </w:tcPr>
          <w:p w14:paraId="52C27C3D" w14:textId="77777777" w:rsidR="00150BA5" w:rsidRDefault="00524C13" w:rsidP="00EF7CC0">
            <w:pPr>
              <w:cnfStyle w:val="000000000000" w:firstRow="0" w:lastRow="0" w:firstColumn="0" w:lastColumn="0" w:oddVBand="0" w:evenVBand="0" w:oddHBand="0" w:evenHBand="0" w:firstRowFirstColumn="0" w:firstRowLastColumn="0" w:lastRowFirstColumn="0" w:lastRowLastColumn="0"/>
            </w:pPr>
            <w:r>
              <w:t>(2.1)</w:t>
            </w:r>
          </w:p>
        </w:tc>
        <w:tc>
          <w:tcPr>
            <w:tcW w:w="1504" w:type="dxa"/>
          </w:tcPr>
          <w:p w14:paraId="0A250655" w14:textId="77777777" w:rsidR="00150BA5" w:rsidRDefault="00524C13" w:rsidP="00EF7CC0">
            <w:pPr>
              <w:cnfStyle w:val="000000000000" w:firstRow="0" w:lastRow="0" w:firstColumn="0" w:lastColumn="0" w:oddVBand="0" w:evenVBand="0" w:oddHBand="0" w:evenHBand="0" w:firstRowFirstColumn="0" w:firstRowLastColumn="0" w:lastRowFirstColumn="0" w:lastRowLastColumn="0"/>
            </w:pPr>
            <w:r>
              <w:t>6.1</w:t>
            </w:r>
          </w:p>
        </w:tc>
        <w:tc>
          <w:tcPr>
            <w:tcW w:w="1504" w:type="dxa"/>
          </w:tcPr>
          <w:p w14:paraId="49709A02" w14:textId="77777777" w:rsidR="00150BA5" w:rsidRDefault="00524C13" w:rsidP="00EF7CC0">
            <w:pPr>
              <w:cnfStyle w:val="000000000000" w:firstRow="0" w:lastRow="0" w:firstColumn="0" w:lastColumn="0" w:oddVBand="0" w:evenVBand="0" w:oddHBand="0" w:evenHBand="0" w:firstRowFirstColumn="0" w:firstRowLastColumn="0" w:lastRowFirstColumn="0" w:lastRowLastColumn="0"/>
            </w:pPr>
            <w:r>
              <w:t>(19.5)</w:t>
            </w:r>
          </w:p>
        </w:tc>
      </w:tr>
      <w:tr w:rsidR="00150BA5" w14:paraId="79785649" w14:textId="77777777" w:rsidTr="00AB5335">
        <w:tc>
          <w:tcPr>
            <w:cnfStyle w:val="001000000000" w:firstRow="0" w:lastRow="0" w:firstColumn="1" w:lastColumn="0" w:oddVBand="0" w:evenVBand="0" w:oddHBand="0" w:evenHBand="0" w:firstRowFirstColumn="0" w:firstRowLastColumn="0" w:lastRowFirstColumn="0" w:lastRowLastColumn="0"/>
            <w:tcW w:w="1504" w:type="dxa"/>
          </w:tcPr>
          <w:p w14:paraId="151B13AB" w14:textId="77777777" w:rsidR="00150BA5" w:rsidRDefault="00524C13" w:rsidP="00EF7CC0">
            <w:r>
              <w:t>9</w:t>
            </w:r>
          </w:p>
        </w:tc>
        <w:tc>
          <w:tcPr>
            <w:tcW w:w="1504" w:type="dxa"/>
          </w:tcPr>
          <w:p w14:paraId="4ACE3FB1" w14:textId="77777777" w:rsidR="00150BA5" w:rsidRDefault="00524C13" w:rsidP="00EF7CC0">
            <w:pPr>
              <w:cnfStyle w:val="000000000000" w:firstRow="0" w:lastRow="0" w:firstColumn="0" w:lastColumn="0" w:oddVBand="0" w:evenVBand="0" w:oddHBand="0" w:evenHBand="0" w:firstRowFirstColumn="0" w:firstRowLastColumn="0" w:lastRowFirstColumn="0" w:lastRowLastColumn="0"/>
            </w:pPr>
            <w:r>
              <w:t>—</w:t>
            </w:r>
          </w:p>
        </w:tc>
        <w:tc>
          <w:tcPr>
            <w:tcW w:w="1504" w:type="dxa"/>
          </w:tcPr>
          <w:p w14:paraId="656E4875" w14:textId="77777777" w:rsidR="00150BA5" w:rsidRDefault="00524C13" w:rsidP="00EF7CC0">
            <w:pPr>
              <w:cnfStyle w:val="000000000000" w:firstRow="0" w:lastRow="0" w:firstColumn="0" w:lastColumn="0" w:oddVBand="0" w:evenVBand="0" w:oddHBand="0" w:evenHBand="0" w:firstRowFirstColumn="0" w:firstRowLastColumn="0" w:lastRowFirstColumn="0" w:lastRowLastColumn="0"/>
            </w:pPr>
            <w:r>
              <w:t>8.2</w:t>
            </w:r>
          </w:p>
        </w:tc>
        <w:tc>
          <w:tcPr>
            <w:tcW w:w="1504" w:type="dxa"/>
          </w:tcPr>
          <w:p w14:paraId="52DEA491" w14:textId="77777777" w:rsidR="00150BA5" w:rsidRDefault="00524C13" w:rsidP="00EF7CC0">
            <w:pPr>
              <w:cnfStyle w:val="000000000000" w:firstRow="0" w:lastRow="0" w:firstColumn="0" w:lastColumn="0" w:oddVBand="0" w:evenVBand="0" w:oddHBand="0" w:evenHBand="0" w:firstRowFirstColumn="0" w:firstRowLastColumn="0" w:lastRowFirstColumn="0" w:lastRowLastColumn="0"/>
            </w:pPr>
            <w:r>
              <w:t>(2.1)</w:t>
            </w:r>
          </w:p>
        </w:tc>
        <w:tc>
          <w:tcPr>
            <w:tcW w:w="1504" w:type="dxa"/>
          </w:tcPr>
          <w:p w14:paraId="425C3660" w14:textId="77777777" w:rsidR="00150BA5" w:rsidRDefault="00524C13" w:rsidP="00EF7CC0">
            <w:pPr>
              <w:cnfStyle w:val="000000000000" w:firstRow="0" w:lastRow="0" w:firstColumn="0" w:lastColumn="0" w:oddVBand="0" w:evenVBand="0" w:oddHBand="0" w:evenHBand="0" w:firstRowFirstColumn="0" w:firstRowLastColumn="0" w:lastRowFirstColumn="0" w:lastRowLastColumn="0"/>
            </w:pPr>
            <w:r>
              <w:t>6.1</w:t>
            </w:r>
          </w:p>
        </w:tc>
        <w:tc>
          <w:tcPr>
            <w:tcW w:w="1504" w:type="dxa"/>
          </w:tcPr>
          <w:p w14:paraId="669EE9B3" w14:textId="77777777" w:rsidR="00150BA5" w:rsidRDefault="00524C13" w:rsidP="00EF7CC0">
            <w:pPr>
              <w:cnfStyle w:val="000000000000" w:firstRow="0" w:lastRow="0" w:firstColumn="0" w:lastColumn="0" w:oddVBand="0" w:evenVBand="0" w:oddHBand="0" w:evenHBand="0" w:firstRowFirstColumn="0" w:firstRowLastColumn="0" w:lastRowFirstColumn="0" w:lastRowLastColumn="0"/>
            </w:pPr>
            <w:r>
              <w:t>(13.4)</w:t>
            </w:r>
          </w:p>
        </w:tc>
      </w:tr>
      <w:tr w:rsidR="00150BA5" w14:paraId="041583FE" w14:textId="77777777" w:rsidTr="00AB5335">
        <w:tc>
          <w:tcPr>
            <w:cnfStyle w:val="001000000000" w:firstRow="0" w:lastRow="0" w:firstColumn="1" w:lastColumn="0" w:oddVBand="0" w:evenVBand="0" w:oddHBand="0" w:evenHBand="0" w:firstRowFirstColumn="0" w:firstRowLastColumn="0" w:lastRowFirstColumn="0" w:lastRowLastColumn="0"/>
            <w:tcW w:w="1504" w:type="dxa"/>
          </w:tcPr>
          <w:p w14:paraId="18931BB1" w14:textId="77777777" w:rsidR="00150BA5" w:rsidRDefault="00524C13" w:rsidP="00EF7CC0">
            <w:r>
              <w:t>10</w:t>
            </w:r>
          </w:p>
        </w:tc>
        <w:tc>
          <w:tcPr>
            <w:tcW w:w="1504" w:type="dxa"/>
          </w:tcPr>
          <w:p w14:paraId="5E9A21CD" w14:textId="77777777" w:rsidR="00150BA5" w:rsidRDefault="00524C13" w:rsidP="00EF7CC0">
            <w:pPr>
              <w:cnfStyle w:val="000000000000" w:firstRow="0" w:lastRow="0" w:firstColumn="0" w:lastColumn="0" w:oddVBand="0" w:evenVBand="0" w:oddHBand="0" w:evenHBand="0" w:firstRowFirstColumn="0" w:firstRowLastColumn="0" w:lastRowFirstColumn="0" w:lastRowLastColumn="0"/>
            </w:pPr>
            <w:r>
              <w:t>—</w:t>
            </w:r>
          </w:p>
        </w:tc>
        <w:tc>
          <w:tcPr>
            <w:tcW w:w="1504" w:type="dxa"/>
          </w:tcPr>
          <w:p w14:paraId="5A0FA0C5" w14:textId="77777777" w:rsidR="00150BA5" w:rsidRDefault="00524C13" w:rsidP="00EF7CC0">
            <w:pPr>
              <w:cnfStyle w:val="000000000000" w:firstRow="0" w:lastRow="0" w:firstColumn="0" w:lastColumn="0" w:oddVBand="0" w:evenVBand="0" w:oddHBand="0" w:evenHBand="0" w:firstRowFirstColumn="0" w:firstRowLastColumn="0" w:lastRowFirstColumn="0" w:lastRowLastColumn="0"/>
            </w:pPr>
            <w:r>
              <w:t>8.2</w:t>
            </w:r>
          </w:p>
        </w:tc>
        <w:tc>
          <w:tcPr>
            <w:tcW w:w="1504" w:type="dxa"/>
          </w:tcPr>
          <w:p w14:paraId="2497839A" w14:textId="77777777" w:rsidR="00150BA5" w:rsidRDefault="00524C13" w:rsidP="00EF7CC0">
            <w:pPr>
              <w:cnfStyle w:val="000000000000" w:firstRow="0" w:lastRow="0" w:firstColumn="0" w:lastColumn="0" w:oddVBand="0" w:evenVBand="0" w:oddHBand="0" w:evenHBand="0" w:firstRowFirstColumn="0" w:firstRowLastColumn="0" w:lastRowFirstColumn="0" w:lastRowLastColumn="0"/>
            </w:pPr>
            <w:r>
              <w:t>(2.1)</w:t>
            </w:r>
          </w:p>
        </w:tc>
        <w:tc>
          <w:tcPr>
            <w:tcW w:w="1504" w:type="dxa"/>
          </w:tcPr>
          <w:p w14:paraId="63A08336" w14:textId="77777777" w:rsidR="00150BA5" w:rsidRDefault="00524C13" w:rsidP="00EF7CC0">
            <w:pPr>
              <w:cnfStyle w:val="000000000000" w:firstRow="0" w:lastRow="0" w:firstColumn="0" w:lastColumn="0" w:oddVBand="0" w:evenVBand="0" w:oddHBand="0" w:evenHBand="0" w:firstRowFirstColumn="0" w:firstRowLastColumn="0" w:lastRowFirstColumn="0" w:lastRowLastColumn="0"/>
            </w:pPr>
            <w:r>
              <w:t>6.1</w:t>
            </w:r>
          </w:p>
        </w:tc>
        <w:tc>
          <w:tcPr>
            <w:tcW w:w="1504" w:type="dxa"/>
          </w:tcPr>
          <w:p w14:paraId="1FD68769" w14:textId="77777777" w:rsidR="00150BA5" w:rsidRDefault="00524C13" w:rsidP="00EF7CC0">
            <w:pPr>
              <w:cnfStyle w:val="000000000000" w:firstRow="0" w:lastRow="0" w:firstColumn="0" w:lastColumn="0" w:oddVBand="0" w:evenVBand="0" w:oddHBand="0" w:evenHBand="0" w:firstRowFirstColumn="0" w:firstRowLastColumn="0" w:lastRowFirstColumn="0" w:lastRowLastColumn="0"/>
            </w:pPr>
            <w:r>
              <w:t>(7.3)</w:t>
            </w:r>
          </w:p>
        </w:tc>
      </w:tr>
      <w:tr w:rsidR="00150BA5" w14:paraId="3DB1BCD6" w14:textId="77777777" w:rsidTr="00AB5335">
        <w:tc>
          <w:tcPr>
            <w:cnfStyle w:val="001000000000" w:firstRow="0" w:lastRow="0" w:firstColumn="1" w:lastColumn="0" w:oddVBand="0" w:evenVBand="0" w:oddHBand="0" w:evenHBand="0" w:firstRowFirstColumn="0" w:firstRowLastColumn="0" w:lastRowFirstColumn="0" w:lastRowLastColumn="0"/>
            <w:tcW w:w="1504" w:type="dxa"/>
          </w:tcPr>
          <w:p w14:paraId="48754745" w14:textId="77777777" w:rsidR="00150BA5" w:rsidRDefault="00524C13" w:rsidP="00EF7CC0">
            <w:r>
              <w:t>11</w:t>
            </w:r>
          </w:p>
        </w:tc>
        <w:tc>
          <w:tcPr>
            <w:tcW w:w="1504" w:type="dxa"/>
          </w:tcPr>
          <w:p w14:paraId="563BEB0C" w14:textId="77777777" w:rsidR="00150BA5" w:rsidRDefault="00524C13" w:rsidP="00EF7CC0">
            <w:pPr>
              <w:cnfStyle w:val="000000000000" w:firstRow="0" w:lastRow="0" w:firstColumn="0" w:lastColumn="0" w:oddVBand="0" w:evenVBand="0" w:oddHBand="0" w:evenHBand="0" w:firstRowFirstColumn="0" w:firstRowLastColumn="0" w:lastRowFirstColumn="0" w:lastRowLastColumn="0"/>
            </w:pPr>
            <w:r>
              <w:t>—</w:t>
            </w:r>
          </w:p>
        </w:tc>
        <w:tc>
          <w:tcPr>
            <w:tcW w:w="1504" w:type="dxa"/>
          </w:tcPr>
          <w:p w14:paraId="53B5020D" w14:textId="77777777" w:rsidR="00150BA5" w:rsidRDefault="00524C13" w:rsidP="00EF7CC0">
            <w:pPr>
              <w:cnfStyle w:val="000000000000" w:firstRow="0" w:lastRow="0" w:firstColumn="0" w:lastColumn="0" w:oddVBand="0" w:evenVBand="0" w:oddHBand="0" w:evenHBand="0" w:firstRowFirstColumn="0" w:firstRowLastColumn="0" w:lastRowFirstColumn="0" w:lastRowLastColumn="0"/>
            </w:pPr>
            <w:r>
              <w:t>8.2</w:t>
            </w:r>
          </w:p>
        </w:tc>
        <w:tc>
          <w:tcPr>
            <w:tcW w:w="1504" w:type="dxa"/>
          </w:tcPr>
          <w:p w14:paraId="621C8CA1" w14:textId="77777777" w:rsidR="00150BA5" w:rsidRDefault="00524C13" w:rsidP="00EF7CC0">
            <w:pPr>
              <w:cnfStyle w:val="000000000000" w:firstRow="0" w:lastRow="0" w:firstColumn="0" w:lastColumn="0" w:oddVBand="0" w:evenVBand="0" w:oddHBand="0" w:evenHBand="0" w:firstRowFirstColumn="0" w:firstRowLastColumn="0" w:lastRowFirstColumn="0" w:lastRowLastColumn="0"/>
            </w:pPr>
            <w:r>
              <w:t>(2.1)</w:t>
            </w:r>
          </w:p>
        </w:tc>
        <w:tc>
          <w:tcPr>
            <w:tcW w:w="1504" w:type="dxa"/>
          </w:tcPr>
          <w:p w14:paraId="7C4BE981" w14:textId="77777777" w:rsidR="00150BA5" w:rsidRDefault="00524C13" w:rsidP="00EF7CC0">
            <w:pPr>
              <w:cnfStyle w:val="000000000000" w:firstRow="0" w:lastRow="0" w:firstColumn="0" w:lastColumn="0" w:oddVBand="0" w:evenVBand="0" w:oddHBand="0" w:evenHBand="0" w:firstRowFirstColumn="0" w:firstRowLastColumn="0" w:lastRowFirstColumn="0" w:lastRowLastColumn="0"/>
            </w:pPr>
            <w:r>
              <w:t>6.1</w:t>
            </w:r>
          </w:p>
        </w:tc>
        <w:tc>
          <w:tcPr>
            <w:tcW w:w="1504" w:type="dxa"/>
          </w:tcPr>
          <w:p w14:paraId="074A0515" w14:textId="77777777" w:rsidR="00150BA5" w:rsidRDefault="00524C13" w:rsidP="00EF7CC0">
            <w:pPr>
              <w:cnfStyle w:val="000000000000" w:firstRow="0" w:lastRow="0" w:firstColumn="0" w:lastColumn="0" w:oddVBand="0" w:evenVBand="0" w:oddHBand="0" w:evenHBand="0" w:firstRowFirstColumn="0" w:firstRowLastColumn="0" w:lastRowFirstColumn="0" w:lastRowLastColumn="0"/>
            </w:pPr>
            <w:r>
              <w:t>(1.2)</w:t>
            </w:r>
          </w:p>
        </w:tc>
      </w:tr>
      <w:tr w:rsidR="00150BA5" w14:paraId="6AD05565" w14:textId="77777777" w:rsidTr="00AB5335">
        <w:tc>
          <w:tcPr>
            <w:cnfStyle w:val="001000000000" w:firstRow="0" w:lastRow="0" w:firstColumn="1" w:lastColumn="0" w:oddVBand="0" w:evenVBand="0" w:oddHBand="0" w:evenHBand="0" w:firstRowFirstColumn="0" w:firstRowLastColumn="0" w:lastRowFirstColumn="0" w:lastRowLastColumn="0"/>
            <w:tcW w:w="1504" w:type="dxa"/>
          </w:tcPr>
          <w:p w14:paraId="66A63F26" w14:textId="77777777" w:rsidR="00150BA5" w:rsidRDefault="00524C13" w:rsidP="00EF7CC0">
            <w:r>
              <w:t>12</w:t>
            </w:r>
          </w:p>
        </w:tc>
        <w:tc>
          <w:tcPr>
            <w:tcW w:w="1504" w:type="dxa"/>
          </w:tcPr>
          <w:p w14:paraId="12D173BE" w14:textId="77777777" w:rsidR="00150BA5" w:rsidRDefault="00524C13" w:rsidP="00EF7CC0">
            <w:pPr>
              <w:cnfStyle w:val="000000000000" w:firstRow="0" w:lastRow="0" w:firstColumn="0" w:lastColumn="0" w:oddVBand="0" w:evenVBand="0" w:oddHBand="0" w:evenHBand="0" w:firstRowFirstColumn="0" w:firstRowLastColumn="0" w:lastRowFirstColumn="0" w:lastRowLastColumn="0"/>
            </w:pPr>
            <w:r>
              <w:t>—</w:t>
            </w:r>
          </w:p>
        </w:tc>
        <w:tc>
          <w:tcPr>
            <w:tcW w:w="1504" w:type="dxa"/>
          </w:tcPr>
          <w:p w14:paraId="0851F8D3" w14:textId="77777777" w:rsidR="00150BA5" w:rsidRDefault="00524C13" w:rsidP="00EF7CC0">
            <w:pPr>
              <w:cnfStyle w:val="000000000000" w:firstRow="0" w:lastRow="0" w:firstColumn="0" w:lastColumn="0" w:oddVBand="0" w:evenVBand="0" w:oddHBand="0" w:evenHBand="0" w:firstRowFirstColumn="0" w:firstRowLastColumn="0" w:lastRowFirstColumn="0" w:lastRowLastColumn="0"/>
            </w:pPr>
            <w:r>
              <w:t>8.2</w:t>
            </w:r>
          </w:p>
        </w:tc>
        <w:tc>
          <w:tcPr>
            <w:tcW w:w="1504" w:type="dxa"/>
          </w:tcPr>
          <w:p w14:paraId="4BC35DFD" w14:textId="77777777" w:rsidR="00150BA5" w:rsidRDefault="00524C13" w:rsidP="00EF7CC0">
            <w:pPr>
              <w:cnfStyle w:val="000000000000" w:firstRow="0" w:lastRow="0" w:firstColumn="0" w:lastColumn="0" w:oddVBand="0" w:evenVBand="0" w:oddHBand="0" w:evenHBand="0" w:firstRowFirstColumn="0" w:firstRowLastColumn="0" w:lastRowFirstColumn="0" w:lastRowLastColumn="0"/>
            </w:pPr>
            <w:r>
              <w:t>(2.1)</w:t>
            </w:r>
          </w:p>
        </w:tc>
        <w:tc>
          <w:tcPr>
            <w:tcW w:w="1504" w:type="dxa"/>
          </w:tcPr>
          <w:p w14:paraId="20F99A9D" w14:textId="77777777" w:rsidR="00150BA5" w:rsidRDefault="00524C13" w:rsidP="00EF7CC0">
            <w:pPr>
              <w:cnfStyle w:val="000000000000" w:firstRow="0" w:lastRow="0" w:firstColumn="0" w:lastColumn="0" w:oddVBand="0" w:evenVBand="0" w:oddHBand="0" w:evenHBand="0" w:firstRowFirstColumn="0" w:firstRowLastColumn="0" w:lastRowFirstColumn="0" w:lastRowLastColumn="0"/>
            </w:pPr>
            <w:r>
              <w:t>6.1</w:t>
            </w:r>
          </w:p>
        </w:tc>
        <w:tc>
          <w:tcPr>
            <w:tcW w:w="1504" w:type="dxa"/>
          </w:tcPr>
          <w:p w14:paraId="22AD3B80" w14:textId="77777777" w:rsidR="00150BA5" w:rsidRDefault="00524C13" w:rsidP="00EF7CC0">
            <w:pPr>
              <w:cnfStyle w:val="000000000000" w:firstRow="0" w:lastRow="0" w:firstColumn="0" w:lastColumn="0" w:oddVBand="0" w:evenVBand="0" w:oddHBand="0" w:evenHBand="0" w:firstRowFirstColumn="0" w:firstRowLastColumn="0" w:lastRowFirstColumn="0" w:lastRowLastColumn="0"/>
            </w:pPr>
            <w:r>
              <w:t>+4.9</w:t>
            </w:r>
          </w:p>
        </w:tc>
      </w:tr>
      <w:tr w:rsidR="00150BA5" w14:paraId="0207155D" w14:textId="77777777" w:rsidTr="00AB5335">
        <w:tc>
          <w:tcPr>
            <w:cnfStyle w:val="001000000000" w:firstRow="0" w:lastRow="0" w:firstColumn="1" w:lastColumn="0" w:oddVBand="0" w:evenVBand="0" w:oddHBand="0" w:evenHBand="0" w:firstRowFirstColumn="0" w:firstRowLastColumn="0" w:lastRowFirstColumn="0" w:lastRowLastColumn="0"/>
            <w:tcW w:w="1504" w:type="dxa"/>
          </w:tcPr>
          <w:p w14:paraId="5568F0DC" w14:textId="77777777" w:rsidR="00150BA5" w:rsidRDefault="00524C13" w:rsidP="00EF7CC0">
            <w:r>
              <w:t>Years 13–27</w:t>
            </w:r>
          </w:p>
        </w:tc>
        <w:tc>
          <w:tcPr>
            <w:tcW w:w="1504" w:type="dxa"/>
          </w:tcPr>
          <w:p w14:paraId="35ED1ACA" w14:textId="77777777" w:rsidR="00150BA5" w:rsidRDefault="00524C13" w:rsidP="00EF7CC0">
            <w:pPr>
              <w:cnfStyle w:val="000000000000" w:firstRow="0" w:lastRow="0" w:firstColumn="0" w:lastColumn="0" w:oddVBand="0" w:evenVBand="0" w:oddHBand="0" w:evenHBand="0" w:firstRowFirstColumn="0" w:firstRowLastColumn="0" w:lastRowFirstColumn="0" w:lastRowLastColumn="0"/>
            </w:pPr>
            <w:r>
              <w:t>—</w:t>
            </w:r>
          </w:p>
        </w:tc>
        <w:tc>
          <w:tcPr>
            <w:tcW w:w="1504" w:type="dxa"/>
          </w:tcPr>
          <w:p w14:paraId="64297C51" w14:textId="77777777" w:rsidR="00150BA5" w:rsidRDefault="00524C13" w:rsidP="00EF7CC0">
            <w:pPr>
              <w:cnfStyle w:val="000000000000" w:firstRow="0" w:lastRow="0" w:firstColumn="0" w:lastColumn="0" w:oddVBand="0" w:evenVBand="0" w:oddHBand="0" w:evenHBand="0" w:firstRowFirstColumn="0" w:firstRowLastColumn="0" w:lastRowFirstColumn="0" w:lastRowLastColumn="0"/>
            </w:pPr>
            <w:r>
              <w:t>8.2/yr</w:t>
            </w:r>
          </w:p>
        </w:tc>
        <w:tc>
          <w:tcPr>
            <w:tcW w:w="1504" w:type="dxa"/>
          </w:tcPr>
          <w:p w14:paraId="26930D76" w14:textId="77777777" w:rsidR="00150BA5" w:rsidRDefault="00524C13" w:rsidP="00EF7CC0">
            <w:pPr>
              <w:cnfStyle w:val="000000000000" w:firstRow="0" w:lastRow="0" w:firstColumn="0" w:lastColumn="0" w:oddVBand="0" w:evenVBand="0" w:oddHBand="0" w:evenHBand="0" w:firstRowFirstColumn="0" w:firstRowLastColumn="0" w:lastRowFirstColumn="0" w:lastRowLastColumn="0"/>
            </w:pPr>
            <w:r>
              <w:t>(2.1)/yr</w:t>
            </w:r>
          </w:p>
        </w:tc>
        <w:tc>
          <w:tcPr>
            <w:tcW w:w="1504" w:type="dxa"/>
          </w:tcPr>
          <w:p w14:paraId="72784021" w14:textId="77777777" w:rsidR="00150BA5" w:rsidRDefault="00524C13" w:rsidP="00EF7CC0">
            <w:pPr>
              <w:cnfStyle w:val="000000000000" w:firstRow="0" w:lastRow="0" w:firstColumn="0" w:lastColumn="0" w:oddVBand="0" w:evenVBand="0" w:oddHBand="0" w:evenHBand="0" w:firstRowFirstColumn="0" w:firstRowLastColumn="0" w:lastRowFirstColumn="0" w:lastRowLastColumn="0"/>
            </w:pPr>
            <w:r>
              <w:t>6.1/yr</w:t>
            </w:r>
          </w:p>
        </w:tc>
        <w:tc>
          <w:tcPr>
            <w:tcW w:w="1504" w:type="dxa"/>
          </w:tcPr>
          <w:p w14:paraId="0A413125" w14:textId="77777777" w:rsidR="00150BA5" w:rsidRDefault="00524C13" w:rsidP="00EF7CC0">
            <w:pPr>
              <w:cnfStyle w:val="000000000000" w:firstRow="0" w:lastRow="0" w:firstColumn="0" w:lastColumn="0" w:oddVBand="0" w:evenVBand="0" w:oddHBand="0" w:evenHBand="0" w:firstRowFirstColumn="0" w:firstRowLastColumn="0" w:lastRowFirstColumn="0" w:lastRowLastColumn="0"/>
            </w:pPr>
            <w:r>
              <w:t>—</w:t>
            </w:r>
          </w:p>
        </w:tc>
      </w:tr>
      <w:tr w:rsidR="00150BA5" w14:paraId="2E4B0F47" w14:textId="77777777" w:rsidTr="00AB5335">
        <w:tc>
          <w:tcPr>
            <w:cnfStyle w:val="001000000000" w:firstRow="0" w:lastRow="0" w:firstColumn="1" w:lastColumn="0" w:oddVBand="0" w:evenVBand="0" w:oddHBand="0" w:evenHBand="0" w:firstRowFirstColumn="0" w:firstRowLastColumn="0" w:lastRowFirstColumn="0" w:lastRowLastColumn="0"/>
            <w:tcW w:w="1504" w:type="dxa"/>
          </w:tcPr>
          <w:p w14:paraId="64CB37BF" w14:textId="77777777" w:rsidR="00150BA5" w:rsidRDefault="00524C13" w:rsidP="00EF7CC0">
            <w:r>
              <w:t>28</w:t>
            </w:r>
          </w:p>
        </w:tc>
        <w:tc>
          <w:tcPr>
            <w:tcW w:w="1504" w:type="dxa"/>
          </w:tcPr>
          <w:p w14:paraId="6326859C" w14:textId="77777777" w:rsidR="00150BA5" w:rsidRDefault="00524C13" w:rsidP="00EF7CC0">
            <w:pPr>
              <w:cnfStyle w:val="000000000000" w:firstRow="0" w:lastRow="0" w:firstColumn="0" w:lastColumn="0" w:oddVBand="0" w:evenVBand="0" w:oddHBand="0" w:evenHBand="0" w:firstRowFirstColumn="0" w:firstRowLastColumn="0" w:lastRowFirstColumn="0" w:lastRowLastColumn="0"/>
            </w:pPr>
            <w:r>
              <w:t>—</w:t>
            </w:r>
          </w:p>
        </w:tc>
        <w:tc>
          <w:tcPr>
            <w:tcW w:w="1504" w:type="dxa"/>
          </w:tcPr>
          <w:p w14:paraId="57E09FBE" w14:textId="77777777" w:rsidR="00150BA5" w:rsidRDefault="00524C13" w:rsidP="00EF7CC0">
            <w:pPr>
              <w:cnfStyle w:val="000000000000" w:firstRow="0" w:lastRow="0" w:firstColumn="0" w:lastColumn="0" w:oddVBand="0" w:evenVBand="0" w:oddHBand="0" w:evenHBand="0" w:firstRowFirstColumn="0" w:firstRowLastColumn="0" w:lastRowFirstColumn="0" w:lastRowLastColumn="0"/>
            </w:pPr>
            <w:r>
              <w:t>8.2</w:t>
            </w:r>
          </w:p>
        </w:tc>
        <w:tc>
          <w:tcPr>
            <w:tcW w:w="1504" w:type="dxa"/>
          </w:tcPr>
          <w:p w14:paraId="5F5D0F58" w14:textId="77777777" w:rsidR="00150BA5" w:rsidRDefault="00524C13" w:rsidP="00EF7CC0">
            <w:pPr>
              <w:cnfStyle w:val="000000000000" w:firstRow="0" w:lastRow="0" w:firstColumn="0" w:lastColumn="0" w:oddVBand="0" w:evenVBand="0" w:oddHBand="0" w:evenHBand="0" w:firstRowFirstColumn="0" w:firstRowLastColumn="0" w:lastRowFirstColumn="0" w:lastRowLastColumn="0"/>
            </w:pPr>
            <w:r>
              <w:t>(2.1)</w:t>
            </w:r>
          </w:p>
        </w:tc>
        <w:tc>
          <w:tcPr>
            <w:tcW w:w="1504" w:type="dxa"/>
          </w:tcPr>
          <w:p w14:paraId="10227C36" w14:textId="77777777" w:rsidR="00150BA5" w:rsidRDefault="00524C13" w:rsidP="00EF7CC0">
            <w:pPr>
              <w:cnfStyle w:val="000000000000" w:firstRow="0" w:lastRow="0" w:firstColumn="0" w:lastColumn="0" w:oddVBand="0" w:evenVBand="0" w:oddHBand="0" w:evenHBand="0" w:firstRowFirstColumn="0" w:firstRowLastColumn="0" w:lastRowFirstColumn="0" w:lastRowLastColumn="0"/>
            </w:pPr>
            <w:r>
              <w:t>4.1 (decommission)</w:t>
            </w:r>
          </w:p>
        </w:tc>
        <w:tc>
          <w:tcPr>
            <w:tcW w:w="1504" w:type="dxa"/>
          </w:tcPr>
          <w:p w14:paraId="1603E3E9" w14:textId="77777777" w:rsidR="00150BA5" w:rsidRDefault="00524C13" w:rsidP="00EF7CC0">
            <w:pPr>
              <w:cnfStyle w:val="000000000000" w:firstRow="0" w:lastRow="0" w:firstColumn="0" w:lastColumn="0" w:oddVBand="0" w:evenVBand="0" w:oddHBand="0" w:evenHBand="0" w:firstRowFirstColumn="0" w:firstRowLastColumn="0" w:lastRowFirstColumn="0" w:lastRowLastColumn="0"/>
            </w:pPr>
            <w:r>
              <w:t>+£64.3M cumulative</w:t>
            </w:r>
          </w:p>
        </w:tc>
      </w:tr>
    </w:tbl>
    <w:p w14:paraId="1095E206" w14:textId="77777777" w:rsidR="00150BA5" w:rsidRDefault="00524C13" w:rsidP="00EF7CC0">
      <w:pPr>
        <w:pStyle w:val="Heading2"/>
      </w:pPr>
      <w:bookmarkStart w:id="8" w:name="_Toc224428896"/>
      <w:r>
        <w:t>Results</w:t>
      </w:r>
      <w:bookmarkEnd w:id="8"/>
    </w:p>
    <w:p w14:paraId="610CC1BE" w14:textId="77777777" w:rsidR="00150BA5" w:rsidRDefault="00524C13" w:rsidP="00EF7CC0">
      <w:r>
        <w:t>Running these figures against an 8.5% discount rate provides a clear view:</w:t>
      </w:r>
    </w:p>
    <w:p w14:paraId="41716D64" w14:textId="706BFDF7" w:rsidR="00150BA5" w:rsidRDefault="00524C13" w:rsidP="00EF7CC0">
      <w:pPr>
        <w:pStyle w:val="ListParagraph"/>
        <w:numPr>
          <w:ilvl w:val="0"/>
          <w:numId w:val="11"/>
        </w:numPr>
      </w:pPr>
      <w:r w:rsidRPr="00EF7CC0">
        <w:rPr>
          <w:b/>
        </w:rPr>
        <w:t>NPV = +£3.9M</w:t>
      </w:r>
      <w:r>
        <w:t xml:space="preserve"> — With a positive NPV, the project creates value above its capital cost. On a standalone appraisal, it is a “go”.</w:t>
      </w:r>
    </w:p>
    <w:p w14:paraId="377E673A" w14:textId="4C8BE9E6" w:rsidR="00150BA5" w:rsidRDefault="00524C13" w:rsidP="00EF7CC0">
      <w:pPr>
        <w:pStyle w:val="ListParagraph"/>
        <w:numPr>
          <w:ilvl w:val="0"/>
          <w:numId w:val="11"/>
        </w:numPr>
      </w:pPr>
      <w:r w:rsidRPr="00EF7CC0">
        <w:rPr>
          <w:b/>
        </w:rPr>
        <w:t>IRR = 9.4%</w:t>
      </w:r>
      <w:r>
        <w:t xml:space="preserve"> — Exceeding the WACC of 8.5% by 90 basis points gives a modest but acceptable safety margin.</w:t>
      </w:r>
    </w:p>
    <w:p w14:paraId="074AE401" w14:textId="212B14C5" w:rsidR="00150BA5" w:rsidRDefault="00524C13" w:rsidP="00EF7CC0">
      <w:pPr>
        <w:pStyle w:val="ListParagraph"/>
        <w:numPr>
          <w:ilvl w:val="0"/>
          <w:numId w:val="11"/>
        </w:numPr>
      </w:pPr>
      <w:r w:rsidRPr="00EF7CC0">
        <w:rPr>
          <w:b/>
        </w:rPr>
        <w:t>Undiscounted Payback Period = 12 years</w:t>
      </w:r>
      <w:r>
        <w:t xml:space="preserve"> (positive cumulative cash flow achieved at the end of Year 12).</w:t>
      </w:r>
    </w:p>
    <w:p w14:paraId="5F19BC39" w14:textId="5753A7A1" w:rsidR="00150BA5" w:rsidRPr="00DD388B" w:rsidRDefault="00524C13" w:rsidP="00DD388B">
      <w:pPr>
        <w:pStyle w:val="ListParagraph"/>
        <w:numPr>
          <w:ilvl w:val="0"/>
          <w:numId w:val="11"/>
        </w:numPr>
      </w:pPr>
      <w:r w:rsidRPr="00DD388B">
        <w:rPr>
          <w:b/>
          <w:bCs/>
        </w:rPr>
        <w:t>Discounted Payback Period ≈ 22.5 years</w:t>
      </w:r>
      <w:r w:rsidRPr="00DD388B">
        <w:t>, making it more useful as a liquidity-risk screen than a value-maximisation tool.</w:t>
      </w:r>
    </w:p>
    <w:p w14:paraId="7956C9F2" w14:textId="19354A91" w:rsidR="00150BA5" w:rsidRDefault="00524C13" w:rsidP="00EF7CC0">
      <w:pPr>
        <w:pStyle w:val="ListParagraph"/>
        <w:numPr>
          <w:ilvl w:val="0"/>
          <w:numId w:val="11"/>
        </w:numPr>
      </w:pPr>
      <w:r w:rsidRPr="00EF7CC0">
        <w:rPr>
          <w:b/>
        </w:rPr>
        <w:t>Profitability Index (PI) = 1.08</w:t>
      </w:r>
      <w:r>
        <w:t xml:space="preserve"> (&gt; 1.0, confirms value creation).</w:t>
      </w:r>
    </w:p>
    <w:p w14:paraId="118E30B1" w14:textId="77777777" w:rsidR="00150BA5" w:rsidRDefault="00524C13" w:rsidP="00EF7CC0">
      <w:r>
        <w:t>In pure financial theory, NPV remains the superior yardstick because it properly accounts for the time value of money over the full 25-year horizon and directly measures shareholder wealth (Brealey, Myers and Allen, 2020; Ross, Westerfield and Jordan, 2019).</w:t>
      </w:r>
    </w:p>
    <w:p w14:paraId="16EEBFCF" w14:textId="77777777" w:rsidR="00150BA5" w:rsidRPr="00DD388B" w:rsidRDefault="00524C13" w:rsidP="00EF7CC0">
      <w:r w:rsidRPr="00DD388B">
        <w:t xml:space="preserve">That said, practitioners still lean heavily on IRR because boards like a percentage return they can compare directly with financing costs. Graham and Harvey (2001) found IRR remains widely used in practice, and Baker and English (2011) note that </w:t>
      </w:r>
      <w:r w:rsidRPr="00DD388B">
        <w:lastRenderedPageBreak/>
        <w:t>firms typically read it alongside NPV rather than in isolation. Here, the relevant comparison is the 9.4% IRR against the 8.5% WACC.</w:t>
      </w:r>
    </w:p>
    <w:p w14:paraId="604122F1" w14:textId="77777777" w:rsidR="00150BA5" w:rsidRDefault="00524C13" w:rsidP="00EF7CC0">
      <w:r w:rsidRPr="00DD388B">
        <w:t>IRR still has the usual weakness of assuming reinvestment at the same rate, which is unrealistic for a long-duration utility asset; reinvesting nearer the 8.5% WACC is the more credible assumption (Brealey, Myers and Allen, 2020). Modified IRR (MIRR) fixes that issue, but it would not change the overall investment call here.</w:t>
      </w:r>
    </w:p>
    <w:p w14:paraId="3DE660FA" w14:textId="77777777" w:rsidR="00150BA5" w:rsidRDefault="00524C13" w:rsidP="00EF7CC0">
      <w:pPr>
        <w:pStyle w:val="Heading2"/>
      </w:pPr>
      <w:bookmarkStart w:id="9" w:name="_Toc224428897"/>
      <w:r>
        <w:t>Scenario Analysis</w:t>
      </w:r>
      <w:bookmarkEnd w:id="9"/>
    </w:p>
    <w:p w14:paraId="4A23201A" w14:textId="77777777" w:rsidR="00150BA5" w:rsidRDefault="00524C13" w:rsidP="00EF7CC0">
      <w:r>
        <w:t>Three stress scenarios were run to map the real-world limits:</w:t>
      </w:r>
    </w:p>
    <w:p w14:paraId="6EB01CBA" w14:textId="78CB3E72" w:rsidR="00150BA5" w:rsidRPr="00280E74" w:rsidRDefault="00280E74" w:rsidP="00280E74">
      <w:pPr>
        <w:pStyle w:val="Caption"/>
        <w:rPr>
          <w:i/>
          <w:iCs/>
          <w:sz w:val="24"/>
          <w:szCs w:val="24"/>
        </w:rPr>
      </w:pPr>
      <w:bookmarkStart w:id="10" w:name="_Toc224428849"/>
      <w:r w:rsidRPr="00280E74">
        <w:rPr>
          <w:sz w:val="24"/>
          <w:szCs w:val="24"/>
        </w:rPr>
        <w:t xml:space="preserve">Table </w:t>
      </w:r>
      <w:r w:rsidRPr="00280E74">
        <w:rPr>
          <w:sz w:val="24"/>
          <w:szCs w:val="24"/>
        </w:rPr>
        <w:fldChar w:fldCharType="begin"/>
      </w:r>
      <w:r w:rsidRPr="00280E74">
        <w:rPr>
          <w:sz w:val="24"/>
          <w:szCs w:val="24"/>
        </w:rPr>
        <w:instrText xml:space="preserve"> SEQ Table \* ARABIC </w:instrText>
      </w:r>
      <w:r w:rsidRPr="00280E74">
        <w:rPr>
          <w:sz w:val="24"/>
          <w:szCs w:val="24"/>
        </w:rPr>
        <w:fldChar w:fldCharType="separate"/>
      </w:r>
      <w:r>
        <w:rPr>
          <w:noProof/>
          <w:sz w:val="24"/>
          <w:szCs w:val="24"/>
        </w:rPr>
        <w:t>3</w:t>
      </w:r>
      <w:r w:rsidRPr="00280E74">
        <w:rPr>
          <w:sz w:val="24"/>
          <w:szCs w:val="24"/>
        </w:rPr>
        <w:fldChar w:fldCharType="end"/>
      </w:r>
      <w:r w:rsidRPr="00280E74">
        <w:rPr>
          <w:sz w:val="24"/>
          <w:szCs w:val="24"/>
        </w:rPr>
        <w:t xml:space="preserve"> Scenario Analysis — Best-Case, Base-Case and Worst-Case Outcomes</w:t>
      </w:r>
      <w:bookmarkEnd w:id="10"/>
    </w:p>
    <w:p w14:paraId="08C3554B" w14:textId="50305973" w:rsidR="00C5576F" w:rsidRPr="00AB5335" w:rsidRDefault="00C5576F" w:rsidP="00C5576F">
      <w:r w:rsidRPr="00C5576F">
        <w:rPr>
          <w:noProof/>
        </w:rPr>
        <w:drawing>
          <wp:inline distT="0" distB="0" distL="0" distR="0" wp14:anchorId="69E46046" wp14:editId="0FF48C91">
            <wp:extent cx="5731510" cy="2929255"/>
            <wp:effectExtent l="0" t="0" r="0" b="4445"/>
            <wp:docPr id="1157577288" name="Picture 1" descr="A screenshot of a white sheet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7577288" name="Picture 1" descr="A screenshot of a white sheet with black text&#10;&#10;AI-generated content may be incorrect."/>
                    <pic:cNvPicPr/>
                  </pic:nvPicPr>
                  <pic:blipFill>
                    <a:blip r:embed="rId10"/>
                    <a:stretch>
                      <a:fillRect/>
                    </a:stretch>
                  </pic:blipFill>
                  <pic:spPr>
                    <a:xfrm>
                      <a:off x="0" y="0"/>
                      <a:ext cx="5731510" cy="2929255"/>
                    </a:xfrm>
                    <a:prstGeom prst="rect">
                      <a:avLst/>
                    </a:prstGeom>
                  </pic:spPr>
                </pic:pic>
              </a:graphicData>
            </a:graphic>
          </wp:inline>
        </w:drawing>
      </w:r>
    </w:p>
    <w:p w14:paraId="20140859" w14:textId="77777777" w:rsidR="00150BA5" w:rsidRDefault="00524C13" w:rsidP="00EF7CC0">
      <w:r w:rsidRPr="00DD388B">
        <w:t>Even in the worst case the project remains close to breakeven; however, the negative NPV and sub-WACC IRR highlight the critical importance of the cost control and risk mitigation measures detailed in Section C. Sensitivity runs show the same pattern: WACC +1% cuts base-case NPV by about £2.8M, a 10% reduction in CfD-linked revenue cuts it by £4.1M, and a 10% capex inflation shock would likely erode roughly £4.5M. Energy pricing risk remains the dominant sensitivity.</w:t>
      </w:r>
    </w:p>
    <w:p w14:paraId="3B90F841" w14:textId="77777777" w:rsidR="00150BA5" w:rsidRDefault="00524C13" w:rsidP="00EF7CC0">
      <w:r>
        <w:rPr>
          <w:noProof/>
        </w:rPr>
        <w:lastRenderedPageBreak/>
        <w:drawing>
          <wp:inline distT="0" distB="0" distL="0" distR="0" wp14:anchorId="1F540B04" wp14:editId="76376062">
            <wp:extent cx="5040000" cy="2994967"/>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_2.png"/>
                    <pic:cNvPicPr/>
                  </pic:nvPicPr>
                  <pic:blipFill>
                    <a:blip r:embed="rId11"/>
                    <a:stretch>
                      <a:fillRect/>
                    </a:stretch>
                  </pic:blipFill>
                  <pic:spPr>
                    <a:xfrm>
                      <a:off x="0" y="0"/>
                      <a:ext cx="5040000" cy="2994967"/>
                    </a:xfrm>
                    <a:prstGeom prst="rect">
                      <a:avLst/>
                    </a:prstGeom>
                  </pic:spPr>
                </pic:pic>
              </a:graphicData>
            </a:graphic>
          </wp:inline>
        </w:drawing>
      </w:r>
    </w:p>
    <w:p w14:paraId="439098C0" w14:textId="1AA73C77" w:rsidR="00150BA5" w:rsidRPr="00DD388B" w:rsidRDefault="00280E74" w:rsidP="00280E74">
      <w:pPr>
        <w:pStyle w:val="Caption"/>
        <w:jc w:val="center"/>
        <w:rPr>
          <w:sz w:val="24"/>
          <w:szCs w:val="24"/>
        </w:rPr>
      </w:pPr>
      <w:r w:rsidRPr="00DD388B">
        <w:rPr>
          <w:sz w:val="24"/>
          <w:szCs w:val="24"/>
        </w:rPr>
        <w:t xml:space="preserve">Figure 2 NPV Sensitivity - Best, Base and </w:t>
      </w:r>
      <w:proofErr w:type="gramStart"/>
      <w:r w:rsidRPr="00DD388B">
        <w:rPr>
          <w:sz w:val="24"/>
          <w:szCs w:val="24"/>
        </w:rPr>
        <w:t>Worst Case</w:t>
      </w:r>
      <w:proofErr w:type="gramEnd"/>
      <w:r w:rsidRPr="00DD388B">
        <w:rPr>
          <w:sz w:val="24"/>
          <w:szCs w:val="24"/>
        </w:rPr>
        <w:t xml:space="preserve"> Scenarios (£M)</w:t>
      </w:r>
    </w:p>
    <w:p w14:paraId="3D8E751C" w14:textId="77777777" w:rsidR="00AB5335" w:rsidRDefault="00AB5335">
      <w:pPr>
        <w:spacing w:after="200" w:line="276" w:lineRule="auto"/>
        <w:jc w:val="left"/>
        <w:rPr>
          <w:rFonts w:asciiTheme="majorHAnsi" w:eastAsiaTheme="majorEastAsia" w:hAnsiTheme="majorHAnsi" w:cstheme="majorBidi"/>
          <w:b/>
          <w:bCs/>
          <w:color w:val="000000"/>
          <w:sz w:val="32"/>
          <w:szCs w:val="28"/>
        </w:rPr>
      </w:pPr>
      <w:r>
        <w:br w:type="page"/>
      </w:r>
    </w:p>
    <w:p w14:paraId="1D40CE00" w14:textId="0A1E0ABC" w:rsidR="00150BA5" w:rsidRDefault="00524C13" w:rsidP="00EF7CC0">
      <w:pPr>
        <w:pStyle w:val="Heading1"/>
      </w:pPr>
      <w:bookmarkStart w:id="11" w:name="_Toc224428898"/>
      <w:r>
        <w:lastRenderedPageBreak/>
        <w:t>Section C: Cost Control Mechanisms</w:t>
      </w:r>
      <w:bookmarkEnd w:id="11"/>
    </w:p>
    <w:p w14:paraId="5A2B9E14" w14:textId="77777777" w:rsidR="00150BA5" w:rsidRDefault="00524C13" w:rsidP="00EF7CC0">
      <w:r w:rsidRPr="00DD388B">
        <w:t>Building an integrated cost control framework prevents multi-phase engineering challenges from collapsing the 36-month timeline. The control baseline separates £50M CAPEX (turbines, foundations, cables, grid connection) from £2.1M annual OPEX (O&amp;M, insurance, seabed lease). These controls protect lenders through EVM, contingency blocking and targeted risk mitigation (PMI, 2021; Fleming and Koppelman, 2010).</w:t>
      </w:r>
    </w:p>
    <w:p w14:paraId="565C5B6D" w14:textId="77777777" w:rsidR="00150BA5" w:rsidRDefault="00524C13" w:rsidP="00AB5335">
      <w:pPr>
        <w:pStyle w:val="Heading2"/>
      </w:pPr>
      <w:bookmarkStart w:id="12" w:name="_Toc224428899"/>
      <w:r>
        <w:t>Earned Value Management</w:t>
      </w:r>
      <w:bookmarkEnd w:id="12"/>
    </w:p>
    <w:p w14:paraId="302C4F99" w14:textId="77777777" w:rsidR="00150BA5" w:rsidRDefault="00524C13" w:rsidP="00EF7CC0">
      <w:r>
        <w:t>EVM forces us to look at cost, schedule, and scope performance through one single lens. Planned progress is compared against the physical work finished (at baseline cost) and the actual money burned to finish it (De Marco and Narbaev, 2013). The entire system relies on three numbers:</w:t>
      </w:r>
    </w:p>
    <w:p w14:paraId="2EF662BF" w14:textId="24DC56A1" w:rsidR="00150BA5" w:rsidRDefault="00524C13" w:rsidP="00AB5335">
      <w:pPr>
        <w:pStyle w:val="ListParagraph"/>
        <w:numPr>
          <w:ilvl w:val="0"/>
          <w:numId w:val="11"/>
        </w:numPr>
      </w:pPr>
      <w:r w:rsidRPr="00AB5335">
        <w:rPr>
          <w:b/>
        </w:rPr>
        <w:t>Planned Value (PV)</w:t>
      </w:r>
      <w:r>
        <w:t>: the exact authorised budget for scheduled work at any given moment</w:t>
      </w:r>
    </w:p>
    <w:p w14:paraId="3D36FBC6" w14:textId="2FF497AD" w:rsidR="00150BA5" w:rsidRDefault="00524C13" w:rsidP="00AB5335">
      <w:pPr>
        <w:pStyle w:val="ListParagraph"/>
        <w:numPr>
          <w:ilvl w:val="0"/>
          <w:numId w:val="11"/>
        </w:numPr>
      </w:pPr>
      <w:r w:rsidRPr="00AB5335">
        <w:rPr>
          <w:b/>
        </w:rPr>
        <w:t>Earned Value (EV)</w:t>
      </w:r>
      <w:r>
        <w:t>: the baseline budget value for the physical work we actually completed</w:t>
      </w:r>
    </w:p>
    <w:p w14:paraId="0165B23A" w14:textId="4ECB33DC" w:rsidR="00150BA5" w:rsidRDefault="00524C13" w:rsidP="00AB5335">
      <w:pPr>
        <w:pStyle w:val="ListParagraph"/>
        <w:numPr>
          <w:ilvl w:val="0"/>
          <w:numId w:val="11"/>
        </w:numPr>
      </w:pPr>
      <w:r w:rsidRPr="00AB5335">
        <w:rPr>
          <w:b/>
        </w:rPr>
        <w:t>Actual Cost (AC)</w:t>
      </w:r>
      <w:r>
        <w:t>: the hard cash we actually spent on that completed work</w:t>
      </w:r>
    </w:p>
    <w:p w14:paraId="3572FFA3" w14:textId="77777777" w:rsidR="00150BA5" w:rsidRDefault="00524C13" w:rsidP="00EF7CC0">
      <w:r>
        <w:t xml:space="preserve">These feed into two performance indices: the </w:t>
      </w:r>
      <w:r>
        <w:rPr>
          <w:b/>
        </w:rPr>
        <w:t>Cost Performance Index (CPI = EV/AC)</w:t>
      </w:r>
      <w:r>
        <w:t xml:space="preserve"> and the </w:t>
      </w:r>
      <w:r>
        <w:rPr>
          <w:b/>
        </w:rPr>
        <w:t>Schedule Performance Index (SPI = EV/PV)</w:t>
      </w:r>
      <w:r>
        <w:t>. For Coastal Tide, hard escalation lines are established. A CPI dipping below 0.90 triggers an immediate work-package corrective review; an SPI below 0.85 requires a formal schedule recovery plan sent straight to the board.</w:t>
      </w:r>
    </w:p>
    <w:p w14:paraId="17C5DC45" w14:textId="7A6F1441" w:rsidR="00150BA5" w:rsidRPr="00280E74" w:rsidRDefault="00280E74" w:rsidP="00280E74">
      <w:pPr>
        <w:pStyle w:val="Caption"/>
        <w:rPr>
          <w:i/>
          <w:iCs/>
          <w:sz w:val="24"/>
          <w:szCs w:val="24"/>
        </w:rPr>
      </w:pPr>
      <w:bookmarkStart w:id="13" w:name="_Toc224428850"/>
      <w:r w:rsidRPr="00280E74">
        <w:rPr>
          <w:sz w:val="24"/>
          <w:szCs w:val="24"/>
        </w:rPr>
        <w:t xml:space="preserve">Table </w:t>
      </w:r>
      <w:r w:rsidRPr="00280E74">
        <w:rPr>
          <w:sz w:val="24"/>
          <w:szCs w:val="24"/>
        </w:rPr>
        <w:fldChar w:fldCharType="begin"/>
      </w:r>
      <w:r w:rsidRPr="00280E74">
        <w:rPr>
          <w:sz w:val="24"/>
          <w:szCs w:val="24"/>
        </w:rPr>
        <w:instrText xml:space="preserve"> SEQ Table \* ARABIC </w:instrText>
      </w:r>
      <w:r w:rsidRPr="00280E74">
        <w:rPr>
          <w:sz w:val="24"/>
          <w:szCs w:val="24"/>
        </w:rPr>
        <w:fldChar w:fldCharType="separate"/>
      </w:r>
      <w:r>
        <w:rPr>
          <w:noProof/>
          <w:sz w:val="24"/>
          <w:szCs w:val="24"/>
        </w:rPr>
        <w:t>4</w:t>
      </w:r>
      <w:r w:rsidRPr="00280E74">
        <w:rPr>
          <w:sz w:val="24"/>
          <w:szCs w:val="24"/>
        </w:rPr>
        <w:fldChar w:fldCharType="end"/>
      </w:r>
      <w:r w:rsidRPr="00280E74">
        <w:rPr>
          <w:sz w:val="24"/>
          <w:szCs w:val="24"/>
        </w:rPr>
        <w:t xml:space="preserve"> EVM Baseline Metrics — Coastal Tide Offshore Wind Farm (Year 1 Construction Snapshot at Month 12)</w:t>
      </w:r>
      <w:bookmarkEnd w:id="13"/>
    </w:p>
    <w:p w14:paraId="2C56617A" w14:textId="1AE34459" w:rsidR="00C5576F" w:rsidRPr="00AB5335" w:rsidRDefault="00C5576F" w:rsidP="00C5576F">
      <w:r w:rsidRPr="00C5576F">
        <w:rPr>
          <w:noProof/>
        </w:rPr>
        <w:lastRenderedPageBreak/>
        <w:drawing>
          <wp:inline distT="0" distB="0" distL="0" distR="0" wp14:anchorId="1BC1D197" wp14:editId="4D343A70">
            <wp:extent cx="5731510" cy="1911985"/>
            <wp:effectExtent l="0" t="0" r="0" b="5715"/>
            <wp:docPr id="2047701351" name="Picture 1" descr="A table with numbers and wor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7701351" name="Picture 1" descr="A table with numbers and words&#10;&#10;AI-generated content may be incorrect."/>
                    <pic:cNvPicPr/>
                  </pic:nvPicPr>
                  <pic:blipFill>
                    <a:blip r:embed="rId12"/>
                    <a:stretch>
                      <a:fillRect/>
                    </a:stretch>
                  </pic:blipFill>
                  <pic:spPr>
                    <a:xfrm>
                      <a:off x="0" y="0"/>
                      <a:ext cx="5731510" cy="1911985"/>
                    </a:xfrm>
                    <a:prstGeom prst="rect">
                      <a:avLst/>
                    </a:prstGeom>
                  </pic:spPr>
                </pic:pic>
              </a:graphicData>
            </a:graphic>
          </wp:inline>
        </w:drawing>
      </w:r>
    </w:p>
    <w:p w14:paraId="5134149B" w14:textId="013113D4" w:rsidR="00C5576F" w:rsidRDefault="00C5576F" w:rsidP="00EF7CC0">
      <w:r w:rsidRPr="00C5576F">
        <w:rPr>
          <w:noProof/>
        </w:rPr>
        <w:drawing>
          <wp:inline distT="0" distB="0" distL="0" distR="0" wp14:anchorId="52D264E3" wp14:editId="48617E21">
            <wp:extent cx="5731510" cy="1064260"/>
            <wp:effectExtent l="0" t="0" r="0" b="2540"/>
            <wp:docPr id="564668153" name="Picture 1" descr="A white grid with black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4668153" name="Picture 1" descr="A white grid with black numbers&#10;&#10;AI-generated content may be incorrect."/>
                    <pic:cNvPicPr/>
                  </pic:nvPicPr>
                  <pic:blipFill>
                    <a:blip r:embed="rId13"/>
                    <a:stretch>
                      <a:fillRect/>
                    </a:stretch>
                  </pic:blipFill>
                  <pic:spPr>
                    <a:xfrm>
                      <a:off x="0" y="0"/>
                      <a:ext cx="5731510" cy="1064260"/>
                    </a:xfrm>
                    <a:prstGeom prst="rect">
                      <a:avLst/>
                    </a:prstGeom>
                  </pic:spPr>
                </pic:pic>
              </a:graphicData>
            </a:graphic>
          </wp:inline>
        </w:drawing>
      </w:r>
    </w:p>
    <w:p w14:paraId="03D2B25F" w14:textId="67B2CB74" w:rsidR="00150BA5" w:rsidRDefault="00524C13" w:rsidP="00EF7CC0">
      <w:r>
        <w:t>Looking at the Month 12 snapshot, the aggregate CPI sits at 0.97. This maintains the baseline for now, but Turbine Procurement and Foundation Installation are both drifting dangerously close to that 0.90 red line. The Turbine Procurement package requires immediate intervention to pull the EPC contractor back to the table to renegotiate delivery schedules.</w:t>
      </w:r>
    </w:p>
    <w:p w14:paraId="4511A082" w14:textId="77777777" w:rsidR="00150BA5" w:rsidRDefault="00524C13" w:rsidP="00EF7CC0">
      <w:r>
        <w:rPr>
          <w:noProof/>
        </w:rPr>
        <w:drawing>
          <wp:inline distT="0" distB="0" distL="0" distR="0" wp14:anchorId="45798ED4" wp14:editId="63694530">
            <wp:extent cx="5040000" cy="3002607"/>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_3.png"/>
                    <pic:cNvPicPr/>
                  </pic:nvPicPr>
                  <pic:blipFill>
                    <a:blip r:embed="rId14"/>
                    <a:stretch>
                      <a:fillRect/>
                    </a:stretch>
                  </pic:blipFill>
                  <pic:spPr>
                    <a:xfrm>
                      <a:off x="0" y="0"/>
                      <a:ext cx="5040000" cy="3002607"/>
                    </a:xfrm>
                    <a:prstGeom prst="rect">
                      <a:avLst/>
                    </a:prstGeom>
                  </pic:spPr>
                </pic:pic>
              </a:graphicData>
            </a:graphic>
          </wp:inline>
        </w:drawing>
      </w:r>
    </w:p>
    <w:p w14:paraId="50476554" w14:textId="391E4723" w:rsidR="00150BA5" w:rsidRPr="00DD388B" w:rsidRDefault="00280E74" w:rsidP="00280E74">
      <w:pPr>
        <w:pStyle w:val="Caption"/>
        <w:jc w:val="center"/>
        <w:rPr>
          <w:i/>
          <w:iCs/>
          <w:sz w:val="24"/>
          <w:szCs w:val="24"/>
        </w:rPr>
      </w:pPr>
      <w:r w:rsidRPr="00DD388B">
        <w:t>Figure 3 EVM S-Curve - Planned Value, Earned Value and Actual Cost, Coastal Tide Wind Farm Construction Phase</w:t>
      </w:r>
    </w:p>
    <w:p w14:paraId="5E073A01" w14:textId="77777777" w:rsidR="00150BA5" w:rsidRDefault="00524C13" w:rsidP="00EF7CC0">
      <w:r w:rsidRPr="00DD388B">
        <w:t xml:space="preserve">While highly regarded (De Marco and Narbaev, 2013; PMI, 2021), EVM has one weakness: CPI metrics in the first 20% of a project's life are unreliable for forecasting </w:t>
      </w:r>
      <w:r w:rsidRPr="00DD388B">
        <w:lastRenderedPageBreak/>
        <w:t>(Anbari, 2003). For Coastal Tide, that early noise is countered with weekly site audits and fixed-price EPC caps.</w:t>
      </w:r>
    </w:p>
    <w:p w14:paraId="5649272E" w14:textId="77777777" w:rsidR="00150BA5" w:rsidRDefault="00524C13" w:rsidP="00AB5335">
      <w:pPr>
        <w:pStyle w:val="Heading2"/>
      </w:pPr>
      <w:bookmarkStart w:id="14" w:name="_Toc224428900"/>
      <w:r>
        <w:t>Contingency Budgeting</w:t>
      </w:r>
      <w:bookmarkEnd w:id="14"/>
    </w:p>
    <w:p w14:paraId="4F71025A" w14:textId="77777777" w:rsidR="00150BA5" w:rsidRDefault="00524C13" w:rsidP="00EF7CC0">
      <w:r>
        <w:t>Contingency isn't a slush fund; it has to be structured exactly as Turner (2014) specifies for capital projects:</w:t>
      </w:r>
    </w:p>
    <w:p w14:paraId="3D740D17" w14:textId="757238AF" w:rsidR="00150BA5" w:rsidRPr="00DD388B" w:rsidRDefault="00524C13" w:rsidP="00DD388B">
      <w:pPr>
        <w:pStyle w:val="ListParagraph"/>
        <w:numPr>
          <w:ilvl w:val="0"/>
          <w:numId w:val="20"/>
        </w:numPr>
      </w:pPr>
      <w:r w:rsidRPr="00DD388B">
        <w:rPr>
          <w:b/>
          <w:bCs/>
        </w:rPr>
        <w:t>Contingency Reserve:</w:t>
      </w:r>
      <w:r w:rsidRPr="00DD388B">
        <w:t xml:space="preserve"> £5.0M (10% of capex) covers known risks - mainly offshore weather, turbine logistics and seabed foundation issues. Use requires a formal change request approved by the Project Director.</w:t>
      </w:r>
    </w:p>
    <w:p w14:paraId="2826EF64" w14:textId="3E6A60B9" w:rsidR="00150BA5" w:rsidRPr="00DD388B" w:rsidRDefault="00524C13" w:rsidP="00DD388B">
      <w:pPr>
        <w:pStyle w:val="ListParagraph"/>
        <w:numPr>
          <w:ilvl w:val="0"/>
          <w:numId w:val="20"/>
        </w:numPr>
      </w:pPr>
      <w:r w:rsidRPr="00DD388B">
        <w:rPr>
          <w:b/>
          <w:bCs/>
        </w:rPr>
        <w:t>Management Reserve:</w:t>
      </w:r>
      <w:r w:rsidRPr="00DD388B">
        <w:t xml:space="preserve"> £2.5M (5% of capex) covers unknown unknowns and requires sign-off from both the CFO and lead lender representative.</w:t>
      </w:r>
    </w:p>
    <w:p w14:paraId="78BAA677" w14:textId="77777777" w:rsidR="00150BA5" w:rsidRDefault="00524C13" w:rsidP="00EF7CC0">
      <w:r w:rsidRPr="00DD388B">
        <w:t>Industry benchmarks for North Sea fixed-bottom wind run near 8-12%; our 10% provision stays on the conservative side to protect lender covenant compliance.</w:t>
      </w:r>
    </w:p>
    <w:p w14:paraId="2B912CF3" w14:textId="77777777" w:rsidR="00150BA5" w:rsidRDefault="00524C13" w:rsidP="00AB5335">
      <w:pPr>
        <w:pStyle w:val="Heading2"/>
      </w:pPr>
      <w:bookmarkStart w:id="15" w:name="_Toc224428901"/>
      <w:r>
        <w:t>Risk Mitigation Strategies</w:t>
      </w:r>
      <w:bookmarkEnd w:id="15"/>
    </w:p>
    <w:p w14:paraId="7B763A92" w14:textId="63C59A95" w:rsidR="00150BA5" w:rsidRDefault="00524C13" w:rsidP="00EF7CC0">
      <w:r>
        <w:t>Three specific financial risks dominate our register:</w:t>
      </w:r>
    </w:p>
    <w:p w14:paraId="01B1DA25" w14:textId="7AA9B166" w:rsidR="00150BA5" w:rsidRDefault="00524C13" w:rsidP="00AB5335">
      <w:pPr>
        <w:pStyle w:val="ListParagraph"/>
        <w:numPr>
          <w:ilvl w:val="0"/>
          <w:numId w:val="16"/>
        </w:numPr>
      </w:pPr>
      <w:r w:rsidRPr="00AB5335">
        <w:rPr>
          <w:b/>
        </w:rPr>
        <w:t>Offshore weather delays</w:t>
      </w:r>
      <w:r>
        <w:t xml:space="preserve"> (High Probability, Medium Impact): We handle this by strictly scheduling a construction weather window, building delay tolerances straight into the EPC contract terms, and purchasing targeted Delay Insurance.</w:t>
      </w:r>
    </w:p>
    <w:p w14:paraId="1F0A6E86" w14:textId="784045C3" w:rsidR="00150BA5" w:rsidRDefault="00524C13" w:rsidP="00AB5335">
      <w:pPr>
        <w:pStyle w:val="ListParagraph"/>
        <w:numPr>
          <w:ilvl w:val="0"/>
          <w:numId w:val="16"/>
        </w:numPr>
      </w:pPr>
      <w:r w:rsidRPr="00AB5335">
        <w:rPr>
          <w:b/>
        </w:rPr>
        <w:t>Supply chain cost inflation</w:t>
      </w:r>
      <w:r>
        <w:t xml:space="preserve"> (Medium Probability, High Impact): Fixed-price EPC contracting locks the supply and installation costs. We're hedging currency exposure on all EU-sourced turbine components immediately and signing early procurement lines to beat inflation curves.</w:t>
      </w:r>
    </w:p>
    <w:p w14:paraId="6E3EBD2E" w14:textId="1526281F" w:rsidR="00150BA5" w:rsidRDefault="00524C13" w:rsidP="00AB5335">
      <w:pPr>
        <w:pStyle w:val="ListParagraph"/>
        <w:numPr>
          <w:ilvl w:val="0"/>
          <w:numId w:val="16"/>
        </w:numPr>
      </w:pPr>
      <w:r w:rsidRPr="00AB5335">
        <w:rPr>
          <w:b/>
        </w:rPr>
        <w:t>Regulatory approval delays</w:t>
      </w:r>
      <w:r>
        <w:t xml:space="preserve"> (Low Probability, High Impact): The Marine Management Organisation and National Grid teams have been engaged from day one, with milestone gates blocking specific payouts if approvals lag.</w:t>
      </w:r>
    </w:p>
    <w:p w14:paraId="7E93D39A" w14:textId="353989C6" w:rsidR="00AB5335" w:rsidRPr="00DD388B" w:rsidRDefault="00524C13" w:rsidP="00DD388B">
      <w:r w:rsidRPr="00DD388B">
        <w:t>EVM tracks the baseline, formal change control blocks unpriced scope shifts, contingency protects the balance sheet, and risk mitigation stops problems before they hit the ledger. It's the only way we keep the lenders feeling safe during a 36-month offshore build.</w:t>
      </w:r>
    </w:p>
    <w:p w14:paraId="49327A00" w14:textId="312F4C6E" w:rsidR="00150BA5" w:rsidRDefault="00524C13" w:rsidP="00EF7CC0">
      <w:pPr>
        <w:pStyle w:val="Heading1"/>
      </w:pPr>
      <w:bookmarkStart w:id="16" w:name="_Toc224428902"/>
      <w:r>
        <w:lastRenderedPageBreak/>
        <w:t>Section D: Project Financial Reporting</w:t>
      </w:r>
      <w:bookmarkEnd w:id="16"/>
    </w:p>
    <w:p w14:paraId="307F1C41" w14:textId="77777777" w:rsidR="00150BA5" w:rsidRDefault="00524C13" w:rsidP="00EF7CC0">
      <w:r w:rsidRPr="00DD388B">
        <w:t>Financial reporting forms the core governance mechanism letting lenders and the NorthernEdge board oversee financial performance (Meredith, Mantel and Shafer, 2020). Inadequate reporting is a direct financial risk. For a UK SPV, the reporting pack also has to support Companies House filings plus marine-licence and environmental compliance returns tied to project consent.</w:t>
      </w:r>
    </w:p>
    <w:p w14:paraId="176BC3AE" w14:textId="77777777" w:rsidR="00150BA5" w:rsidRDefault="00524C13" w:rsidP="00AB5335">
      <w:pPr>
        <w:pStyle w:val="Heading2"/>
      </w:pPr>
      <w:bookmarkStart w:id="17" w:name="_Toc224428903"/>
      <w:r>
        <w:t>Report Types and Frequency</w:t>
      </w:r>
      <w:bookmarkEnd w:id="17"/>
    </w:p>
    <w:p w14:paraId="1C3EAA6D" w14:textId="77777777" w:rsidR="00150BA5" w:rsidRDefault="00524C13" w:rsidP="00EF7CC0">
      <w:r>
        <w:t>The fundamental framework clearly separates operational monitoring reports (which are frequent and built for the project team) from higher-level governance reports (which go to the board and lenders):</w:t>
      </w:r>
    </w:p>
    <w:p w14:paraId="2B1CE4A0" w14:textId="5E8959AD" w:rsidR="00150BA5" w:rsidRPr="00280E74" w:rsidRDefault="00280E74" w:rsidP="00280E74">
      <w:pPr>
        <w:pStyle w:val="Caption"/>
        <w:rPr>
          <w:sz w:val="24"/>
          <w:szCs w:val="24"/>
        </w:rPr>
      </w:pPr>
      <w:bookmarkStart w:id="18" w:name="_Toc224428851"/>
      <w:r w:rsidRPr="00280E74">
        <w:rPr>
          <w:sz w:val="24"/>
          <w:szCs w:val="24"/>
        </w:rPr>
        <w:t xml:space="preserve">Table </w:t>
      </w:r>
      <w:r w:rsidRPr="00280E74">
        <w:rPr>
          <w:sz w:val="24"/>
          <w:szCs w:val="24"/>
        </w:rPr>
        <w:fldChar w:fldCharType="begin"/>
      </w:r>
      <w:r w:rsidRPr="00280E74">
        <w:rPr>
          <w:sz w:val="24"/>
          <w:szCs w:val="24"/>
        </w:rPr>
        <w:instrText xml:space="preserve"> SEQ Table \* ARABIC </w:instrText>
      </w:r>
      <w:r w:rsidRPr="00280E74">
        <w:rPr>
          <w:sz w:val="24"/>
          <w:szCs w:val="24"/>
        </w:rPr>
        <w:fldChar w:fldCharType="separate"/>
      </w:r>
      <w:r w:rsidRPr="00280E74">
        <w:rPr>
          <w:noProof/>
          <w:sz w:val="24"/>
          <w:szCs w:val="24"/>
        </w:rPr>
        <w:t>5</w:t>
      </w:r>
      <w:r w:rsidRPr="00280E74">
        <w:rPr>
          <w:sz w:val="24"/>
          <w:szCs w:val="24"/>
        </w:rPr>
        <w:fldChar w:fldCharType="end"/>
      </w:r>
      <w:r w:rsidRPr="00280E74">
        <w:rPr>
          <w:sz w:val="24"/>
          <w:szCs w:val="24"/>
        </w:rPr>
        <w:t xml:space="preserve"> Financial Reporting Framework — Coastal Tide Offshore Wind Farm</w:t>
      </w:r>
      <w:bookmarkEnd w:id="18"/>
    </w:p>
    <w:p w14:paraId="3938E9A4" w14:textId="3AEC67A4" w:rsidR="00AB5335" w:rsidRDefault="00AB5335" w:rsidP="00EF7CC0">
      <w:r w:rsidRPr="00AB5335">
        <w:rPr>
          <w:noProof/>
        </w:rPr>
        <w:drawing>
          <wp:inline distT="0" distB="0" distL="0" distR="0" wp14:anchorId="1A50E3F5" wp14:editId="6A6123A7">
            <wp:extent cx="5731510" cy="4713605"/>
            <wp:effectExtent l="0" t="0" r="0" b="0"/>
            <wp:docPr id="6852470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5247005" name=""/>
                    <pic:cNvPicPr/>
                  </pic:nvPicPr>
                  <pic:blipFill>
                    <a:blip r:embed="rId15"/>
                    <a:stretch>
                      <a:fillRect/>
                    </a:stretch>
                  </pic:blipFill>
                  <pic:spPr>
                    <a:xfrm>
                      <a:off x="0" y="0"/>
                      <a:ext cx="5731510" cy="4713605"/>
                    </a:xfrm>
                    <a:prstGeom prst="rect">
                      <a:avLst/>
                    </a:prstGeom>
                  </pic:spPr>
                </pic:pic>
              </a:graphicData>
            </a:graphic>
          </wp:inline>
        </w:drawing>
      </w:r>
    </w:p>
    <w:p w14:paraId="0F3BD35C" w14:textId="77777777" w:rsidR="00150BA5" w:rsidRDefault="00524C13" w:rsidP="00AB5335">
      <w:pPr>
        <w:pStyle w:val="Heading2"/>
      </w:pPr>
      <w:bookmarkStart w:id="19" w:name="_Toc224428904"/>
      <w:r>
        <w:lastRenderedPageBreak/>
        <w:t>KPIs and Governance Structure</w:t>
      </w:r>
      <w:bookmarkEnd w:id="19"/>
    </w:p>
    <w:p w14:paraId="05281C8F" w14:textId="77777777" w:rsidR="00150BA5" w:rsidRDefault="00524C13" w:rsidP="00EF7CC0">
      <w:r>
        <w:t>To keep everyone focused on what actually matters, these six KPIs are getting hardwired into the Monthly EVM Dashboard and the Quarterly Lender Report:</w:t>
      </w:r>
    </w:p>
    <w:p w14:paraId="6EDC4CE6" w14:textId="6FB58E3F" w:rsidR="00150BA5" w:rsidRDefault="00524C13" w:rsidP="00AB5335">
      <w:pPr>
        <w:pStyle w:val="ListParagraph"/>
        <w:numPr>
          <w:ilvl w:val="0"/>
          <w:numId w:val="11"/>
        </w:numPr>
      </w:pPr>
      <w:r w:rsidRPr="00AB5335">
        <w:rPr>
          <w:b/>
        </w:rPr>
        <w:t>Cost Performance Index (CPI)</w:t>
      </w:r>
      <w:r>
        <w:t>: the primary, real-time cost control metric (escalation threshold triggers if CPI &lt; 0.90)</w:t>
      </w:r>
    </w:p>
    <w:p w14:paraId="147F012E" w14:textId="21DDDBC1" w:rsidR="00150BA5" w:rsidRDefault="00524C13" w:rsidP="00AB5335">
      <w:pPr>
        <w:pStyle w:val="ListParagraph"/>
        <w:numPr>
          <w:ilvl w:val="0"/>
          <w:numId w:val="11"/>
        </w:numPr>
      </w:pPr>
      <w:r w:rsidRPr="00AB5335">
        <w:rPr>
          <w:b/>
        </w:rPr>
        <w:t>Schedule Performance Index (SPI)</w:t>
      </w:r>
      <w:r>
        <w:t>: the timeline control (triggers if SPI &lt; 0.85)</w:t>
      </w:r>
    </w:p>
    <w:p w14:paraId="675CEB4B" w14:textId="20F96ADA" w:rsidR="00150BA5" w:rsidRDefault="00524C13" w:rsidP="00AB5335">
      <w:pPr>
        <w:pStyle w:val="ListParagraph"/>
        <w:numPr>
          <w:ilvl w:val="0"/>
          <w:numId w:val="11"/>
        </w:numPr>
      </w:pPr>
      <w:r w:rsidRPr="00AB5335">
        <w:rPr>
          <w:b/>
        </w:rPr>
        <w:t>Budget Variance</w:t>
      </w:r>
      <w:r>
        <w:t>: tracks total actual expenditure versus the approved budget (flagged if it deviates by &gt;5%)</w:t>
      </w:r>
    </w:p>
    <w:p w14:paraId="72BB952D" w14:textId="4836E95D" w:rsidR="00150BA5" w:rsidRDefault="00524C13" w:rsidP="00AB5335">
      <w:pPr>
        <w:pStyle w:val="ListParagraph"/>
        <w:numPr>
          <w:ilvl w:val="0"/>
          <w:numId w:val="11"/>
        </w:numPr>
      </w:pPr>
      <w:r w:rsidRPr="00AB5335">
        <w:rPr>
          <w:b/>
        </w:rPr>
        <w:t>Burn Rate</w:t>
      </w:r>
      <w:r>
        <w:t>: compares monthly actual spend against planned monthly spend, showing us if construction is artificially accelerating or dragging</w:t>
      </w:r>
    </w:p>
    <w:p w14:paraId="2156E5FF" w14:textId="24C31A14" w:rsidR="00150BA5" w:rsidRDefault="00524C13" w:rsidP="00AB5335">
      <w:pPr>
        <w:pStyle w:val="ListParagraph"/>
        <w:numPr>
          <w:ilvl w:val="0"/>
          <w:numId w:val="11"/>
        </w:numPr>
      </w:pPr>
      <w:r w:rsidRPr="00AB5335">
        <w:rPr>
          <w:b/>
        </w:rPr>
        <w:t>Cost at Completion (CAC)</w:t>
      </w:r>
      <w:r>
        <w:t>: the EVM-derived forecast predicting the final terrifying invoice</w:t>
      </w:r>
    </w:p>
    <w:p w14:paraId="1DC22ADA" w14:textId="3CE86D1A" w:rsidR="00150BA5" w:rsidRDefault="00524C13" w:rsidP="00AB5335">
      <w:pPr>
        <w:pStyle w:val="ListParagraph"/>
        <w:numPr>
          <w:ilvl w:val="0"/>
          <w:numId w:val="11"/>
        </w:numPr>
      </w:pPr>
      <w:r w:rsidRPr="00AB5335">
        <w:rPr>
          <w:b/>
        </w:rPr>
        <w:t>Contingency Drawdown Rate</w:t>
      </w:r>
      <w:r>
        <w:t>: exactly what percentage of our contingency reserve has been burned; any drawdown exceeding 50% before we hit 50% physical completion triggers an immediate lender escalation</w:t>
      </w:r>
    </w:p>
    <w:p w14:paraId="3CF29E0D" w14:textId="77777777" w:rsidR="00150BA5" w:rsidRDefault="00524C13" w:rsidP="00EF7CC0">
      <w:r w:rsidRPr="00DD388B">
        <w:t>The Project Financial Committee (PFC) runs the governance side, meeting monthly with the Project Director, Financial Analyst, Senior Lender Representative and Independent Engineer. Flow is simple: site cost data -&gt; monthly dashboard -&gt; PFC -&gt; CFO/Board -&gt; lenders and regulators. Any variance above 5% of the total approved budget, or any CPI below 0.90, triggers written escalation to the CFO within 48 hours.</w:t>
      </w:r>
    </w:p>
    <w:p w14:paraId="42A61CAF" w14:textId="77777777" w:rsidR="00150BA5" w:rsidRDefault="00524C13" w:rsidP="00AB5335">
      <w:pPr>
        <w:pStyle w:val="Heading2"/>
      </w:pPr>
      <w:bookmarkStart w:id="20" w:name="_Toc224428905"/>
      <w:r>
        <w:t>Software Tools</w:t>
      </w:r>
      <w:bookmarkEnd w:id="20"/>
    </w:p>
    <w:p w14:paraId="79A735BF" w14:textId="77777777" w:rsidR="00150BA5" w:rsidRDefault="00524C13" w:rsidP="00EF7CC0">
      <w:r>
        <w:t>Managing a structure like this requires an ecosystem of three integrated tools:</w:t>
      </w:r>
    </w:p>
    <w:p w14:paraId="1EC5C7DD" w14:textId="74BF9A7F" w:rsidR="00150BA5" w:rsidRDefault="00524C13" w:rsidP="00AB5335">
      <w:pPr>
        <w:pStyle w:val="ListParagraph"/>
        <w:numPr>
          <w:ilvl w:val="0"/>
          <w:numId w:val="11"/>
        </w:numPr>
      </w:pPr>
      <w:r w:rsidRPr="00AB5335">
        <w:rPr>
          <w:b/>
        </w:rPr>
        <w:t>Primavera P6</w:t>
      </w:r>
      <w:r>
        <w:t>: This is the industry-standard scheduling software. It provides the heavy-duty schedule baseline that our EVM metrics actually pull from. More importantly, it is what UK offshore wind developers use, so lenders accept it without argument as the definitive scheduling reference.</w:t>
      </w:r>
    </w:p>
    <w:p w14:paraId="24913D48" w14:textId="55055E56" w:rsidR="00150BA5" w:rsidRDefault="00524C13" w:rsidP="00AB5335">
      <w:pPr>
        <w:pStyle w:val="ListParagraph"/>
        <w:numPr>
          <w:ilvl w:val="0"/>
          <w:numId w:val="11"/>
        </w:numPr>
      </w:pPr>
      <w:r w:rsidRPr="00AB5335">
        <w:rPr>
          <w:b/>
        </w:rPr>
        <w:t>Oracle Fusion Project Management</w:t>
      </w:r>
      <w:r>
        <w:t xml:space="preserve">: This runs the financial consolidation and contract tracking. We integrate it directly with Primavera P6 to automate </w:t>
      </w:r>
      <w:r>
        <w:lastRenderedPageBreak/>
        <w:t>the EVM metric calculations and feed the underlying data layer for all our financial reports.</w:t>
      </w:r>
    </w:p>
    <w:p w14:paraId="72E8BE62" w14:textId="64B8CD28" w:rsidR="00150BA5" w:rsidRDefault="00524C13" w:rsidP="00AB5335">
      <w:pPr>
        <w:pStyle w:val="ListParagraph"/>
        <w:numPr>
          <w:ilvl w:val="0"/>
          <w:numId w:val="11"/>
        </w:numPr>
      </w:pPr>
      <w:r w:rsidRPr="00AB5335">
        <w:rPr>
          <w:b/>
        </w:rPr>
        <w:t>Microsoft Power BI</w:t>
      </w:r>
      <w:r>
        <w:t>: Our dashboard visualisation tool. We need this for board-level reporting because it takes the raw EVM outputs and auto-generates the charts and traffic-light indicators that non-financial board members can actually parse in real-time.</w:t>
      </w:r>
    </w:p>
    <w:p w14:paraId="65DC9D86" w14:textId="77777777" w:rsidR="00150BA5" w:rsidRDefault="00524C13" w:rsidP="00EF7CC0">
      <w:r>
        <w:t>Hooking Primavera P6 for scheduling to Oracle Fusion for cash flow, then pushing it into Power BI for board dashboards isn't reinventing the wheel — it is established practice in major UK offshore infrastructure right now. It is what gives NorthernEdge's lenders total confidence that our financial information is both structurally sound and updated in real-time.</w:t>
      </w:r>
    </w:p>
    <w:p w14:paraId="1108DB4C" w14:textId="77777777" w:rsidR="00AB5335" w:rsidRDefault="00AB5335">
      <w:pPr>
        <w:spacing w:after="200" w:line="276" w:lineRule="auto"/>
        <w:jc w:val="left"/>
        <w:rPr>
          <w:rFonts w:asciiTheme="majorHAnsi" w:eastAsiaTheme="majorEastAsia" w:hAnsiTheme="majorHAnsi" w:cstheme="majorBidi"/>
          <w:b/>
          <w:bCs/>
          <w:color w:val="000000"/>
          <w:sz w:val="32"/>
          <w:szCs w:val="28"/>
        </w:rPr>
      </w:pPr>
      <w:r>
        <w:br w:type="page"/>
      </w:r>
    </w:p>
    <w:p w14:paraId="5B941B7C" w14:textId="1695EF45" w:rsidR="00150BA5" w:rsidRDefault="00524C13" w:rsidP="00EF7CC0">
      <w:pPr>
        <w:pStyle w:val="Heading1"/>
      </w:pPr>
      <w:bookmarkStart w:id="21" w:name="_Toc224428906"/>
      <w:r>
        <w:lastRenderedPageBreak/>
        <w:t>Conclusion and Investment Recommendation</w:t>
      </w:r>
      <w:bookmarkEnd w:id="21"/>
    </w:p>
    <w:p w14:paraId="5BEF3CE9" w14:textId="77777777" w:rsidR="00150BA5" w:rsidRDefault="00524C13" w:rsidP="00EF7CC0">
      <w:r>
        <w:t>The Coastal Tide Offshore Wind Farm looks like a structurally sound capital investment tailored to NorthernEdge Energy's capabilities. Throughout this report, the goal hasn't simply been proving paper profitability. We had to prove total bankability and rigid financial control across an extremely unforgiving infrastructure environment.</w:t>
      </w:r>
    </w:p>
    <w:p w14:paraId="0400A0D2" w14:textId="77777777" w:rsidR="00150BA5" w:rsidRDefault="00524C13" w:rsidP="00EF7CC0">
      <w:r>
        <w:t>Looking strictly at the capital investment appraisal from Section B, the numbers easily support project sanction. Pulling a base-case NPV of +£3.9M and an IRR of 9.4% creates a very comfortable value proposition that clears the 8.5% WACC hurdle rate. Even when we ran the stress tests, the project held together — dragging the NPV to -£6.6M under the worst-case scenario. Staring down a negative survival margin under stress highlights just how deeply exposed the project is to sudden macroeconomic shifts or broken supply chains.</w:t>
      </w:r>
    </w:p>
    <w:p w14:paraId="27265A87" w14:textId="77777777" w:rsidR="00150BA5" w:rsidRDefault="00524C13" w:rsidP="00EF7CC0">
      <w:r>
        <w:t>That appraisal only holds up if we lock down the £50M capital structure set out in Section A. This whole development only works because of the revenue certainty guaranteed by the UK government's Contracts for Difference (CfD) mechanism; without it, our 60% senior debt tranche would get slaughtered by wholesale power volatility. Assuming we get built out, refinancing 25% of the cost via green bonds lets us tap the "greenium" to slash our blended cost of capital. We just have to ensure NorthernEdge can negotiate the right credit enhancements to bypass the obvious SPV rating limitations.</w:t>
      </w:r>
    </w:p>
    <w:p w14:paraId="056BB667" w14:textId="77777777" w:rsidR="00150BA5" w:rsidRDefault="00524C13" w:rsidP="00EF7CC0">
      <w:r>
        <w:t>Ultimately though, theoretical value on a spreadsheet is meaningless without brutal execution. Sections C and D make it clear that the £3.9M NPV will only materialise if the 36-month construction phase is heavily monitored. We are forcing Earned Value Management (EVM) alongside a tightly locked two-tier contingency reserve to physically block the kind of incremental cost creep that usually destroys offshore budgets. Our governance dashboard ensures any significant variance triggers immediate intervention long before it becomes an unrecoverable breach.</w:t>
      </w:r>
    </w:p>
    <w:p w14:paraId="10413A3A" w14:textId="77777777" w:rsidR="00150BA5" w:rsidRDefault="00524C13" w:rsidP="00EF7CC0">
      <w:r>
        <w:t xml:space="preserve">It is strongly recommended the Board approves the £50M capital expenditure request for the Coastal Tide project. By marrying hybrid financing to harsh empirical </w:t>
      </w:r>
      <w:r>
        <w:lastRenderedPageBreak/>
        <w:t>appraisal, and locking it down with integrated cost controls, an interlocking foundation has been established that makes delivery highly probable.</w:t>
      </w:r>
    </w:p>
    <w:p w14:paraId="56CEB54A" w14:textId="77777777" w:rsidR="00AB5335" w:rsidRDefault="00AB5335">
      <w:pPr>
        <w:spacing w:after="200" w:line="276" w:lineRule="auto"/>
        <w:jc w:val="left"/>
        <w:rPr>
          <w:rFonts w:asciiTheme="majorHAnsi" w:eastAsiaTheme="majorEastAsia" w:hAnsiTheme="majorHAnsi" w:cstheme="majorBidi"/>
          <w:b/>
          <w:bCs/>
          <w:color w:val="000000"/>
          <w:sz w:val="32"/>
          <w:szCs w:val="28"/>
        </w:rPr>
      </w:pPr>
      <w:r>
        <w:br w:type="page"/>
      </w:r>
    </w:p>
    <w:p w14:paraId="31638E60" w14:textId="1BD1B30D" w:rsidR="00150BA5" w:rsidRDefault="00524C13" w:rsidP="00EF7CC0">
      <w:pPr>
        <w:pStyle w:val="Heading1"/>
      </w:pPr>
      <w:bookmarkStart w:id="22" w:name="_Toc224428907"/>
      <w:r>
        <w:lastRenderedPageBreak/>
        <w:t>References</w:t>
      </w:r>
      <w:bookmarkEnd w:id="22"/>
    </w:p>
    <w:p w14:paraId="5359C168" w14:textId="77777777" w:rsidR="00150BA5" w:rsidRDefault="00524C13" w:rsidP="00EF7CC0">
      <w:r>
        <w:t xml:space="preserve">Anbari, F.T., 2003. </w:t>
      </w:r>
      <w:r>
        <w:rPr>
          <w:i/>
        </w:rPr>
        <w:t>Earned Value Project Management</w:t>
      </w:r>
      <w:r>
        <w:t xml:space="preserve"> Method and Extensions. _Project Management Journal_, 34(4), pp. 12–23.</w:t>
      </w:r>
    </w:p>
    <w:p w14:paraId="355D8607" w14:textId="77777777" w:rsidR="00150BA5" w:rsidRDefault="00524C13" w:rsidP="00EF7CC0">
      <w:r>
        <w:t>Baker, H.K. and English, P. (eds.), 2011. _Capital Budgeting Valuation: Financial Analysis for Today's Investment Projects_. Hoboken: John Wiley &amp; Sons.</w:t>
      </w:r>
    </w:p>
    <w:p w14:paraId="5FEB8CD0" w14:textId="77777777" w:rsidR="00150BA5" w:rsidRDefault="00524C13" w:rsidP="00EF7CC0">
      <w:r>
        <w:t>Brealey, R.A., Myers, S.C. and Allen, F., 2020. _</w:t>
      </w:r>
      <w:r>
        <w:rPr>
          <w:i/>
        </w:rPr>
        <w:t>Principles of Corporate Finance</w:t>
      </w:r>
      <w:r>
        <w:t>_. 13th ed. New York: McGraw-Hill Education.</w:t>
      </w:r>
    </w:p>
    <w:p w14:paraId="6A85F255" w14:textId="77777777" w:rsidR="00150BA5" w:rsidRDefault="00524C13" w:rsidP="00EF7CC0">
      <w:r>
        <w:t>Climate Bonds Initiative, 2024. _Sustainable Debt — Global State of the Market 2023_. London: Climate Bonds Initiative. Available at: &lt;https://www.climatebonds.net/resources/reports/sustainable-debt-global-state-market-2023&gt;.</w:t>
      </w:r>
    </w:p>
    <w:p w14:paraId="2FAEA0DD" w14:textId="77777777" w:rsidR="00150BA5" w:rsidRDefault="00524C13" w:rsidP="00EF7CC0">
      <w:r>
        <w:t>De Marco, A. and Narbaev, T., 2013. Earned value-based performance monitoring of facility construction projects. _Journal of Facilities Management_, 11(1), pp. 69–80.</w:t>
      </w:r>
    </w:p>
    <w:p w14:paraId="595E0D09" w14:textId="77777777" w:rsidR="00150BA5" w:rsidRDefault="00524C13" w:rsidP="00EF7CC0">
      <w:r>
        <w:t>Department for Energy Security and Net Zero (DESNZ), 2024. _Contracts for Difference (CfD) Allocation Round 6 Results_. Available at: &lt;https://www.gov.uk/government/publications/contracts-for-difference-cfd-allocation-round-6-results&gt;.</w:t>
      </w:r>
    </w:p>
    <w:p w14:paraId="0826E871" w14:textId="77777777" w:rsidR="00150BA5" w:rsidRDefault="00524C13" w:rsidP="00EF7CC0">
      <w:r>
        <w:t>Flammer, C., 2021. Corporate green bonds. _Journal of Financial Economics_, 142(2), pp. 499–516.</w:t>
      </w:r>
    </w:p>
    <w:p w14:paraId="57AFE62E" w14:textId="77777777" w:rsidR="00150BA5" w:rsidRDefault="00524C13" w:rsidP="00EF7CC0">
      <w:r>
        <w:t>Fleming, Q.W. and Koppelman, J.M., 2010. _</w:t>
      </w:r>
      <w:r>
        <w:rPr>
          <w:i/>
        </w:rPr>
        <w:t>Earned Value Project Management</w:t>
      </w:r>
      <w:r>
        <w:t>_. 4th ed. Newtown Square: Project Management Institute.</w:t>
      </w:r>
    </w:p>
    <w:p w14:paraId="121E5638" w14:textId="77777777" w:rsidR="00150BA5" w:rsidRDefault="00524C13" w:rsidP="00EF7CC0">
      <w:r>
        <w:t>Graham, J.R. and Harvey, C.R., 2001. The theory and practice of corporate finance: Evidence from the field. _Journal of Financial Economics_, 60(2-3), pp. 187–243.</w:t>
      </w:r>
    </w:p>
    <w:p w14:paraId="30DE5E36" w14:textId="77777777" w:rsidR="00150BA5" w:rsidRDefault="00524C13" w:rsidP="00EF7CC0">
      <w:r>
        <w:t>Löffler, K.U., Petreski, A. and Stephan, A., 2021. Drivers of green bond issuance and new evidence on the 'greenium'. _Eurasian Economic Review_, 11(1), pp. 1–24.</w:t>
      </w:r>
    </w:p>
    <w:p w14:paraId="5DD11C7A" w14:textId="77777777" w:rsidR="00150BA5" w:rsidRDefault="00524C13" w:rsidP="00EF7CC0">
      <w:r>
        <w:t>Maltais, A. and Nykvist, B., 2020. Understanding the role of green bonds in advancing sustainability. _Journal of Sustainable Finance &amp; Investment_, pp. 1–18.</w:t>
      </w:r>
    </w:p>
    <w:p w14:paraId="3A3E4C83" w14:textId="77777777" w:rsidR="00150BA5" w:rsidRDefault="00524C13" w:rsidP="00EF7CC0">
      <w:r>
        <w:t>Meredith, J.R., Mantel, S.J. and Shafer, S.M., 2020. _Project Management: A Managerial Approach_. 10th ed. Hoboken: John Wiley &amp; Sons.</w:t>
      </w:r>
    </w:p>
    <w:p w14:paraId="030A0F6A" w14:textId="77777777" w:rsidR="00150BA5" w:rsidRDefault="00524C13" w:rsidP="00EF7CC0">
      <w:r>
        <w:lastRenderedPageBreak/>
        <w:t>Project Management Institute (PMI), 2021. _A Guide to the Project Management Body of Knowledge (PMBOK Guide)_. 7th ed. Newtown Square: PMI.</w:t>
      </w:r>
    </w:p>
    <w:p w14:paraId="33FE1679" w14:textId="77777777" w:rsidR="00150BA5" w:rsidRDefault="00524C13" w:rsidP="00EF7CC0">
      <w:r>
        <w:t>Ross, S.A., Westerfield, R.W. and Jordan, B.D., 2019. _Corporate Finance_. 12th ed. New York: McGraw-Hill Education.</w:t>
      </w:r>
    </w:p>
    <w:p w14:paraId="35B0E5F1" w14:textId="77777777" w:rsidR="00150BA5" w:rsidRDefault="00524C13" w:rsidP="00EF7CC0">
      <w:r>
        <w:t>Turner, J.R., 2014. _Handbook of Project-Based Management: Leading Strategic Change in Organizations_. 4th ed. New York: McGraw-Hill Education.</w:t>
      </w:r>
    </w:p>
    <w:p w14:paraId="5E72320E" w14:textId="77777777" w:rsidR="00150BA5" w:rsidRDefault="00524C13" w:rsidP="00EF7CC0">
      <w:r>
        <w:t>UK Parliament, 2023. _Offshore Wind — Contracts for Difference_. House of Commons Library Research Briefing. Available at: &lt;https://commonslibrary.parliament.uk/research-briefings/cbp-9705/&gt;.</w:t>
      </w:r>
    </w:p>
    <w:p w14:paraId="5DF72551" w14:textId="77777777" w:rsidR="00150BA5" w:rsidRDefault="00524C13" w:rsidP="00EF7CC0">
      <w:r>
        <w:t>Weber, B., Staub-Bisang, M. and Alfen, H.W., 2016. _Infrastructure as an Asset Class: Investment Strategy, Sustainability, Project Finance and PPP_. 2nd ed. Chichester: John Wiley &amp; Sons.</w:t>
      </w:r>
    </w:p>
    <w:sectPr w:rsidR="00150BA5" w:rsidSect="00034616">
      <w:footerReference w:type="even" r:id="rId16"/>
      <w:footerReference w:type="default" r:id="rId17"/>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37AF8F" w14:textId="77777777" w:rsidR="00A01459" w:rsidRDefault="00A01459" w:rsidP="00EF7CC0">
      <w:r>
        <w:separator/>
      </w:r>
    </w:p>
  </w:endnote>
  <w:endnote w:type="continuationSeparator" w:id="0">
    <w:p w14:paraId="70A4851E" w14:textId="77777777" w:rsidR="00A01459" w:rsidRDefault="00A01459" w:rsidP="00EF7CC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modern"/>
    <w:pitch w:val="fixed"/>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42146610"/>
      <w:docPartObj>
        <w:docPartGallery w:val="Page Numbers (Bottom of Page)"/>
        <w:docPartUnique/>
      </w:docPartObj>
    </w:sdtPr>
    <w:sdtEndPr>
      <w:rPr>
        <w:rStyle w:val="PageNumber"/>
      </w:rPr>
    </w:sdtEndPr>
    <w:sdtContent>
      <w:p w14:paraId="20735A7D" w14:textId="6EAB9FB0" w:rsidR="00280E74" w:rsidRDefault="00280E74" w:rsidP="00BC69A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sidR="00A01459">
          <w:rPr>
            <w:rStyle w:val="PageNumber"/>
          </w:rPr>
          <w:fldChar w:fldCharType="separate"/>
        </w:r>
        <w:r>
          <w:rPr>
            <w:rStyle w:val="PageNumber"/>
          </w:rPr>
          <w:fldChar w:fldCharType="end"/>
        </w:r>
      </w:p>
    </w:sdtContent>
  </w:sdt>
  <w:p w14:paraId="05015DAD" w14:textId="77777777" w:rsidR="00280E74" w:rsidRDefault="00280E74" w:rsidP="00280E7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82986488"/>
      <w:docPartObj>
        <w:docPartGallery w:val="Page Numbers (Bottom of Page)"/>
        <w:docPartUnique/>
      </w:docPartObj>
    </w:sdtPr>
    <w:sdtEndPr>
      <w:rPr>
        <w:rStyle w:val="PageNumber"/>
      </w:rPr>
    </w:sdtEndPr>
    <w:sdtContent>
      <w:p w14:paraId="46BE22C5" w14:textId="04BCA088" w:rsidR="00280E74" w:rsidRDefault="00280E74" w:rsidP="00BC69A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7</w:t>
        </w:r>
        <w:r>
          <w:rPr>
            <w:rStyle w:val="PageNumber"/>
          </w:rPr>
          <w:fldChar w:fldCharType="end"/>
        </w:r>
      </w:p>
    </w:sdtContent>
  </w:sdt>
  <w:p w14:paraId="50B7A500" w14:textId="53DFAB5E" w:rsidR="00150BA5" w:rsidRDefault="00150BA5" w:rsidP="00280E7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C0D026" w14:textId="77777777" w:rsidR="00A01459" w:rsidRDefault="00A01459" w:rsidP="00EF7CC0">
      <w:r>
        <w:separator/>
      </w:r>
    </w:p>
  </w:footnote>
  <w:footnote w:type="continuationSeparator" w:id="0">
    <w:p w14:paraId="6D548525" w14:textId="77777777" w:rsidR="00A01459" w:rsidRDefault="00A01459" w:rsidP="00EF7CC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1A944FAB"/>
    <w:multiLevelType w:val="hybridMultilevel"/>
    <w:tmpl w:val="39F603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1C1B7E15"/>
    <w:multiLevelType w:val="hybridMultilevel"/>
    <w:tmpl w:val="9E5A8D3A"/>
    <w:lvl w:ilvl="0" w:tplc="5F940A66">
      <w:numFmt w:val="bullet"/>
      <w:lvlText w:val="-"/>
      <w:lvlJc w:val="left"/>
      <w:pPr>
        <w:ind w:left="720" w:hanging="360"/>
      </w:pPr>
      <w:rPr>
        <w:rFonts w:ascii="Arial" w:eastAsiaTheme="minorEastAsia" w:hAnsi="Arial" w:cs="Aria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24A20EEA"/>
    <w:multiLevelType w:val="hybridMultilevel"/>
    <w:tmpl w:val="BE3ED3E4"/>
    <w:lvl w:ilvl="0" w:tplc="5F940A66">
      <w:numFmt w:val="bullet"/>
      <w:lvlText w:val="-"/>
      <w:lvlJc w:val="left"/>
      <w:pPr>
        <w:ind w:left="720" w:hanging="360"/>
      </w:pPr>
      <w:rPr>
        <w:rFonts w:ascii="Arial" w:eastAsiaTheme="minorEastAsia" w:hAnsi="Arial" w:cs="Aria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30EB5D93"/>
    <w:multiLevelType w:val="hybridMultilevel"/>
    <w:tmpl w:val="3E88581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35FC43A0"/>
    <w:multiLevelType w:val="hybridMultilevel"/>
    <w:tmpl w:val="2FFC65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4E880F50"/>
    <w:multiLevelType w:val="hybridMultilevel"/>
    <w:tmpl w:val="AE78BCAC"/>
    <w:lvl w:ilvl="0" w:tplc="5F940A66">
      <w:numFmt w:val="bullet"/>
      <w:lvlText w:val="-"/>
      <w:lvlJc w:val="left"/>
      <w:pPr>
        <w:ind w:left="720" w:hanging="360"/>
      </w:pPr>
      <w:rPr>
        <w:rFonts w:ascii="Arial" w:eastAsiaTheme="minorEastAsia" w:hAnsi="Arial" w:cs="Arial" w:hint="default"/>
      </w:rPr>
    </w:lvl>
    <w:lvl w:ilvl="1" w:tplc="FFFFFFFF" w:tentative="1">
      <w:start w:val="1"/>
      <w:numFmt w:val="bullet"/>
      <w:lvlText w:val="o"/>
      <w:lvlJc w:val="left"/>
      <w:pPr>
        <w:ind w:left="1440" w:hanging="360"/>
      </w:pPr>
      <w:rPr>
        <w:rFonts w:ascii="Courier New" w:hAnsi="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5" w15:restartNumberingAfterBreak="0">
    <w:nsid w:val="54BD1D6B"/>
    <w:multiLevelType w:val="hybridMultilevel"/>
    <w:tmpl w:val="C986D348"/>
    <w:lvl w:ilvl="0" w:tplc="5F940A66">
      <w:numFmt w:val="bullet"/>
      <w:lvlText w:val="-"/>
      <w:lvlJc w:val="left"/>
      <w:pPr>
        <w:ind w:left="720" w:hanging="360"/>
      </w:pPr>
      <w:rPr>
        <w:rFonts w:ascii="Arial" w:eastAsiaTheme="minorEastAsia" w:hAnsi="Arial" w:cs="Aria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6" w15:restartNumberingAfterBreak="0">
    <w:nsid w:val="697C01C0"/>
    <w:multiLevelType w:val="hybridMultilevel"/>
    <w:tmpl w:val="C0562CE6"/>
    <w:lvl w:ilvl="0" w:tplc="5F940A66">
      <w:numFmt w:val="bullet"/>
      <w:lvlText w:val="-"/>
      <w:lvlJc w:val="left"/>
      <w:pPr>
        <w:ind w:left="720" w:hanging="360"/>
      </w:pPr>
      <w:rPr>
        <w:rFonts w:ascii="Arial" w:eastAsiaTheme="minorEastAsia" w:hAnsi="Arial" w:cs="Aria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720E5464"/>
    <w:multiLevelType w:val="hybridMultilevel"/>
    <w:tmpl w:val="6F5A51D2"/>
    <w:lvl w:ilvl="0" w:tplc="5F940A66">
      <w:numFmt w:val="bullet"/>
      <w:lvlText w:val="-"/>
      <w:lvlJc w:val="left"/>
      <w:pPr>
        <w:ind w:left="720" w:hanging="360"/>
      </w:pPr>
      <w:rPr>
        <w:rFonts w:ascii="Arial" w:eastAsiaTheme="minorEastAsia" w:hAnsi="Arial" w:cs="Aria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798A7D65"/>
    <w:multiLevelType w:val="hybridMultilevel"/>
    <w:tmpl w:val="CF80DB44"/>
    <w:lvl w:ilvl="0" w:tplc="5F940A66">
      <w:numFmt w:val="bullet"/>
      <w:lvlText w:val="-"/>
      <w:lvlJc w:val="left"/>
      <w:pPr>
        <w:ind w:left="720" w:hanging="360"/>
      </w:pPr>
      <w:rPr>
        <w:rFonts w:ascii="Arial" w:eastAsiaTheme="minorEastAsia" w:hAnsi="Arial" w:cs="Aria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7B386D35"/>
    <w:multiLevelType w:val="hybridMultilevel"/>
    <w:tmpl w:val="AAA6477C"/>
    <w:lvl w:ilvl="0" w:tplc="5F940A66">
      <w:numFmt w:val="bullet"/>
      <w:lvlText w:val="-"/>
      <w:lvlJc w:val="left"/>
      <w:pPr>
        <w:ind w:left="720" w:hanging="360"/>
      </w:pPr>
      <w:rPr>
        <w:rFonts w:ascii="Arial" w:eastAsiaTheme="minorEastAsia" w:hAnsi="Arial" w:cs="Aria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8"/>
  </w:num>
  <w:num w:numId="2">
    <w:abstractNumId w:val="6"/>
  </w:num>
  <w:num w:numId="3">
    <w:abstractNumId w:val="5"/>
  </w:num>
  <w:num w:numId="4">
    <w:abstractNumId w:val="4"/>
  </w:num>
  <w:num w:numId="5">
    <w:abstractNumId w:val="7"/>
  </w:num>
  <w:num w:numId="6">
    <w:abstractNumId w:val="3"/>
  </w:num>
  <w:num w:numId="7">
    <w:abstractNumId w:val="2"/>
  </w:num>
  <w:num w:numId="8">
    <w:abstractNumId w:val="1"/>
  </w:num>
  <w:num w:numId="9">
    <w:abstractNumId w:val="0"/>
  </w:num>
  <w:num w:numId="10">
    <w:abstractNumId w:val="13"/>
  </w:num>
  <w:num w:numId="11">
    <w:abstractNumId w:val="10"/>
  </w:num>
  <w:num w:numId="12">
    <w:abstractNumId w:val="17"/>
  </w:num>
  <w:num w:numId="13">
    <w:abstractNumId w:val="18"/>
  </w:num>
  <w:num w:numId="14">
    <w:abstractNumId w:val="16"/>
  </w:num>
  <w:num w:numId="15">
    <w:abstractNumId w:val="12"/>
  </w:num>
  <w:num w:numId="16">
    <w:abstractNumId w:val="15"/>
  </w:num>
  <w:num w:numId="17">
    <w:abstractNumId w:val="11"/>
  </w:num>
  <w:num w:numId="18">
    <w:abstractNumId w:val="19"/>
  </w:num>
  <w:num w:numId="19">
    <w:abstractNumId w:val="9"/>
  </w:num>
  <w:num w:numId="20">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0A3975"/>
    <w:rsid w:val="0015074B"/>
    <w:rsid w:val="00150BA5"/>
    <w:rsid w:val="00280E74"/>
    <w:rsid w:val="0029639D"/>
    <w:rsid w:val="00326F90"/>
    <w:rsid w:val="00343A34"/>
    <w:rsid w:val="003A4FCC"/>
    <w:rsid w:val="00524C13"/>
    <w:rsid w:val="0063467A"/>
    <w:rsid w:val="00A01459"/>
    <w:rsid w:val="00AA1D8D"/>
    <w:rsid w:val="00AB5335"/>
    <w:rsid w:val="00B27366"/>
    <w:rsid w:val="00B47730"/>
    <w:rsid w:val="00C05E0D"/>
    <w:rsid w:val="00C5576F"/>
    <w:rsid w:val="00C827AB"/>
    <w:rsid w:val="00CB0664"/>
    <w:rsid w:val="00DD388B"/>
    <w:rsid w:val="00EF7CC0"/>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F87CFDD"/>
  <w14:defaultImageDpi w14:val="300"/>
  <w15:docId w15:val="{C9E1672D-5884-A44F-92E8-84F37CDDF5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F7CC0"/>
    <w:pPr>
      <w:spacing w:after="120" w:line="360" w:lineRule="auto"/>
      <w:jc w:val="both"/>
    </w:pPr>
    <w:rPr>
      <w:rFonts w:ascii="Arial" w:hAnsi="Arial"/>
      <w:sz w:val="24"/>
    </w:rPr>
  </w:style>
  <w:style w:type="paragraph" w:styleId="Heading1">
    <w:name w:val="heading 1"/>
    <w:basedOn w:val="Normal"/>
    <w:next w:val="Normal"/>
    <w:link w:val="Heading1Char"/>
    <w:uiPriority w:val="9"/>
    <w:qFormat/>
    <w:rsid w:val="00FC693F"/>
    <w:pPr>
      <w:keepNext/>
      <w:keepLines/>
      <w:spacing w:before="360" w:after="200"/>
      <w:outlineLvl w:val="0"/>
    </w:pPr>
    <w:rPr>
      <w:rFonts w:asciiTheme="majorHAnsi" w:eastAsiaTheme="majorEastAsia" w:hAnsiTheme="majorHAnsi" w:cstheme="majorBidi"/>
      <w:b/>
      <w:bCs/>
      <w:color w:val="000000"/>
      <w:sz w:val="32"/>
      <w:szCs w:val="28"/>
    </w:rPr>
  </w:style>
  <w:style w:type="paragraph" w:styleId="Heading2">
    <w:name w:val="heading 2"/>
    <w:basedOn w:val="Normal"/>
    <w:next w:val="Normal"/>
    <w:link w:val="Heading2Char"/>
    <w:uiPriority w:val="9"/>
    <w:unhideWhenUsed/>
    <w:qFormat/>
    <w:rsid w:val="00FC693F"/>
    <w:pPr>
      <w:keepNext/>
      <w:keepLines/>
      <w:spacing w:before="280" w:after="160"/>
      <w:outlineLvl w:val="1"/>
    </w:pPr>
    <w:rPr>
      <w:rFonts w:asciiTheme="majorHAnsi" w:eastAsiaTheme="majorEastAsia" w:hAnsiTheme="majorHAnsi" w:cstheme="majorBidi"/>
      <w:b/>
      <w:bCs/>
      <w:color w:val="000000"/>
      <w:sz w:val="28"/>
      <w:szCs w:val="26"/>
    </w:rPr>
  </w:style>
  <w:style w:type="paragraph" w:styleId="Heading3">
    <w:name w:val="heading 3"/>
    <w:basedOn w:val="Normal"/>
    <w:next w:val="Normal"/>
    <w:link w:val="Heading3Char"/>
    <w:uiPriority w:val="9"/>
    <w:unhideWhenUsed/>
    <w:qFormat/>
    <w:rsid w:val="00FC693F"/>
    <w:pPr>
      <w:keepNext/>
      <w:keepLines/>
      <w:spacing w:before="240"/>
      <w:outlineLvl w:val="2"/>
    </w:pPr>
    <w:rPr>
      <w:rFonts w:asciiTheme="majorHAnsi" w:eastAsiaTheme="majorEastAsia" w:hAnsiTheme="majorHAnsi" w:cstheme="majorBidi"/>
      <w:b/>
      <w:bCs/>
      <w:color w:val="000000"/>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GridTable1Light-Accent1">
    <w:name w:val="Grid Table 1 Light Accent 1"/>
    <w:basedOn w:val="TableNormal"/>
    <w:uiPriority w:val="46"/>
    <w:rsid w:val="00AB5335"/>
    <w:pPr>
      <w:spacing w:after="0" w:line="240" w:lineRule="auto"/>
    </w:pPr>
    <w:tblPr>
      <w:tblStyleRowBandSize w:val="1"/>
      <w:tblStyleColBandSize w:val="1"/>
      <w:tblBorders>
        <w:top w:val="single" w:sz="4" w:space="0" w:color="B8CCE4" w:themeColor="accent1" w:themeTint="66"/>
        <w:left w:val="single" w:sz="4" w:space="0" w:color="B8CCE4" w:themeColor="accent1" w:themeTint="66"/>
        <w:bottom w:val="single" w:sz="4" w:space="0" w:color="B8CCE4" w:themeColor="accent1" w:themeTint="66"/>
        <w:right w:val="single" w:sz="4" w:space="0" w:color="B8CCE4" w:themeColor="accent1" w:themeTint="66"/>
        <w:insideH w:val="single" w:sz="4" w:space="0" w:color="B8CCE4" w:themeColor="accent1" w:themeTint="66"/>
        <w:insideV w:val="single" w:sz="4" w:space="0" w:color="B8CCE4" w:themeColor="accent1" w:themeTint="66"/>
      </w:tblBorders>
    </w:tblPr>
    <w:tblStylePr w:type="firstRow">
      <w:rPr>
        <w:b/>
        <w:bCs/>
      </w:rPr>
      <w:tblPr/>
      <w:tcPr>
        <w:tcBorders>
          <w:bottom w:val="single" w:sz="12" w:space="0" w:color="95B3D7" w:themeColor="accent1" w:themeTint="99"/>
        </w:tcBorders>
      </w:tcPr>
    </w:tblStylePr>
    <w:tblStylePr w:type="lastRow">
      <w:rPr>
        <w:b/>
        <w:bCs/>
      </w:rPr>
      <w:tblPr/>
      <w:tcPr>
        <w:tcBorders>
          <w:top w:val="double" w:sz="2" w:space="0" w:color="95B3D7" w:themeColor="accent1" w:themeTint="99"/>
        </w:tcBorders>
      </w:tcPr>
    </w:tblStylePr>
    <w:tblStylePr w:type="firstCol">
      <w:rPr>
        <w:b/>
        <w:bCs/>
      </w:rPr>
    </w:tblStylePr>
    <w:tblStylePr w:type="lastCol">
      <w:rPr>
        <w:b/>
        <w:bCs/>
      </w:rPr>
    </w:tblStylePr>
  </w:style>
  <w:style w:type="paragraph" w:styleId="TOC1">
    <w:name w:val="toc 1"/>
    <w:basedOn w:val="Normal"/>
    <w:next w:val="Normal"/>
    <w:autoRedefine/>
    <w:uiPriority w:val="39"/>
    <w:unhideWhenUsed/>
    <w:rsid w:val="00C5576F"/>
    <w:pPr>
      <w:spacing w:before="120" w:after="0"/>
      <w:jc w:val="left"/>
    </w:pPr>
    <w:rPr>
      <w:rFonts w:asciiTheme="minorHAnsi" w:hAnsiTheme="minorHAnsi" w:cs="Times New Roman"/>
      <w:b/>
      <w:bCs/>
      <w:i/>
      <w:iCs/>
      <w:szCs w:val="28"/>
    </w:rPr>
  </w:style>
  <w:style w:type="paragraph" w:styleId="TOC2">
    <w:name w:val="toc 2"/>
    <w:basedOn w:val="Normal"/>
    <w:next w:val="Normal"/>
    <w:autoRedefine/>
    <w:uiPriority w:val="39"/>
    <w:unhideWhenUsed/>
    <w:rsid w:val="00C5576F"/>
    <w:pPr>
      <w:spacing w:before="120" w:after="0"/>
      <w:ind w:left="240"/>
      <w:jc w:val="left"/>
    </w:pPr>
    <w:rPr>
      <w:rFonts w:asciiTheme="minorHAnsi" w:hAnsiTheme="minorHAnsi" w:cs="Times New Roman"/>
      <w:b/>
      <w:bCs/>
      <w:sz w:val="22"/>
      <w:szCs w:val="26"/>
    </w:rPr>
  </w:style>
  <w:style w:type="character" w:styleId="Hyperlink">
    <w:name w:val="Hyperlink"/>
    <w:basedOn w:val="DefaultParagraphFont"/>
    <w:uiPriority w:val="99"/>
    <w:unhideWhenUsed/>
    <w:rsid w:val="00C5576F"/>
    <w:rPr>
      <w:color w:val="0000FF" w:themeColor="hyperlink"/>
      <w:u w:val="single"/>
    </w:rPr>
  </w:style>
  <w:style w:type="paragraph" w:styleId="TOC3">
    <w:name w:val="toc 3"/>
    <w:basedOn w:val="Normal"/>
    <w:next w:val="Normal"/>
    <w:autoRedefine/>
    <w:uiPriority w:val="39"/>
    <w:semiHidden/>
    <w:unhideWhenUsed/>
    <w:rsid w:val="00C5576F"/>
    <w:pPr>
      <w:spacing w:after="0"/>
      <w:ind w:left="480"/>
      <w:jc w:val="left"/>
    </w:pPr>
    <w:rPr>
      <w:rFonts w:asciiTheme="minorHAnsi" w:hAnsiTheme="minorHAnsi" w:cs="Times New Roman"/>
      <w:sz w:val="20"/>
      <w:szCs w:val="24"/>
    </w:rPr>
  </w:style>
  <w:style w:type="paragraph" w:styleId="TOC4">
    <w:name w:val="toc 4"/>
    <w:basedOn w:val="Normal"/>
    <w:next w:val="Normal"/>
    <w:autoRedefine/>
    <w:uiPriority w:val="39"/>
    <w:semiHidden/>
    <w:unhideWhenUsed/>
    <w:rsid w:val="00C5576F"/>
    <w:pPr>
      <w:spacing w:after="0"/>
      <w:ind w:left="720"/>
      <w:jc w:val="left"/>
    </w:pPr>
    <w:rPr>
      <w:rFonts w:asciiTheme="minorHAnsi" w:hAnsiTheme="minorHAnsi" w:cs="Times New Roman"/>
      <w:sz w:val="20"/>
      <w:szCs w:val="24"/>
    </w:rPr>
  </w:style>
  <w:style w:type="paragraph" w:styleId="TOC5">
    <w:name w:val="toc 5"/>
    <w:basedOn w:val="Normal"/>
    <w:next w:val="Normal"/>
    <w:autoRedefine/>
    <w:uiPriority w:val="39"/>
    <w:semiHidden/>
    <w:unhideWhenUsed/>
    <w:rsid w:val="00C5576F"/>
    <w:pPr>
      <w:spacing w:after="0"/>
      <w:ind w:left="960"/>
      <w:jc w:val="left"/>
    </w:pPr>
    <w:rPr>
      <w:rFonts w:asciiTheme="minorHAnsi" w:hAnsiTheme="minorHAnsi" w:cs="Times New Roman"/>
      <w:sz w:val="20"/>
      <w:szCs w:val="24"/>
    </w:rPr>
  </w:style>
  <w:style w:type="paragraph" w:styleId="TOC6">
    <w:name w:val="toc 6"/>
    <w:basedOn w:val="Normal"/>
    <w:next w:val="Normal"/>
    <w:autoRedefine/>
    <w:uiPriority w:val="39"/>
    <w:semiHidden/>
    <w:unhideWhenUsed/>
    <w:rsid w:val="00C5576F"/>
    <w:pPr>
      <w:spacing w:after="0"/>
      <w:ind w:left="1200"/>
      <w:jc w:val="left"/>
    </w:pPr>
    <w:rPr>
      <w:rFonts w:asciiTheme="minorHAnsi" w:hAnsiTheme="minorHAnsi" w:cs="Times New Roman"/>
      <w:sz w:val="20"/>
      <w:szCs w:val="24"/>
    </w:rPr>
  </w:style>
  <w:style w:type="paragraph" w:styleId="TOC7">
    <w:name w:val="toc 7"/>
    <w:basedOn w:val="Normal"/>
    <w:next w:val="Normal"/>
    <w:autoRedefine/>
    <w:uiPriority w:val="39"/>
    <w:semiHidden/>
    <w:unhideWhenUsed/>
    <w:rsid w:val="00C5576F"/>
    <w:pPr>
      <w:spacing w:after="0"/>
      <w:ind w:left="1440"/>
      <w:jc w:val="left"/>
    </w:pPr>
    <w:rPr>
      <w:rFonts w:asciiTheme="minorHAnsi" w:hAnsiTheme="minorHAnsi" w:cs="Times New Roman"/>
      <w:sz w:val="20"/>
      <w:szCs w:val="24"/>
    </w:rPr>
  </w:style>
  <w:style w:type="paragraph" w:styleId="TOC8">
    <w:name w:val="toc 8"/>
    <w:basedOn w:val="Normal"/>
    <w:next w:val="Normal"/>
    <w:autoRedefine/>
    <w:uiPriority w:val="39"/>
    <w:semiHidden/>
    <w:unhideWhenUsed/>
    <w:rsid w:val="00C5576F"/>
    <w:pPr>
      <w:spacing w:after="0"/>
      <w:ind w:left="1680"/>
      <w:jc w:val="left"/>
    </w:pPr>
    <w:rPr>
      <w:rFonts w:asciiTheme="minorHAnsi" w:hAnsiTheme="minorHAnsi" w:cs="Times New Roman"/>
      <w:sz w:val="20"/>
      <w:szCs w:val="24"/>
    </w:rPr>
  </w:style>
  <w:style w:type="paragraph" w:styleId="TOC9">
    <w:name w:val="toc 9"/>
    <w:basedOn w:val="Normal"/>
    <w:next w:val="Normal"/>
    <w:autoRedefine/>
    <w:uiPriority w:val="39"/>
    <w:semiHidden/>
    <w:unhideWhenUsed/>
    <w:rsid w:val="00C5576F"/>
    <w:pPr>
      <w:spacing w:after="0"/>
      <w:ind w:left="1920"/>
      <w:jc w:val="left"/>
    </w:pPr>
    <w:rPr>
      <w:rFonts w:asciiTheme="minorHAnsi" w:hAnsiTheme="minorHAnsi" w:cs="Times New Roman"/>
      <w:sz w:val="20"/>
      <w:szCs w:val="24"/>
    </w:rPr>
  </w:style>
  <w:style w:type="character" w:styleId="PageNumber">
    <w:name w:val="page number"/>
    <w:basedOn w:val="DefaultParagraphFont"/>
    <w:uiPriority w:val="99"/>
    <w:semiHidden/>
    <w:unhideWhenUsed/>
    <w:rsid w:val="00280E74"/>
  </w:style>
  <w:style w:type="paragraph" w:styleId="TableofFigures">
    <w:name w:val="table of figures"/>
    <w:basedOn w:val="Normal"/>
    <w:next w:val="Normal"/>
    <w:uiPriority w:val="99"/>
    <w:unhideWhenUsed/>
    <w:rsid w:val="00280E74"/>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22</Pages>
  <Words>3749</Words>
  <Characters>21375</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25074</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Jahid Ahmed</cp:lastModifiedBy>
  <cp:revision>2</cp:revision>
  <dcterms:created xsi:type="dcterms:W3CDTF">2026-03-17T02:56:00Z</dcterms:created>
  <dcterms:modified xsi:type="dcterms:W3CDTF">2026-03-17T14:27:00Z</dcterms:modified>
</cp:coreProperties>
</file>