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BC8E0" w14:textId="34962559" w:rsidR="005132E2" w:rsidRPr="00AE3A52" w:rsidRDefault="000A096B" w:rsidP="0090538D">
      <w:pPr>
        <w:spacing w:line="360" w:lineRule="auto"/>
        <w:rPr>
          <w:rFonts w:ascii="Arial" w:hAnsi="Arial" w:cs="Arial"/>
          <w:sz w:val="24"/>
          <w:szCs w:val="24"/>
        </w:rPr>
      </w:pPr>
      <w:r w:rsidRPr="00AE3A52">
        <w:rPr>
          <w:rFonts w:ascii="Arial" w:hAnsi="Arial" w:cs="Arial"/>
          <w:sz w:val="24"/>
          <w:szCs w:val="24"/>
        </w:rPr>
        <w:t xml:space="preserve">Cameron O’Sullivan </w:t>
      </w:r>
    </w:p>
    <w:p w14:paraId="2ECB2E5F" w14:textId="32F13F91" w:rsidR="000A096B" w:rsidRPr="00AE3A52" w:rsidRDefault="000A096B" w:rsidP="0090538D">
      <w:pPr>
        <w:spacing w:line="360" w:lineRule="auto"/>
        <w:rPr>
          <w:rFonts w:ascii="Arial" w:hAnsi="Arial" w:cs="Arial"/>
          <w:sz w:val="24"/>
          <w:szCs w:val="24"/>
        </w:rPr>
      </w:pPr>
      <w:r w:rsidRPr="00AE3A52">
        <w:rPr>
          <w:rFonts w:ascii="Arial" w:hAnsi="Arial" w:cs="Arial"/>
          <w:sz w:val="24"/>
          <w:szCs w:val="24"/>
        </w:rPr>
        <w:t xml:space="preserve">Student Number – 2124837 </w:t>
      </w:r>
    </w:p>
    <w:p w14:paraId="6D679D7F" w14:textId="77777777" w:rsidR="005132E2" w:rsidRPr="00AE3A52" w:rsidRDefault="005132E2" w:rsidP="0090538D">
      <w:pPr>
        <w:pStyle w:val="Default"/>
        <w:spacing w:line="360" w:lineRule="auto"/>
        <w:rPr>
          <w:color w:val="auto"/>
        </w:rPr>
      </w:pPr>
    </w:p>
    <w:p w14:paraId="03C08222" w14:textId="4B53EAE8" w:rsidR="000A096B" w:rsidRPr="00AE3A52" w:rsidRDefault="000A096B" w:rsidP="0090538D">
      <w:pPr>
        <w:pStyle w:val="Default"/>
        <w:spacing w:line="360" w:lineRule="auto"/>
        <w:rPr>
          <w:color w:val="auto"/>
        </w:rPr>
      </w:pPr>
      <w:r w:rsidRPr="00AE3A52">
        <w:rPr>
          <w:color w:val="auto"/>
        </w:rPr>
        <w:t xml:space="preserve">How have past instances of police malpractice and misconduct influenced modern professional policing? </w:t>
      </w:r>
    </w:p>
    <w:p w14:paraId="56839AFA" w14:textId="77777777" w:rsidR="00006F8F" w:rsidRPr="00AE3A52" w:rsidRDefault="00006F8F" w:rsidP="0090538D">
      <w:pPr>
        <w:pStyle w:val="Default"/>
        <w:tabs>
          <w:tab w:val="left" w:pos="2330"/>
        </w:tabs>
        <w:spacing w:line="360" w:lineRule="auto"/>
        <w:rPr>
          <w:color w:val="auto"/>
        </w:rPr>
      </w:pPr>
    </w:p>
    <w:p w14:paraId="236BAEC7" w14:textId="1AC695A3" w:rsidR="00006F8F" w:rsidRPr="00AE3A52" w:rsidRDefault="00C42CA4" w:rsidP="0090538D">
      <w:pPr>
        <w:pStyle w:val="Default"/>
        <w:tabs>
          <w:tab w:val="left" w:pos="2330"/>
        </w:tabs>
        <w:spacing w:line="360" w:lineRule="auto"/>
        <w:rPr>
          <w:color w:val="auto"/>
        </w:rPr>
      </w:pPr>
      <w:r w:rsidRPr="00AE3A52">
        <w:rPr>
          <w:color w:val="auto"/>
        </w:rPr>
        <w:t xml:space="preserve">In this essay I am going to talk how past instances of police malpractice and misconduct influenced modern professional policing. </w:t>
      </w:r>
    </w:p>
    <w:p w14:paraId="6A875168" w14:textId="04B80A31" w:rsidR="00D342BD" w:rsidRPr="00AE3A52" w:rsidRDefault="00F51A91" w:rsidP="0090538D">
      <w:pPr>
        <w:pStyle w:val="Default"/>
        <w:tabs>
          <w:tab w:val="left" w:pos="2330"/>
        </w:tabs>
        <w:spacing w:line="360" w:lineRule="auto"/>
        <w:rPr>
          <w:color w:val="auto"/>
        </w:rPr>
      </w:pPr>
      <w:r w:rsidRPr="00AE3A52">
        <w:rPr>
          <w:color w:val="auto"/>
        </w:rPr>
        <w:tab/>
      </w:r>
    </w:p>
    <w:p w14:paraId="7195A906" w14:textId="1A74E942" w:rsidR="00455CA5" w:rsidRPr="00AE3A52" w:rsidRDefault="002479BC" w:rsidP="0090538D">
      <w:pPr>
        <w:pStyle w:val="Default"/>
        <w:tabs>
          <w:tab w:val="left" w:pos="2330"/>
        </w:tabs>
        <w:spacing w:line="360" w:lineRule="auto"/>
        <w:rPr>
          <w:color w:val="auto"/>
        </w:rPr>
      </w:pPr>
      <w:r w:rsidRPr="00AE3A52">
        <w:rPr>
          <w:color w:val="auto"/>
        </w:rPr>
        <w:t>Legislation</w:t>
      </w:r>
      <w:r w:rsidR="00F51A91" w:rsidRPr="00AE3A52">
        <w:rPr>
          <w:color w:val="auto"/>
        </w:rPr>
        <w:t xml:space="preserve"> is </w:t>
      </w:r>
      <w:r w:rsidRPr="00AE3A52">
        <w:rPr>
          <w:color w:val="auto"/>
        </w:rPr>
        <w:t xml:space="preserve">usually </w:t>
      </w:r>
      <w:r w:rsidR="00F51A91" w:rsidRPr="00AE3A52">
        <w:rPr>
          <w:color w:val="auto"/>
        </w:rPr>
        <w:t xml:space="preserve">enacted </w:t>
      </w:r>
      <w:r w:rsidR="005C3469" w:rsidRPr="00AE3A52">
        <w:rPr>
          <w:color w:val="auto"/>
        </w:rPr>
        <w:t>in response to</w:t>
      </w:r>
      <w:r w:rsidR="00F51A91" w:rsidRPr="00AE3A52">
        <w:rPr>
          <w:color w:val="auto"/>
        </w:rPr>
        <w:t xml:space="preserve"> a problem</w:t>
      </w:r>
      <w:r w:rsidR="00CD12FC" w:rsidRPr="00AE3A52">
        <w:rPr>
          <w:color w:val="auto"/>
        </w:rPr>
        <w:t xml:space="preserve"> that has arisen </w:t>
      </w:r>
      <w:r w:rsidR="00597857" w:rsidRPr="00AE3A52">
        <w:rPr>
          <w:color w:val="auto"/>
        </w:rPr>
        <w:t>because</w:t>
      </w:r>
      <w:r w:rsidR="009A27B8" w:rsidRPr="00AE3A52">
        <w:rPr>
          <w:color w:val="auto"/>
        </w:rPr>
        <w:t xml:space="preserve"> existing legislation </w:t>
      </w:r>
      <w:r w:rsidR="006D2336" w:rsidRPr="00AE3A52">
        <w:rPr>
          <w:color w:val="auto"/>
        </w:rPr>
        <w:t xml:space="preserve">isn’t effective. A good example would be the </w:t>
      </w:r>
      <w:proofErr w:type="gramStart"/>
      <w:r w:rsidR="00E5200B" w:rsidRPr="00AE3A52">
        <w:rPr>
          <w:color w:val="auto"/>
        </w:rPr>
        <w:t xml:space="preserve">Football </w:t>
      </w:r>
      <w:r w:rsidR="004A3559" w:rsidRPr="00AE3A52">
        <w:rPr>
          <w:color w:val="auto"/>
        </w:rPr>
        <w:t xml:space="preserve"> (</w:t>
      </w:r>
      <w:proofErr w:type="gramEnd"/>
      <w:r w:rsidR="004A3559" w:rsidRPr="00AE3A52">
        <w:rPr>
          <w:color w:val="auto"/>
        </w:rPr>
        <w:t>Offences) Act 1991</w:t>
      </w:r>
      <w:r w:rsidR="005C26C6" w:rsidRPr="00AE3A52">
        <w:rPr>
          <w:color w:val="auto"/>
        </w:rPr>
        <w:t>,</w:t>
      </w:r>
      <w:r w:rsidR="004A3559" w:rsidRPr="00AE3A52">
        <w:rPr>
          <w:color w:val="auto"/>
        </w:rPr>
        <w:t xml:space="preserve"> whi</w:t>
      </w:r>
      <w:r w:rsidR="005B3FB8" w:rsidRPr="00AE3A52">
        <w:rPr>
          <w:color w:val="auto"/>
        </w:rPr>
        <w:t>ch</w:t>
      </w:r>
      <w:r w:rsidR="004A3559" w:rsidRPr="00AE3A52">
        <w:rPr>
          <w:color w:val="auto"/>
        </w:rPr>
        <w:t xml:space="preserve"> </w:t>
      </w:r>
      <w:r w:rsidR="00F51A91" w:rsidRPr="00AE3A52">
        <w:rPr>
          <w:color w:val="auto"/>
        </w:rPr>
        <w:t>was brought in after lo</w:t>
      </w:r>
      <w:r w:rsidR="001828B9" w:rsidRPr="00AE3A52">
        <w:rPr>
          <w:color w:val="auto"/>
        </w:rPr>
        <w:t>ts</w:t>
      </w:r>
      <w:r w:rsidR="00F51A91" w:rsidRPr="00AE3A52">
        <w:rPr>
          <w:color w:val="auto"/>
        </w:rPr>
        <w:t xml:space="preserve"> of fights </w:t>
      </w:r>
      <w:r w:rsidR="001B2896" w:rsidRPr="00AE3A52">
        <w:rPr>
          <w:color w:val="auto"/>
        </w:rPr>
        <w:t xml:space="preserve">and public disorder </w:t>
      </w:r>
      <w:r w:rsidR="00F51A91" w:rsidRPr="00AE3A52">
        <w:rPr>
          <w:color w:val="auto"/>
        </w:rPr>
        <w:t>between football hooligans</w:t>
      </w:r>
      <w:r w:rsidR="007E6184" w:rsidRPr="00AE3A52">
        <w:rPr>
          <w:color w:val="auto"/>
        </w:rPr>
        <w:t>, often drink fuelled</w:t>
      </w:r>
      <w:r w:rsidR="003F173A" w:rsidRPr="00AE3A52">
        <w:rPr>
          <w:color w:val="auto"/>
        </w:rPr>
        <w:t>. Equally</w:t>
      </w:r>
      <w:r w:rsidR="0058714E" w:rsidRPr="00AE3A52">
        <w:rPr>
          <w:color w:val="auto"/>
        </w:rPr>
        <w:t xml:space="preserve">, Acts of Parliament come in </w:t>
      </w:r>
      <w:r w:rsidR="00455CA5" w:rsidRPr="00AE3A52">
        <w:rPr>
          <w:color w:val="auto"/>
        </w:rPr>
        <w:t>to address</w:t>
      </w:r>
      <w:r w:rsidR="000D72F7" w:rsidRPr="00AE3A52">
        <w:rPr>
          <w:color w:val="auto"/>
        </w:rPr>
        <w:t xml:space="preserve"> </w:t>
      </w:r>
      <w:r w:rsidR="00C8791C" w:rsidRPr="00AE3A52">
        <w:rPr>
          <w:color w:val="auto"/>
        </w:rPr>
        <w:t xml:space="preserve">problems arising from </w:t>
      </w:r>
      <w:r w:rsidR="000D72F7" w:rsidRPr="00AE3A52">
        <w:rPr>
          <w:color w:val="auto"/>
        </w:rPr>
        <w:t>police malpractice</w:t>
      </w:r>
      <w:r w:rsidR="00455CA5" w:rsidRPr="00AE3A52">
        <w:rPr>
          <w:color w:val="auto"/>
        </w:rPr>
        <w:t xml:space="preserve"> and the below are a couple of examples.</w:t>
      </w:r>
    </w:p>
    <w:p w14:paraId="403FBB0B" w14:textId="77777777" w:rsidR="00455CA5" w:rsidRPr="00AE3A52" w:rsidRDefault="00455CA5" w:rsidP="0090538D">
      <w:pPr>
        <w:pStyle w:val="Default"/>
        <w:tabs>
          <w:tab w:val="left" w:pos="2330"/>
        </w:tabs>
        <w:spacing w:line="360" w:lineRule="auto"/>
        <w:rPr>
          <w:color w:val="auto"/>
        </w:rPr>
      </w:pPr>
    </w:p>
    <w:p w14:paraId="34916017" w14:textId="77777777" w:rsidR="00C40C8F" w:rsidRPr="00AE3A52" w:rsidRDefault="00C40C8F" w:rsidP="0090538D">
      <w:pPr>
        <w:pStyle w:val="Default"/>
        <w:tabs>
          <w:tab w:val="left" w:pos="2330"/>
        </w:tabs>
        <w:spacing w:line="360" w:lineRule="auto"/>
        <w:rPr>
          <w:color w:val="auto"/>
          <w:u w:val="single"/>
        </w:rPr>
      </w:pPr>
      <w:r w:rsidRPr="00AE3A52">
        <w:rPr>
          <w:color w:val="auto"/>
          <w:u w:val="single"/>
        </w:rPr>
        <w:t>Police and Criminal Evidence Act 1984</w:t>
      </w:r>
    </w:p>
    <w:p w14:paraId="48202C1F" w14:textId="77777777" w:rsidR="00C40C8F" w:rsidRPr="00AE3A52" w:rsidRDefault="00C40C8F" w:rsidP="0090538D">
      <w:pPr>
        <w:pStyle w:val="Default"/>
        <w:tabs>
          <w:tab w:val="left" w:pos="2330"/>
        </w:tabs>
        <w:spacing w:line="360" w:lineRule="auto"/>
        <w:rPr>
          <w:color w:val="auto"/>
        </w:rPr>
      </w:pPr>
    </w:p>
    <w:p w14:paraId="15496BF8" w14:textId="77777777" w:rsidR="00C40C8F" w:rsidRPr="00AE3A52" w:rsidRDefault="00C40C8F"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According to an article in the British Journal of forensic Practice (Vol 13 No 2 2011) concern about police methods of investigation and miscarriages of justice came into the spotlight following the murder of a young black man called Maxwell Confait in 1972 and the wrongful arrest and conviction of three youths. This led to the fisher enquiry (1977), followed by a Royal Commission on Criminal Procedures which in turn led to the Police and Criminal Evidence act (PACE) 1984 and the Prosecution of Offences Act (1985). </w:t>
      </w:r>
    </w:p>
    <w:p w14:paraId="3CBFC03E" w14:textId="77777777" w:rsidR="00C40C8F" w:rsidRPr="00AE3A52" w:rsidRDefault="00C40C8F" w:rsidP="0090538D">
      <w:pPr>
        <w:pStyle w:val="beltel-ebe0ecc6root"/>
        <w:shd w:val="clear" w:color="auto" w:fill="FFFFFF"/>
        <w:spacing w:before="0" w:beforeAutospacing="0" w:after="0" w:afterAutospacing="0" w:line="360" w:lineRule="auto"/>
        <w:rPr>
          <w:rFonts w:ascii="Arial" w:hAnsi="Arial" w:cs="Arial"/>
        </w:rPr>
      </w:pPr>
    </w:p>
    <w:p w14:paraId="233ED860" w14:textId="77777777" w:rsidR="00C40C8F" w:rsidRPr="00AE3A52" w:rsidRDefault="00C40C8F"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These created a code of conduct for police and “safeguards around powers of search, the treatment of suspects in custody and the requirement to record interview” (London News online 22 April 2022 ‘Murder that changed the way police operated). The Prosecution of Offences Act set up the CPS, which took over the right to prosecute from the police. The Fisher report found that police viewed the interrogation of subjects to be the most important means of securing a confession and a conviction (Steer,1981) </w:t>
      </w:r>
    </w:p>
    <w:p w14:paraId="3CFFAA26" w14:textId="77777777" w:rsidR="00C40C8F" w:rsidRPr="00AE3A52" w:rsidRDefault="00C40C8F" w:rsidP="0090538D">
      <w:pPr>
        <w:pStyle w:val="beltel-ebe0ecc6root"/>
        <w:shd w:val="clear" w:color="auto" w:fill="FFFFFF"/>
        <w:spacing w:before="0" w:beforeAutospacing="0" w:after="0" w:afterAutospacing="0" w:line="360" w:lineRule="auto"/>
        <w:rPr>
          <w:rFonts w:ascii="Arial" w:hAnsi="Arial" w:cs="Arial"/>
        </w:rPr>
      </w:pPr>
    </w:p>
    <w:p w14:paraId="372F5463" w14:textId="36A2C48A" w:rsidR="00C40C8F" w:rsidRPr="00AE3A52" w:rsidRDefault="00C40C8F"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lastRenderedPageBreak/>
        <w:t xml:space="preserve">Pressure was put on the government to put into place measures to prevent further miscarriages of justice also led to the establishment of the Royal Commission on Criminal Justice in 1993 along with the criminal cases review commission are important steps taken to avoid repeating mistakes of the past. </w:t>
      </w:r>
    </w:p>
    <w:p w14:paraId="3E08D68D" w14:textId="77777777" w:rsidR="00C40C8F" w:rsidRPr="00AE3A52" w:rsidRDefault="00C40C8F" w:rsidP="0090538D">
      <w:pPr>
        <w:pStyle w:val="Default"/>
        <w:tabs>
          <w:tab w:val="left" w:pos="2330"/>
        </w:tabs>
        <w:spacing w:line="360" w:lineRule="auto"/>
        <w:rPr>
          <w:color w:val="auto"/>
        </w:rPr>
      </w:pPr>
    </w:p>
    <w:p w14:paraId="67AB6011" w14:textId="77777777" w:rsidR="00C40C8F" w:rsidRPr="00AE3A52" w:rsidRDefault="00C40C8F" w:rsidP="0090538D">
      <w:pPr>
        <w:pStyle w:val="Default"/>
        <w:tabs>
          <w:tab w:val="left" w:pos="2330"/>
        </w:tabs>
        <w:spacing w:line="360" w:lineRule="auto"/>
        <w:rPr>
          <w:color w:val="auto"/>
        </w:rPr>
      </w:pPr>
    </w:p>
    <w:p w14:paraId="448DC5BC" w14:textId="62752F16" w:rsidR="00B76B3E" w:rsidRPr="00AE3A52" w:rsidRDefault="00455CA5" w:rsidP="0090538D">
      <w:pPr>
        <w:pStyle w:val="Default"/>
        <w:tabs>
          <w:tab w:val="left" w:pos="2330"/>
        </w:tabs>
        <w:spacing w:line="360" w:lineRule="auto"/>
        <w:rPr>
          <w:color w:val="auto"/>
          <w:u w:val="single"/>
        </w:rPr>
      </w:pPr>
      <w:proofErr w:type="gramStart"/>
      <w:r w:rsidRPr="00AE3A52">
        <w:rPr>
          <w:color w:val="auto"/>
          <w:u w:val="single"/>
        </w:rPr>
        <w:t xml:space="preserve">The </w:t>
      </w:r>
      <w:r w:rsidR="00F51A91" w:rsidRPr="00AE3A52">
        <w:rPr>
          <w:color w:val="auto"/>
          <w:u w:val="single"/>
        </w:rPr>
        <w:t xml:space="preserve"> </w:t>
      </w:r>
      <w:r w:rsidR="00D26351" w:rsidRPr="00AE3A52">
        <w:rPr>
          <w:color w:val="auto"/>
          <w:u w:val="single"/>
        </w:rPr>
        <w:t>Criminal</w:t>
      </w:r>
      <w:proofErr w:type="gramEnd"/>
      <w:r w:rsidR="00D26351" w:rsidRPr="00AE3A52">
        <w:rPr>
          <w:color w:val="auto"/>
          <w:u w:val="single"/>
        </w:rPr>
        <w:t xml:space="preserve"> </w:t>
      </w:r>
      <w:r w:rsidR="00B76B3E" w:rsidRPr="00AE3A52">
        <w:rPr>
          <w:color w:val="auto"/>
          <w:u w:val="single"/>
        </w:rPr>
        <w:t>Procedures and investigations Act 1996</w:t>
      </w:r>
      <w:r w:rsidR="00530A92" w:rsidRPr="00AE3A52">
        <w:rPr>
          <w:color w:val="auto"/>
          <w:u w:val="single"/>
        </w:rPr>
        <w:t xml:space="preserve"> (Statutory Disclosure)</w:t>
      </w:r>
    </w:p>
    <w:p w14:paraId="3E558BCC" w14:textId="77777777" w:rsidR="00723947" w:rsidRPr="00AE3A52" w:rsidRDefault="00723947" w:rsidP="0090538D">
      <w:pPr>
        <w:pStyle w:val="Default"/>
        <w:tabs>
          <w:tab w:val="left" w:pos="2330"/>
        </w:tabs>
        <w:spacing w:line="360" w:lineRule="auto"/>
        <w:rPr>
          <w:color w:val="auto"/>
        </w:rPr>
      </w:pPr>
    </w:p>
    <w:p w14:paraId="7EFF0047" w14:textId="4A8BCFBA" w:rsidR="003359CA" w:rsidRPr="00AE3A52" w:rsidRDefault="00B76B3E" w:rsidP="0090538D">
      <w:pPr>
        <w:pStyle w:val="Default"/>
        <w:tabs>
          <w:tab w:val="left" w:pos="2330"/>
        </w:tabs>
        <w:spacing w:line="360" w:lineRule="auto"/>
        <w:rPr>
          <w:color w:val="auto"/>
        </w:rPr>
      </w:pPr>
      <w:proofErr w:type="gramStart"/>
      <w:r w:rsidRPr="00AE3A52">
        <w:rPr>
          <w:color w:val="auto"/>
        </w:rPr>
        <w:t xml:space="preserve">The </w:t>
      </w:r>
      <w:r w:rsidR="00F51A91" w:rsidRPr="00AE3A52">
        <w:rPr>
          <w:color w:val="auto"/>
        </w:rPr>
        <w:t xml:space="preserve"> late</w:t>
      </w:r>
      <w:proofErr w:type="gramEnd"/>
      <w:r w:rsidR="00F51A91" w:rsidRPr="00AE3A52">
        <w:rPr>
          <w:color w:val="auto"/>
        </w:rPr>
        <w:t xml:space="preserve"> 1980s and early 1990s </w:t>
      </w:r>
      <w:r w:rsidR="002A11A7" w:rsidRPr="00AE3A52">
        <w:rPr>
          <w:color w:val="auto"/>
        </w:rPr>
        <w:t xml:space="preserve">saw </w:t>
      </w:r>
      <w:r w:rsidR="00505735" w:rsidRPr="00AE3A52">
        <w:rPr>
          <w:color w:val="auto"/>
        </w:rPr>
        <w:t xml:space="preserve"> a number of</w:t>
      </w:r>
      <w:r w:rsidR="00F51A91" w:rsidRPr="00AE3A52">
        <w:rPr>
          <w:color w:val="auto"/>
        </w:rPr>
        <w:t xml:space="preserve"> </w:t>
      </w:r>
      <w:r w:rsidR="00006F8F" w:rsidRPr="00AE3A52">
        <w:rPr>
          <w:color w:val="auto"/>
        </w:rPr>
        <w:t>high-profile</w:t>
      </w:r>
      <w:r w:rsidR="00F51A91" w:rsidRPr="00AE3A52">
        <w:rPr>
          <w:color w:val="auto"/>
        </w:rPr>
        <w:t xml:space="preserve"> cases where people </w:t>
      </w:r>
      <w:r w:rsidR="00687F2F" w:rsidRPr="00AE3A52">
        <w:rPr>
          <w:color w:val="auto"/>
        </w:rPr>
        <w:t xml:space="preserve">who had </w:t>
      </w:r>
      <w:r w:rsidR="00F51A91" w:rsidRPr="00AE3A52">
        <w:rPr>
          <w:color w:val="auto"/>
        </w:rPr>
        <w:t>serv</w:t>
      </w:r>
      <w:r w:rsidR="00687F2F" w:rsidRPr="00AE3A52">
        <w:rPr>
          <w:color w:val="auto"/>
        </w:rPr>
        <w:t>ed</w:t>
      </w:r>
      <w:r w:rsidR="00F51A91" w:rsidRPr="00AE3A52">
        <w:rPr>
          <w:color w:val="auto"/>
        </w:rPr>
        <w:t xml:space="preserve"> very long sentences </w:t>
      </w:r>
      <w:r w:rsidR="00A54E81" w:rsidRPr="00AE3A52">
        <w:rPr>
          <w:color w:val="auto"/>
        </w:rPr>
        <w:t>had bee</w:t>
      </w:r>
      <w:r w:rsidR="00687F2F" w:rsidRPr="00AE3A52">
        <w:rPr>
          <w:color w:val="auto"/>
        </w:rPr>
        <w:t>n</w:t>
      </w:r>
      <w:r w:rsidR="00F51A91" w:rsidRPr="00AE3A52">
        <w:rPr>
          <w:color w:val="auto"/>
        </w:rPr>
        <w:t xml:space="preserve"> found to be innocent </w:t>
      </w:r>
      <w:r w:rsidR="00AB6D20" w:rsidRPr="00AE3A52">
        <w:rPr>
          <w:color w:val="auto"/>
        </w:rPr>
        <w:t xml:space="preserve">and released from custody. </w:t>
      </w:r>
      <w:r w:rsidR="00C60D1D" w:rsidRPr="00AE3A52">
        <w:rPr>
          <w:color w:val="auto"/>
        </w:rPr>
        <w:t xml:space="preserve">The re-investigations found </w:t>
      </w:r>
      <w:r w:rsidR="00F51A91" w:rsidRPr="00AE3A52">
        <w:rPr>
          <w:color w:val="auto"/>
        </w:rPr>
        <w:t>polic</w:t>
      </w:r>
      <w:r w:rsidR="00186FAD" w:rsidRPr="00AE3A52">
        <w:rPr>
          <w:color w:val="auto"/>
        </w:rPr>
        <w:t xml:space="preserve">e malpractice, </w:t>
      </w:r>
      <w:r w:rsidR="00F51A91" w:rsidRPr="00AE3A52">
        <w:rPr>
          <w:color w:val="auto"/>
        </w:rPr>
        <w:t xml:space="preserve">sometimes falsifying statements but often withholding evidence that would have shown that these people could not have </w:t>
      </w:r>
      <w:r w:rsidR="00023D5A" w:rsidRPr="00AE3A52">
        <w:rPr>
          <w:color w:val="auto"/>
        </w:rPr>
        <w:t xml:space="preserve">committed </w:t>
      </w:r>
      <w:r w:rsidR="00F51A91" w:rsidRPr="00AE3A52">
        <w:rPr>
          <w:color w:val="auto"/>
        </w:rPr>
        <w:t xml:space="preserve">the crimes they </w:t>
      </w:r>
      <w:r w:rsidR="00023D5A" w:rsidRPr="00AE3A52">
        <w:rPr>
          <w:color w:val="auto"/>
        </w:rPr>
        <w:t>were</w:t>
      </w:r>
      <w:r w:rsidR="00F51A91" w:rsidRPr="00AE3A52">
        <w:rPr>
          <w:color w:val="auto"/>
        </w:rPr>
        <w:t xml:space="preserve"> being held for. </w:t>
      </w:r>
    </w:p>
    <w:p w14:paraId="70ACEE5B" w14:textId="77777777" w:rsidR="00C42CA4" w:rsidRPr="00AE3A52" w:rsidRDefault="00C42CA4" w:rsidP="0090538D">
      <w:pPr>
        <w:pStyle w:val="Default"/>
        <w:tabs>
          <w:tab w:val="left" w:pos="2330"/>
        </w:tabs>
        <w:spacing w:line="360" w:lineRule="auto"/>
        <w:rPr>
          <w:color w:val="auto"/>
        </w:rPr>
      </w:pPr>
    </w:p>
    <w:p w14:paraId="6F3A2D05" w14:textId="77777777" w:rsidR="00BD070C" w:rsidRPr="00AE3A52" w:rsidRDefault="00BD070C" w:rsidP="0090538D">
      <w:pPr>
        <w:pStyle w:val="Default"/>
        <w:tabs>
          <w:tab w:val="left" w:pos="2330"/>
        </w:tabs>
        <w:spacing w:line="360" w:lineRule="auto"/>
        <w:rPr>
          <w:color w:val="auto"/>
        </w:rPr>
      </w:pPr>
      <w:r w:rsidRPr="00AE3A52">
        <w:rPr>
          <w:color w:val="auto"/>
        </w:rPr>
        <w:t>The Act places a duty on the police to inform the Crown Prosecution Service (CPS) of everything that could be considered relevant material to the investigation. It then places an obligation on the CPS to disclose to the defence anything that could undermine the prosecution case or assist the defence.</w:t>
      </w:r>
    </w:p>
    <w:p w14:paraId="25DE03F7" w14:textId="77777777" w:rsidR="00BD070C" w:rsidRPr="00AE3A52" w:rsidRDefault="00BD070C" w:rsidP="0090538D">
      <w:pPr>
        <w:pStyle w:val="Default"/>
        <w:tabs>
          <w:tab w:val="left" w:pos="2330"/>
        </w:tabs>
        <w:spacing w:line="360" w:lineRule="auto"/>
        <w:rPr>
          <w:color w:val="auto"/>
        </w:rPr>
      </w:pPr>
    </w:p>
    <w:p w14:paraId="514AEAFA" w14:textId="77777777" w:rsidR="00BD070C" w:rsidRPr="00AE3A52" w:rsidRDefault="00BD070C"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It provides a statutory framework for disclosure and a code of practice to ensure that all lines of enquiry are pursued, even if they lead away from the suspects. When considering relevant material, the disclosure manual stresses 4 key points: Record, Retain, Review, Reveal. Good disclosure is key in helping to avoid the kind of situations outlined above. It is a continuous obligation throughout the investigation, during prosecution and trial, and even afterwards, if something comes up that could cast doubt on the conviction. </w:t>
      </w:r>
    </w:p>
    <w:p w14:paraId="69514E6A" w14:textId="77777777" w:rsidR="00BD070C" w:rsidRPr="00AE3A52" w:rsidRDefault="00BD070C" w:rsidP="0090538D">
      <w:pPr>
        <w:pStyle w:val="Default"/>
        <w:tabs>
          <w:tab w:val="left" w:pos="2330"/>
        </w:tabs>
        <w:spacing w:line="360" w:lineRule="auto"/>
        <w:rPr>
          <w:color w:val="auto"/>
        </w:rPr>
      </w:pPr>
    </w:p>
    <w:p w14:paraId="551E113C" w14:textId="77777777" w:rsidR="00BD070C" w:rsidRPr="00AE3A52" w:rsidRDefault="00BD070C" w:rsidP="0090538D">
      <w:pPr>
        <w:pStyle w:val="Default"/>
        <w:tabs>
          <w:tab w:val="left" w:pos="2330"/>
        </w:tabs>
        <w:spacing w:line="360" w:lineRule="auto"/>
        <w:rPr>
          <w:color w:val="auto"/>
        </w:rPr>
      </w:pPr>
    </w:p>
    <w:p w14:paraId="7746680A" w14:textId="2B73F284"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Kate Maynard in her article on miscarriage of justice finds that disclosure problems continued to present a problem for the justice system (The Cardiff Five and the disclosure problems that blight our justice system’ The Justice Gap March 14,2023).</w:t>
      </w:r>
      <w:r w:rsidR="00E612FB" w:rsidRPr="00AE3A52">
        <w:rPr>
          <w:rFonts w:ascii="Arial" w:hAnsi="Arial" w:cs="Arial"/>
        </w:rPr>
        <w:t xml:space="preserve"> </w:t>
      </w:r>
      <w:r w:rsidRPr="00AE3A52">
        <w:rPr>
          <w:rFonts w:ascii="Arial" w:hAnsi="Arial" w:cs="Arial"/>
        </w:rPr>
        <w:t xml:space="preserve">She talks about the case of the Cardiff </w:t>
      </w:r>
      <w:r w:rsidR="000B50CE" w:rsidRPr="00AE3A52">
        <w:rPr>
          <w:rFonts w:ascii="Arial" w:hAnsi="Arial" w:cs="Arial"/>
        </w:rPr>
        <w:t xml:space="preserve">Three </w:t>
      </w:r>
      <w:r w:rsidRPr="00AE3A52">
        <w:rPr>
          <w:rFonts w:ascii="Arial" w:hAnsi="Arial" w:cs="Arial"/>
        </w:rPr>
        <w:t xml:space="preserve">who were convicted in 1990 of the murder of Lynette White which was later found to have been obtained through bullying by South Wales Police. They were freed by the court of </w:t>
      </w:r>
      <w:r w:rsidR="00C42CA4" w:rsidRPr="00AE3A52">
        <w:rPr>
          <w:rFonts w:ascii="Arial" w:hAnsi="Arial" w:cs="Arial"/>
        </w:rPr>
        <w:t>appeal</w:t>
      </w:r>
      <w:r w:rsidRPr="00AE3A52">
        <w:rPr>
          <w:rFonts w:ascii="Arial" w:hAnsi="Arial" w:cs="Arial"/>
        </w:rPr>
        <w:t xml:space="preserve"> in 1992 and </w:t>
      </w:r>
      <w:r w:rsidRPr="00AE3A52">
        <w:rPr>
          <w:rFonts w:ascii="Arial" w:hAnsi="Arial" w:cs="Arial"/>
        </w:rPr>
        <w:lastRenderedPageBreak/>
        <w:t xml:space="preserve">DNA tests late revealed the actual murderer to be Jeffery </w:t>
      </w:r>
      <w:proofErr w:type="spellStart"/>
      <w:r w:rsidRPr="00AE3A52">
        <w:rPr>
          <w:rFonts w:ascii="Arial" w:hAnsi="Arial" w:cs="Arial"/>
        </w:rPr>
        <w:t>Gafoor</w:t>
      </w:r>
      <w:proofErr w:type="spellEnd"/>
      <w:r w:rsidRPr="00AE3A52">
        <w:rPr>
          <w:rFonts w:ascii="Arial" w:hAnsi="Arial" w:cs="Arial"/>
        </w:rPr>
        <w:t xml:space="preserve">, who pleaded guilty. </w:t>
      </w:r>
    </w:p>
    <w:p w14:paraId="63123241"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p>
    <w:p w14:paraId="4C1ED3BC"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In 2007 three civilian witnesses confessed to supporting the police version of events due to ‘Extreme pressure’ including lengthy interviews in which they were threatened with murder charges.</w:t>
      </w:r>
    </w:p>
    <w:p w14:paraId="55ADB142"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p>
    <w:p w14:paraId="03760247"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Twenty-year-old Lynette white, who was working as a prostitute was found dead on Valentine’s Day 1988, having been stabbed 69 times. According to the Independent newspaper “Eyewitnesses reported seeing an agitated white man near the scene with blood on his clothing on 14 February and an E-FIT of the suspects likeness was duly released and broadcast on the BBC’S Crimewatch UK as part of a South Wales Police investigation that ran for 10 months but proved fruitless”. (The Independent newspaper 10 September 2021) </w:t>
      </w:r>
    </w:p>
    <w:p w14:paraId="61421457"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p>
    <w:p w14:paraId="3F133070"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One of the five was Stephen Miller, Whites boyfriend, said to have a mental age of 11. He was interviewed by South Wales Police 19 times over a period of four days. On a total of 307 occasions, he denied involved until finally confessing under extreme duress. </w:t>
      </w:r>
    </w:p>
    <w:p w14:paraId="5E360291" w14:textId="77777777" w:rsidR="003359CA" w:rsidRPr="00AE3A52" w:rsidRDefault="003359CA" w:rsidP="0090538D">
      <w:pPr>
        <w:pStyle w:val="beltel-ebe0ecc6root"/>
        <w:shd w:val="clear" w:color="auto" w:fill="FFFFFF"/>
        <w:spacing w:before="0" w:beforeAutospacing="0" w:after="0" w:afterAutospacing="0" w:line="360" w:lineRule="auto"/>
        <w:rPr>
          <w:rFonts w:ascii="Arial" w:hAnsi="Arial" w:cs="Arial"/>
        </w:rPr>
      </w:pPr>
    </w:p>
    <w:p w14:paraId="48A74711" w14:textId="126426CC" w:rsidR="003B5A42" w:rsidRPr="00AE3A52" w:rsidRDefault="003359CA"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Miller also implicated four other men. These were John Actie, Ronnie Actie, Tony </w:t>
      </w:r>
      <w:proofErr w:type="spellStart"/>
      <w:r w:rsidRPr="00AE3A52">
        <w:rPr>
          <w:rFonts w:ascii="Arial" w:hAnsi="Arial" w:cs="Arial"/>
        </w:rPr>
        <w:t>paris</w:t>
      </w:r>
      <w:proofErr w:type="spellEnd"/>
      <w:r w:rsidRPr="00AE3A52">
        <w:rPr>
          <w:rFonts w:ascii="Arial" w:hAnsi="Arial" w:cs="Arial"/>
        </w:rPr>
        <w:t xml:space="preserve"> and Yusef Abdullahi. Cousins John Actie and Ronnie Actie were cleared after two years in prison but the other three were convicted and sentenced. They were acquitted by court of appeal in 1992. After listening to a recording of Millers interrogation, Judge lord justice Taylor found that Miller had been “bullied and hectored” into confessing and that it had been a “travesty of an interview” and that “short of physical violence, it is hard to conceive of a more hostile and intimidating approach by officers to a suspect (The Independent newspaper 10 September 2021)</w:t>
      </w:r>
    </w:p>
    <w:p w14:paraId="0B797DAC" w14:textId="4ED6DB64" w:rsidR="00D11245" w:rsidRPr="00AE3A52" w:rsidRDefault="00D11245" w:rsidP="0090538D">
      <w:pPr>
        <w:pStyle w:val="beltel-ebe0ecc6root"/>
        <w:shd w:val="clear" w:color="auto" w:fill="FFFFFF"/>
        <w:spacing w:before="0" w:beforeAutospacing="0" w:after="0" w:afterAutospacing="0" w:line="360" w:lineRule="auto"/>
        <w:rPr>
          <w:rFonts w:ascii="Arial" w:hAnsi="Arial" w:cs="Arial"/>
        </w:rPr>
      </w:pPr>
    </w:p>
    <w:p w14:paraId="1FFFFC38" w14:textId="77777777" w:rsidR="0044074B" w:rsidRPr="00AE3A52" w:rsidRDefault="0044074B" w:rsidP="0090538D">
      <w:pPr>
        <w:pStyle w:val="beltel-ebe0ecc6root"/>
        <w:shd w:val="clear" w:color="auto" w:fill="FFFFFF"/>
        <w:spacing w:before="0" w:beforeAutospacing="0" w:after="0" w:afterAutospacing="0" w:line="360" w:lineRule="auto"/>
        <w:rPr>
          <w:rFonts w:ascii="Arial" w:hAnsi="Arial" w:cs="Arial"/>
        </w:rPr>
      </w:pPr>
    </w:p>
    <w:p w14:paraId="3733DF56" w14:textId="2EF1F037" w:rsidR="0044074B" w:rsidRPr="00AE3A52" w:rsidRDefault="0044074B" w:rsidP="0090538D">
      <w:pPr>
        <w:pStyle w:val="beltel-ebe0ecc6root"/>
        <w:shd w:val="clear" w:color="auto" w:fill="FFFFFF"/>
        <w:spacing w:before="0" w:beforeAutospacing="0" w:after="0" w:afterAutospacing="0" w:line="360" w:lineRule="auto"/>
        <w:rPr>
          <w:rFonts w:ascii="Arial" w:hAnsi="Arial" w:cs="Arial"/>
          <w:u w:val="single"/>
        </w:rPr>
      </w:pPr>
      <w:r w:rsidRPr="00AE3A52">
        <w:rPr>
          <w:rFonts w:ascii="Arial" w:hAnsi="Arial" w:cs="Arial"/>
          <w:u w:val="single"/>
        </w:rPr>
        <w:t>Continuing Miscarriages of Justice</w:t>
      </w:r>
    </w:p>
    <w:p w14:paraId="1AF55107" w14:textId="77777777" w:rsidR="0044074B" w:rsidRPr="00AE3A52" w:rsidRDefault="0044074B" w:rsidP="0090538D">
      <w:pPr>
        <w:pStyle w:val="beltel-ebe0ecc6root"/>
        <w:shd w:val="clear" w:color="auto" w:fill="FFFFFF"/>
        <w:spacing w:before="0" w:beforeAutospacing="0" w:after="0" w:afterAutospacing="0" w:line="360" w:lineRule="auto"/>
        <w:rPr>
          <w:rFonts w:ascii="Arial" w:hAnsi="Arial" w:cs="Arial"/>
        </w:rPr>
      </w:pPr>
    </w:p>
    <w:p w14:paraId="23AB761A" w14:textId="3A7BB74D" w:rsidR="00D11245" w:rsidRPr="00AE3A52" w:rsidRDefault="00D11245"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lastRenderedPageBreak/>
        <w:t>Dr Rebecca Helm, from the university of Exeter L</w:t>
      </w:r>
      <w:r w:rsidR="00E651B8" w:rsidRPr="00AE3A52">
        <w:rPr>
          <w:rFonts w:ascii="Arial" w:hAnsi="Arial" w:cs="Arial"/>
        </w:rPr>
        <w:t>a</w:t>
      </w:r>
      <w:r w:rsidRPr="00AE3A52">
        <w:rPr>
          <w:rFonts w:ascii="Arial" w:hAnsi="Arial" w:cs="Arial"/>
        </w:rPr>
        <w:t xml:space="preserve">w School has found unreliable witness testimony to be the biggest cause of miscarriage of justice over the past fifty years (Criminal Law Review, 2021, Issue 5.) </w:t>
      </w:r>
      <w:r w:rsidR="004C1A79" w:rsidRPr="00AE3A52">
        <w:rPr>
          <w:rFonts w:ascii="Arial" w:hAnsi="Arial" w:cs="Arial"/>
        </w:rPr>
        <w:t>(</w:t>
      </w:r>
      <w:r w:rsidR="0044074B" w:rsidRPr="00AE3A52">
        <w:rPr>
          <w:rFonts w:ascii="Arial" w:hAnsi="Arial" w:cs="Arial"/>
        </w:rPr>
        <w:t xml:space="preserve">? Most of her stuff may predate </w:t>
      </w:r>
      <w:proofErr w:type="gramStart"/>
      <w:r w:rsidR="0044074B" w:rsidRPr="00AE3A52">
        <w:rPr>
          <w:rFonts w:ascii="Arial" w:hAnsi="Arial" w:cs="Arial"/>
        </w:rPr>
        <w:t>1996</w:t>
      </w:r>
      <w:proofErr w:type="gramEnd"/>
    </w:p>
    <w:p w14:paraId="3B052D6B" w14:textId="50AC321E" w:rsidR="006B1C48" w:rsidRPr="00AE3A52" w:rsidRDefault="006B1C48" w:rsidP="0090538D">
      <w:pPr>
        <w:pStyle w:val="beltel-ebe0ecc6root"/>
        <w:shd w:val="clear" w:color="auto" w:fill="FFFFFF"/>
        <w:spacing w:before="0" w:beforeAutospacing="0" w:after="0" w:afterAutospacing="0" w:line="360" w:lineRule="auto"/>
        <w:rPr>
          <w:rFonts w:ascii="Arial" w:hAnsi="Arial" w:cs="Arial"/>
        </w:rPr>
      </w:pPr>
    </w:p>
    <w:p w14:paraId="790B9757" w14:textId="7168FCFD" w:rsidR="006B1C48" w:rsidRPr="00AE3A52" w:rsidRDefault="006B1C48"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 xml:space="preserve">Although several causes of miscarriages of justice have been mentioned, the most frequent causes of miscarriages of justice are strongly tied to one particular part of the criminal justice process, namely the police investigative process (Scheck et al, 2000), and in particular the interview process this in turn may be related to the problem of building a case for conviction and premature investigative and interview processes </w:t>
      </w:r>
      <w:proofErr w:type="gramStart"/>
      <w:r w:rsidRPr="00AE3A52">
        <w:rPr>
          <w:rFonts w:ascii="Arial" w:hAnsi="Arial" w:cs="Arial"/>
        </w:rPr>
        <w:t>include</w:t>
      </w:r>
      <w:proofErr w:type="gramEnd"/>
      <w:r w:rsidRPr="00AE3A52">
        <w:rPr>
          <w:rFonts w:ascii="Arial" w:hAnsi="Arial" w:cs="Arial"/>
        </w:rPr>
        <w:t xml:space="preserve"> </w:t>
      </w:r>
    </w:p>
    <w:p w14:paraId="63BE5EA8" w14:textId="194250D7" w:rsidR="006B1C48" w:rsidRPr="00AE3A52" w:rsidRDefault="006B1C48" w:rsidP="0090538D">
      <w:pPr>
        <w:pStyle w:val="beltel-ebe0ecc6root"/>
        <w:shd w:val="clear" w:color="auto" w:fill="FFFFFF"/>
        <w:spacing w:before="0" w:beforeAutospacing="0" w:after="0" w:afterAutospacing="0" w:line="360" w:lineRule="auto"/>
        <w:rPr>
          <w:rFonts w:ascii="Arial" w:hAnsi="Arial" w:cs="Arial"/>
        </w:rPr>
      </w:pPr>
    </w:p>
    <w:p w14:paraId="23AE6690" w14:textId="788EDFCB" w:rsidR="006B1C48" w:rsidRPr="00AE3A52" w:rsidRDefault="006B1C48" w:rsidP="0090538D">
      <w:pPr>
        <w:pStyle w:val="beltel-ebe0ecc6root"/>
        <w:numPr>
          <w:ilvl w:val="0"/>
          <w:numId w:val="1"/>
        </w:numPr>
        <w:shd w:val="clear" w:color="auto" w:fill="FFFFFF"/>
        <w:spacing w:before="0" w:beforeAutospacing="0" w:after="0" w:afterAutospacing="0" w:line="360" w:lineRule="auto"/>
        <w:rPr>
          <w:rFonts w:ascii="Arial" w:hAnsi="Arial" w:cs="Arial"/>
        </w:rPr>
      </w:pPr>
      <w:r w:rsidRPr="00AE3A52">
        <w:rPr>
          <w:rFonts w:ascii="Arial" w:hAnsi="Arial" w:cs="Arial"/>
        </w:rPr>
        <w:t xml:space="preserve">Reliance on circumstantial evidence </w:t>
      </w:r>
    </w:p>
    <w:p w14:paraId="547A4217" w14:textId="65BC6BC3" w:rsidR="006B1C48" w:rsidRPr="00AE3A52" w:rsidRDefault="006B1C48" w:rsidP="0090538D">
      <w:pPr>
        <w:pStyle w:val="beltel-ebe0ecc6root"/>
        <w:numPr>
          <w:ilvl w:val="0"/>
          <w:numId w:val="1"/>
        </w:numPr>
        <w:shd w:val="clear" w:color="auto" w:fill="FFFFFF"/>
        <w:spacing w:before="0" w:beforeAutospacing="0" w:after="0" w:afterAutospacing="0" w:line="360" w:lineRule="auto"/>
        <w:rPr>
          <w:rFonts w:ascii="Arial" w:hAnsi="Arial" w:cs="Arial"/>
        </w:rPr>
      </w:pPr>
      <w:r w:rsidRPr="00AE3A52">
        <w:rPr>
          <w:rFonts w:ascii="Arial" w:hAnsi="Arial" w:cs="Arial"/>
        </w:rPr>
        <w:t xml:space="preserve">Fabrication of evidence </w:t>
      </w:r>
    </w:p>
    <w:p w14:paraId="1D64D1D1" w14:textId="01DFFA4B" w:rsidR="006B1C48" w:rsidRPr="00AE3A52" w:rsidRDefault="006B1C48" w:rsidP="0090538D">
      <w:pPr>
        <w:pStyle w:val="beltel-ebe0ecc6root"/>
        <w:numPr>
          <w:ilvl w:val="0"/>
          <w:numId w:val="1"/>
        </w:numPr>
        <w:shd w:val="clear" w:color="auto" w:fill="FFFFFF"/>
        <w:spacing w:before="0" w:beforeAutospacing="0" w:after="0" w:afterAutospacing="0" w:line="360" w:lineRule="auto"/>
        <w:rPr>
          <w:rFonts w:ascii="Arial" w:hAnsi="Arial" w:cs="Arial"/>
        </w:rPr>
      </w:pPr>
      <w:r w:rsidRPr="00AE3A52">
        <w:rPr>
          <w:rFonts w:ascii="Arial" w:hAnsi="Arial" w:cs="Arial"/>
        </w:rPr>
        <w:t xml:space="preserve">Non-disclosure of evidence </w:t>
      </w:r>
    </w:p>
    <w:p w14:paraId="2C1E2F11" w14:textId="035DA034" w:rsidR="006B1C48" w:rsidRPr="00AE3A52" w:rsidRDefault="006B1C48" w:rsidP="0090538D">
      <w:pPr>
        <w:pStyle w:val="beltel-ebe0ecc6root"/>
        <w:numPr>
          <w:ilvl w:val="0"/>
          <w:numId w:val="1"/>
        </w:numPr>
        <w:shd w:val="clear" w:color="auto" w:fill="FFFFFF"/>
        <w:spacing w:before="0" w:beforeAutospacing="0" w:after="0" w:afterAutospacing="0" w:line="360" w:lineRule="auto"/>
        <w:rPr>
          <w:rFonts w:ascii="Arial" w:hAnsi="Arial" w:cs="Arial"/>
        </w:rPr>
      </w:pPr>
      <w:r w:rsidRPr="00AE3A52">
        <w:rPr>
          <w:rFonts w:ascii="Arial" w:hAnsi="Arial" w:cs="Arial"/>
        </w:rPr>
        <w:t xml:space="preserve">Unreliable cell confession resulting from prison informants or ‘snitches’ (Stevens, 2010) </w:t>
      </w:r>
    </w:p>
    <w:p w14:paraId="0EB1E9B5" w14:textId="7E7FC76A" w:rsidR="006B1C48" w:rsidRPr="00AE3A52" w:rsidRDefault="006B1C48" w:rsidP="0090538D">
      <w:pPr>
        <w:pStyle w:val="beltel-ebe0ecc6root"/>
        <w:numPr>
          <w:ilvl w:val="0"/>
          <w:numId w:val="1"/>
        </w:numPr>
        <w:shd w:val="clear" w:color="auto" w:fill="FFFFFF"/>
        <w:spacing w:before="0" w:beforeAutospacing="0" w:after="0" w:afterAutospacing="0" w:line="360" w:lineRule="auto"/>
        <w:rPr>
          <w:rFonts w:ascii="Arial" w:hAnsi="Arial" w:cs="Arial"/>
        </w:rPr>
      </w:pPr>
      <w:r w:rsidRPr="00AE3A52">
        <w:rPr>
          <w:rFonts w:ascii="Arial" w:hAnsi="Arial" w:cs="Arial"/>
        </w:rPr>
        <w:t xml:space="preserve">Unreliable confessions resulting from police pressure and/or vulnerability of suspects (Gudjonsson, 2003) </w:t>
      </w:r>
    </w:p>
    <w:p w14:paraId="1A273188" w14:textId="6E219EF7" w:rsidR="006B1C48" w:rsidRPr="00AE3A52" w:rsidRDefault="006B1C48" w:rsidP="0090538D">
      <w:pPr>
        <w:pStyle w:val="beltel-ebe0ecc6root"/>
        <w:numPr>
          <w:ilvl w:val="0"/>
          <w:numId w:val="1"/>
        </w:numPr>
        <w:shd w:val="clear" w:color="auto" w:fill="FFFFFF"/>
        <w:spacing w:before="0" w:beforeAutospacing="0" w:after="0" w:afterAutospacing="0" w:line="360" w:lineRule="auto"/>
        <w:rPr>
          <w:rFonts w:ascii="Arial" w:hAnsi="Arial" w:cs="Arial"/>
        </w:rPr>
      </w:pPr>
      <w:r w:rsidRPr="00AE3A52">
        <w:rPr>
          <w:rFonts w:ascii="Arial" w:hAnsi="Arial" w:cs="Arial"/>
        </w:rPr>
        <w:t xml:space="preserve">Unreliable victim and eyewitness identification and testimony (Wilcock et al, 2008) </w:t>
      </w:r>
    </w:p>
    <w:p w14:paraId="1ADC56AE" w14:textId="11F608E3" w:rsidR="006B1C48" w:rsidRPr="00AE3A52" w:rsidRDefault="006B1C48" w:rsidP="0090538D">
      <w:pPr>
        <w:pStyle w:val="beltel-ebe0ecc6root"/>
        <w:shd w:val="clear" w:color="auto" w:fill="FFFFFF"/>
        <w:spacing w:before="0" w:beforeAutospacing="0" w:after="0" w:afterAutospacing="0" w:line="360" w:lineRule="auto"/>
        <w:rPr>
          <w:rFonts w:ascii="Arial" w:hAnsi="Arial" w:cs="Arial"/>
        </w:rPr>
      </w:pPr>
    </w:p>
    <w:p w14:paraId="26BF9E5E" w14:textId="3DB7BC00" w:rsidR="006B1C48" w:rsidRPr="00AE3A52" w:rsidRDefault="006B1C48"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The la</w:t>
      </w:r>
      <w:r w:rsidR="00E651B8" w:rsidRPr="00AE3A52">
        <w:rPr>
          <w:rFonts w:ascii="Arial" w:hAnsi="Arial" w:cs="Arial"/>
        </w:rPr>
        <w:t>st</w:t>
      </w:r>
      <w:r w:rsidRPr="00AE3A52">
        <w:rPr>
          <w:rFonts w:ascii="Arial" w:hAnsi="Arial" w:cs="Arial"/>
        </w:rPr>
        <w:t xml:space="preserve"> reason continues to be one of the most common causes of miscarriages of justice (Scheck et al, 2000, Walker 2002).</w:t>
      </w:r>
      <w:r w:rsidR="00E651B8" w:rsidRPr="00AE3A52">
        <w:rPr>
          <w:rFonts w:ascii="Arial" w:hAnsi="Arial" w:cs="Arial"/>
        </w:rPr>
        <w:t xml:space="preserve"> Many changes have taken place </w:t>
      </w:r>
      <w:proofErr w:type="gramStart"/>
      <w:r w:rsidR="00E651B8" w:rsidRPr="00AE3A52">
        <w:rPr>
          <w:rFonts w:ascii="Arial" w:hAnsi="Arial" w:cs="Arial"/>
        </w:rPr>
        <w:t>in an attempt to</w:t>
      </w:r>
      <w:proofErr w:type="gramEnd"/>
      <w:r w:rsidR="00E651B8" w:rsidRPr="00AE3A52">
        <w:rPr>
          <w:rFonts w:ascii="Arial" w:hAnsi="Arial" w:cs="Arial"/>
        </w:rPr>
        <w:t xml:space="preserve"> address these causes. </w:t>
      </w:r>
    </w:p>
    <w:p w14:paraId="077EC954" w14:textId="0887EF36" w:rsidR="00E651B8" w:rsidRPr="00AE3A52" w:rsidRDefault="00E651B8" w:rsidP="0090538D">
      <w:pPr>
        <w:pStyle w:val="beltel-ebe0ecc6root"/>
        <w:shd w:val="clear" w:color="auto" w:fill="FFFFFF"/>
        <w:spacing w:before="0" w:beforeAutospacing="0" w:after="0" w:afterAutospacing="0" w:line="360" w:lineRule="auto"/>
        <w:rPr>
          <w:rFonts w:ascii="Arial" w:hAnsi="Arial" w:cs="Arial"/>
        </w:rPr>
      </w:pPr>
    </w:p>
    <w:p w14:paraId="61F0A2BD" w14:textId="48553ED4" w:rsidR="00E651B8" w:rsidRPr="00AE3A52" w:rsidRDefault="00F241C1" w:rsidP="0090538D">
      <w:pPr>
        <w:pStyle w:val="beltel-ebe0ecc6root"/>
        <w:shd w:val="clear" w:color="auto" w:fill="FFFFFF"/>
        <w:spacing w:before="0" w:beforeAutospacing="0" w:after="0" w:afterAutospacing="0" w:line="360" w:lineRule="auto"/>
        <w:rPr>
          <w:rFonts w:ascii="Arial" w:hAnsi="Arial" w:cs="Arial"/>
        </w:rPr>
      </w:pPr>
      <w:r w:rsidRPr="00AE3A52">
        <w:rPr>
          <w:rFonts w:ascii="Arial" w:hAnsi="Arial" w:cs="Arial"/>
        </w:rPr>
        <w:t>Incidents</w:t>
      </w:r>
      <w:r w:rsidR="00E651B8" w:rsidRPr="00AE3A52">
        <w:rPr>
          <w:rFonts w:ascii="Arial" w:hAnsi="Arial" w:cs="Arial"/>
        </w:rPr>
        <w:t xml:space="preserve"> of malpractice have influenced modern professional policing </w:t>
      </w:r>
      <w:r w:rsidR="00922CC3" w:rsidRPr="00AE3A52">
        <w:rPr>
          <w:rFonts w:ascii="Arial" w:hAnsi="Arial" w:cs="Arial"/>
        </w:rPr>
        <w:t xml:space="preserve">through the implementation of new legislation, </w:t>
      </w:r>
      <w:proofErr w:type="gramStart"/>
      <w:r w:rsidR="00922CC3" w:rsidRPr="00AE3A52">
        <w:rPr>
          <w:rFonts w:ascii="Arial" w:hAnsi="Arial" w:cs="Arial"/>
        </w:rPr>
        <w:t>procedures</w:t>
      </w:r>
      <w:proofErr w:type="gramEnd"/>
      <w:r w:rsidR="00922CC3" w:rsidRPr="00AE3A52">
        <w:rPr>
          <w:rFonts w:ascii="Arial" w:hAnsi="Arial" w:cs="Arial"/>
        </w:rPr>
        <w:t xml:space="preserve"> and policies. </w:t>
      </w:r>
      <w:r w:rsidR="00001B1B" w:rsidRPr="00AE3A52">
        <w:rPr>
          <w:rFonts w:ascii="Arial" w:hAnsi="Arial" w:cs="Arial"/>
        </w:rPr>
        <w:t xml:space="preserve">The issue is not the law but rather those who either don’t understand it, or deliberately choose to ignore it. </w:t>
      </w:r>
      <w:r w:rsidR="0085296A" w:rsidRPr="00AE3A52">
        <w:rPr>
          <w:rFonts w:ascii="Arial" w:hAnsi="Arial" w:cs="Arial"/>
        </w:rPr>
        <w:t>Thankfully there</w:t>
      </w:r>
      <w:r w:rsidR="00777898" w:rsidRPr="00AE3A52">
        <w:rPr>
          <w:rFonts w:ascii="Arial" w:hAnsi="Arial" w:cs="Arial"/>
        </w:rPr>
        <w:t xml:space="preserve"> is a strong </w:t>
      </w:r>
      <w:r w:rsidR="00E651B8" w:rsidRPr="00AE3A52">
        <w:rPr>
          <w:rFonts w:ascii="Arial" w:hAnsi="Arial" w:cs="Arial"/>
        </w:rPr>
        <w:t>emphasis</w:t>
      </w:r>
      <w:r w:rsidR="00777898" w:rsidRPr="00AE3A52">
        <w:rPr>
          <w:rFonts w:ascii="Arial" w:hAnsi="Arial" w:cs="Arial"/>
        </w:rPr>
        <w:t xml:space="preserve"> on honesty and integrity</w:t>
      </w:r>
      <w:r w:rsidR="00E45286" w:rsidRPr="00AE3A52">
        <w:rPr>
          <w:rFonts w:ascii="Arial" w:hAnsi="Arial" w:cs="Arial"/>
        </w:rPr>
        <w:t xml:space="preserve"> within </w:t>
      </w:r>
      <w:r w:rsidR="00E651B8" w:rsidRPr="00AE3A52">
        <w:rPr>
          <w:rFonts w:ascii="Arial" w:hAnsi="Arial" w:cs="Arial"/>
        </w:rPr>
        <w:t>recruit</w:t>
      </w:r>
      <w:r w:rsidR="00E45286" w:rsidRPr="00AE3A52">
        <w:rPr>
          <w:rFonts w:ascii="Arial" w:hAnsi="Arial" w:cs="Arial"/>
        </w:rPr>
        <w:t xml:space="preserve"> training</w:t>
      </w:r>
      <w:r w:rsidR="0002303F" w:rsidRPr="00AE3A52">
        <w:rPr>
          <w:rFonts w:ascii="Arial" w:hAnsi="Arial" w:cs="Arial"/>
        </w:rPr>
        <w:t>, and</w:t>
      </w:r>
      <w:r w:rsidR="00E45286" w:rsidRPr="00AE3A52">
        <w:rPr>
          <w:rFonts w:ascii="Arial" w:hAnsi="Arial" w:cs="Arial"/>
        </w:rPr>
        <w:t xml:space="preserve"> </w:t>
      </w:r>
      <w:r w:rsidR="009C5693" w:rsidRPr="00AE3A52">
        <w:rPr>
          <w:rFonts w:ascii="Arial" w:hAnsi="Arial" w:cs="Arial"/>
        </w:rPr>
        <w:t>on team</w:t>
      </w:r>
      <w:r w:rsidR="000D3D9E" w:rsidRPr="00AE3A52">
        <w:rPr>
          <w:rFonts w:ascii="Arial" w:hAnsi="Arial" w:cs="Arial"/>
        </w:rPr>
        <w:t xml:space="preserve">. The </w:t>
      </w:r>
      <w:r w:rsidR="00E651B8" w:rsidRPr="00AE3A52">
        <w:rPr>
          <w:rFonts w:ascii="Arial" w:hAnsi="Arial" w:cs="Arial"/>
        </w:rPr>
        <w:t xml:space="preserve">absolute importance of following procedures to the letter </w:t>
      </w:r>
      <w:proofErr w:type="gramStart"/>
      <w:r w:rsidR="00E651B8" w:rsidRPr="00AE3A52">
        <w:rPr>
          <w:rFonts w:ascii="Arial" w:hAnsi="Arial" w:cs="Arial"/>
        </w:rPr>
        <w:t>in order to</w:t>
      </w:r>
      <w:proofErr w:type="gramEnd"/>
      <w:r w:rsidR="00E651B8" w:rsidRPr="00AE3A52">
        <w:rPr>
          <w:rFonts w:ascii="Arial" w:hAnsi="Arial" w:cs="Arial"/>
        </w:rPr>
        <w:t xml:space="preserve"> obtain a legitimate arrest and </w:t>
      </w:r>
      <w:r w:rsidR="002F1B59" w:rsidRPr="00AE3A52">
        <w:rPr>
          <w:rFonts w:ascii="Arial" w:hAnsi="Arial" w:cs="Arial"/>
        </w:rPr>
        <w:t xml:space="preserve">fair </w:t>
      </w:r>
      <w:r w:rsidR="00E651B8" w:rsidRPr="00AE3A52">
        <w:rPr>
          <w:rFonts w:ascii="Arial" w:hAnsi="Arial" w:cs="Arial"/>
        </w:rPr>
        <w:t>conviction</w:t>
      </w:r>
      <w:r w:rsidR="002F1B59" w:rsidRPr="00AE3A52">
        <w:rPr>
          <w:rFonts w:ascii="Arial" w:hAnsi="Arial" w:cs="Arial"/>
        </w:rPr>
        <w:t xml:space="preserve"> are well understood.</w:t>
      </w:r>
      <w:r w:rsidR="00FC7C77" w:rsidRPr="00AE3A52">
        <w:rPr>
          <w:rFonts w:ascii="Arial" w:hAnsi="Arial" w:cs="Arial"/>
        </w:rPr>
        <w:t xml:space="preserve"> </w:t>
      </w:r>
      <w:r w:rsidR="002D6656" w:rsidRPr="00AE3A52">
        <w:rPr>
          <w:rFonts w:ascii="Arial" w:hAnsi="Arial" w:cs="Arial"/>
        </w:rPr>
        <w:t xml:space="preserve"> Where </w:t>
      </w:r>
      <w:r w:rsidR="00180075" w:rsidRPr="00AE3A52">
        <w:rPr>
          <w:rFonts w:ascii="Arial" w:hAnsi="Arial" w:cs="Arial"/>
        </w:rPr>
        <w:t xml:space="preserve">the </w:t>
      </w:r>
      <w:r w:rsidR="00FC7C77" w:rsidRPr="00AE3A52">
        <w:rPr>
          <w:rFonts w:ascii="Arial" w:hAnsi="Arial" w:cs="Arial"/>
        </w:rPr>
        <w:t xml:space="preserve">wrong person is </w:t>
      </w:r>
      <w:proofErr w:type="gramStart"/>
      <w:r w:rsidR="00FC7C77" w:rsidRPr="00AE3A52">
        <w:rPr>
          <w:rFonts w:ascii="Arial" w:hAnsi="Arial" w:cs="Arial"/>
        </w:rPr>
        <w:t>convicted</w:t>
      </w:r>
      <w:proofErr w:type="gramEnd"/>
      <w:r w:rsidR="002D6656" w:rsidRPr="00AE3A52">
        <w:rPr>
          <w:rFonts w:ascii="Arial" w:hAnsi="Arial" w:cs="Arial"/>
        </w:rPr>
        <w:t xml:space="preserve"> we fail to protect the public, because</w:t>
      </w:r>
      <w:r w:rsidR="00180075" w:rsidRPr="00AE3A52">
        <w:rPr>
          <w:rFonts w:ascii="Arial" w:hAnsi="Arial" w:cs="Arial"/>
        </w:rPr>
        <w:t xml:space="preserve"> </w:t>
      </w:r>
      <w:r w:rsidR="002D6656" w:rsidRPr="00AE3A52">
        <w:rPr>
          <w:rFonts w:ascii="Arial" w:hAnsi="Arial" w:cs="Arial"/>
        </w:rPr>
        <w:t>t</w:t>
      </w:r>
      <w:r w:rsidR="00180075" w:rsidRPr="00AE3A52">
        <w:rPr>
          <w:rFonts w:ascii="Arial" w:hAnsi="Arial" w:cs="Arial"/>
        </w:rPr>
        <w:t xml:space="preserve">here will </w:t>
      </w:r>
      <w:r w:rsidR="002F5A3E" w:rsidRPr="00AE3A52">
        <w:rPr>
          <w:rFonts w:ascii="Arial" w:hAnsi="Arial" w:cs="Arial"/>
        </w:rPr>
        <w:t xml:space="preserve">soon </w:t>
      </w:r>
      <w:r w:rsidR="00180075" w:rsidRPr="00AE3A52">
        <w:rPr>
          <w:rFonts w:ascii="Arial" w:hAnsi="Arial" w:cs="Arial"/>
        </w:rPr>
        <w:t>be another victim</w:t>
      </w:r>
      <w:r w:rsidR="002F5A3E" w:rsidRPr="00AE3A52">
        <w:rPr>
          <w:rFonts w:ascii="Arial" w:hAnsi="Arial" w:cs="Arial"/>
        </w:rPr>
        <w:t xml:space="preserve"> of the real culprit.</w:t>
      </w:r>
      <w:r w:rsidR="00C42CA4" w:rsidRPr="00AE3A52">
        <w:rPr>
          <w:rFonts w:ascii="Arial" w:hAnsi="Arial" w:cs="Arial"/>
        </w:rPr>
        <w:t xml:space="preserve"> (WORD COUNT AT THE MOMENT 1167)</w:t>
      </w:r>
    </w:p>
    <w:p w14:paraId="1CC457DB" w14:textId="77777777" w:rsidR="0090538D" w:rsidRPr="00AE3A52" w:rsidRDefault="0090538D" w:rsidP="0090538D">
      <w:pPr>
        <w:spacing w:line="360" w:lineRule="auto"/>
        <w:rPr>
          <w:rFonts w:ascii="Arial" w:hAnsi="Arial" w:cs="Arial"/>
          <w:sz w:val="24"/>
          <w:szCs w:val="24"/>
        </w:rPr>
      </w:pPr>
      <w:r w:rsidRPr="00AE3A52">
        <w:rPr>
          <w:rFonts w:ascii="Arial" w:hAnsi="Arial" w:cs="Arial"/>
          <w:sz w:val="24"/>
          <w:szCs w:val="24"/>
        </w:rPr>
        <w:lastRenderedPageBreak/>
        <w:t xml:space="preserve">Cameron O’Sullivan </w:t>
      </w:r>
    </w:p>
    <w:p w14:paraId="336B3A69" w14:textId="77777777" w:rsidR="0090538D" w:rsidRPr="00AE3A52" w:rsidRDefault="0090538D" w:rsidP="0090538D">
      <w:pPr>
        <w:spacing w:line="360" w:lineRule="auto"/>
        <w:rPr>
          <w:rFonts w:ascii="Arial" w:hAnsi="Arial" w:cs="Arial"/>
          <w:sz w:val="24"/>
          <w:szCs w:val="24"/>
        </w:rPr>
      </w:pPr>
      <w:r w:rsidRPr="00AE3A52">
        <w:rPr>
          <w:rFonts w:ascii="Arial" w:hAnsi="Arial" w:cs="Arial"/>
          <w:sz w:val="24"/>
          <w:szCs w:val="24"/>
        </w:rPr>
        <w:t xml:space="preserve">Student Number – 2124837 </w:t>
      </w:r>
    </w:p>
    <w:p w14:paraId="386E4117"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How does media coverage affect policing strategies in relation to public protection incidents?</w:t>
      </w:r>
    </w:p>
    <w:p w14:paraId="78C3F046"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In this essay I will be considering the affect media coverage has on policing strategies in relation to public protection incidents. I will be focusing on two high profile cases, involving victims Baby P and more recently Sarah Everard. I will also be referring to the role of SOC and MAPPA in response to incidents such as these. </w:t>
      </w:r>
    </w:p>
    <w:p w14:paraId="0FE59895"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‘The serious and Organised Crime Strategy (SOC) is a strategic framework that builds on the 2015 National Security (NSS). And Strategic Defence and Security Review (SDSR). The framework has four ‘P’ work strands that set out actions to </w:t>
      </w:r>
    </w:p>
    <w:p w14:paraId="761B3603"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Prevent people getting involved in organised crime. </w:t>
      </w:r>
    </w:p>
    <w:p w14:paraId="0CF3FF8A"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Pursue and disrupt serious organised criminals. </w:t>
      </w:r>
    </w:p>
    <w:p w14:paraId="079EFAB9"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Protect individuals, organisations, and communities against serious and organised criminality. </w:t>
      </w:r>
    </w:p>
    <w:p w14:paraId="79053769"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Prepare for when serious and organised crime occurs and mitigate its impact. </w:t>
      </w:r>
    </w:p>
    <w:p w14:paraId="582BBDCA"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In addition to this section 325 to 327B of the Criminal Justice Act 2003 (CJA), established the </w:t>
      </w:r>
      <w:proofErr w:type="spellStart"/>
      <w:r w:rsidRPr="00AE3A52">
        <w:rPr>
          <w:rFonts w:ascii="Arial" w:hAnsi="Arial" w:cs="Arial"/>
          <w:sz w:val="24"/>
          <w:szCs w:val="24"/>
        </w:rPr>
        <w:t>Mulit</w:t>
      </w:r>
      <w:proofErr w:type="spellEnd"/>
      <w:r w:rsidRPr="00AE3A52">
        <w:rPr>
          <w:rFonts w:ascii="Arial" w:hAnsi="Arial" w:cs="Arial"/>
          <w:sz w:val="24"/>
          <w:szCs w:val="24"/>
        </w:rPr>
        <w:t xml:space="preserve">-Agency Public Protection Arrangements (MAPPA). MAPPA is designed to protect the public, including victims of crime, from serious harm by sexual, violent, or other dangerous offenders. It requires criminal justice agencies and other bodies to work together in partnership with these offenders. </w:t>
      </w:r>
    </w:p>
    <w:p w14:paraId="211CD7F6"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MAPPA is a system of sharing information and combining resources to maximise the risk management in place for each individual offender that are classed as high risk or managed by MAPPA. It is a process through which the police, probation and prison services work together with other agencies to assess and manage violent and sexual offenders to protect the public from harm. More recently the Casey Review into standards and culture in the Metropolitan police has highlights several failures in terms of vetting police officers and accountability. This report along with the tragic case of Sarah Everard has received a lot of media publicity. </w:t>
      </w:r>
    </w:p>
    <w:p w14:paraId="6A95A938" w14:textId="77777777" w:rsidR="00C42CA4" w:rsidRPr="00AE3A52" w:rsidRDefault="00C42CA4" w:rsidP="0090538D">
      <w:pPr>
        <w:spacing w:line="360" w:lineRule="auto"/>
        <w:rPr>
          <w:rFonts w:ascii="Arial" w:hAnsi="Arial" w:cs="Arial"/>
          <w:sz w:val="24"/>
          <w:szCs w:val="24"/>
        </w:rPr>
      </w:pPr>
    </w:p>
    <w:p w14:paraId="0A89B3AC"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Media coverage of public protection incidents has been widespread in recent years. These cases are very disturbing and public reaction is one of horror. The role of the police and the social services come under intense scrutiny, and this can cause problems for maintaining the level of trust essential for policing by consent. </w:t>
      </w:r>
    </w:p>
    <w:p w14:paraId="5FBE774B"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The first case I will be focussing on is the tragic death of Baby P. This triggered a media storm, high profile resignations and a serious case review, which has directly led to changes in police procedure. In 2007 Peter Connelly a seventeen-month year old baby was found dead in his cot. His mother and her partner were found guilty of “causing or allowing” his death. Coming just a few years after the tragic death of Victoria Climbie at the hands of her aunt, the role of the police and social services was once more called into question by the media (Andy </w:t>
      </w:r>
      <w:proofErr w:type="spellStart"/>
      <w:r w:rsidRPr="00AE3A52">
        <w:rPr>
          <w:rFonts w:ascii="Arial" w:hAnsi="Arial" w:cs="Arial"/>
          <w:sz w:val="24"/>
          <w:szCs w:val="24"/>
        </w:rPr>
        <w:t>McNicoll</w:t>
      </w:r>
      <w:proofErr w:type="spellEnd"/>
      <w:r w:rsidRPr="00AE3A52">
        <w:rPr>
          <w:rFonts w:ascii="Arial" w:hAnsi="Arial" w:cs="Arial"/>
          <w:sz w:val="24"/>
          <w:szCs w:val="24"/>
        </w:rPr>
        <w:t xml:space="preserve"> ‘Baby P: Social Work’s Story’ Community Care August 3, 2017). Even though Peter had been seen sixty times by police, social services and doctors during the past eight months, his mother’s excuses for his injuries were not properly challenged. The sun newspaper tapped into public outrage and launched a campaign called for those involved to be sacked. </w:t>
      </w:r>
    </w:p>
    <w:p w14:paraId="28F35FB9"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A report in the Metropolitan Police Authority archives (4 December 2008) gives an outline of the case and the role of the police. A serious case review made 18 recommendations for the police. These recommendations relate the sharing of information between safeguarding agencies and the importance of taking photographs at the scene. </w:t>
      </w:r>
    </w:p>
    <w:p w14:paraId="1BAC1021"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As a serving police officer, I was made aware in training how vital it is to make the correct assessments when called to a child concern case </w:t>
      </w:r>
      <w:proofErr w:type="gramStart"/>
      <w:r w:rsidRPr="00AE3A52">
        <w:rPr>
          <w:rFonts w:ascii="Arial" w:hAnsi="Arial" w:cs="Arial"/>
          <w:sz w:val="24"/>
          <w:szCs w:val="24"/>
        </w:rPr>
        <w:t>in order to</w:t>
      </w:r>
      <w:proofErr w:type="gramEnd"/>
      <w:r w:rsidRPr="00AE3A52">
        <w:rPr>
          <w:rFonts w:ascii="Arial" w:hAnsi="Arial" w:cs="Arial"/>
          <w:sz w:val="24"/>
          <w:szCs w:val="24"/>
        </w:rPr>
        <w:t xml:space="preserve"> do all possible to avoid a repeat of the tragic case of Baby P. These include assessing how well the needs of the child are being met. Are they hungry? Is sufficient food being provided for them? Are they well clothed? What are the living conditions in terms of cleanliness? Are there any signs of danger? And of course, most importantly to check for signs of physical injury and harm. If an of these are present, an immediate referral is made to relevant agencies and the PPU department to carry out further investigations.</w:t>
      </w:r>
    </w:p>
    <w:p w14:paraId="32F38640" w14:textId="77777777" w:rsidR="00C42CA4" w:rsidRPr="00AE3A52" w:rsidRDefault="00C42CA4" w:rsidP="0090538D">
      <w:pPr>
        <w:pStyle w:val="NormalWeb"/>
        <w:shd w:val="clear" w:color="auto" w:fill="FFFFFF"/>
        <w:spacing w:before="0" w:beforeAutospacing="0" w:after="0" w:afterAutospacing="0" w:line="360" w:lineRule="auto"/>
        <w:textAlignment w:val="baseline"/>
        <w:rPr>
          <w:rFonts w:ascii="Arial" w:hAnsi="Arial" w:cs="Arial"/>
          <w:color w:val="222222"/>
        </w:rPr>
      </w:pPr>
      <w:r w:rsidRPr="00AE3A52">
        <w:rPr>
          <w:rFonts w:ascii="Arial" w:hAnsi="Arial" w:cs="Arial"/>
        </w:rPr>
        <w:lastRenderedPageBreak/>
        <w:t xml:space="preserve">It is clear to see that were many occasions missed by the police and social services to prevent the abuse of Peter’s young life. </w:t>
      </w:r>
    </w:p>
    <w:p w14:paraId="43720AEF" w14:textId="77777777" w:rsidR="00C42CA4" w:rsidRPr="00AE3A52" w:rsidRDefault="00C42CA4" w:rsidP="0090538D">
      <w:pPr>
        <w:spacing w:line="360" w:lineRule="auto"/>
        <w:rPr>
          <w:rFonts w:ascii="Arial" w:hAnsi="Arial" w:cs="Arial"/>
          <w:sz w:val="24"/>
          <w:szCs w:val="24"/>
        </w:rPr>
      </w:pPr>
    </w:p>
    <w:p w14:paraId="091A49D2"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Secondly, I will focus on the Sarah Everard case. Sarah Everard was kidnapped and raped by a serving police officer Wayne </w:t>
      </w:r>
      <w:proofErr w:type="spellStart"/>
      <w:r w:rsidRPr="00AE3A52">
        <w:rPr>
          <w:rFonts w:ascii="Arial" w:hAnsi="Arial" w:cs="Arial"/>
          <w:sz w:val="24"/>
          <w:szCs w:val="24"/>
        </w:rPr>
        <w:t>Couzens</w:t>
      </w:r>
      <w:proofErr w:type="spellEnd"/>
      <w:r w:rsidRPr="00AE3A52">
        <w:rPr>
          <w:rFonts w:ascii="Arial" w:hAnsi="Arial" w:cs="Arial"/>
          <w:sz w:val="24"/>
          <w:szCs w:val="24"/>
        </w:rPr>
        <w:t xml:space="preserve"> who used the authority and trust given to him as a </w:t>
      </w:r>
      <w:proofErr w:type="gramStart"/>
      <w:r w:rsidRPr="00AE3A52">
        <w:rPr>
          <w:rFonts w:ascii="Arial" w:hAnsi="Arial" w:cs="Arial"/>
          <w:sz w:val="24"/>
          <w:szCs w:val="24"/>
        </w:rPr>
        <w:t>police officers</w:t>
      </w:r>
      <w:proofErr w:type="gramEnd"/>
      <w:r w:rsidRPr="00AE3A52">
        <w:rPr>
          <w:rFonts w:ascii="Arial" w:hAnsi="Arial" w:cs="Arial"/>
          <w:sz w:val="24"/>
          <w:szCs w:val="24"/>
        </w:rPr>
        <w:t xml:space="preserve"> to commit this terrible crime. The case was heavily reported in the newspapers, and it has obviously caused a lack of trust in the police especially by young women. The metropolitan Police responded by </w:t>
      </w:r>
    </w:p>
    <w:p w14:paraId="508EAC58"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Appointing baroness Casey to conduct a review of Met culture. </w:t>
      </w:r>
    </w:p>
    <w:p w14:paraId="0C768882"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Publishing an action plan to tackle violence against women. </w:t>
      </w:r>
    </w:p>
    <w:p w14:paraId="3A5FA337"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Put more officers into public places. </w:t>
      </w:r>
    </w:p>
    <w:p w14:paraId="02055378"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Conducted an urgent review into police misconduct and vetting. </w:t>
      </w:r>
    </w:p>
    <w:p w14:paraId="215FD7F2"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Increased the focus on ensuring Professional Standards</w:t>
      </w:r>
    </w:p>
    <w:p w14:paraId="74EC1EFA" w14:textId="77777777" w:rsidR="00C42CA4" w:rsidRPr="00AE3A52" w:rsidRDefault="00C42CA4" w:rsidP="0090538D">
      <w:pPr>
        <w:spacing w:line="360" w:lineRule="auto"/>
        <w:rPr>
          <w:rFonts w:ascii="Arial" w:hAnsi="Arial" w:cs="Arial"/>
          <w:sz w:val="24"/>
          <w:szCs w:val="24"/>
        </w:rPr>
      </w:pPr>
    </w:p>
    <w:p w14:paraId="216D5947" w14:textId="77777777" w:rsidR="00C42CA4" w:rsidRPr="00AE3A52" w:rsidRDefault="00C42CA4" w:rsidP="0090538D">
      <w:pPr>
        <w:spacing w:line="360" w:lineRule="auto"/>
        <w:rPr>
          <w:rFonts w:ascii="Arial" w:hAnsi="Arial" w:cs="Arial"/>
          <w:sz w:val="24"/>
          <w:szCs w:val="24"/>
        </w:rPr>
      </w:pPr>
      <w:r w:rsidRPr="00AE3A52">
        <w:rPr>
          <w:rFonts w:ascii="Arial" w:hAnsi="Arial" w:cs="Arial"/>
          <w:sz w:val="24"/>
          <w:szCs w:val="24"/>
        </w:rPr>
        <w:t xml:space="preserve">Word count </w:t>
      </w:r>
      <w:proofErr w:type="gramStart"/>
      <w:r w:rsidRPr="00AE3A52">
        <w:rPr>
          <w:rFonts w:ascii="Arial" w:hAnsi="Arial" w:cs="Arial"/>
          <w:sz w:val="24"/>
          <w:szCs w:val="24"/>
        </w:rPr>
        <w:t>at the moment</w:t>
      </w:r>
      <w:proofErr w:type="gramEnd"/>
      <w:r w:rsidRPr="00AE3A52">
        <w:rPr>
          <w:rFonts w:ascii="Arial" w:hAnsi="Arial" w:cs="Arial"/>
          <w:sz w:val="24"/>
          <w:szCs w:val="24"/>
        </w:rPr>
        <w:t xml:space="preserve"> - 816</w:t>
      </w:r>
    </w:p>
    <w:p w14:paraId="4FB90659" w14:textId="3BFE81E5" w:rsidR="00C42CA4" w:rsidRPr="00AE3A52" w:rsidRDefault="00C42CA4" w:rsidP="0090538D">
      <w:pPr>
        <w:pStyle w:val="beltel-ebe0ecc6root"/>
        <w:shd w:val="clear" w:color="auto" w:fill="FFFFFF"/>
        <w:spacing w:before="0" w:beforeAutospacing="0" w:after="0" w:afterAutospacing="0" w:line="360" w:lineRule="auto"/>
        <w:rPr>
          <w:rFonts w:ascii="Arial" w:hAnsi="Arial" w:cs="Arial"/>
        </w:rPr>
      </w:pPr>
    </w:p>
    <w:p w14:paraId="5E6C716B" w14:textId="76AC9A5C" w:rsidR="00B4442D" w:rsidRPr="00AE3A52" w:rsidRDefault="00B4442D" w:rsidP="0090538D">
      <w:pPr>
        <w:pStyle w:val="beltel-ebe0ecc6root"/>
        <w:shd w:val="clear" w:color="auto" w:fill="FFFFFF"/>
        <w:spacing w:before="0" w:beforeAutospacing="0" w:after="0" w:afterAutospacing="0" w:line="360" w:lineRule="auto"/>
        <w:rPr>
          <w:rFonts w:ascii="Arial" w:hAnsi="Arial" w:cs="Arial"/>
          <w:color w:val="000000" w:themeColor="text1"/>
        </w:rPr>
      </w:pPr>
    </w:p>
    <w:p w14:paraId="1BDD3375" w14:textId="77777777" w:rsidR="00D11245" w:rsidRPr="00AE3A52" w:rsidRDefault="00D11245" w:rsidP="0090538D">
      <w:pPr>
        <w:pStyle w:val="beltel-ebe0ecc6root"/>
        <w:shd w:val="clear" w:color="auto" w:fill="FFFFFF"/>
        <w:spacing w:before="0" w:beforeAutospacing="0" w:after="0" w:afterAutospacing="0" w:line="360" w:lineRule="auto"/>
        <w:rPr>
          <w:rFonts w:ascii="Arial" w:hAnsi="Arial" w:cs="Arial"/>
          <w:color w:val="000000" w:themeColor="text1"/>
        </w:rPr>
      </w:pPr>
    </w:p>
    <w:p w14:paraId="69DC4939" w14:textId="77777777" w:rsidR="001B3A2F" w:rsidRPr="00AE3A52" w:rsidRDefault="001B3A2F" w:rsidP="0090538D">
      <w:pPr>
        <w:pStyle w:val="beltel-ebe0ecc6root"/>
        <w:shd w:val="clear" w:color="auto" w:fill="FFFFFF"/>
        <w:spacing w:before="0" w:beforeAutospacing="0" w:after="0" w:afterAutospacing="0" w:line="360" w:lineRule="auto"/>
        <w:rPr>
          <w:rFonts w:ascii="Arial" w:hAnsi="Arial" w:cs="Arial"/>
        </w:rPr>
      </w:pPr>
    </w:p>
    <w:p w14:paraId="5E447452" w14:textId="032F508C"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4931CDC5" w14:textId="77777777"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3F557AA4" w14:textId="4D4EBAD9"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6062E56E" w14:textId="77777777"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4D55D6E6" w14:textId="77777777"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6461A418" w14:textId="10E11F23"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27744334" w14:textId="77777777"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2F4800BF" w14:textId="3B11FB76" w:rsidR="00042D89" w:rsidRPr="00AE3A52" w:rsidRDefault="00042D89" w:rsidP="0090538D">
      <w:pPr>
        <w:pStyle w:val="beltel-ebe0ecc6root"/>
        <w:shd w:val="clear" w:color="auto" w:fill="FFFFFF"/>
        <w:spacing w:before="0" w:beforeAutospacing="0" w:after="0" w:afterAutospacing="0" w:line="360" w:lineRule="auto"/>
        <w:rPr>
          <w:rFonts w:ascii="Arial" w:hAnsi="Arial" w:cs="Arial"/>
        </w:rPr>
      </w:pPr>
    </w:p>
    <w:p w14:paraId="3BE8AE1E" w14:textId="77777777" w:rsidR="005132E2" w:rsidRPr="00AE3A52" w:rsidRDefault="005132E2" w:rsidP="0090538D">
      <w:pPr>
        <w:pStyle w:val="beltel-ebe0ecc6root"/>
        <w:shd w:val="clear" w:color="auto" w:fill="FFFFFF"/>
        <w:spacing w:before="0" w:beforeAutospacing="0" w:after="0" w:afterAutospacing="0" w:line="360" w:lineRule="auto"/>
        <w:rPr>
          <w:rFonts w:ascii="Arial" w:hAnsi="Arial" w:cs="Arial"/>
        </w:rPr>
      </w:pPr>
    </w:p>
    <w:p w14:paraId="697C0E0A" w14:textId="77777777" w:rsidR="00042D89" w:rsidRPr="00AE3A52" w:rsidRDefault="00042D89" w:rsidP="0090538D">
      <w:pPr>
        <w:pStyle w:val="beltel-ebe0ecc6root"/>
        <w:shd w:val="clear" w:color="auto" w:fill="FFFFFF"/>
        <w:spacing w:before="0" w:beforeAutospacing="0" w:after="0" w:afterAutospacing="0" w:line="360" w:lineRule="auto"/>
        <w:rPr>
          <w:rFonts w:ascii="Arial" w:hAnsi="Arial" w:cs="Arial"/>
        </w:rPr>
      </w:pPr>
    </w:p>
    <w:p w14:paraId="001FF275" w14:textId="77777777" w:rsidR="0090538D" w:rsidRDefault="0090538D" w:rsidP="0090538D">
      <w:pPr>
        <w:spacing w:line="360" w:lineRule="auto"/>
        <w:rPr>
          <w:rFonts w:ascii="Arial" w:hAnsi="Arial" w:cs="Arial"/>
          <w:sz w:val="24"/>
          <w:szCs w:val="24"/>
        </w:rPr>
      </w:pPr>
    </w:p>
    <w:p w14:paraId="6D641834" w14:textId="33AC9D6B"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lastRenderedPageBreak/>
        <w:t xml:space="preserve">Cameron O’Sullivan </w:t>
      </w:r>
    </w:p>
    <w:p w14:paraId="34016F50"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Student Number – 2124837 </w:t>
      </w:r>
    </w:p>
    <w:p w14:paraId="571ADF74"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How effective is early intervention in preventing young people from offending, or re – offending?</w:t>
      </w:r>
    </w:p>
    <w:p w14:paraId="0DBD3415"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In this essay I will be focusing on how early intervention can prevent young people from offending or re offending and considering how effective current practice is. An important part of policing is prevention of crime even at the level of a school liaison officer attending local schools and briefing young children on the consequences of falling into the life of crime. </w:t>
      </w:r>
    </w:p>
    <w:p w14:paraId="2E83CA4B"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According to ‘Prevention and Early Intervention’ (youth.gov) there are two pathways into crime for young people, the first is those where ‘severe antisocial behaviour begins in early childhood.’ The second is those where delinquent behaviour begins ‘with entry into adolescence’. </w:t>
      </w:r>
    </w:p>
    <w:p w14:paraId="10F46FB9"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It has been found that the first group are ‘two to three times’ more likely to be violent and repeat offenders, highlighting how important it is to step in as early as possible. </w:t>
      </w:r>
    </w:p>
    <w:p w14:paraId="0C6EC2D5"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The importance of intervening with the second group is to prevent them going on to become offenders and repeat offenders as they are more likely to fall into this behaviour due to peer pressure and cultural environment. The article finds that tackling the problem of youth crime as early as possible not only saves money by preventing youths from ending up in prison as adults, but it also prevents ‘young lives from being wasted’ and steps in before they grow into serious and repeat offending adults. We give cautions and not send them to court so they don’t have convictions and ruin their future career opportunities.</w:t>
      </w:r>
    </w:p>
    <w:p w14:paraId="626B9FAF"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Now I am going to say a little bit about some of the interventions in place to reduce adolescent crime. One example the metropolitan police divert programme. According to the ‘Evaluation of Divert’ (College of Policing, 2021) the Metropolitan Police Service DIVERT intervention targets young adults between the ages of 18-25 and aims to prevent them from reoffending by developing action plans which are ‘tailored to the individual.’ This can include finding them suitable accommodation or providing help with securing employment. The report finds that there are positive outcomes with a reduction in reoffending statistics for those targeted. </w:t>
      </w:r>
    </w:p>
    <w:p w14:paraId="55D9DA89"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lastRenderedPageBreak/>
        <w:t>Targeting young people when they are first involved in criminal activity can be a way of stopping them getting deeper into a life of crime. Police have the authority to stop and search a young person if they suspect they are carrying a knife or other type of weapon or have drugs in their personal possession. More recently police officers will be aware of the dangers of unfairly stereotyping BAME (Black, Asian and minority ethnic). Research suggests that stop and search should be targeted as random stop and search does not reduce crime. (Change the emphasis of this so it is towards encouraging them to engage with youth services, and not to alienate them or make them think it is them against the system)</w:t>
      </w:r>
    </w:p>
    <w:p w14:paraId="21A18B12"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An obvious cause of children becoming involved in crime is poverty and social deprivation, children services can play a big part along with the police in identifying children exposed to poor living conditions whereby organised crime groups can take advantage of them. ‘Early interventions to reduce violent crime’ (POSTNOTE 599 April 2019, The Parliamentary Officers of Science and Technology) finds that living in an area of deprivation with high unemployment was a major risk factor in becoming involved in violent crime’. The report finds that targeted early intervention programmes ‘reduces the likelihood of later committing serious crime.’ These interventions can include mentoring by a trustworthy adult, family therapy, mental health support, financial </w:t>
      </w:r>
      <w:proofErr w:type="gramStart"/>
      <w:r w:rsidRPr="00AE3A52">
        <w:rPr>
          <w:rFonts w:ascii="Arial" w:hAnsi="Arial" w:cs="Arial"/>
          <w:sz w:val="24"/>
          <w:szCs w:val="24"/>
        </w:rPr>
        <w:t>support</w:t>
      </w:r>
      <w:proofErr w:type="gramEnd"/>
      <w:r w:rsidRPr="00AE3A52">
        <w:rPr>
          <w:rFonts w:ascii="Arial" w:hAnsi="Arial" w:cs="Arial"/>
          <w:sz w:val="24"/>
          <w:szCs w:val="24"/>
        </w:rPr>
        <w:t xml:space="preserve"> and school inclusion. </w:t>
      </w:r>
    </w:p>
    <w:p w14:paraId="4D60E816"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Community policing is an important part of reducing youth crime, having a higher police presence in areas where youths are more likely to get involved in petty crime such a shoplifting or car theft can help to prevent those young people going on to become involved in more serious crime. </w:t>
      </w:r>
    </w:p>
    <w:p w14:paraId="19B476D3" w14:textId="2EDEA2D1"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According to the article ‘Tackling youth crime and reforming youth justice throughout England and Wales’. The police and other organisations should work together to prevent youth offending it prioritises Avoiding school exclusion, preventing domestic violence, preventing alcohol and drug problems, prioritise children in care. Word count at the moment </w:t>
      </w:r>
      <w:proofErr w:type="gramStart"/>
      <w:r w:rsidRPr="00AE3A52">
        <w:rPr>
          <w:rFonts w:ascii="Arial" w:hAnsi="Arial" w:cs="Arial"/>
          <w:sz w:val="24"/>
          <w:szCs w:val="24"/>
        </w:rPr>
        <w:t>–  6</w:t>
      </w:r>
      <w:r w:rsidRPr="00AE3A52">
        <w:rPr>
          <w:rFonts w:ascii="Arial" w:hAnsi="Arial" w:cs="Arial"/>
          <w:sz w:val="24"/>
          <w:szCs w:val="24"/>
        </w:rPr>
        <w:t>73</w:t>
      </w:r>
      <w:proofErr w:type="gramEnd"/>
    </w:p>
    <w:p w14:paraId="2F7536EF" w14:textId="77777777" w:rsidR="0090538D" w:rsidRDefault="0090538D" w:rsidP="0090538D">
      <w:pPr>
        <w:spacing w:line="360" w:lineRule="auto"/>
        <w:rPr>
          <w:rFonts w:ascii="Arial" w:hAnsi="Arial" w:cs="Arial"/>
          <w:sz w:val="24"/>
          <w:szCs w:val="24"/>
        </w:rPr>
      </w:pPr>
    </w:p>
    <w:p w14:paraId="4AAD96AA" w14:textId="77777777" w:rsidR="0090538D" w:rsidRDefault="0090538D" w:rsidP="0090538D">
      <w:pPr>
        <w:spacing w:line="360" w:lineRule="auto"/>
        <w:rPr>
          <w:rFonts w:ascii="Arial" w:hAnsi="Arial" w:cs="Arial"/>
          <w:sz w:val="24"/>
          <w:szCs w:val="24"/>
        </w:rPr>
      </w:pPr>
    </w:p>
    <w:p w14:paraId="5A8AA1DA" w14:textId="77777777" w:rsidR="0090538D" w:rsidRDefault="0090538D" w:rsidP="0090538D">
      <w:pPr>
        <w:spacing w:line="360" w:lineRule="auto"/>
        <w:rPr>
          <w:rFonts w:ascii="Arial" w:hAnsi="Arial" w:cs="Arial"/>
          <w:sz w:val="24"/>
          <w:szCs w:val="24"/>
        </w:rPr>
      </w:pPr>
    </w:p>
    <w:p w14:paraId="0D884934" w14:textId="77777777" w:rsidR="0090538D" w:rsidRPr="00AE3A52" w:rsidRDefault="0090538D" w:rsidP="0090538D">
      <w:pPr>
        <w:spacing w:line="360" w:lineRule="auto"/>
        <w:rPr>
          <w:rFonts w:ascii="Arial" w:hAnsi="Arial" w:cs="Arial"/>
          <w:sz w:val="24"/>
          <w:szCs w:val="24"/>
        </w:rPr>
      </w:pPr>
      <w:r w:rsidRPr="00AE3A52">
        <w:rPr>
          <w:rFonts w:ascii="Arial" w:hAnsi="Arial" w:cs="Arial"/>
          <w:sz w:val="24"/>
          <w:szCs w:val="24"/>
        </w:rPr>
        <w:lastRenderedPageBreak/>
        <w:t xml:space="preserve">Cameron O’Sullivan </w:t>
      </w:r>
    </w:p>
    <w:p w14:paraId="406CFF8C" w14:textId="77777777" w:rsidR="0090538D" w:rsidRPr="00AE3A52" w:rsidRDefault="0090538D" w:rsidP="0090538D">
      <w:pPr>
        <w:spacing w:line="360" w:lineRule="auto"/>
        <w:rPr>
          <w:rFonts w:ascii="Arial" w:hAnsi="Arial" w:cs="Arial"/>
          <w:sz w:val="24"/>
          <w:szCs w:val="24"/>
        </w:rPr>
      </w:pPr>
      <w:r w:rsidRPr="00AE3A52">
        <w:rPr>
          <w:rFonts w:ascii="Arial" w:hAnsi="Arial" w:cs="Arial"/>
          <w:sz w:val="24"/>
          <w:szCs w:val="24"/>
        </w:rPr>
        <w:t xml:space="preserve">Student Number – 2124837 </w:t>
      </w:r>
    </w:p>
    <w:p w14:paraId="2E18FD13" w14:textId="136FFF44"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Are partnership approaches the most effective means of rehabilitating offenders? </w:t>
      </w:r>
    </w:p>
    <w:p w14:paraId="0FB190E1"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In this essay I am going to talk about if partnership approaches are the most effective means of rehabilitating offenders. </w:t>
      </w:r>
    </w:p>
    <w:p w14:paraId="2A0FCC73"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What is a partnership approach in this context?</w:t>
      </w:r>
    </w:p>
    <w:p w14:paraId="3B2320E8"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It is something the Government started to implement with the Crime and Disorder Act 1998 and subsequent amendments which made it mandatory for ‘responsible authorities’, </w:t>
      </w:r>
      <w:proofErr w:type="gramStart"/>
      <w:r w:rsidRPr="00AE3A52">
        <w:rPr>
          <w:rFonts w:ascii="Arial" w:hAnsi="Arial" w:cs="Arial"/>
          <w:sz w:val="24"/>
          <w:szCs w:val="24"/>
        </w:rPr>
        <w:t>councils</w:t>
      </w:r>
      <w:proofErr w:type="gramEnd"/>
      <w:r w:rsidRPr="00AE3A52">
        <w:rPr>
          <w:rFonts w:ascii="Arial" w:hAnsi="Arial" w:cs="Arial"/>
          <w:sz w:val="24"/>
          <w:szCs w:val="24"/>
        </w:rPr>
        <w:t xml:space="preserve"> and the police to work together and reduce crime. Further legislation included health probation and the fire service so taking a partnership approach. This led to the creation of Community (Safety) Partnerships, working together to reduce crime. (Local Government Association Briefing - Community Safety Partnerships)</w:t>
      </w:r>
    </w:p>
    <w:p w14:paraId="4DB248E9"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Additionally, Her Majesty’s Prison Service, and Probation, were two agencies who worked separately with offenders, so in early 2004 the Government amalgamated them into one agency, forcing them to work together as partners. This new agency was the National Offender Management Service (NOMS). By this time research had identified that approximately 10% of offenders were responsible for half of all crime, which presented a significant opportunity to reduce crime. This was the driver for the launch of the Prolific and Other Priority Offender scheme (PPO) in September 2004. The PPO programme allowed local partnerships to identify and select offenders who they considered to be the most ‘prolific’ and or </w:t>
      </w:r>
      <w:proofErr w:type="gramStart"/>
      <w:r w:rsidRPr="00AE3A52">
        <w:rPr>
          <w:rFonts w:ascii="Arial" w:hAnsi="Arial" w:cs="Arial"/>
          <w:sz w:val="24"/>
          <w:szCs w:val="24"/>
        </w:rPr>
        <w:t>a  ‘</w:t>
      </w:r>
      <w:proofErr w:type="gramEnd"/>
      <w:r w:rsidRPr="00AE3A52">
        <w:rPr>
          <w:rFonts w:ascii="Arial" w:hAnsi="Arial" w:cs="Arial"/>
          <w:sz w:val="24"/>
          <w:szCs w:val="24"/>
        </w:rPr>
        <w:t>priority’, who presented the greatest risk of reoffending or seriousness of offending. The idea was that by working together agencies could have a greater impact.</w:t>
      </w:r>
    </w:p>
    <w:p w14:paraId="4BA3EA4F"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There were three strands to the PPO scheme:</w:t>
      </w:r>
    </w:p>
    <w:p w14:paraId="6A60C678" w14:textId="77777777" w:rsidR="00AE3A52" w:rsidRPr="00AE3A52" w:rsidRDefault="00AE3A52" w:rsidP="0090538D">
      <w:pPr>
        <w:pStyle w:val="ListParagraph"/>
        <w:numPr>
          <w:ilvl w:val="0"/>
          <w:numId w:val="2"/>
        </w:numPr>
        <w:spacing w:line="360" w:lineRule="auto"/>
        <w:rPr>
          <w:rFonts w:ascii="Arial" w:hAnsi="Arial" w:cs="Arial"/>
          <w:sz w:val="24"/>
          <w:szCs w:val="24"/>
        </w:rPr>
      </w:pPr>
      <w:r w:rsidRPr="00AE3A52">
        <w:rPr>
          <w:rFonts w:ascii="Arial" w:hAnsi="Arial" w:cs="Arial"/>
          <w:sz w:val="24"/>
          <w:szCs w:val="24"/>
        </w:rPr>
        <w:t>Prevent and Deter (P&amp;D) – Aimed at helping people to not get into a life of crime.</w:t>
      </w:r>
    </w:p>
    <w:p w14:paraId="1DAAC768" w14:textId="77777777" w:rsidR="00AE3A52" w:rsidRPr="00AE3A52" w:rsidRDefault="00AE3A52" w:rsidP="0090538D">
      <w:pPr>
        <w:pStyle w:val="ListParagraph"/>
        <w:numPr>
          <w:ilvl w:val="0"/>
          <w:numId w:val="2"/>
        </w:numPr>
        <w:spacing w:line="360" w:lineRule="auto"/>
        <w:rPr>
          <w:rFonts w:ascii="Arial" w:hAnsi="Arial" w:cs="Arial"/>
          <w:sz w:val="24"/>
          <w:szCs w:val="24"/>
        </w:rPr>
      </w:pPr>
      <w:r w:rsidRPr="00AE3A52">
        <w:rPr>
          <w:rFonts w:ascii="Arial" w:hAnsi="Arial" w:cs="Arial"/>
          <w:sz w:val="24"/>
          <w:szCs w:val="24"/>
        </w:rPr>
        <w:t>Catch and Convict (C&amp;C) – Aimed at reducing the time between someone committing an offence and being convicted.</w:t>
      </w:r>
    </w:p>
    <w:p w14:paraId="3BB0A424" w14:textId="77777777" w:rsidR="00AE3A52" w:rsidRPr="00AE3A52" w:rsidRDefault="00AE3A52" w:rsidP="0090538D">
      <w:pPr>
        <w:pStyle w:val="ListParagraph"/>
        <w:numPr>
          <w:ilvl w:val="0"/>
          <w:numId w:val="2"/>
        </w:numPr>
        <w:spacing w:line="360" w:lineRule="auto"/>
        <w:rPr>
          <w:rFonts w:ascii="Arial" w:hAnsi="Arial" w:cs="Arial"/>
          <w:sz w:val="24"/>
          <w:szCs w:val="24"/>
        </w:rPr>
      </w:pPr>
      <w:r w:rsidRPr="00AE3A52">
        <w:rPr>
          <w:rFonts w:ascii="Arial" w:hAnsi="Arial" w:cs="Arial"/>
          <w:sz w:val="24"/>
          <w:szCs w:val="24"/>
        </w:rPr>
        <w:lastRenderedPageBreak/>
        <w:t>Rehabilitation and Resettle (R&amp;R) – Helping offenders move out of a life of crime.</w:t>
      </w:r>
    </w:p>
    <w:p w14:paraId="0295DE3C"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The Home Office report ‘Early findings from the prolific and other priority offenders’ evaluation’ focuses on how and why people re-offend. It references the findings </w:t>
      </w:r>
      <w:proofErr w:type="gramStart"/>
      <w:r w:rsidRPr="00AE3A52">
        <w:rPr>
          <w:rFonts w:ascii="Arial" w:hAnsi="Arial" w:cs="Arial"/>
          <w:sz w:val="24"/>
          <w:szCs w:val="24"/>
        </w:rPr>
        <w:t>that  a</w:t>
      </w:r>
      <w:proofErr w:type="gramEnd"/>
      <w:r w:rsidRPr="00AE3A52">
        <w:rPr>
          <w:rFonts w:ascii="Arial" w:hAnsi="Arial" w:cs="Arial"/>
          <w:sz w:val="24"/>
          <w:szCs w:val="24"/>
        </w:rPr>
        <w:t xml:space="preserve"> ‘small number of offenders’ are responsible for ‘a disproportionality large amount of crime’ (Page 1). It finds that factors linked to offending can be identified as including the following… education training and employment, criminal lifestyle and associates, drug and alcohol misuse, accommodation problems and finance problems.</w:t>
      </w:r>
    </w:p>
    <w:p w14:paraId="4A7B5F84"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In due course the PPO scheme was replaced by Integrated Offender Management (IOM). </w:t>
      </w:r>
    </w:p>
    <w:p w14:paraId="7A0C1BE0"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Rehabilitating Offenders</w:t>
      </w:r>
    </w:p>
    <w:p w14:paraId="3D9657D0"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We can see from the factors that influence offending that most of those sit outside the remit of the police, or any other single agency. If these are the things that keep people in a life of crime, the only way to help offenders move out of a life of crime is for multiple agencies to work together, to work together as partnerships.</w:t>
      </w:r>
    </w:p>
    <w:p w14:paraId="4BB38EB8"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It is clear by addressing these factors with agencies that can help in many ways that criminal behaviour can be reduced and prevented. </w:t>
      </w:r>
    </w:p>
    <w:p w14:paraId="4276FF9C"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Other agencies that work with drugs and alcohol abuse as a trigger for crime. </w:t>
      </w:r>
    </w:p>
    <w:p w14:paraId="6A38EA8C"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benefits included better data sharing and partnership between agencies involved in preventing reoffending. </w:t>
      </w:r>
    </w:p>
    <w:p w14:paraId="248AE5C3"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Is it the most effective approach?</w:t>
      </w:r>
    </w:p>
    <w:p w14:paraId="7F9D28B3"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The Prolific and Other Priority Offenders Evaluation’ (Home Officers, 2005) analysed the data for six months after the scheme started and found a 10% reduction in recorded convictions for the first PPO participants compared with the previous six months.</w:t>
      </w:r>
    </w:p>
    <w:p w14:paraId="4B2F6A71"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An article in local government in associations on community safety partnerships found that local multi agencies partnerships working was “vital in preventing and reducing crime”. Making the police and other agencies work more closely together led to better sharing of information, more cooperation and ultimately in a reduction of </w:t>
      </w:r>
      <w:r w:rsidRPr="00AE3A52">
        <w:rPr>
          <w:rFonts w:ascii="Arial" w:hAnsi="Arial" w:cs="Arial"/>
          <w:sz w:val="24"/>
          <w:szCs w:val="24"/>
        </w:rPr>
        <w:lastRenderedPageBreak/>
        <w:t>crime. Ronnie Flanagan finds that ‘policing is too important to be left to the police alone’ (Community safety partnerships, local government association).</w:t>
      </w:r>
    </w:p>
    <w:p w14:paraId="75133E00"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A report in 2020 into the IOM (Integrated Offender Management) which was established in 1909 to bring a cross agency response to dealing with crime found some areas to celebrate but also a lot to improve on. </w:t>
      </w:r>
    </w:p>
    <w:p w14:paraId="7E3E74BE" w14:textId="77777777" w:rsidR="00AE3A52" w:rsidRPr="00AE3A52" w:rsidRDefault="00AE3A52" w:rsidP="0090538D">
      <w:pPr>
        <w:spacing w:line="360" w:lineRule="auto"/>
        <w:rPr>
          <w:rFonts w:ascii="Arial" w:hAnsi="Arial" w:cs="Arial"/>
          <w:sz w:val="24"/>
          <w:szCs w:val="24"/>
        </w:rPr>
      </w:pPr>
    </w:p>
    <w:p w14:paraId="3D1188D9"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However, it was felt that more work needed to be done to identify the precise effect of PPO when measured against other factors, such as overall level of crime. In determining the challenges of setting up the scheme it was found that ‘lack of specific additional funding’ was a problem and lack of extra resources made it more difficult to manage properly. The Home Officer report finds a welcome part of their report to be that ‘the police, probation and youth offending teams are very strongly engaged with the programme.’ (Home Office, 2005, p.5). However, it lists other agencies such as accommodation, education, and employment as being ‘largely absent’. (Home Office, 2005, p.5).</w:t>
      </w:r>
    </w:p>
    <w:p w14:paraId="64BBAEFE"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 xml:space="preserve">Cost was a big factor </w:t>
      </w:r>
      <w:proofErr w:type="gramStart"/>
      <w:r w:rsidRPr="00AE3A52">
        <w:rPr>
          <w:rFonts w:ascii="Arial" w:hAnsi="Arial" w:cs="Arial"/>
          <w:sz w:val="24"/>
          <w:szCs w:val="24"/>
        </w:rPr>
        <w:t>and also</w:t>
      </w:r>
      <w:proofErr w:type="gramEnd"/>
      <w:r w:rsidRPr="00AE3A52">
        <w:rPr>
          <w:rFonts w:ascii="Arial" w:hAnsi="Arial" w:cs="Arial"/>
          <w:sz w:val="24"/>
          <w:szCs w:val="24"/>
        </w:rPr>
        <w:t xml:space="preserve"> workload. It found that “Less than </w:t>
      </w:r>
      <w:proofErr w:type="gramStart"/>
      <w:r w:rsidRPr="00AE3A52">
        <w:rPr>
          <w:rFonts w:ascii="Arial" w:hAnsi="Arial" w:cs="Arial"/>
          <w:sz w:val="24"/>
          <w:szCs w:val="24"/>
        </w:rPr>
        <w:t>half..</w:t>
      </w:r>
      <w:proofErr w:type="gramEnd"/>
      <w:r w:rsidRPr="00AE3A52">
        <w:rPr>
          <w:rFonts w:ascii="Arial" w:hAnsi="Arial" w:cs="Arial"/>
          <w:sz w:val="24"/>
          <w:szCs w:val="24"/>
        </w:rPr>
        <w:t xml:space="preserve"> </w:t>
      </w:r>
      <w:proofErr w:type="spellStart"/>
      <w:r w:rsidRPr="00AE3A52">
        <w:rPr>
          <w:rFonts w:ascii="Arial" w:hAnsi="Arial" w:cs="Arial"/>
          <w:sz w:val="24"/>
          <w:szCs w:val="24"/>
        </w:rPr>
        <w:t>were</w:t>
      </w:r>
      <w:proofErr w:type="spellEnd"/>
      <w:r w:rsidRPr="00AE3A52">
        <w:rPr>
          <w:rFonts w:ascii="Arial" w:hAnsi="Arial" w:cs="Arial"/>
          <w:sz w:val="24"/>
          <w:szCs w:val="24"/>
        </w:rPr>
        <w:t xml:space="preserve"> getting the drug and alcohol misuse services they needed” It also found that “The roles of police and probation had blurred, and the police were more actively engaged in the delivery of rehabilitation work than the probation service”. </w:t>
      </w:r>
    </w:p>
    <w:p w14:paraId="0F352F07" w14:textId="77777777" w:rsidR="00AE3A52" w:rsidRPr="00AE3A52" w:rsidRDefault="00AE3A52" w:rsidP="0090538D">
      <w:pPr>
        <w:spacing w:line="360" w:lineRule="auto"/>
        <w:rPr>
          <w:rFonts w:ascii="Arial" w:hAnsi="Arial" w:cs="Arial"/>
          <w:sz w:val="24"/>
          <w:szCs w:val="24"/>
        </w:rPr>
      </w:pPr>
      <w:r w:rsidRPr="00AE3A52">
        <w:rPr>
          <w:rFonts w:ascii="Arial" w:hAnsi="Arial" w:cs="Arial"/>
          <w:sz w:val="24"/>
          <w:szCs w:val="24"/>
        </w:rPr>
        <w:t>In my local area a report from South Wales Criminal Justice Board on ‘Integrated Offender Management’ looks at how Integrated Offender Management (IOM) can build on the success of MAPPA and PPO schemes (CJS</w:t>
      </w:r>
      <w:proofErr w:type="gramStart"/>
      <w:r w:rsidRPr="00AE3A52">
        <w:rPr>
          <w:rFonts w:ascii="Arial" w:hAnsi="Arial" w:cs="Arial"/>
          <w:sz w:val="24"/>
          <w:szCs w:val="24"/>
        </w:rPr>
        <w:t>,.P.</w:t>
      </w:r>
      <w:proofErr w:type="gramEnd"/>
      <w:r w:rsidRPr="00AE3A52">
        <w:rPr>
          <w:rFonts w:ascii="Arial" w:hAnsi="Arial" w:cs="Arial"/>
          <w:sz w:val="24"/>
          <w:szCs w:val="24"/>
        </w:rPr>
        <w:t xml:space="preserve"> 76) introduced in 2018, IOM Wales aimed to extend services to a wider group of offenders and to use a whole system approach, as well as pooling available information and resources. The Criminal Justice Report finds that South Wales Police have a key role to play in ‘delivering the catch and convict elements of the PPO scheme. </w:t>
      </w:r>
    </w:p>
    <w:p w14:paraId="0659D07A" w14:textId="3094656B" w:rsidR="00AE3A52" w:rsidRDefault="00AE3A52" w:rsidP="0090538D">
      <w:pPr>
        <w:spacing w:line="360" w:lineRule="auto"/>
        <w:rPr>
          <w:rFonts w:ascii="Arial" w:hAnsi="Arial" w:cs="Arial"/>
          <w:sz w:val="24"/>
          <w:szCs w:val="24"/>
        </w:rPr>
      </w:pPr>
      <w:r w:rsidRPr="00AE3A52">
        <w:rPr>
          <w:rFonts w:ascii="Arial" w:hAnsi="Arial" w:cs="Arial"/>
          <w:sz w:val="24"/>
          <w:szCs w:val="24"/>
        </w:rPr>
        <w:t>WORD COUNT AT THE MOMENT – 902</w:t>
      </w:r>
    </w:p>
    <w:p w14:paraId="48037F41" w14:textId="4935C218" w:rsidR="0090538D" w:rsidRDefault="0090538D" w:rsidP="0090538D">
      <w:pPr>
        <w:spacing w:line="360" w:lineRule="auto"/>
        <w:rPr>
          <w:rFonts w:ascii="Arial" w:hAnsi="Arial" w:cs="Arial"/>
          <w:sz w:val="24"/>
          <w:szCs w:val="24"/>
        </w:rPr>
      </w:pPr>
    </w:p>
    <w:p w14:paraId="2E63F89F" w14:textId="74C98566" w:rsidR="0090538D" w:rsidRDefault="0090538D" w:rsidP="0090538D">
      <w:pPr>
        <w:spacing w:line="360" w:lineRule="auto"/>
        <w:rPr>
          <w:rFonts w:ascii="Arial" w:hAnsi="Arial" w:cs="Arial"/>
          <w:sz w:val="24"/>
          <w:szCs w:val="24"/>
        </w:rPr>
      </w:pPr>
      <w:r>
        <w:rPr>
          <w:rFonts w:ascii="Arial" w:hAnsi="Arial" w:cs="Arial"/>
          <w:sz w:val="24"/>
          <w:szCs w:val="24"/>
        </w:rPr>
        <w:t xml:space="preserve">For reference bibliography is not completed yet. </w:t>
      </w:r>
    </w:p>
    <w:p w14:paraId="720F917D" w14:textId="77777777" w:rsidR="0090538D" w:rsidRPr="00AE3A52" w:rsidRDefault="0090538D" w:rsidP="0090538D">
      <w:pPr>
        <w:spacing w:line="360" w:lineRule="auto"/>
        <w:rPr>
          <w:rFonts w:ascii="Arial" w:hAnsi="Arial" w:cs="Arial"/>
          <w:sz w:val="24"/>
          <w:szCs w:val="24"/>
        </w:rPr>
      </w:pPr>
    </w:p>
    <w:p w14:paraId="690D056C" w14:textId="36F5E723" w:rsidR="00C42CA4" w:rsidRPr="00AE3A52" w:rsidRDefault="00C42CA4" w:rsidP="0090538D">
      <w:pPr>
        <w:spacing w:line="360" w:lineRule="auto"/>
        <w:rPr>
          <w:rFonts w:ascii="Arial" w:hAnsi="Arial" w:cs="Arial"/>
          <w:sz w:val="24"/>
          <w:szCs w:val="24"/>
        </w:rPr>
      </w:pPr>
    </w:p>
    <w:p w14:paraId="12B0EDAE" w14:textId="77777777" w:rsidR="00AE3A52" w:rsidRPr="00AE3A52" w:rsidRDefault="00AE3A52" w:rsidP="0090538D">
      <w:pPr>
        <w:spacing w:line="360" w:lineRule="auto"/>
        <w:rPr>
          <w:rFonts w:ascii="Arial" w:hAnsi="Arial" w:cs="Arial"/>
          <w:sz w:val="24"/>
          <w:szCs w:val="24"/>
        </w:rPr>
      </w:pPr>
    </w:p>
    <w:sectPr w:rsidR="00AE3A52" w:rsidRPr="00AE3A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31186" w14:textId="77777777" w:rsidR="000A096B" w:rsidRDefault="000A096B" w:rsidP="000A096B">
      <w:pPr>
        <w:spacing w:after="0" w:line="240" w:lineRule="auto"/>
      </w:pPr>
      <w:r>
        <w:separator/>
      </w:r>
    </w:p>
  </w:endnote>
  <w:endnote w:type="continuationSeparator" w:id="0">
    <w:p w14:paraId="4239EEB1" w14:textId="77777777" w:rsidR="000A096B" w:rsidRDefault="000A096B" w:rsidP="000A0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6ABF8" w14:textId="77777777" w:rsidR="000A096B" w:rsidRDefault="000A096B" w:rsidP="000A096B">
      <w:pPr>
        <w:spacing w:after="0" w:line="240" w:lineRule="auto"/>
      </w:pPr>
      <w:r>
        <w:separator/>
      </w:r>
    </w:p>
  </w:footnote>
  <w:footnote w:type="continuationSeparator" w:id="0">
    <w:p w14:paraId="666AB84C" w14:textId="77777777" w:rsidR="000A096B" w:rsidRDefault="000A096B" w:rsidP="000A0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11A9D"/>
    <w:multiLevelType w:val="hybridMultilevel"/>
    <w:tmpl w:val="10E6B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223BB9"/>
    <w:multiLevelType w:val="hybridMultilevel"/>
    <w:tmpl w:val="E9EA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9644803">
    <w:abstractNumId w:val="1"/>
  </w:num>
  <w:num w:numId="2" w16cid:durableId="1275749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6B"/>
    <w:rsid w:val="00001B1B"/>
    <w:rsid w:val="00004B2B"/>
    <w:rsid w:val="00006F8F"/>
    <w:rsid w:val="0002303F"/>
    <w:rsid w:val="00023D5A"/>
    <w:rsid w:val="000311CA"/>
    <w:rsid w:val="00041B52"/>
    <w:rsid w:val="00042D89"/>
    <w:rsid w:val="000655F7"/>
    <w:rsid w:val="00067125"/>
    <w:rsid w:val="000A096B"/>
    <w:rsid w:val="000A708D"/>
    <w:rsid w:val="000B34F1"/>
    <w:rsid w:val="000B50CE"/>
    <w:rsid w:val="000D3D9E"/>
    <w:rsid w:val="000D72F7"/>
    <w:rsid w:val="000F6D6C"/>
    <w:rsid w:val="001265C2"/>
    <w:rsid w:val="00180075"/>
    <w:rsid w:val="001828B9"/>
    <w:rsid w:val="00186FAD"/>
    <w:rsid w:val="001B2896"/>
    <w:rsid w:val="001B3A2F"/>
    <w:rsid w:val="001B6C9E"/>
    <w:rsid w:val="00205576"/>
    <w:rsid w:val="00227305"/>
    <w:rsid w:val="002445A4"/>
    <w:rsid w:val="002479BC"/>
    <w:rsid w:val="00252A65"/>
    <w:rsid w:val="00260A13"/>
    <w:rsid w:val="002A11A7"/>
    <w:rsid w:val="002A1ECC"/>
    <w:rsid w:val="002D41A2"/>
    <w:rsid w:val="002D6656"/>
    <w:rsid w:val="002F1B59"/>
    <w:rsid w:val="002F5A3E"/>
    <w:rsid w:val="003257FA"/>
    <w:rsid w:val="003359CA"/>
    <w:rsid w:val="00335D84"/>
    <w:rsid w:val="003B5A42"/>
    <w:rsid w:val="003D522D"/>
    <w:rsid w:val="003F173A"/>
    <w:rsid w:val="0040175D"/>
    <w:rsid w:val="004219FD"/>
    <w:rsid w:val="00422748"/>
    <w:rsid w:val="00423010"/>
    <w:rsid w:val="00426935"/>
    <w:rsid w:val="0044074B"/>
    <w:rsid w:val="00443687"/>
    <w:rsid w:val="00455CA5"/>
    <w:rsid w:val="00486595"/>
    <w:rsid w:val="004A3559"/>
    <w:rsid w:val="004C1A79"/>
    <w:rsid w:val="00505735"/>
    <w:rsid w:val="005132E2"/>
    <w:rsid w:val="00530A92"/>
    <w:rsid w:val="005423A0"/>
    <w:rsid w:val="00574768"/>
    <w:rsid w:val="00577AD9"/>
    <w:rsid w:val="0058714E"/>
    <w:rsid w:val="00597857"/>
    <w:rsid w:val="005A3756"/>
    <w:rsid w:val="005B3FB8"/>
    <w:rsid w:val="005B4493"/>
    <w:rsid w:val="005C26C6"/>
    <w:rsid w:val="005C3469"/>
    <w:rsid w:val="00647AC3"/>
    <w:rsid w:val="006562BA"/>
    <w:rsid w:val="00687F2F"/>
    <w:rsid w:val="006A367E"/>
    <w:rsid w:val="006B1C48"/>
    <w:rsid w:val="006B4DF1"/>
    <w:rsid w:val="006C4398"/>
    <w:rsid w:val="006D15A7"/>
    <w:rsid w:val="006D2336"/>
    <w:rsid w:val="006D4C8A"/>
    <w:rsid w:val="0072306B"/>
    <w:rsid w:val="00723947"/>
    <w:rsid w:val="00752BE7"/>
    <w:rsid w:val="00766AC7"/>
    <w:rsid w:val="00772E34"/>
    <w:rsid w:val="00777898"/>
    <w:rsid w:val="007950BF"/>
    <w:rsid w:val="007B2281"/>
    <w:rsid w:val="007E6184"/>
    <w:rsid w:val="00824059"/>
    <w:rsid w:val="00830CC9"/>
    <w:rsid w:val="008444E0"/>
    <w:rsid w:val="0085296A"/>
    <w:rsid w:val="0089289C"/>
    <w:rsid w:val="0089410E"/>
    <w:rsid w:val="008A61FC"/>
    <w:rsid w:val="008F31BD"/>
    <w:rsid w:val="0090538D"/>
    <w:rsid w:val="00922CC3"/>
    <w:rsid w:val="00925455"/>
    <w:rsid w:val="00940724"/>
    <w:rsid w:val="009764B2"/>
    <w:rsid w:val="009860A2"/>
    <w:rsid w:val="009A27B8"/>
    <w:rsid w:val="009B53C2"/>
    <w:rsid w:val="009C5693"/>
    <w:rsid w:val="009F37EC"/>
    <w:rsid w:val="009F62A2"/>
    <w:rsid w:val="00A24A91"/>
    <w:rsid w:val="00A2512E"/>
    <w:rsid w:val="00A54E81"/>
    <w:rsid w:val="00A6285E"/>
    <w:rsid w:val="00AA2BD3"/>
    <w:rsid w:val="00AB6D20"/>
    <w:rsid w:val="00AC3ED3"/>
    <w:rsid w:val="00AE3A52"/>
    <w:rsid w:val="00AE49AB"/>
    <w:rsid w:val="00AF20DA"/>
    <w:rsid w:val="00B17F6E"/>
    <w:rsid w:val="00B4442D"/>
    <w:rsid w:val="00B76B3E"/>
    <w:rsid w:val="00B92A5D"/>
    <w:rsid w:val="00BC3B24"/>
    <w:rsid w:val="00BD070C"/>
    <w:rsid w:val="00C242E0"/>
    <w:rsid w:val="00C32506"/>
    <w:rsid w:val="00C32B58"/>
    <w:rsid w:val="00C40C8F"/>
    <w:rsid w:val="00C42CA4"/>
    <w:rsid w:val="00C533C9"/>
    <w:rsid w:val="00C60D1D"/>
    <w:rsid w:val="00C8791C"/>
    <w:rsid w:val="00C93258"/>
    <w:rsid w:val="00C96ACB"/>
    <w:rsid w:val="00CA0E50"/>
    <w:rsid w:val="00CC0405"/>
    <w:rsid w:val="00CD12FC"/>
    <w:rsid w:val="00CD5A3B"/>
    <w:rsid w:val="00D01FAB"/>
    <w:rsid w:val="00D03699"/>
    <w:rsid w:val="00D03D93"/>
    <w:rsid w:val="00D05001"/>
    <w:rsid w:val="00D11245"/>
    <w:rsid w:val="00D26351"/>
    <w:rsid w:val="00D342BD"/>
    <w:rsid w:val="00D67E35"/>
    <w:rsid w:val="00DB3839"/>
    <w:rsid w:val="00E13329"/>
    <w:rsid w:val="00E35BE4"/>
    <w:rsid w:val="00E45286"/>
    <w:rsid w:val="00E5200B"/>
    <w:rsid w:val="00E612FB"/>
    <w:rsid w:val="00E651B8"/>
    <w:rsid w:val="00F20063"/>
    <w:rsid w:val="00F22069"/>
    <w:rsid w:val="00F241C1"/>
    <w:rsid w:val="00F51A91"/>
    <w:rsid w:val="00F57FD1"/>
    <w:rsid w:val="00F97E2D"/>
    <w:rsid w:val="00FB3BB9"/>
    <w:rsid w:val="00FC7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BD463"/>
  <w15:chartTrackingRefBased/>
  <w15:docId w15:val="{7B2817D3-6D8D-4DDF-B656-9D265A19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A096B"/>
    <w:pPr>
      <w:autoSpaceDE w:val="0"/>
      <w:autoSpaceDN w:val="0"/>
      <w:adjustRightInd w:val="0"/>
      <w:spacing w:after="0" w:line="240" w:lineRule="auto"/>
    </w:pPr>
    <w:rPr>
      <w:rFonts w:ascii="Arial" w:hAnsi="Arial" w:cs="Arial"/>
      <w:color w:val="000000"/>
      <w:sz w:val="24"/>
      <w:szCs w:val="24"/>
    </w:rPr>
  </w:style>
  <w:style w:type="paragraph" w:customStyle="1" w:styleId="beltel-ebe0ecc6root">
    <w:name w:val="beltel-ebe0ecc6_root"/>
    <w:basedOn w:val="Normal"/>
    <w:rsid w:val="00004B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764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42D89"/>
    <w:rPr>
      <w:color w:val="0000FF"/>
      <w:u w:val="single"/>
    </w:rPr>
  </w:style>
  <w:style w:type="paragraph" w:styleId="ListParagraph">
    <w:name w:val="List Paragraph"/>
    <w:basedOn w:val="Normal"/>
    <w:uiPriority w:val="34"/>
    <w:qFormat/>
    <w:rsid w:val="00AE3A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116729">
      <w:bodyDiv w:val="1"/>
      <w:marLeft w:val="0"/>
      <w:marRight w:val="0"/>
      <w:marTop w:val="0"/>
      <w:marBottom w:val="0"/>
      <w:divBdr>
        <w:top w:val="none" w:sz="0" w:space="0" w:color="auto"/>
        <w:left w:val="none" w:sz="0" w:space="0" w:color="auto"/>
        <w:bottom w:val="none" w:sz="0" w:space="0" w:color="auto"/>
        <w:right w:val="none" w:sz="0" w:space="0" w:color="auto"/>
      </w:divBdr>
    </w:div>
    <w:div w:id="686907555">
      <w:bodyDiv w:val="1"/>
      <w:marLeft w:val="0"/>
      <w:marRight w:val="0"/>
      <w:marTop w:val="0"/>
      <w:marBottom w:val="0"/>
      <w:divBdr>
        <w:top w:val="none" w:sz="0" w:space="0" w:color="auto"/>
        <w:left w:val="none" w:sz="0" w:space="0" w:color="auto"/>
        <w:bottom w:val="none" w:sz="0" w:space="0" w:color="auto"/>
        <w:right w:val="none" w:sz="0" w:space="0" w:color="auto"/>
      </w:divBdr>
    </w:div>
    <w:div w:id="200674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301CE-CCEE-49AA-AEE8-5F6854D79F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3427</Words>
  <Characters>19537</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Osullivan,Cameron swp8123</dc:creator>
  <cp:keywords/>
  <dc:description/>
  <cp:lastModifiedBy>Osullivan,Cameron swp8123</cp:lastModifiedBy>
  <cp:revision>2</cp:revision>
  <dcterms:created xsi:type="dcterms:W3CDTF">2023-04-23T13:07:00Z</dcterms:created>
  <dcterms:modified xsi:type="dcterms:W3CDTF">2023-04-23T13:07:00Z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2023-02-06T10:26:50Z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37225d8a-2680-478c-bf7a-811bc54ed518</vt:lpwstr>
  </property>
  <property fmtid="{D5CDD505-2E9C-101B-9397-08002B2CF9AE}" pid="8" name="MSIP_Label_66cf8fe5-b7b7-4df7-b38d-1c61ac2f6639_ContentBits">
    <vt:lpwstr>0</vt:lpwstr>
  </property>
</Properties>
</file>