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pPr>
      <w:bookmarkStart w:colFirst="0" w:colLast="0" w:name="_w7xvzknvu4qv" w:id="0"/>
      <w:bookmarkEnd w:id="0"/>
      <w:r w:rsidDel="00000000" w:rsidR="00000000" w:rsidRPr="00000000">
        <w:rPr>
          <w:rtl w:val="0"/>
        </w:rPr>
        <w:t xml:space="preserve">Self Reflection Essay: </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pStyle w:val="Heading1"/>
        <w:rPr/>
      </w:pPr>
      <w:bookmarkStart w:colFirst="0" w:colLast="0" w:name="_4cwxylxy9gz" w:id="1"/>
      <w:bookmarkEnd w:id="1"/>
      <w:r w:rsidDel="00000000" w:rsidR="00000000" w:rsidRPr="00000000">
        <w:rPr>
          <w:b w:val="1"/>
          <w:bCs w:val="1"/>
          <w:sz w:val="24"/>
          <w:szCs w:val="24"/>
          <w:rtl w:val="0"/>
        </w:rPr>
        <w:t xml:space="preserve">Description/Introduction: </w:t>
      </w:r>
      <w:r w:rsidDel="00000000" w:rsidR="00000000" w:rsidRPr="00000000">
        <w:rPr>
          <w:rtl w:val="0"/>
        </w:rPr>
        <w:br w:type="textWrapping"/>
      </w:r>
    </w:p>
    <w:p w:rsidR="00000000" w:rsidDel="00000000" w:rsidP="00000000" w:rsidRDefault="00000000" w:rsidRPr="00000000" w14:paraId="00000004">
      <w:pPr>
        <w:ind w:firstLine="720"/>
        <w:rPr/>
      </w:pPr>
      <w:r w:rsidDel="00000000" w:rsidR="00000000" w:rsidRPr="00000000">
        <w:rPr>
          <w:rtl w:val="0"/>
        </w:rPr>
        <w:t xml:space="preserve">This self-reflective piece hopes to examine my experience of using Person-centred counselling skills during a teacher-simulated roleplay. This essay will also be structured around Gibb’s reflective cycle to highlight specific areas of reflection during the roleplay. It will also dive into feelings surrounding the roleplay and the evaluation and analysis of how the roleplay went. There will also be a section to discuss what did not go as well during the roleplay and where elements of the roleplay can be improved the next time.The importance of using self-reflection in this essay and throughout this module can not be overstated. As Ahmadpour et al., 2025 discuss, using the Gibbs model and other reflective models can demonstrate higher levels of empathy which is essential to person-centred counselling. Additionally, reflection helps make sure we are using the person centred therapy principles effectively and efficiently.</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ind w:firstLine="720"/>
        <w:rPr/>
      </w:pPr>
      <w:r w:rsidDel="00000000" w:rsidR="00000000" w:rsidRPr="00000000">
        <w:rPr>
          <w:rtl w:val="0"/>
        </w:rPr>
        <w:t xml:space="preserve">The role-play we conducted in class involved role-playing as a healthcare worker/therapist discussing a recent Type 2 diabetes diagnosis with a 42-year-old bus driver named Sam. Our roleplay highlighted the fact he was feeling overwhelmed about the diagnosis and was hesitant to make changes as he felt guilty, anxious and ashamed. During the roleplay, our goal was to utilise the highlighted emotions and empathetically support Sam in making progress with his new diagnosis. We were also tasked with making sure we used essential therapy practices as well as promote ethical principles like autonomy and dignity. During my practice with my classmates, I emphasized the use of multiple question types, principles of S.O.L.E.R, as well as reflection and paraphrasing skills. </w:t>
      </w:r>
    </w:p>
    <w:p w:rsidR="00000000" w:rsidDel="00000000" w:rsidP="00000000" w:rsidRDefault="00000000" w:rsidRPr="00000000" w14:paraId="00000007">
      <w:pPr>
        <w:ind w:firstLine="720"/>
        <w:rPr/>
      </w:pPr>
      <w:r w:rsidDel="00000000" w:rsidR="00000000" w:rsidRPr="00000000">
        <w:rPr>
          <w:rtl w:val="0"/>
        </w:rPr>
      </w:r>
    </w:p>
    <w:p w:rsidR="00000000" w:rsidDel="00000000" w:rsidP="00000000" w:rsidRDefault="00000000" w:rsidRPr="00000000" w14:paraId="00000008">
      <w:pPr>
        <w:pStyle w:val="Heading1"/>
        <w:rPr/>
      </w:pPr>
      <w:bookmarkStart w:colFirst="0" w:colLast="0" w:name="_ncukfnw3eua6" w:id="2"/>
      <w:bookmarkEnd w:id="2"/>
      <w:r w:rsidDel="00000000" w:rsidR="00000000" w:rsidRPr="00000000">
        <w:rPr>
          <w:rtl w:val="0"/>
        </w:rPr>
        <w:t xml:space="preserve">Feelings: </w:t>
      </w:r>
    </w:p>
    <w:p w:rsidR="00000000" w:rsidDel="00000000" w:rsidP="00000000" w:rsidRDefault="00000000" w:rsidRPr="00000000" w14:paraId="00000009">
      <w:pPr>
        <w:ind w:left="0" w:firstLine="0"/>
        <w:jc w:val="left"/>
        <w:rPr>
          <w:b w:val="1"/>
          <w:bCs w:val="1"/>
          <w:u w:val="single"/>
        </w:rPr>
      </w:pPr>
      <w:r w:rsidDel="00000000" w:rsidR="00000000" w:rsidRPr="00000000">
        <w:rPr>
          <w:rtl w:val="0"/>
        </w:rPr>
      </w:r>
    </w:p>
    <w:p w:rsidR="00000000" w:rsidDel="00000000" w:rsidP="00000000" w:rsidRDefault="00000000" w:rsidRPr="00000000" w14:paraId="0000000A">
      <w:pPr>
        <w:ind w:left="0" w:firstLine="720"/>
        <w:rPr/>
      </w:pPr>
      <w:r w:rsidDel="00000000" w:rsidR="00000000" w:rsidRPr="00000000">
        <w:rPr>
          <w:rtl w:val="0"/>
        </w:rPr>
        <w:t xml:space="preserve">Before we conducted our roleplay, I was surprisingly a bit nervous. Even though we have done simulated roleplays previously, there was still an underlying nervousness to this final one. I would mainly contribute this to the underlying fear of getting the exercise wrong or saying the wrong thing to the patient. As Florescu &amp; Pop-Pacurar, 2015 explains, the fear of getting answers wrong is common because of the perception from students that every answer is graded and evaluated.  However, once we got into the roleplay and began to discuss strategies and approaches Sam could take to manage his diagnosis, that fear subsided. </w:t>
      </w:r>
    </w:p>
    <w:p w:rsidR="00000000" w:rsidDel="00000000" w:rsidP="00000000" w:rsidRDefault="00000000" w:rsidRPr="00000000" w14:paraId="0000000B">
      <w:pPr>
        <w:ind w:left="0" w:firstLine="720"/>
        <w:rPr/>
      </w:pPr>
      <w:r w:rsidDel="00000000" w:rsidR="00000000" w:rsidRPr="00000000">
        <w:rPr>
          <w:rtl w:val="0"/>
        </w:rPr>
      </w:r>
    </w:p>
    <w:p w:rsidR="00000000" w:rsidDel="00000000" w:rsidP="00000000" w:rsidRDefault="00000000" w:rsidRPr="00000000" w14:paraId="0000000C">
      <w:pPr>
        <w:ind w:left="0" w:firstLine="720"/>
        <w:rPr/>
      </w:pPr>
      <w:r w:rsidDel="00000000" w:rsidR="00000000" w:rsidRPr="00000000">
        <w:rPr>
          <w:rtl w:val="0"/>
        </w:rPr>
        <w:t xml:space="preserve">The biggest reason behind this was realising that throughout the roleplay, I found that I  did actually know what I was doing, at least somewhat. Throughout the roleplay, I used techniques we learned in class such as active listening, reflection and varied question styles, mainly socratic questions. As the roleplay progressed, this helped the conversation flow more naturally and gave me a stronger sense of confidence that the techniques and solutions I was giving to “Sam” were helpful and being well received.  </w:t>
        <w:br w:type="textWrapping"/>
      </w:r>
    </w:p>
    <w:p w:rsidR="00000000" w:rsidDel="00000000" w:rsidP="00000000" w:rsidRDefault="00000000" w:rsidRPr="00000000" w14:paraId="0000000D">
      <w:pPr>
        <w:ind w:left="0" w:firstLine="0"/>
        <w:rPr>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rPr/>
      </w:pPr>
      <w:bookmarkStart w:colFirst="0" w:colLast="0" w:name="_skyjr1vcv8ms" w:id="3"/>
      <w:bookmarkEnd w:id="3"/>
      <w:r w:rsidDel="00000000" w:rsidR="00000000" w:rsidRPr="00000000">
        <w:rPr>
          <w:b w:val="1"/>
          <w:bCs w:val="1"/>
          <w:rtl w:val="0"/>
        </w:rPr>
        <w:t xml:space="preserve">Evaluation: </w:t>
      </w:r>
      <w:r w:rsidDel="00000000" w:rsidR="00000000" w:rsidRPr="00000000">
        <w:rPr>
          <w:rtl w:val="0"/>
        </w:rPr>
        <w:t xml:space="preserve"> </w:t>
      </w:r>
    </w:p>
    <w:p w:rsidR="00000000" w:rsidDel="00000000" w:rsidP="00000000" w:rsidRDefault="00000000" w:rsidRPr="00000000" w14:paraId="0000000F">
      <w:pPr>
        <w:ind w:left="0" w:firstLine="720"/>
        <w:rPr>
          <w:u w:val="single"/>
        </w:rPr>
      </w:pPr>
      <w:r w:rsidDel="00000000" w:rsidR="00000000" w:rsidRPr="00000000">
        <w:rPr>
          <w:rtl w:val="0"/>
        </w:rPr>
      </w:r>
    </w:p>
    <w:p w:rsidR="00000000" w:rsidDel="00000000" w:rsidP="00000000" w:rsidRDefault="00000000" w:rsidRPr="00000000" w14:paraId="00000010">
      <w:pPr>
        <w:ind w:left="0" w:firstLine="720"/>
        <w:rPr/>
      </w:pPr>
      <w:r w:rsidDel="00000000" w:rsidR="00000000" w:rsidRPr="00000000">
        <w:rPr>
          <w:rtl w:val="0"/>
        </w:rPr>
        <w:t xml:space="preserve">During the roleplay I found that the things that went the best was reflecting back feelings to the client, using open body language, and paraphrasing what “Sam” said back to me. Starting with reflecting, it was easy and clear to identify that Sam felt overwhelmed and confused as to where to start making actionable changes to his diagnosis. In order to help make Sam feel less uncomfortable, I used S.O.L.E.R techniques to ensure that I was not closed off or giving off any body language that would make Sam unable to be more open with me. Personally, I felt that my non-verbal communication was the most important to making Sam feel at ease with his new diagnosis, making sure he did not feel judged or afraid to express any and all concerns. As Silverman and Kinsley, 2010 explain, having positive non-verbal communication, like S.O.L.E.R plays a significant role in patient-doctor relationships and helps to strengthen and deepen that relationship. </w:t>
        <w:br w:type="textWrapping"/>
        <w:br w:type="textWrapping"/>
        <w:tab/>
        <w:t xml:space="preserve">Additionally, throughout the roleplay, I used paraphrasing to make sure I understood exactly where Sam’s concerns and feelings were throughout the roleplay. Paraphrasing feelings back to the client is incredibly valuable in making the client feel listened to. Therapists who used paraphrasing during client discussions found that clients felt better about opening up according to Seehousen et al., 2012. It also helps to reduce negative emotions as sometimes having negative feelings repeated back to the client can help them process their negative emotions faster. </w:t>
        <w:br w:type="textWrapping"/>
        <w:br w:type="textWrapping"/>
        <w:tab/>
        <w:t xml:space="preserve">One of the biggest limitations and the only part of the roleplay I did not feel went well was using the Socratic questioning. While I was confident in using it as the roleplay progressed, it felt a bit nerve wracking trying to figure out what question or what wording would help the most during the process. Padesky, 1993 discusses how it can be incredibly difficult to figure out exactly what questions to ask as it’s hard to know what questions would be the most useful and helpful for the client. While we had the questions written out on the board, it did feel a bit awkward having to pause the roleplay in order to refer to the board in order to make sure my question fell in line with the examples. </w:t>
      </w:r>
    </w:p>
    <w:p w:rsidR="00000000" w:rsidDel="00000000" w:rsidP="00000000" w:rsidRDefault="00000000" w:rsidRPr="00000000" w14:paraId="00000011">
      <w:pPr>
        <w:ind w:left="0" w:firstLine="720"/>
        <w:rPr/>
      </w:pPr>
      <w:r w:rsidDel="00000000" w:rsidR="00000000" w:rsidRPr="00000000">
        <w:rPr>
          <w:rtl w:val="0"/>
        </w:rPr>
      </w:r>
    </w:p>
    <w:p w:rsidR="00000000" w:rsidDel="00000000" w:rsidP="00000000" w:rsidRDefault="00000000" w:rsidRPr="00000000" w14:paraId="00000012">
      <w:pPr>
        <w:pStyle w:val="Heading1"/>
        <w:rPr/>
      </w:pPr>
      <w:bookmarkStart w:colFirst="0" w:colLast="0" w:name="_y1qkujx8a1am" w:id="4"/>
      <w:bookmarkEnd w:id="4"/>
      <w:r w:rsidDel="00000000" w:rsidR="00000000" w:rsidRPr="00000000">
        <w:rPr>
          <w:rtl w:val="0"/>
        </w:rPr>
        <w:t xml:space="preserve">Analysis: </w:t>
      </w:r>
    </w:p>
    <w:p w:rsidR="00000000" w:rsidDel="00000000" w:rsidP="00000000" w:rsidRDefault="00000000" w:rsidRPr="00000000" w14:paraId="00000013">
      <w:pPr>
        <w:ind w:left="0" w:firstLine="720"/>
        <w:jc w:val="center"/>
        <w:rPr>
          <w:b w:val="1"/>
          <w:bCs w:val="1"/>
          <w:u w:val="single"/>
        </w:rPr>
      </w:pPr>
      <w:r w:rsidDel="00000000" w:rsidR="00000000" w:rsidRPr="00000000">
        <w:rPr>
          <w:rtl w:val="0"/>
        </w:rPr>
      </w:r>
    </w:p>
    <w:p w:rsidR="00000000" w:rsidDel="00000000" w:rsidP="00000000" w:rsidRDefault="00000000" w:rsidRPr="00000000" w14:paraId="00000014">
      <w:pPr>
        <w:ind w:left="0" w:firstLine="720"/>
        <w:jc w:val="left"/>
        <w:rPr/>
      </w:pPr>
      <w:r w:rsidDel="00000000" w:rsidR="00000000" w:rsidRPr="00000000">
        <w:rPr>
          <w:rtl w:val="0"/>
        </w:rPr>
        <w:t xml:space="preserve">Looking back at the process of the roleplay, I have come to see that one of the biggest fundamental elements in person centred therapy is non-verbal communication skills. Throughout the therapy, one thing that was noted was my posture and soft gestures. According to </w:t>
      </w:r>
      <w:r w:rsidDel="00000000" w:rsidR="00000000" w:rsidRPr="00000000">
        <w:rPr>
          <w:highlight w:val="white"/>
          <w:rtl w:val="0"/>
        </w:rPr>
        <w:t xml:space="preserve">Phutela, 2015</w:t>
      </w:r>
      <w:r w:rsidDel="00000000" w:rsidR="00000000" w:rsidRPr="00000000">
        <w:rPr>
          <w:rtl w:val="0"/>
        </w:rPr>
        <w:t xml:space="preserve">, posture is one of the first non-verbal clues given off and can show deep understanding of how the therapist comes across to the client before the roleplay has even begun. This openness, right at the beginning and of course throughout the roleplay, is key to making sure the client feels comfortable and open to expressing their thoughts and feelings without judgement. Having a non-threatening presence via non-verbal communication is also incredibly important to establish empowerment within patients. Using non-verbal queues like eye contact and open posture promotes empathy according to Marcoux, et al., 2024. </w:t>
        <w:br w:type="textWrapping"/>
        <w:br w:type="textWrapping"/>
        <w:tab/>
        <w:t xml:space="preserve">This empathy is key to promoting independence, something I focused on towards the end of the roleplay. As “Sam” brought up concerns around not knowing where to start when it came to making choices with his diet, we delved into what exactly the most difficult part of changing it would be. Ultimately we discovered it was convenient, just grabbing crisps or sweets was easier than cooking and prepping meals at home. Yet, focusing on Sam making small changes now was the strategy I decided to go forward with. “Sam” and I discussed changing crisps as a side to an apple, or grabbing a smoothie instead of a soda. This small change, while originally meant to show empathy to Sam’s struggle, also demonstrates trying to promote independence and for him to feel confident in making his own choices regarding his health. As supported by Hughes, 2004, this optimises and puts the patient first in terms of their care. </w:t>
        <w:br w:type="textWrapping"/>
        <w:br w:type="textWrapping"/>
        <w:tab/>
        <w:t xml:space="preserve">Additionally, the use of questioning, as mentioned above was, while difficult at times, but it proved incredibly helpful in getting “Sam” to open up further about his feelings and any pain points along the way. One of the first question types I used was probing questions, an example of one of the questions used is “what about your diagnosis is the biggest struggle?”. The hope behind this question is trying to pinpoint the exact issue that “Sam” is having. As Dillon, 2025 highlights, this line of questioning can be used to try and explore negative thought patterns.  Once we discussed that his diet was the biggest hurdle, we progressed into Socratic questioning to try and explore this idea further. According to Carey and Mullan, 2004, socratic questioning should be used at the exploration/investigation part of the client discussion. These questions helped us align an actionable plan to help Sam manage his diagnosis. This questioning also promotes autonomy in “Sam”, another one of our ethical principles. </w:t>
        <w:br w:type="textWrapping"/>
        <w:br w:type="textWrapping"/>
        <w:tab/>
        <w:t xml:space="preserve">Through Socratic questioning, “Sam” is the one in charge of their own decisions affecting his health. He can make the informed and manageable choices for himself and stick to them with the therapist taking on more of a support role for him. As Entwistle et al., 2010 states, this also allows patients to deny any healthcare or measures that they don’t agree with, giving them even more control over their healthcare treatments. In “Sam’s” case, he didn’t deny the idea of swapping more unhealthy snacks for healthier ones, but through the autonomy we have established, he’s able to do so if he would like. </w:t>
        <w:br w:type="textWrapping"/>
        <w:tab/>
      </w:r>
    </w:p>
    <w:p w:rsidR="00000000" w:rsidDel="00000000" w:rsidP="00000000" w:rsidRDefault="00000000" w:rsidRPr="00000000" w14:paraId="00000015">
      <w:pPr>
        <w:ind w:left="0" w:firstLine="720"/>
        <w:rPr/>
      </w:pPr>
      <w:r w:rsidDel="00000000" w:rsidR="00000000" w:rsidRPr="00000000">
        <w:rPr>
          <w:rtl w:val="0"/>
        </w:rPr>
      </w:r>
    </w:p>
    <w:p w:rsidR="00000000" w:rsidDel="00000000" w:rsidP="00000000" w:rsidRDefault="00000000" w:rsidRPr="00000000" w14:paraId="00000016">
      <w:pPr>
        <w:ind w:left="0" w:firstLine="0"/>
        <w:rPr>
          <w:b w:val="1"/>
          <w:bCs w:val="1"/>
          <w:sz w:val="24"/>
          <w:szCs w:val="24"/>
        </w:rPr>
      </w:pPr>
      <w:r w:rsidDel="00000000" w:rsidR="00000000" w:rsidRPr="00000000">
        <w:rPr>
          <w:b w:val="1"/>
          <w:bCs w:val="1"/>
          <w:sz w:val="24"/>
          <w:szCs w:val="24"/>
          <w:rtl w:val="0"/>
        </w:rPr>
        <w:t xml:space="preserve">Conclusion and Action Plan: </w:t>
      </w:r>
    </w:p>
    <w:p w:rsidR="00000000" w:rsidDel="00000000" w:rsidP="00000000" w:rsidRDefault="00000000" w:rsidRPr="00000000" w14:paraId="00000017">
      <w:pPr>
        <w:ind w:left="0" w:firstLine="720"/>
        <w:rPr/>
      </w:pPr>
      <w:r w:rsidDel="00000000" w:rsidR="00000000" w:rsidRPr="00000000">
        <w:rPr>
          <w:rtl w:val="0"/>
        </w:rPr>
      </w:r>
    </w:p>
    <w:p w:rsidR="00000000" w:rsidDel="00000000" w:rsidP="00000000" w:rsidRDefault="00000000" w:rsidRPr="00000000" w14:paraId="00000018">
      <w:pPr>
        <w:ind w:left="0" w:firstLine="720"/>
        <w:rPr>
          <w:u w:val="single"/>
        </w:rPr>
      </w:pPr>
      <w:r w:rsidDel="00000000" w:rsidR="00000000" w:rsidRPr="00000000">
        <w:rPr>
          <w:rtl w:val="0"/>
        </w:rPr>
        <w:t xml:space="preserve">After reflecting back on the roleplay, there are a few other skills I would have liked to utilise more in order to improve my performance as a therapist. To start, I would have liked to use more reflective skills as I believe it would have also helped promote empathy and still be effective in finding out more about the issues “Sam” faced. Mösler, 2023 highlights how using reflective skills helps promote well-being in clients, so it would have been an additional benefit to use it. If I had to do a similar assignment again, this would be the first thing I would include again. In addition, I would study Socratic questioning further as it felt awkward and out of place using it for this exercise. Overall, this experience highlighted how many skills and techniques that are necessary for effective person-centred therapy. </w:t>
      </w:r>
      <w:r w:rsidDel="00000000" w:rsidR="00000000" w:rsidRPr="00000000">
        <w:rPr>
          <w:rtl w:val="0"/>
        </w:rPr>
      </w:r>
    </w:p>
    <w:p w:rsidR="00000000" w:rsidDel="00000000" w:rsidP="00000000" w:rsidRDefault="00000000" w:rsidRPr="00000000" w14:paraId="00000019">
      <w:pPr>
        <w:ind w:left="0" w:firstLine="720"/>
        <w:jc w:val="left"/>
        <w:rPr>
          <w:b w:val="1"/>
          <w:bCs w:val="1"/>
          <w:u w:val="single"/>
        </w:rPr>
      </w:pPr>
      <w:r w:rsidDel="00000000" w:rsidR="00000000" w:rsidRPr="00000000">
        <w:rPr>
          <w:rtl w:val="0"/>
        </w:rPr>
      </w:r>
    </w:p>
    <w:p w:rsidR="00000000" w:rsidDel="00000000" w:rsidP="00000000" w:rsidRDefault="00000000" w:rsidRPr="00000000" w14:paraId="0000001A">
      <w:pPr>
        <w:pStyle w:val="Heading1"/>
        <w:ind w:left="0" w:firstLine="0"/>
        <w:rPr/>
      </w:pPr>
      <w:bookmarkStart w:colFirst="0" w:colLast="0" w:name="_w9ydpzc1lnlq" w:id="5"/>
      <w:bookmarkEnd w:id="5"/>
      <w:r w:rsidDel="00000000" w:rsidR="00000000" w:rsidRPr="00000000">
        <w:rPr>
          <w:b w:val="1"/>
          <w:bCs w:val="1"/>
          <w:u w:val="single"/>
          <w:rtl w:val="0"/>
        </w:rPr>
        <w:t xml:space="preserve">Reading List: </w:t>
      </w:r>
      <w:r w:rsidDel="00000000" w:rsidR="00000000" w:rsidRPr="00000000">
        <w:rPr>
          <w:rtl w:val="0"/>
        </w:rPr>
        <w:br w:type="textWrapping"/>
      </w:r>
    </w:p>
    <w:p w:rsidR="00000000" w:rsidDel="00000000" w:rsidP="00000000" w:rsidRDefault="00000000" w:rsidRPr="00000000" w14:paraId="0000001B">
      <w:pPr>
        <w:ind w:left="0" w:firstLine="0"/>
        <w:jc w:val="left"/>
        <w:rPr/>
      </w:pPr>
      <w:r w:rsidDel="00000000" w:rsidR="00000000" w:rsidRPr="00000000">
        <w:rPr>
          <w:rtl w:val="0"/>
        </w:rPr>
        <w:t xml:space="preserve">Ahmadpour, N., Shariati, A. and Moghadam, M.P. (2025) ‘Effect of narrative writing based on Gibbs’ reflective model on the empathy and communication skills of nursing students’, </w:t>
      </w:r>
      <w:r w:rsidDel="00000000" w:rsidR="00000000" w:rsidRPr="00000000">
        <w:rPr>
          <w:i w:val="1"/>
          <w:iCs w:val="1"/>
          <w:rtl w:val="0"/>
        </w:rPr>
        <w:t xml:space="preserve">BMC Medical Education</w:t>
      </w:r>
      <w:r w:rsidDel="00000000" w:rsidR="00000000" w:rsidRPr="00000000">
        <w:rPr>
          <w:rtl w:val="0"/>
        </w:rPr>
        <w:t xml:space="preserve">, 25(1). doi:10.1186/s12909-024-06593-7. </w:t>
        <w:br w:type="textWrapping"/>
        <w:br w:type="textWrapping"/>
      </w:r>
      <w:r w:rsidDel="00000000" w:rsidR="00000000" w:rsidRPr="00000000">
        <w:rPr>
          <w:highlight w:val="white"/>
          <w:rtl w:val="0"/>
        </w:rPr>
        <w:t xml:space="preserve">Carey, T. A., &amp; Mullan, R. J. (2004). What is Socratic questioning? </w:t>
      </w:r>
      <w:r w:rsidDel="00000000" w:rsidR="00000000" w:rsidRPr="00000000">
        <w:rPr>
          <w:i w:val="1"/>
          <w:iCs w:val="1"/>
          <w:highlight w:val="white"/>
          <w:rtl w:val="0"/>
        </w:rPr>
        <w:t xml:space="preserve">Psychotherapy: Theory, Research, Practice, Training, 41</w:t>
      </w:r>
      <w:r w:rsidDel="00000000" w:rsidR="00000000" w:rsidRPr="00000000">
        <w:rPr>
          <w:highlight w:val="white"/>
          <w:rtl w:val="0"/>
        </w:rPr>
        <w:t xml:space="preserve">(3), 217–226. </w:t>
      </w:r>
      <w:hyperlink r:id="rId6">
        <w:r w:rsidDel="00000000" w:rsidR="00000000" w:rsidRPr="00000000">
          <w:rPr>
            <w:highlight w:val="white"/>
            <w:rtl w:val="0"/>
          </w:rPr>
          <w:t xml:space="preserve">https://doi.org/10.1037/0033-3204.41.3.217</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C">
      <w:pPr>
        <w:ind w:firstLine="720"/>
        <w:rPr/>
      </w:pPr>
      <w:r w:rsidDel="00000000" w:rsidR="00000000" w:rsidRPr="00000000">
        <w:rPr>
          <w:rtl w:val="0"/>
        </w:rPr>
        <w:br w:type="textWrapping"/>
        <w:t xml:space="preserve">Dillon, J.T. (2025) </w:t>
      </w:r>
      <w:r w:rsidDel="00000000" w:rsidR="00000000" w:rsidRPr="00000000">
        <w:rPr>
          <w:i w:val="1"/>
          <w:iCs w:val="1"/>
          <w:rtl w:val="0"/>
        </w:rPr>
        <w:t xml:space="preserve">The practice of questioning</w:t>
      </w:r>
      <w:r w:rsidDel="00000000" w:rsidR="00000000" w:rsidRPr="00000000">
        <w:rPr>
          <w:rtl w:val="0"/>
        </w:rPr>
        <w:t xml:space="preserve">. London: Routledge. </w:t>
        <w:br w:type="textWrapping"/>
        <w:br w:type="textWrapping"/>
        <w:t xml:space="preserve">Entwistle, V.A., Carter, S.M., Cribb, A. and McCaffery, K. (2010) Supporting Patient Autonomy: The Importance of Clinician-patient Relationships. J GEN INTERN MED 25, 741–745 (2010). https://doi.org/10.1007/s11606-010-1292-2</w:t>
        <w:br w:type="textWrapping"/>
        <w:br w:type="textWrapping"/>
        <w:t xml:space="preserve">Florescu, M.H. and Pop-Pacurar, I. (2015) </w:t>
      </w:r>
      <w:r w:rsidDel="00000000" w:rsidR="00000000" w:rsidRPr="00000000">
        <w:rPr>
          <w:i w:val="1"/>
          <w:iCs w:val="1"/>
          <w:rtl w:val="0"/>
        </w:rPr>
        <w:t xml:space="preserve">Is the fear of ‘being wrong’ a barrier for effective communication between students and professors? A survey study at Babes-Bolyai University Romania.</w:t>
      </w:r>
      <w:r w:rsidDel="00000000" w:rsidR="00000000" w:rsidRPr="00000000">
        <w:rPr>
          <w:rtl w:val="0"/>
        </w:rPr>
        <w:t xml:space="preserve"> Available at: https://eric.ed.gov/?id=EJ1110311 (Accessed: 03 December 2025). </w:t>
        <w:br w:type="textWrapping"/>
      </w:r>
    </w:p>
    <w:p w:rsidR="00000000" w:rsidDel="00000000" w:rsidP="00000000" w:rsidRDefault="00000000" w:rsidRPr="00000000" w14:paraId="0000001D">
      <w:pPr>
        <w:shd w:fill="ffffff" w:val="clear"/>
        <w:spacing w:after="240" w:line="240" w:lineRule="auto"/>
        <w:ind w:left="0" w:firstLine="0"/>
        <w:rPr/>
      </w:pPr>
      <w:r w:rsidDel="00000000" w:rsidR="00000000" w:rsidRPr="00000000">
        <w:rPr>
          <w:rtl w:val="0"/>
        </w:rPr>
        <w:t xml:space="preserve">Hughes, S.A. (2004) ‘Promoting self-management and patient independence’, </w:t>
      </w:r>
      <w:r w:rsidDel="00000000" w:rsidR="00000000" w:rsidRPr="00000000">
        <w:rPr>
          <w:i w:val="1"/>
          <w:iCs w:val="1"/>
          <w:rtl w:val="0"/>
        </w:rPr>
        <w:t xml:space="preserve">Nursing standard</w:t>
      </w:r>
      <w:r w:rsidDel="00000000" w:rsidR="00000000" w:rsidRPr="00000000">
        <w:rPr>
          <w:rtl w:val="0"/>
        </w:rPr>
        <w:t xml:space="preserve">, 19(10), pp. 47–52. Available at: https://doi.org/10.7748/ns2004.11.19.10.47.c3761.</w:t>
      </w:r>
      <w:r w:rsidDel="00000000" w:rsidR="00000000" w:rsidRPr="00000000">
        <w:rPr>
          <w:rtl w:val="0"/>
        </w:rPr>
        <w:br w:type="textWrapping"/>
        <w:br w:type="textWrapping"/>
        <w:t xml:space="preserve">Marcoux, A., Tessier, M.-H. and Jackson, P.L. (2024) ‘Nonverbal behaviors perceived as most empathic in a simulated medical context’, </w:t>
      </w:r>
      <w:r w:rsidDel="00000000" w:rsidR="00000000" w:rsidRPr="00000000">
        <w:rPr>
          <w:i w:val="1"/>
          <w:iCs w:val="1"/>
          <w:rtl w:val="0"/>
        </w:rPr>
        <w:t xml:space="preserve">Computers in Human Behavior</w:t>
      </w:r>
      <w:r w:rsidDel="00000000" w:rsidR="00000000" w:rsidRPr="00000000">
        <w:rPr>
          <w:rtl w:val="0"/>
        </w:rPr>
        <w:t xml:space="preserve">, 157, 108268. doi:10.1016/j.chb.2024.108268. </w:t>
        <w:br w:type="textWrapping"/>
        <w:br w:type="textWrapping"/>
        <w:t xml:space="preserve">Mösler, T., Poppek, S., Leonhard, C. and Collet, W. (2023) </w:t>
      </w:r>
      <w:r w:rsidDel="00000000" w:rsidR="00000000" w:rsidRPr="00000000">
        <w:rPr>
          <w:i w:val="1"/>
          <w:iCs w:val="1"/>
          <w:rtl w:val="0"/>
        </w:rPr>
        <w:t xml:space="preserve">Reflective skills, empathy, wellbeing, and resilience in cognitive-behavior therapy trainees participating in mindfulness-based self-practice/self-reflection</w:t>
      </w:r>
      <w:r w:rsidDel="00000000" w:rsidR="00000000" w:rsidRPr="00000000">
        <w:rPr>
          <w:rtl w:val="0"/>
        </w:rPr>
        <w:t xml:space="preserve">.</w:t>
      </w:r>
      <w:r w:rsidDel="00000000" w:rsidR="00000000" w:rsidRPr="00000000">
        <w:rPr>
          <w:rtl w:val="0"/>
        </w:rPr>
        <w:t xml:space="preserve"> Available at: https://pmc.ncbi.nlm.nih.gov/articles/PMC10652655/ (Accessed: 05 December 2025). </w:t>
        <w:br w:type="textWrapping"/>
        <w:br w:type="textWrapping"/>
        <w:t xml:space="preserve">Padesky, C. (1993). Socratic questioning: changing minds or guiding discovery? Keynote address delivered at European Association for Behavioural and Cognitive Psychotherapies Conference, London</w:t>
      </w:r>
    </w:p>
    <w:p w:rsidR="00000000" w:rsidDel="00000000" w:rsidP="00000000" w:rsidRDefault="00000000" w:rsidRPr="00000000" w14:paraId="0000001E">
      <w:pPr>
        <w:ind w:left="0" w:firstLine="0"/>
        <w:rPr/>
      </w:pPr>
      <w:r w:rsidDel="00000000" w:rsidR="00000000" w:rsidRPr="00000000">
        <w:rPr>
          <w:highlight w:val="white"/>
          <w:rtl w:val="0"/>
        </w:rPr>
        <w:t xml:space="preserve">Phutela, D. (2015) ‘The importance of non-verbal communication’, </w:t>
      </w:r>
      <w:r w:rsidDel="00000000" w:rsidR="00000000" w:rsidRPr="00000000">
        <w:rPr>
          <w:i w:val="1"/>
          <w:iCs w:val="1"/>
          <w:highlight w:val="white"/>
          <w:rtl w:val="0"/>
        </w:rPr>
        <w:t xml:space="preserve">The ICFAI journal of soft skills</w:t>
      </w:r>
      <w:r w:rsidDel="00000000" w:rsidR="00000000" w:rsidRPr="00000000">
        <w:rPr>
          <w:highlight w:val="white"/>
          <w:rtl w:val="0"/>
        </w:rPr>
        <w:t xml:space="preserve">, 9(4), pp. 43–49. Available at:</w:t>
        <w:br w:type="textWrapping"/>
      </w:r>
      <w:hyperlink r:id="rId7">
        <w:r w:rsidDel="00000000" w:rsidR="00000000" w:rsidRPr="00000000">
          <w:rPr>
            <w:color w:val="1155cc"/>
            <w:highlight w:val="white"/>
            <w:u w:val="single"/>
            <w:rtl w:val="0"/>
          </w:rPr>
          <w:t xml:space="preserve">https://papers.ssrn.com/sol3/papers.cfm?abstract_id=2715432</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1F">
      <w:pPr>
        <w:spacing w:after="240" w:before="240" w:lineRule="auto"/>
        <w:ind w:left="0" w:firstLine="0"/>
        <w:rPr/>
      </w:pPr>
      <w:r w:rsidDel="00000000" w:rsidR="00000000" w:rsidRPr="00000000">
        <w:rPr>
          <w:rtl w:val="0"/>
        </w:rPr>
        <w:t xml:space="preserve">Seehausen, M., Kazzer,P., Bajbouj,M., and Prehn,K</w:t>
      </w:r>
      <w:r w:rsidDel="00000000" w:rsidR="00000000" w:rsidRPr="00000000">
        <w:rPr>
          <w:i w:val="1"/>
          <w:iCs w:val="1"/>
          <w:rtl w:val="0"/>
        </w:rPr>
        <w:t xml:space="preserve">.</w:t>
      </w:r>
      <w:r w:rsidDel="00000000" w:rsidR="00000000" w:rsidRPr="00000000">
        <w:rPr>
          <w:rtl w:val="0"/>
        </w:rPr>
        <w:t xml:space="preserve"> (2012) </w:t>
      </w:r>
      <w:r w:rsidDel="00000000" w:rsidR="00000000" w:rsidRPr="00000000">
        <w:rPr>
          <w:i w:val="1"/>
          <w:iCs w:val="1"/>
          <w:rtl w:val="0"/>
        </w:rPr>
        <w:t xml:space="preserve">Effects of empathic paraphrasing - extrinsic emotion regulation in social conflict</w:t>
      </w:r>
      <w:r w:rsidDel="00000000" w:rsidR="00000000" w:rsidRPr="00000000">
        <w:rPr>
          <w:rtl w:val="0"/>
        </w:rPr>
        <w:t xml:space="preserve">. Available at: https://pmc.ncbi.nlm.nih.gov/articles/PMC3495333/ (Accessed: 05 December 2025). </w:t>
      </w:r>
    </w:p>
    <w:p w:rsidR="00000000" w:rsidDel="00000000" w:rsidP="00000000" w:rsidRDefault="00000000" w:rsidRPr="00000000" w14:paraId="00000020">
      <w:pPr>
        <w:spacing w:after="240" w:before="240" w:lineRule="auto"/>
        <w:ind w:left="0" w:firstLine="0"/>
        <w:rPr/>
      </w:pPr>
      <w:r w:rsidDel="00000000" w:rsidR="00000000" w:rsidRPr="00000000">
        <w:rPr>
          <w:rtl w:val="0"/>
        </w:rPr>
        <w:t xml:space="preserve">Silverman, J. and Kinnersley, P. (2010) </w:t>
      </w:r>
      <w:r w:rsidDel="00000000" w:rsidR="00000000" w:rsidRPr="00000000">
        <w:rPr>
          <w:i w:val="1"/>
          <w:iCs w:val="1"/>
          <w:rtl w:val="0"/>
        </w:rPr>
        <w:t xml:space="preserve">Doctors’non-verbal behaviour in consultations: Look at the patient before you look at the computer</w:t>
      </w:r>
      <w:r w:rsidDel="00000000" w:rsidR="00000000" w:rsidRPr="00000000">
        <w:rPr>
          <w:rtl w:val="0"/>
        </w:rPr>
        <w:t xml:space="preserve">. Available at: https://pmc.ncbi.nlm.nih.gov/articles/PMC2814257/ (Accessed: 03 December 2025). </w:t>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4"/>
      <w:szCs w:val="24"/>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Pr>
    <w:rPr>
      <w:b w:val="1"/>
      <w:bCs w:val="1"/>
      <w:sz w:val="32"/>
      <w:szCs w:val="32"/>
      <w:u w:val="single"/>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psycnet.apa.org/doi/10.1037/0033-3204.41.3.217" TargetMode="External"/><Relationship Id="rId7" Type="http://schemas.openxmlformats.org/officeDocument/2006/relationships/hyperlink" Target="https://papers.ssrn.com/sol3/papers.cfm?abstract_id=2715432"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