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A83022" w14:textId="13BB0AFD" w:rsidR="0093209C" w:rsidRDefault="0093209C" w:rsidP="0093209C">
      <w:pPr>
        <w:tabs>
          <w:tab w:val="left" w:pos="6540"/>
        </w:tabs>
        <w:ind w:left="426"/>
        <w:rPr>
          <w:rFonts w:cs="Arial"/>
          <w:b/>
          <w:bCs/>
          <w:sz w:val="28"/>
          <w:szCs w:val="28"/>
          <w:lang w:val="nl-NL"/>
        </w:rPr>
      </w:pPr>
      <w:r>
        <w:rPr>
          <w:noProof/>
        </w:rPr>
        <w:drawing>
          <wp:anchor distT="0" distB="0" distL="114300" distR="114300" simplePos="0" relativeHeight="251658752" behindDoc="0" locked="0" layoutInCell="1" allowOverlap="1" wp14:anchorId="3AB177A8" wp14:editId="41DC075E">
            <wp:simplePos x="0" y="0"/>
            <wp:positionH relativeFrom="margin">
              <wp:posOffset>-2540</wp:posOffset>
            </wp:positionH>
            <wp:positionV relativeFrom="paragraph">
              <wp:posOffset>-180975</wp:posOffset>
            </wp:positionV>
            <wp:extent cx="3949700" cy="1388745"/>
            <wp:effectExtent l="0" t="0" r="0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9700" cy="13887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8D3FCD" w14:textId="3BBE3EC8" w:rsidR="0093209C" w:rsidRDefault="0093209C" w:rsidP="0093209C">
      <w:pPr>
        <w:tabs>
          <w:tab w:val="left" w:pos="6540"/>
        </w:tabs>
        <w:ind w:left="426"/>
        <w:rPr>
          <w:rFonts w:cs="Arial"/>
          <w:b/>
          <w:bCs/>
          <w:sz w:val="28"/>
          <w:szCs w:val="28"/>
          <w:lang w:val="nl-NL"/>
        </w:rPr>
      </w:pPr>
    </w:p>
    <w:p w14:paraId="3276D228" w14:textId="2E1A8363" w:rsidR="0093209C" w:rsidRDefault="0093209C" w:rsidP="0093209C">
      <w:pPr>
        <w:tabs>
          <w:tab w:val="left" w:pos="6540"/>
        </w:tabs>
        <w:ind w:left="426"/>
        <w:rPr>
          <w:rFonts w:cs="Arial"/>
          <w:b/>
          <w:bCs/>
          <w:sz w:val="28"/>
          <w:szCs w:val="28"/>
          <w:lang w:val="nl-NL"/>
        </w:rPr>
      </w:pPr>
    </w:p>
    <w:p w14:paraId="3F871428" w14:textId="77777777" w:rsidR="0093209C" w:rsidRDefault="0093209C" w:rsidP="0093209C">
      <w:pPr>
        <w:tabs>
          <w:tab w:val="left" w:pos="6540"/>
        </w:tabs>
        <w:ind w:left="426"/>
        <w:rPr>
          <w:rFonts w:cs="Arial"/>
          <w:b/>
          <w:bCs/>
          <w:sz w:val="28"/>
          <w:szCs w:val="28"/>
          <w:lang w:val="nl-NL"/>
        </w:rPr>
      </w:pPr>
    </w:p>
    <w:p w14:paraId="7C52030B" w14:textId="77777777" w:rsidR="0093209C" w:rsidRDefault="0093209C" w:rsidP="0093209C">
      <w:pPr>
        <w:tabs>
          <w:tab w:val="left" w:pos="6540"/>
        </w:tabs>
        <w:ind w:left="426"/>
        <w:rPr>
          <w:rFonts w:cs="Arial"/>
          <w:b/>
          <w:bCs/>
          <w:sz w:val="28"/>
          <w:szCs w:val="28"/>
          <w:lang w:val="nl-NL"/>
        </w:rPr>
      </w:pPr>
    </w:p>
    <w:p w14:paraId="0B90790D" w14:textId="77777777" w:rsidR="0093209C" w:rsidRDefault="0093209C" w:rsidP="0093209C">
      <w:pPr>
        <w:tabs>
          <w:tab w:val="left" w:pos="6540"/>
        </w:tabs>
        <w:ind w:left="426"/>
        <w:rPr>
          <w:rFonts w:cs="Arial"/>
          <w:b/>
          <w:bCs/>
          <w:sz w:val="28"/>
          <w:szCs w:val="28"/>
          <w:lang w:val="nl-NL"/>
        </w:rPr>
      </w:pPr>
    </w:p>
    <w:p w14:paraId="3858473E" w14:textId="77777777" w:rsidR="0093209C" w:rsidRDefault="0093209C" w:rsidP="0093209C">
      <w:pPr>
        <w:tabs>
          <w:tab w:val="left" w:pos="6540"/>
        </w:tabs>
        <w:ind w:left="426"/>
        <w:rPr>
          <w:rFonts w:cs="Arial"/>
          <w:b/>
          <w:bCs/>
          <w:sz w:val="28"/>
          <w:szCs w:val="28"/>
          <w:lang w:val="nl-NL"/>
        </w:rPr>
      </w:pPr>
    </w:p>
    <w:p w14:paraId="1F5247C9" w14:textId="77777777" w:rsidR="0093209C" w:rsidRDefault="0093209C" w:rsidP="0093209C">
      <w:pPr>
        <w:tabs>
          <w:tab w:val="left" w:pos="6540"/>
        </w:tabs>
        <w:ind w:left="426"/>
        <w:rPr>
          <w:rFonts w:cs="Arial"/>
          <w:b/>
          <w:bCs/>
          <w:sz w:val="28"/>
          <w:szCs w:val="28"/>
          <w:lang w:val="nl-NL"/>
        </w:rPr>
      </w:pPr>
    </w:p>
    <w:p w14:paraId="2685444A" w14:textId="77777777" w:rsidR="0093209C" w:rsidRDefault="0093209C" w:rsidP="0093209C">
      <w:pPr>
        <w:tabs>
          <w:tab w:val="left" w:pos="6540"/>
        </w:tabs>
        <w:ind w:left="426"/>
        <w:rPr>
          <w:rFonts w:cs="Arial"/>
          <w:b/>
          <w:bCs/>
          <w:sz w:val="28"/>
          <w:szCs w:val="28"/>
          <w:lang w:val="nl-NL"/>
        </w:rPr>
      </w:pPr>
    </w:p>
    <w:p w14:paraId="2B84FA90" w14:textId="36CA8E1F" w:rsidR="0093209C" w:rsidRPr="00814A9E" w:rsidRDefault="0093209C" w:rsidP="0093209C">
      <w:pPr>
        <w:tabs>
          <w:tab w:val="left" w:pos="6540"/>
        </w:tabs>
        <w:ind w:left="426"/>
        <w:rPr>
          <w:rFonts w:cs="Arial"/>
          <w:sz w:val="28"/>
          <w:szCs w:val="28"/>
          <w:lang w:val="nl-NL"/>
        </w:rPr>
      </w:pPr>
      <w:r w:rsidRPr="00814A9E">
        <w:rPr>
          <w:rFonts w:cs="Arial"/>
          <w:b/>
          <w:bCs/>
          <w:sz w:val="28"/>
          <w:szCs w:val="28"/>
          <w:lang w:val="nl-NL"/>
        </w:rPr>
        <w:t>Student name</w:t>
      </w:r>
      <w:r w:rsidRPr="00814A9E">
        <w:rPr>
          <w:rFonts w:cs="Arial"/>
          <w:sz w:val="28"/>
          <w:szCs w:val="28"/>
          <w:lang w:val="nl-NL"/>
        </w:rPr>
        <w:t>:</w:t>
      </w:r>
      <w:r>
        <w:rPr>
          <w:rFonts w:cs="Arial"/>
          <w:sz w:val="28"/>
          <w:szCs w:val="28"/>
          <w:lang w:val="nl-NL"/>
        </w:rPr>
        <w:t xml:space="preserve"> Alya Toseef Javed</w:t>
      </w:r>
    </w:p>
    <w:p w14:paraId="278D3896" w14:textId="6A595A2E" w:rsidR="0093209C" w:rsidRPr="00814A9E" w:rsidRDefault="0093209C" w:rsidP="0093209C">
      <w:pPr>
        <w:tabs>
          <w:tab w:val="left" w:pos="6540"/>
        </w:tabs>
        <w:ind w:left="426"/>
        <w:rPr>
          <w:rFonts w:cs="Arial"/>
          <w:sz w:val="28"/>
          <w:szCs w:val="28"/>
          <w:lang w:val="nl-NL"/>
        </w:rPr>
      </w:pPr>
      <w:r w:rsidRPr="00814A9E">
        <w:rPr>
          <w:rFonts w:cs="Arial"/>
          <w:b/>
          <w:bCs/>
          <w:sz w:val="28"/>
          <w:szCs w:val="28"/>
          <w:lang w:val="nl-NL"/>
        </w:rPr>
        <w:t>Student ID</w:t>
      </w:r>
      <w:r w:rsidRPr="00814A9E">
        <w:rPr>
          <w:rFonts w:cs="Arial"/>
          <w:sz w:val="28"/>
          <w:szCs w:val="28"/>
          <w:lang w:val="nl-NL"/>
        </w:rPr>
        <w:t>:</w:t>
      </w:r>
      <w:r>
        <w:rPr>
          <w:rFonts w:cs="Arial"/>
          <w:sz w:val="28"/>
          <w:szCs w:val="28"/>
          <w:lang w:val="nl-NL"/>
        </w:rPr>
        <w:t xml:space="preserve"> 2328853</w:t>
      </w:r>
    </w:p>
    <w:p w14:paraId="6FC096E6" w14:textId="77777777" w:rsidR="0093209C" w:rsidRPr="00814A9E" w:rsidRDefault="0093209C" w:rsidP="0093209C">
      <w:pPr>
        <w:tabs>
          <w:tab w:val="left" w:pos="6540"/>
        </w:tabs>
        <w:ind w:left="426"/>
        <w:rPr>
          <w:rFonts w:cs="Arial"/>
          <w:sz w:val="28"/>
          <w:szCs w:val="28"/>
          <w:lang w:val="nl-NL"/>
        </w:rPr>
      </w:pPr>
      <w:r w:rsidRPr="00814A9E">
        <w:rPr>
          <w:rFonts w:cs="Arial"/>
          <w:b/>
          <w:bCs/>
          <w:sz w:val="28"/>
          <w:szCs w:val="28"/>
          <w:lang w:val="nl-NL"/>
        </w:rPr>
        <w:t>Module name</w:t>
      </w:r>
      <w:r w:rsidRPr="00814A9E">
        <w:rPr>
          <w:rFonts w:cs="Arial"/>
          <w:sz w:val="28"/>
          <w:szCs w:val="28"/>
          <w:lang w:val="nl-NL"/>
        </w:rPr>
        <w:t xml:space="preserve">: </w:t>
      </w:r>
      <w:r>
        <w:rPr>
          <w:rFonts w:cs="Arial"/>
          <w:sz w:val="28"/>
          <w:szCs w:val="28"/>
          <w:lang w:val="nl-NL"/>
        </w:rPr>
        <w:t>Empowering the older person</w:t>
      </w:r>
    </w:p>
    <w:p w14:paraId="4A69EF8A" w14:textId="6EC9122B" w:rsidR="0093209C" w:rsidRDefault="0093209C" w:rsidP="0093209C">
      <w:pPr>
        <w:tabs>
          <w:tab w:val="left" w:pos="6540"/>
        </w:tabs>
        <w:ind w:left="426"/>
        <w:rPr>
          <w:rFonts w:cs="Arial"/>
          <w:sz w:val="28"/>
          <w:szCs w:val="28"/>
        </w:rPr>
      </w:pPr>
      <w:r w:rsidRPr="00074402">
        <w:rPr>
          <w:rFonts w:cs="Arial"/>
          <w:b/>
          <w:bCs/>
          <w:sz w:val="28"/>
          <w:szCs w:val="28"/>
        </w:rPr>
        <w:t>Module code</w:t>
      </w:r>
      <w:r>
        <w:rPr>
          <w:rFonts w:cs="Arial"/>
          <w:sz w:val="28"/>
          <w:szCs w:val="28"/>
        </w:rPr>
        <w:t>: BMHP6027_LON</w:t>
      </w:r>
    </w:p>
    <w:p w14:paraId="5D174FE2" w14:textId="00F5E163" w:rsidR="0093209C" w:rsidRDefault="0093209C" w:rsidP="0093209C">
      <w:pPr>
        <w:tabs>
          <w:tab w:val="left" w:pos="6540"/>
        </w:tabs>
        <w:ind w:left="426"/>
        <w:rPr>
          <w:rFonts w:cs="Arial"/>
          <w:sz w:val="28"/>
          <w:szCs w:val="28"/>
        </w:rPr>
      </w:pPr>
      <w:r>
        <w:rPr>
          <w:rFonts w:cs="Arial"/>
          <w:b/>
          <w:bCs/>
          <w:sz w:val="28"/>
          <w:szCs w:val="28"/>
        </w:rPr>
        <w:t>Lecturer’s</w:t>
      </w:r>
      <w:r w:rsidRPr="00074402">
        <w:rPr>
          <w:rFonts w:cs="Arial"/>
          <w:b/>
          <w:bCs/>
          <w:sz w:val="28"/>
          <w:szCs w:val="28"/>
        </w:rPr>
        <w:t xml:space="preserve"> name</w:t>
      </w:r>
      <w:r>
        <w:rPr>
          <w:rFonts w:cs="Arial"/>
          <w:sz w:val="28"/>
          <w:szCs w:val="28"/>
        </w:rPr>
        <w:t>: Laila Surani</w:t>
      </w:r>
    </w:p>
    <w:p w14:paraId="5C3A76EF" w14:textId="77777777" w:rsidR="0093209C" w:rsidRDefault="0093209C" w:rsidP="0093209C">
      <w:pPr>
        <w:tabs>
          <w:tab w:val="left" w:pos="6540"/>
        </w:tabs>
        <w:ind w:left="426"/>
        <w:rPr>
          <w:rFonts w:cs="Arial"/>
          <w:sz w:val="28"/>
          <w:szCs w:val="28"/>
        </w:rPr>
      </w:pPr>
    </w:p>
    <w:p w14:paraId="51E6B580" w14:textId="77777777" w:rsidR="0093209C" w:rsidRDefault="0093209C" w:rsidP="0093209C">
      <w:pPr>
        <w:tabs>
          <w:tab w:val="left" w:pos="6540"/>
        </w:tabs>
        <w:ind w:left="426"/>
        <w:rPr>
          <w:rFonts w:cs="Arial"/>
          <w:sz w:val="28"/>
          <w:szCs w:val="28"/>
        </w:rPr>
      </w:pPr>
    </w:p>
    <w:p w14:paraId="10B13408" w14:textId="77777777" w:rsidR="0093209C" w:rsidRPr="0093209C" w:rsidRDefault="0093209C" w:rsidP="0093209C">
      <w:r w:rsidRPr="0093209C">
        <w:t>Acknowledgement of the use of AI tools</w:t>
      </w:r>
    </w:p>
    <w:p w14:paraId="7925DC23" w14:textId="77777777" w:rsidR="0093209C" w:rsidRPr="0093209C" w:rsidRDefault="0093209C" w:rsidP="0093209C">
      <w:r w:rsidRPr="0093209C"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</w:p>
    <w:p w14:paraId="6FBCE80A" w14:textId="77777777" w:rsidR="0093209C" w:rsidRDefault="0093209C" w:rsidP="0093209C">
      <w:pPr>
        <w:tabs>
          <w:tab w:val="left" w:pos="6540"/>
        </w:tabs>
        <w:ind w:left="426"/>
        <w:rPr>
          <w:rFonts w:cs="Arial"/>
          <w:sz w:val="28"/>
          <w:szCs w:val="28"/>
        </w:rPr>
      </w:pPr>
    </w:p>
    <w:p w14:paraId="1DF4E5CA" w14:textId="155FF57E" w:rsidR="006B44E2" w:rsidRPr="006B44E2" w:rsidRDefault="00585626" w:rsidP="006B44E2">
      <w:pPr>
        <w:pStyle w:val="Heading1"/>
      </w:pPr>
      <w:r w:rsidRPr="00785685">
        <w:br w:type="page"/>
      </w:r>
      <w:r w:rsidR="008A5A03" w:rsidRPr="00785685">
        <w:lastRenderedPageBreak/>
        <w:t xml:space="preserve">Reference list </w:t>
      </w:r>
    </w:p>
    <w:p w14:paraId="57203CF7" w14:textId="77777777" w:rsidR="006B44E2" w:rsidRPr="00785685" w:rsidRDefault="006B44E2" w:rsidP="008A5A03">
      <w:pPr>
        <w:jc w:val="left"/>
        <w:rPr>
          <w:rFonts w:cs="Arial"/>
        </w:rPr>
      </w:pPr>
    </w:p>
    <w:p w14:paraId="0ACFAD9F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Age UK (2025) </w:t>
      </w:r>
      <w:r w:rsidRPr="00A8074D">
        <w:rPr>
          <w:rFonts w:cs="Arial"/>
          <w:i/>
          <w:iCs/>
          <w:lang w:val="en-GB"/>
        </w:rPr>
        <w:t>Facts and figures about digital inclusion and older people</w:t>
      </w:r>
      <w:r w:rsidRPr="00A8074D">
        <w:rPr>
          <w:rFonts w:cs="Arial"/>
          <w:lang w:val="en-GB"/>
        </w:rPr>
        <w:t xml:space="preserve">. London: Age UK. Available at: </w:t>
      </w:r>
      <w:hyperlink r:id="rId8" w:history="1">
        <w:r w:rsidRPr="00A8074D">
          <w:rPr>
            <w:rStyle w:val="Hyperlink"/>
            <w:rFonts w:cs="Arial"/>
            <w:lang w:val="en-GB"/>
          </w:rPr>
          <w:t>https://www.ageuk.org.uk/siteassets/documents/reports-and-publications/reports-and-briefings/active-communities/internet-use-statistics-july-2025-1.pdf</w:t>
        </w:r>
      </w:hyperlink>
      <w:r w:rsidRPr="00A8074D">
        <w:rPr>
          <w:rFonts w:cs="Arial"/>
          <w:lang w:val="en-GB"/>
        </w:rPr>
        <w:t xml:space="preserve"> (Accessed: 9 July 2026).</w:t>
      </w:r>
    </w:p>
    <w:p w14:paraId="5C4450BA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Alhammad, N., </w:t>
      </w:r>
      <w:proofErr w:type="spellStart"/>
      <w:r w:rsidRPr="00A8074D">
        <w:rPr>
          <w:rFonts w:cs="Arial"/>
          <w:lang w:val="en-GB"/>
        </w:rPr>
        <w:t>Alajlani</w:t>
      </w:r>
      <w:proofErr w:type="spellEnd"/>
      <w:r w:rsidRPr="00A8074D">
        <w:rPr>
          <w:rFonts w:cs="Arial"/>
          <w:lang w:val="en-GB"/>
        </w:rPr>
        <w:t xml:space="preserve">, M., Abd-Alrazaq, A., </w:t>
      </w:r>
      <w:proofErr w:type="spellStart"/>
      <w:r w:rsidRPr="00A8074D">
        <w:rPr>
          <w:rFonts w:cs="Arial"/>
          <w:lang w:val="en-GB"/>
        </w:rPr>
        <w:t>Epiphaniou</w:t>
      </w:r>
      <w:proofErr w:type="spellEnd"/>
      <w:r w:rsidRPr="00A8074D">
        <w:rPr>
          <w:rFonts w:cs="Arial"/>
          <w:lang w:val="en-GB"/>
        </w:rPr>
        <w:t xml:space="preserve">, G. and Arvanitis, T. (2024) 'Patients' perspectives on the data confidentiality, privacy, and security of mHealth apps: systematic review', </w:t>
      </w:r>
      <w:r w:rsidRPr="00A8074D">
        <w:rPr>
          <w:rFonts w:cs="Arial"/>
          <w:i/>
          <w:iCs/>
          <w:lang w:val="en-GB"/>
        </w:rPr>
        <w:t>Journal of Medical Internet Research</w:t>
      </w:r>
      <w:r w:rsidRPr="00A8074D">
        <w:rPr>
          <w:rFonts w:cs="Arial"/>
          <w:lang w:val="en-GB"/>
        </w:rPr>
        <w:t xml:space="preserve">, 26, e50715. </w:t>
      </w:r>
      <w:proofErr w:type="spellStart"/>
      <w:r w:rsidRPr="00A8074D">
        <w:rPr>
          <w:rFonts w:cs="Arial"/>
          <w:lang w:val="en-GB"/>
        </w:rPr>
        <w:t>doi</w:t>
      </w:r>
      <w:proofErr w:type="spellEnd"/>
      <w:r w:rsidRPr="00A8074D">
        <w:rPr>
          <w:rFonts w:cs="Arial"/>
          <w:lang w:val="en-GB"/>
        </w:rPr>
        <w:t>: 10.2196/50715.</w:t>
      </w:r>
    </w:p>
    <w:p w14:paraId="43D9D09A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proofErr w:type="spellStart"/>
      <w:r w:rsidRPr="00A8074D">
        <w:rPr>
          <w:rFonts w:cs="Arial"/>
          <w:lang w:val="en-GB"/>
        </w:rPr>
        <w:t>Amouzadeh</w:t>
      </w:r>
      <w:proofErr w:type="spellEnd"/>
      <w:r w:rsidRPr="00A8074D">
        <w:rPr>
          <w:rFonts w:cs="Arial"/>
          <w:lang w:val="en-GB"/>
        </w:rPr>
        <w:t xml:space="preserve">, E., Dianat, I., </w:t>
      </w:r>
      <w:proofErr w:type="spellStart"/>
      <w:r w:rsidRPr="00A8074D">
        <w:rPr>
          <w:rFonts w:cs="Arial"/>
          <w:lang w:val="en-GB"/>
        </w:rPr>
        <w:t>Faradmal</w:t>
      </w:r>
      <w:proofErr w:type="spellEnd"/>
      <w:r w:rsidRPr="00A8074D">
        <w:rPr>
          <w:rFonts w:cs="Arial"/>
          <w:lang w:val="en-GB"/>
        </w:rPr>
        <w:t xml:space="preserve">, J. and </w:t>
      </w:r>
      <w:proofErr w:type="spellStart"/>
      <w:r w:rsidRPr="00A8074D">
        <w:rPr>
          <w:rFonts w:cs="Arial"/>
          <w:lang w:val="en-GB"/>
        </w:rPr>
        <w:t>Babamiri</w:t>
      </w:r>
      <w:proofErr w:type="spellEnd"/>
      <w:r w:rsidRPr="00A8074D">
        <w:rPr>
          <w:rFonts w:cs="Arial"/>
          <w:lang w:val="en-GB"/>
        </w:rPr>
        <w:t xml:space="preserve">, M. (2025) 'Optimizing mobile app design for older adults: systematic review of age-friendly design', </w:t>
      </w:r>
      <w:r w:rsidRPr="00A8074D">
        <w:rPr>
          <w:rFonts w:cs="Arial"/>
          <w:i/>
          <w:iCs/>
          <w:lang w:val="en-GB"/>
        </w:rPr>
        <w:t>Aging Clinical and Experimental Research</w:t>
      </w:r>
      <w:r w:rsidRPr="00A8074D">
        <w:rPr>
          <w:rFonts w:cs="Arial"/>
          <w:lang w:val="en-GB"/>
        </w:rPr>
        <w:t xml:space="preserve">, 37(1), article 248. </w:t>
      </w:r>
      <w:proofErr w:type="spellStart"/>
      <w:r w:rsidRPr="00A8074D">
        <w:rPr>
          <w:rFonts w:cs="Arial"/>
          <w:lang w:val="en-GB"/>
        </w:rPr>
        <w:t>doi</w:t>
      </w:r>
      <w:proofErr w:type="spellEnd"/>
      <w:r w:rsidRPr="00A8074D">
        <w:rPr>
          <w:rFonts w:cs="Arial"/>
          <w:lang w:val="en-GB"/>
        </w:rPr>
        <w:t>: 10.1007/s40520-025-03157-7.</w:t>
      </w:r>
    </w:p>
    <w:p w14:paraId="16248667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proofErr w:type="spellStart"/>
      <w:r w:rsidRPr="00A8074D">
        <w:rPr>
          <w:rFonts w:cs="Arial"/>
          <w:lang w:val="en-GB"/>
        </w:rPr>
        <w:t>Ardalani</w:t>
      </w:r>
      <w:proofErr w:type="spellEnd"/>
      <w:r w:rsidRPr="00A8074D">
        <w:rPr>
          <w:rFonts w:cs="Arial"/>
          <w:lang w:val="en-GB"/>
        </w:rPr>
        <w:t xml:space="preserve">, A., Antonucci, J. and </w:t>
      </w:r>
      <w:proofErr w:type="spellStart"/>
      <w:r w:rsidRPr="00A8074D">
        <w:rPr>
          <w:rFonts w:cs="Arial"/>
          <w:lang w:val="en-GB"/>
        </w:rPr>
        <w:t>Neamtiu</w:t>
      </w:r>
      <w:proofErr w:type="spellEnd"/>
      <w:r w:rsidRPr="00A8074D">
        <w:rPr>
          <w:rFonts w:cs="Arial"/>
          <w:lang w:val="en-GB"/>
        </w:rPr>
        <w:t xml:space="preserve">, I. (2024) 'Towards precise detection of personal information leaks in mobile health apps', </w:t>
      </w:r>
      <w:r w:rsidRPr="00A8074D">
        <w:rPr>
          <w:rFonts w:cs="Arial"/>
          <w:i/>
          <w:iCs/>
          <w:lang w:val="en-GB"/>
        </w:rPr>
        <w:t>16th International Conference on e-Health</w:t>
      </w:r>
      <w:r w:rsidRPr="00A8074D">
        <w:rPr>
          <w:rFonts w:cs="Arial"/>
          <w:lang w:val="en-GB"/>
        </w:rPr>
        <w:t>. Budapest, Hungary, 13–15 July. Lisbon: IADIS Press.</w:t>
      </w:r>
    </w:p>
    <w:p w14:paraId="1244EAD2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British Geriatrics Society (2025) </w:t>
      </w:r>
      <w:r w:rsidRPr="00A8074D">
        <w:rPr>
          <w:rFonts w:cs="Arial"/>
          <w:i/>
          <w:iCs/>
          <w:lang w:val="en-GB"/>
        </w:rPr>
        <w:t xml:space="preserve">NHS </w:t>
      </w:r>
      <w:proofErr w:type="gramStart"/>
      <w:r w:rsidRPr="00A8074D">
        <w:rPr>
          <w:rFonts w:cs="Arial"/>
          <w:i/>
          <w:iCs/>
          <w:lang w:val="en-GB"/>
        </w:rPr>
        <w:t>ten year</w:t>
      </w:r>
      <w:proofErr w:type="gramEnd"/>
      <w:r w:rsidRPr="00A8074D">
        <w:rPr>
          <w:rFonts w:cs="Arial"/>
          <w:i/>
          <w:iCs/>
          <w:lang w:val="en-GB"/>
        </w:rPr>
        <w:t xml:space="preserve"> health plan: how it affects you</w:t>
      </w:r>
      <w:r w:rsidRPr="00A8074D">
        <w:rPr>
          <w:rFonts w:cs="Arial"/>
          <w:lang w:val="en-GB"/>
        </w:rPr>
        <w:t xml:space="preserve">. London: British Geriatrics Society. Available at: </w:t>
      </w:r>
      <w:hyperlink r:id="rId9" w:history="1">
        <w:r w:rsidRPr="00A8074D">
          <w:rPr>
            <w:rStyle w:val="Hyperlink"/>
            <w:rFonts w:cs="Arial"/>
            <w:lang w:val="en-GB"/>
          </w:rPr>
          <w:t>https://www.bgs.org.uk/NHS10yplan</w:t>
        </w:r>
      </w:hyperlink>
      <w:r w:rsidRPr="00A8074D">
        <w:rPr>
          <w:rFonts w:cs="Arial"/>
          <w:lang w:val="en-GB"/>
        </w:rPr>
        <w:t xml:space="preserve"> (Accessed: 9 July 2026).</w:t>
      </w:r>
    </w:p>
    <w:p w14:paraId="78F1461D" w14:textId="77777777" w:rsidR="006B44E2" w:rsidRPr="006B44E2" w:rsidRDefault="006B44E2" w:rsidP="006B44E2">
      <w:pPr>
        <w:spacing w:after="160"/>
        <w:ind w:left="720" w:hanging="720"/>
        <w:rPr>
          <w:rFonts w:cs="Arial"/>
          <w:lang w:val="en-GB"/>
        </w:rPr>
      </w:pPr>
      <w:r w:rsidRPr="006B44E2">
        <w:rPr>
          <w:rFonts w:cs="Arial"/>
          <w:lang w:val="en-GB"/>
        </w:rPr>
        <w:t xml:space="preserve">Czaja, S.J., Boot, W.R., </w:t>
      </w:r>
      <w:proofErr w:type="spellStart"/>
      <w:r w:rsidRPr="006B44E2">
        <w:rPr>
          <w:rFonts w:cs="Arial"/>
          <w:lang w:val="en-GB"/>
        </w:rPr>
        <w:t>Charness</w:t>
      </w:r>
      <w:proofErr w:type="spellEnd"/>
      <w:r w:rsidRPr="006B44E2">
        <w:rPr>
          <w:rFonts w:cs="Arial"/>
          <w:lang w:val="en-GB"/>
        </w:rPr>
        <w:t xml:space="preserve">, N. and Rogers, W.A. (2019) Designing for Older Adults: Principles and Creative Human Factors Approaches. 3rd </w:t>
      </w:r>
      <w:proofErr w:type="spellStart"/>
      <w:r w:rsidRPr="006B44E2">
        <w:rPr>
          <w:rFonts w:cs="Arial"/>
          <w:lang w:val="en-GB"/>
        </w:rPr>
        <w:t>edn</w:t>
      </w:r>
      <w:proofErr w:type="spellEnd"/>
      <w:r w:rsidRPr="006B44E2">
        <w:rPr>
          <w:rFonts w:cs="Arial"/>
          <w:lang w:val="en-GB"/>
        </w:rPr>
        <w:t>. Boca Raton: CRC Press.</w:t>
      </w:r>
    </w:p>
    <w:p w14:paraId="5B1BBFD8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Davies, A.R., Honeyman, M. and Gann, B. (2021) 'Addressing the digital inverse care law in the time of COVID-19: potential for digital technology to exacerbate or mitigate health inequalities', </w:t>
      </w:r>
      <w:r w:rsidRPr="00A8074D">
        <w:rPr>
          <w:rFonts w:cs="Arial"/>
          <w:i/>
          <w:iCs/>
          <w:lang w:val="en-GB"/>
        </w:rPr>
        <w:t>Journal of Medical Internet Research</w:t>
      </w:r>
      <w:r w:rsidRPr="00A8074D">
        <w:rPr>
          <w:rFonts w:cs="Arial"/>
          <w:lang w:val="en-GB"/>
        </w:rPr>
        <w:t xml:space="preserve">, 23(4), e21726. </w:t>
      </w:r>
      <w:proofErr w:type="spellStart"/>
      <w:r w:rsidRPr="00A8074D">
        <w:rPr>
          <w:rFonts w:cs="Arial"/>
          <w:lang w:val="en-GB"/>
        </w:rPr>
        <w:t>doi</w:t>
      </w:r>
      <w:proofErr w:type="spellEnd"/>
      <w:r w:rsidRPr="00A8074D">
        <w:rPr>
          <w:rFonts w:cs="Arial"/>
          <w:lang w:val="en-GB"/>
        </w:rPr>
        <w:t>: 10.2196/21726.</w:t>
      </w:r>
    </w:p>
    <w:p w14:paraId="529B9E4E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Department of Health and Social Care (2025) </w:t>
      </w:r>
      <w:r w:rsidRPr="00A8074D">
        <w:rPr>
          <w:rFonts w:cs="Arial"/>
          <w:i/>
          <w:iCs/>
          <w:lang w:val="en-GB"/>
        </w:rPr>
        <w:t xml:space="preserve">Fit for the future: </w:t>
      </w:r>
      <w:proofErr w:type="gramStart"/>
      <w:r w:rsidRPr="00A8074D">
        <w:rPr>
          <w:rFonts w:cs="Arial"/>
          <w:i/>
          <w:iCs/>
          <w:lang w:val="en-GB"/>
        </w:rPr>
        <w:t>10 year</w:t>
      </w:r>
      <w:proofErr w:type="gramEnd"/>
      <w:r w:rsidRPr="00A8074D">
        <w:rPr>
          <w:rFonts w:cs="Arial"/>
          <w:i/>
          <w:iCs/>
          <w:lang w:val="en-GB"/>
        </w:rPr>
        <w:t xml:space="preserve"> health plan for England</w:t>
      </w:r>
      <w:r w:rsidRPr="00A8074D">
        <w:rPr>
          <w:rFonts w:cs="Arial"/>
          <w:lang w:val="en-GB"/>
        </w:rPr>
        <w:t xml:space="preserve">. London: Department of Health and Social Care. Available at: </w:t>
      </w:r>
      <w:hyperlink r:id="rId10" w:history="1">
        <w:r w:rsidRPr="00A8074D">
          <w:rPr>
            <w:rStyle w:val="Hyperlink"/>
            <w:rFonts w:cs="Arial"/>
            <w:lang w:val="en-GB"/>
          </w:rPr>
          <w:t>https://www.gov.uk/government/publications/10-year-health-plan-for-england-fit-for-the-future</w:t>
        </w:r>
      </w:hyperlink>
      <w:r w:rsidRPr="00A8074D">
        <w:rPr>
          <w:rFonts w:cs="Arial"/>
          <w:lang w:val="en-GB"/>
        </w:rPr>
        <w:t xml:space="preserve"> (Accessed: 9 July 2026).</w:t>
      </w:r>
    </w:p>
    <w:p w14:paraId="3714F233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Digital Health (2024) 'Concerns raised that NHS digital plans could exclude older adults', </w:t>
      </w:r>
      <w:r w:rsidRPr="00A8074D">
        <w:rPr>
          <w:rFonts w:cs="Arial"/>
          <w:i/>
          <w:iCs/>
          <w:lang w:val="en-GB"/>
        </w:rPr>
        <w:t>Digital Health</w:t>
      </w:r>
      <w:r w:rsidRPr="00A8074D">
        <w:rPr>
          <w:rFonts w:cs="Arial"/>
          <w:lang w:val="en-GB"/>
        </w:rPr>
        <w:t xml:space="preserve">, 5 November. Available at: </w:t>
      </w:r>
      <w:hyperlink r:id="rId11" w:history="1">
        <w:r w:rsidRPr="00A8074D">
          <w:rPr>
            <w:rStyle w:val="Hyperlink"/>
            <w:rFonts w:cs="Arial"/>
            <w:lang w:val="en-GB"/>
          </w:rPr>
          <w:t>https://www.digitalhealth.net/2024/11/concerns-raised-that-nhs-digital-plans-could-exclude-older-adults/</w:t>
        </w:r>
      </w:hyperlink>
      <w:r w:rsidRPr="00A8074D">
        <w:rPr>
          <w:rFonts w:cs="Arial"/>
          <w:lang w:val="en-GB"/>
        </w:rPr>
        <w:t xml:space="preserve"> (Accessed: 9 July 2026).</w:t>
      </w:r>
    </w:p>
    <w:p w14:paraId="399C5C87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Equality Act 2010, c. 15. Available at: </w:t>
      </w:r>
      <w:hyperlink r:id="rId12" w:history="1">
        <w:r w:rsidRPr="00A8074D">
          <w:rPr>
            <w:rStyle w:val="Hyperlink"/>
            <w:rFonts w:cs="Arial"/>
            <w:lang w:val="en-GB"/>
          </w:rPr>
          <w:t>https://www.legislation.gov.uk/ukpga/2010/15/contents</w:t>
        </w:r>
      </w:hyperlink>
      <w:r w:rsidRPr="00A8074D">
        <w:rPr>
          <w:rFonts w:cs="Arial"/>
          <w:lang w:val="en-GB"/>
        </w:rPr>
        <w:t xml:space="preserve"> (Accessed: 9 July 2026).</w:t>
      </w:r>
    </w:p>
    <w:p w14:paraId="3E968441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lastRenderedPageBreak/>
        <w:t xml:space="preserve">Farre, A., Fang, M., Hannah, B., Makita, M., McFadden, A., Menezes, D., Rodriguez, A., Sixsmith, J. and Grey, N.M. (2023) 'Exploring the use of digital technology to deliver healthcare services with explicit consideration of health inequalities in UK settings: a scoping review', </w:t>
      </w:r>
      <w:r w:rsidRPr="00A8074D">
        <w:rPr>
          <w:rFonts w:cs="Arial"/>
          <w:i/>
          <w:iCs/>
          <w:lang w:val="en-GB"/>
        </w:rPr>
        <w:t>Digital Health</w:t>
      </w:r>
      <w:r w:rsidRPr="00A8074D">
        <w:rPr>
          <w:rFonts w:cs="Arial"/>
          <w:lang w:val="en-GB"/>
        </w:rPr>
        <w:t xml:space="preserve">, 9. </w:t>
      </w:r>
      <w:proofErr w:type="spellStart"/>
      <w:r w:rsidRPr="00A8074D">
        <w:rPr>
          <w:rFonts w:cs="Arial"/>
          <w:lang w:val="en-GB"/>
        </w:rPr>
        <w:t>doi</w:t>
      </w:r>
      <w:proofErr w:type="spellEnd"/>
      <w:r w:rsidRPr="00A8074D">
        <w:rPr>
          <w:rFonts w:cs="Arial"/>
          <w:lang w:val="en-GB"/>
        </w:rPr>
        <w:t>: 10.1177/20552076231185442.</w:t>
      </w:r>
    </w:p>
    <w:p w14:paraId="2F5C89F5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Good Things Foundation (2025) </w:t>
      </w:r>
      <w:r w:rsidRPr="00A8074D">
        <w:rPr>
          <w:rFonts w:cs="Arial"/>
          <w:i/>
          <w:iCs/>
          <w:lang w:val="en-GB"/>
        </w:rPr>
        <w:t>What we know about digital inclusion</w:t>
      </w:r>
      <w:r w:rsidRPr="00A8074D">
        <w:rPr>
          <w:rFonts w:cs="Arial"/>
          <w:lang w:val="en-GB"/>
        </w:rPr>
        <w:t xml:space="preserve">. Sheffield: Good Things Foundation. Available at: </w:t>
      </w:r>
      <w:hyperlink r:id="rId13" w:history="1">
        <w:r w:rsidRPr="00A8074D">
          <w:rPr>
            <w:rStyle w:val="Hyperlink"/>
            <w:rFonts w:cs="Arial"/>
            <w:lang w:val="en-GB"/>
          </w:rPr>
          <w:t>https://www.goodthingsfoundation.org/policy-and-research/research-and-evidence/research-2024/digital-inclusion-datasets</w:t>
        </w:r>
      </w:hyperlink>
      <w:r w:rsidRPr="00A8074D">
        <w:rPr>
          <w:rFonts w:cs="Arial"/>
          <w:lang w:val="en-GB"/>
        </w:rPr>
        <w:t xml:space="preserve"> (Accessed: 9 July 2026).</w:t>
      </w:r>
    </w:p>
    <w:p w14:paraId="0C253567" w14:textId="77777777" w:rsidR="006B44E2" w:rsidRPr="006B44E2" w:rsidRDefault="006B44E2" w:rsidP="006B44E2">
      <w:pPr>
        <w:spacing w:after="160"/>
        <w:ind w:left="720" w:hanging="720"/>
        <w:rPr>
          <w:rFonts w:cs="Arial"/>
          <w:lang w:val="en-GB"/>
        </w:rPr>
      </w:pPr>
      <w:r w:rsidRPr="006B44E2">
        <w:rPr>
          <w:rFonts w:cs="Arial"/>
          <w:lang w:val="en-GB"/>
        </w:rPr>
        <w:t xml:space="preserve">Greenhalgh, T., </w:t>
      </w:r>
      <w:proofErr w:type="spellStart"/>
      <w:r w:rsidRPr="006B44E2">
        <w:rPr>
          <w:rFonts w:cs="Arial"/>
          <w:lang w:val="en-GB"/>
        </w:rPr>
        <w:t>Wherton</w:t>
      </w:r>
      <w:proofErr w:type="spellEnd"/>
      <w:r w:rsidRPr="006B44E2">
        <w:rPr>
          <w:rFonts w:cs="Arial"/>
          <w:lang w:val="en-GB"/>
        </w:rPr>
        <w:t xml:space="preserve">, J., Papoutsi, C. et al. (2017) 'Beyond adoption: A new framework for theorizing and evaluating </w:t>
      </w:r>
      <w:proofErr w:type="spellStart"/>
      <w:r w:rsidRPr="006B44E2">
        <w:rPr>
          <w:rFonts w:cs="Arial"/>
          <w:lang w:val="en-GB"/>
        </w:rPr>
        <w:t>nonadoption</w:t>
      </w:r>
      <w:proofErr w:type="spellEnd"/>
      <w:r w:rsidRPr="006B44E2">
        <w:rPr>
          <w:rFonts w:cs="Arial"/>
          <w:lang w:val="en-GB"/>
        </w:rPr>
        <w:t>, abandonment, scale-up, spread, and sustainability of health and care technologies', Journal of Medical Internet Research, 19(11), e367.</w:t>
      </w:r>
    </w:p>
    <w:p w14:paraId="0A7E6924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Honeyman, M., Maguire, D., Evans, H. and Davies, A. (2020) </w:t>
      </w:r>
      <w:r w:rsidRPr="00A8074D">
        <w:rPr>
          <w:rFonts w:cs="Arial"/>
          <w:i/>
          <w:iCs/>
          <w:lang w:val="en-GB"/>
        </w:rPr>
        <w:t>Digital technology and health inequalities: a scoping review</w:t>
      </w:r>
      <w:r w:rsidRPr="00A8074D">
        <w:rPr>
          <w:rFonts w:cs="Arial"/>
          <w:lang w:val="en-GB"/>
        </w:rPr>
        <w:t>. Cardiff: Public Health Wales NHS Trust.</w:t>
      </w:r>
    </w:p>
    <w:p w14:paraId="2E9450D0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Lloyds Banking Group (2025) </w:t>
      </w:r>
      <w:r w:rsidRPr="00A8074D">
        <w:rPr>
          <w:rFonts w:cs="Arial"/>
          <w:i/>
          <w:iCs/>
          <w:lang w:val="en-GB"/>
        </w:rPr>
        <w:t>Consumer digital index 2025</w:t>
      </w:r>
      <w:r w:rsidRPr="00A8074D">
        <w:rPr>
          <w:rFonts w:cs="Arial"/>
          <w:lang w:val="en-GB"/>
        </w:rPr>
        <w:t xml:space="preserve">. London: Lloyds Banking Group. Available at: </w:t>
      </w:r>
      <w:hyperlink r:id="rId14" w:history="1">
        <w:r w:rsidRPr="00A8074D">
          <w:rPr>
            <w:rStyle w:val="Hyperlink"/>
            <w:rFonts w:cs="Arial"/>
            <w:lang w:val="en-GB"/>
          </w:rPr>
          <w:t>https://www.lloydsbankinggroup.com/assets/pdfs/media/consumer-digital-index/2025/2025-consumer-digital-index.pdf</w:t>
        </w:r>
      </w:hyperlink>
      <w:r w:rsidRPr="00A8074D">
        <w:rPr>
          <w:rFonts w:cs="Arial"/>
          <w:lang w:val="en-GB"/>
        </w:rPr>
        <w:t xml:space="preserve"> (Accessed: 9 July 2026).</w:t>
      </w:r>
    </w:p>
    <w:p w14:paraId="0AED0106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NHS England (2023) </w:t>
      </w:r>
      <w:r w:rsidRPr="00A8074D">
        <w:rPr>
          <w:rFonts w:cs="Arial"/>
          <w:i/>
          <w:iCs/>
          <w:lang w:val="en-GB"/>
        </w:rPr>
        <w:t>Inclusive digital healthcare: a framework for NHS action on digital inclusion</w:t>
      </w:r>
      <w:r w:rsidRPr="00A8074D">
        <w:rPr>
          <w:rFonts w:cs="Arial"/>
          <w:lang w:val="en-GB"/>
        </w:rPr>
        <w:t xml:space="preserve">. Leeds: NHS England. Available at: </w:t>
      </w:r>
      <w:hyperlink r:id="rId15" w:history="1">
        <w:r w:rsidRPr="00A8074D">
          <w:rPr>
            <w:rStyle w:val="Hyperlink"/>
            <w:rFonts w:cs="Arial"/>
            <w:lang w:val="en-GB"/>
          </w:rPr>
          <w:t>https://www.england.nhs.uk/long-read/inclusive-digital-healthcare-a-framework-for-nhs-action-on-digital-inclusion/</w:t>
        </w:r>
      </w:hyperlink>
      <w:r w:rsidRPr="00A8074D">
        <w:rPr>
          <w:rFonts w:cs="Arial"/>
          <w:lang w:val="en-GB"/>
        </w:rPr>
        <w:t xml:space="preserve"> (Accessed: 9 July 2026).</w:t>
      </w:r>
    </w:p>
    <w:p w14:paraId="414D0544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Ofcom (2026) </w:t>
      </w:r>
      <w:r w:rsidRPr="00A8074D">
        <w:rPr>
          <w:rFonts w:cs="Arial"/>
          <w:i/>
          <w:iCs/>
          <w:lang w:val="en-GB"/>
        </w:rPr>
        <w:t>Adults' media use and attitudes report 2026</w:t>
      </w:r>
      <w:r w:rsidRPr="00A8074D">
        <w:rPr>
          <w:rFonts w:cs="Arial"/>
          <w:lang w:val="en-GB"/>
        </w:rPr>
        <w:t xml:space="preserve">. London: Ofcom. Available at: </w:t>
      </w:r>
      <w:hyperlink r:id="rId16" w:history="1">
        <w:r w:rsidRPr="00A8074D">
          <w:rPr>
            <w:rStyle w:val="Hyperlink"/>
            <w:rFonts w:cs="Arial"/>
            <w:lang w:val="en-GB"/>
          </w:rPr>
          <w:t>https://www.ofcom.org.uk/media-use-and-attitudes/media-habits-adults/adults-media-use-and-attitudes</w:t>
        </w:r>
      </w:hyperlink>
      <w:r w:rsidRPr="00A8074D">
        <w:rPr>
          <w:rFonts w:cs="Arial"/>
          <w:lang w:val="en-GB"/>
        </w:rPr>
        <w:t xml:space="preserve"> (Accessed: 9 July 2026).</w:t>
      </w:r>
    </w:p>
    <w:p w14:paraId="42CFE37C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Payne, R., Clarke, A., Swann, N., van Dael, J., Brenman, N., Rosen, R., </w:t>
      </w:r>
      <w:proofErr w:type="spellStart"/>
      <w:r w:rsidRPr="00A8074D">
        <w:rPr>
          <w:rFonts w:cs="Arial"/>
          <w:lang w:val="en-GB"/>
        </w:rPr>
        <w:t>Mackridge</w:t>
      </w:r>
      <w:proofErr w:type="spellEnd"/>
      <w:r w:rsidRPr="00A8074D">
        <w:rPr>
          <w:rFonts w:cs="Arial"/>
          <w:lang w:val="en-GB"/>
        </w:rPr>
        <w:t xml:space="preserve">, A., Moore, L., Kalin, A., Ladds, E., Hemmings, N., </w:t>
      </w:r>
      <w:proofErr w:type="spellStart"/>
      <w:r w:rsidRPr="00A8074D">
        <w:rPr>
          <w:rFonts w:cs="Arial"/>
          <w:lang w:val="en-GB"/>
        </w:rPr>
        <w:t>Rybczynska</w:t>
      </w:r>
      <w:proofErr w:type="spellEnd"/>
      <w:r w:rsidRPr="00A8074D">
        <w:rPr>
          <w:rFonts w:cs="Arial"/>
          <w:lang w:val="en-GB"/>
        </w:rPr>
        <w:t xml:space="preserve">-Bunt, S., Faulkner, S., Hanson, I., Spitters, S., Wieringa, S., Dakin, F.H., Shaw, S.E., </w:t>
      </w:r>
      <w:proofErr w:type="spellStart"/>
      <w:r w:rsidRPr="00A8074D">
        <w:rPr>
          <w:rFonts w:cs="Arial"/>
          <w:lang w:val="en-GB"/>
        </w:rPr>
        <w:t>Wherton</w:t>
      </w:r>
      <w:proofErr w:type="spellEnd"/>
      <w:r w:rsidRPr="00A8074D">
        <w:rPr>
          <w:rFonts w:cs="Arial"/>
          <w:lang w:val="en-GB"/>
        </w:rPr>
        <w:t xml:space="preserve">, J., Byng, R., Husain, L. and Greenhalgh, T. (2024) 'Patient safety in remote primary care encounters: multimethod qualitative study combining Safety I and Safety II analysis', </w:t>
      </w:r>
      <w:r w:rsidRPr="00A8074D">
        <w:rPr>
          <w:rFonts w:cs="Arial"/>
          <w:i/>
          <w:iCs/>
          <w:lang w:val="en-GB"/>
        </w:rPr>
        <w:t>BMJ Quality &amp; Safety</w:t>
      </w:r>
      <w:r w:rsidRPr="00A8074D">
        <w:rPr>
          <w:rFonts w:cs="Arial"/>
          <w:lang w:val="en-GB"/>
        </w:rPr>
        <w:t xml:space="preserve">, 33(9), pp. 573–586. </w:t>
      </w:r>
      <w:proofErr w:type="spellStart"/>
      <w:r w:rsidRPr="00A8074D">
        <w:rPr>
          <w:rFonts w:cs="Arial"/>
          <w:lang w:val="en-GB"/>
        </w:rPr>
        <w:t>doi</w:t>
      </w:r>
      <w:proofErr w:type="spellEnd"/>
      <w:r w:rsidRPr="00A8074D">
        <w:rPr>
          <w:rFonts w:cs="Arial"/>
          <w:lang w:val="en-GB"/>
        </w:rPr>
        <w:t>: 10.1136/bmjqs-2023-016674.</w:t>
      </w:r>
    </w:p>
    <w:p w14:paraId="3C56E776" w14:textId="77777777" w:rsidR="006B44E2" w:rsidRPr="006B44E2" w:rsidRDefault="006B44E2" w:rsidP="006B44E2">
      <w:pPr>
        <w:spacing w:after="160"/>
        <w:ind w:left="720" w:hanging="720"/>
        <w:rPr>
          <w:rFonts w:cs="Arial"/>
          <w:lang w:val="en-GB"/>
        </w:rPr>
      </w:pPr>
      <w:r w:rsidRPr="006B44E2">
        <w:rPr>
          <w:rFonts w:cs="Arial"/>
          <w:lang w:val="en-GB"/>
        </w:rPr>
        <w:t>Peek, S.T.M. et al. (2016) 'Older adults' reasons for using technology while aging in place', Gerontology, 62(2), pp. 226–237.</w:t>
      </w:r>
    </w:p>
    <w:p w14:paraId="6CFA646B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Shah, S.G.S., Nogueras, D., van </w:t>
      </w:r>
      <w:proofErr w:type="spellStart"/>
      <w:r w:rsidRPr="00A8074D">
        <w:rPr>
          <w:rFonts w:cs="Arial"/>
          <w:lang w:val="en-GB"/>
        </w:rPr>
        <w:t>Woerden</w:t>
      </w:r>
      <w:proofErr w:type="spellEnd"/>
      <w:r w:rsidRPr="00A8074D">
        <w:rPr>
          <w:rFonts w:cs="Arial"/>
          <w:lang w:val="en-GB"/>
        </w:rPr>
        <w:t xml:space="preserve">, H.C. and Kiparoglou, V. (2021) 'Evaluation of the effectiveness of digital technology interventions to reduce loneliness in older adults: systematic review and meta-analysis', </w:t>
      </w:r>
      <w:r w:rsidRPr="00A8074D">
        <w:rPr>
          <w:rFonts w:cs="Arial"/>
          <w:i/>
          <w:iCs/>
          <w:lang w:val="en-GB"/>
        </w:rPr>
        <w:t>Journal of Medical Internet Research</w:t>
      </w:r>
      <w:r w:rsidRPr="00A8074D">
        <w:rPr>
          <w:rFonts w:cs="Arial"/>
          <w:lang w:val="en-GB"/>
        </w:rPr>
        <w:t xml:space="preserve">, 23(6), e24712. </w:t>
      </w:r>
      <w:proofErr w:type="spellStart"/>
      <w:r w:rsidRPr="00A8074D">
        <w:rPr>
          <w:rFonts w:cs="Arial"/>
          <w:lang w:val="en-GB"/>
        </w:rPr>
        <w:t>doi</w:t>
      </w:r>
      <w:proofErr w:type="spellEnd"/>
      <w:r w:rsidRPr="00A8074D">
        <w:rPr>
          <w:rFonts w:cs="Arial"/>
          <w:lang w:val="en-GB"/>
        </w:rPr>
        <w:t>: 10.2196/24712.</w:t>
      </w:r>
    </w:p>
    <w:p w14:paraId="5CEB52CF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lastRenderedPageBreak/>
        <w:t xml:space="preserve">Welch, V., Ghogomu, E.T., Barbeau, V.I., Dowling, S., Doyle, R., Beveridge, E., Boulton, E., Desai, P., Huang, J., </w:t>
      </w:r>
      <w:proofErr w:type="spellStart"/>
      <w:r w:rsidRPr="00A8074D">
        <w:rPr>
          <w:rFonts w:cs="Arial"/>
          <w:lang w:val="en-GB"/>
        </w:rPr>
        <w:t>Elmestekawy</w:t>
      </w:r>
      <w:proofErr w:type="spellEnd"/>
      <w:r w:rsidRPr="00A8074D">
        <w:rPr>
          <w:rFonts w:cs="Arial"/>
          <w:lang w:val="en-GB"/>
        </w:rPr>
        <w:t xml:space="preserve">, N., Hussain, T., Wadhwani, A., Boutin, S., </w:t>
      </w:r>
      <w:proofErr w:type="spellStart"/>
      <w:r w:rsidRPr="00A8074D">
        <w:rPr>
          <w:rFonts w:cs="Arial"/>
          <w:lang w:val="en-GB"/>
        </w:rPr>
        <w:t>Haitas</w:t>
      </w:r>
      <w:proofErr w:type="spellEnd"/>
      <w:r w:rsidRPr="00A8074D">
        <w:rPr>
          <w:rFonts w:cs="Arial"/>
          <w:lang w:val="en-GB"/>
        </w:rPr>
        <w:t xml:space="preserve">, N., Kneale, D., Salzwedel, D.M., Simard, R., Hébert, P. and Mikton, C. (2023) 'Digital interventions to reduce social isolation and loneliness in older adults: an evidence and gap map', </w:t>
      </w:r>
      <w:r w:rsidRPr="00A8074D">
        <w:rPr>
          <w:rFonts w:cs="Arial"/>
          <w:i/>
          <w:iCs/>
          <w:lang w:val="en-GB"/>
        </w:rPr>
        <w:t>Campbell Systematic Reviews</w:t>
      </w:r>
      <w:r w:rsidRPr="00A8074D">
        <w:rPr>
          <w:rFonts w:cs="Arial"/>
          <w:lang w:val="en-GB"/>
        </w:rPr>
        <w:t xml:space="preserve">, 19(4), e1369. </w:t>
      </w:r>
      <w:proofErr w:type="spellStart"/>
      <w:r w:rsidRPr="00A8074D">
        <w:rPr>
          <w:rFonts w:cs="Arial"/>
          <w:lang w:val="en-GB"/>
        </w:rPr>
        <w:t>doi</w:t>
      </w:r>
      <w:proofErr w:type="spellEnd"/>
      <w:r w:rsidRPr="00A8074D">
        <w:rPr>
          <w:rFonts w:cs="Arial"/>
          <w:lang w:val="en-GB"/>
        </w:rPr>
        <w:t>: 10.1002/cl2.1369.</w:t>
      </w:r>
    </w:p>
    <w:p w14:paraId="4AD4A571" w14:textId="77777777" w:rsidR="006B44E2" w:rsidRPr="00A8074D" w:rsidRDefault="006B44E2" w:rsidP="00A8074D">
      <w:pPr>
        <w:spacing w:after="160"/>
        <w:ind w:left="720" w:hanging="720"/>
        <w:rPr>
          <w:rFonts w:cs="Arial"/>
          <w:lang w:val="en-GB"/>
        </w:rPr>
      </w:pPr>
      <w:proofErr w:type="spellStart"/>
      <w:r w:rsidRPr="00A8074D">
        <w:rPr>
          <w:rFonts w:cs="Arial"/>
          <w:lang w:val="en-GB"/>
        </w:rPr>
        <w:t>Wildenbos</w:t>
      </w:r>
      <w:proofErr w:type="spellEnd"/>
      <w:r w:rsidRPr="00A8074D">
        <w:rPr>
          <w:rFonts w:cs="Arial"/>
          <w:lang w:val="en-GB"/>
        </w:rPr>
        <w:t xml:space="preserve">, G.A., </w:t>
      </w:r>
      <w:proofErr w:type="spellStart"/>
      <w:r w:rsidRPr="00A8074D">
        <w:rPr>
          <w:rFonts w:cs="Arial"/>
          <w:lang w:val="en-GB"/>
        </w:rPr>
        <w:t>Peute</w:t>
      </w:r>
      <w:proofErr w:type="spellEnd"/>
      <w:r w:rsidRPr="00A8074D">
        <w:rPr>
          <w:rFonts w:cs="Arial"/>
          <w:lang w:val="en-GB"/>
        </w:rPr>
        <w:t xml:space="preserve">, L. and Jaspers, M. (2018) 'Ageing barriers influencing mobile health usability for older adults: a literature-based framework (MOLD-US)', </w:t>
      </w:r>
      <w:r w:rsidRPr="00A8074D">
        <w:rPr>
          <w:rFonts w:cs="Arial"/>
          <w:i/>
          <w:iCs/>
          <w:lang w:val="en-GB"/>
        </w:rPr>
        <w:t>International Journal of Medical Informatics</w:t>
      </w:r>
      <w:r w:rsidRPr="00A8074D">
        <w:rPr>
          <w:rFonts w:cs="Arial"/>
          <w:lang w:val="en-GB"/>
        </w:rPr>
        <w:t xml:space="preserve">, 114, pp. 66–75. </w:t>
      </w:r>
      <w:proofErr w:type="spellStart"/>
      <w:r w:rsidRPr="00A8074D">
        <w:rPr>
          <w:rFonts w:cs="Arial"/>
          <w:lang w:val="en-GB"/>
        </w:rPr>
        <w:t>doi</w:t>
      </w:r>
      <w:proofErr w:type="spellEnd"/>
      <w:r w:rsidRPr="00A8074D">
        <w:rPr>
          <w:rFonts w:cs="Arial"/>
          <w:lang w:val="en-GB"/>
        </w:rPr>
        <w:t>: 10.1016/j.ijmedinf.2018.03.012.</w:t>
      </w:r>
    </w:p>
    <w:p w14:paraId="5ADBBC83" w14:textId="77777777" w:rsidR="006B44E2" w:rsidRDefault="006B44E2" w:rsidP="006B44E2">
      <w:pPr>
        <w:spacing w:after="160"/>
        <w:ind w:left="720" w:hanging="720"/>
        <w:rPr>
          <w:rFonts w:cs="Arial"/>
          <w:lang w:val="en-GB"/>
        </w:rPr>
      </w:pPr>
      <w:r w:rsidRPr="006B44E2">
        <w:rPr>
          <w:rFonts w:cs="Arial"/>
          <w:lang w:val="en-GB"/>
        </w:rPr>
        <w:t>Wilson, J., Heinsch, M., Betts, D., Booth, D. and Kay-Lambkin, F. (2021) 'Barriers and facilitators to the use of e-health by older adults', BMC Public Health, 21, 1594.</w:t>
      </w:r>
    </w:p>
    <w:p w14:paraId="3ADBCCF9" w14:textId="77777777" w:rsidR="006B44E2" w:rsidRPr="006B44E2" w:rsidRDefault="006B44E2" w:rsidP="006B44E2">
      <w:pPr>
        <w:spacing w:after="160"/>
        <w:ind w:left="720" w:hanging="720"/>
        <w:rPr>
          <w:rFonts w:cs="Arial"/>
          <w:lang w:val="en-GB"/>
        </w:rPr>
      </w:pPr>
      <w:r w:rsidRPr="00A8074D">
        <w:rPr>
          <w:rFonts w:cs="Arial"/>
          <w:lang w:val="en-GB"/>
        </w:rPr>
        <w:t xml:space="preserve">World Health Organization (2021) </w:t>
      </w:r>
      <w:r w:rsidRPr="00A8074D">
        <w:rPr>
          <w:rFonts w:cs="Arial"/>
          <w:i/>
          <w:iCs/>
          <w:lang w:val="en-GB"/>
        </w:rPr>
        <w:t>Global strategy on digital health 2020–2025</w:t>
      </w:r>
      <w:r w:rsidRPr="00A8074D">
        <w:rPr>
          <w:rFonts w:cs="Arial"/>
          <w:lang w:val="en-GB"/>
        </w:rPr>
        <w:t xml:space="preserve">. Geneva: World Health Organization. Available at: </w:t>
      </w:r>
      <w:hyperlink r:id="rId17" w:history="1">
        <w:r w:rsidRPr="00A8074D">
          <w:rPr>
            <w:rStyle w:val="Hyperlink"/>
            <w:rFonts w:cs="Arial"/>
            <w:lang w:val="en-GB"/>
          </w:rPr>
          <w:t>https://www.who.int/publications/i/item/9789240020924</w:t>
        </w:r>
      </w:hyperlink>
      <w:r w:rsidRPr="00A8074D">
        <w:rPr>
          <w:rFonts w:cs="Arial"/>
          <w:lang w:val="en-GB"/>
        </w:rPr>
        <w:t xml:space="preserve"> (Accessed: 9 July 2026).</w:t>
      </w:r>
      <w:r w:rsidRPr="006B44E2">
        <w:t xml:space="preserve"> </w:t>
      </w:r>
      <w:r w:rsidRPr="006B44E2">
        <w:rPr>
          <w:rFonts w:cs="Arial"/>
          <w:lang w:val="en-GB"/>
        </w:rPr>
        <w:t xml:space="preserve">Peek, S.T.M., Wouters, E.J.M., van Hoof, J., </w:t>
      </w:r>
      <w:proofErr w:type="spellStart"/>
      <w:r w:rsidRPr="006B44E2">
        <w:rPr>
          <w:rFonts w:cs="Arial"/>
          <w:lang w:val="en-GB"/>
        </w:rPr>
        <w:t>Luijkx</w:t>
      </w:r>
      <w:proofErr w:type="spellEnd"/>
      <w:r w:rsidRPr="006B44E2">
        <w:rPr>
          <w:rFonts w:cs="Arial"/>
          <w:lang w:val="en-GB"/>
        </w:rPr>
        <w:t xml:space="preserve">, K.G., Boeije, H.R. and </w:t>
      </w:r>
      <w:proofErr w:type="spellStart"/>
      <w:r w:rsidRPr="006B44E2">
        <w:rPr>
          <w:rFonts w:cs="Arial"/>
          <w:lang w:val="en-GB"/>
        </w:rPr>
        <w:t>Vrijhoef</w:t>
      </w:r>
      <w:proofErr w:type="spellEnd"/>
      <w:r w:rsidRPr="006B44E2">
        <w:rPr>
          <w:rFonts w:cs="Arial"/>
          <w:lang w:val="en-GB"/>
        </w:rPr>
        <w:t>, H.J.M. (2014) 'Factors influencing acceptance of technology for aging in place: A systematic review', International Journal of Medical Informatics, 83(4), pp. 235–248.</w:t>
      </w:r>
    </w:p>
    <w:sectPr w:rsidR="006B44E2" w:rsidRPr="006B44E2">
      <w:pgSz w:w="11906" w:h="16838"/>
      <w:pgMar w:top="1134" w:right="1134" w:bottom="1134" w:left="1134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52951D" w14:textId="77777777" w:rsidR="00D83893" w:rsidRDefault="00D83893" w:rsidP="00963E55">
      <w:pPr>
        <w:spacing w:line="240" w:lineRule="auto"/>
      </w:pPr>
      <w:r>
        <w:separator/>
      </w:r>
    </w:p>
  </w:endnote>
  <w:endnote w:type="continuationSeparator" w:id="0">
    <w:p w14:paraId="2E70321C" w14:textId="77777777" w:rsidR="00D83893" w:rsidRDefault="00D83893" w:rsidP="00963E5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B3B034" w14:textId="77777777" w:rsidR="00D83893" w:rsidRDefault="00D83893" w:rsidP="00963E55">
      <w:pPr>
        <w:spacing w:line="240" w:lineRule="auto"/>
      </w:pPr>
      <w:r>
        <w:separator/>
      </w:r>
    </w:p>
  </w:footnote>
  <w:footnote w:type="continuationSeparator" w:id="0">
    <w:p w14:paraId="4B061E23" w14:textId="77777777" w:rsidR="00D83893" w:rsidRDefault="00D83893" w:rsidP="00963E55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5F5E10"/>
    <w:multiLevelType w:val="hybridMultilevel"/>
    <w:tmpl w:val="91D890D2"/>
    <w:lvl w:ilvl="0" w:tplc="FFFFFFFF">
      <w:start w:val="1"/>
      <w:numFmt w:val="bullet"/>
      <w:lvlText w:val="●"/>
      <w:lvlJc w:val="left"/>
      <w:pPr>
        <w:ind w:left="720" w:hanging="360"/>
      </w:pPr>
    </w:lvl>
    <w:lvl w:ilvl="1" w:tplc="FFFFFFFF">
      <w:start w:val="1"/>
      <w:numFmt w:val="bullet"/>
      <w:lvlText w:val="○"/>
      <w:lvlJc w:val="left"/>
      <w:pPr>
        <w:ind w:left="1440" w:hanging="360"/>
      </w:pPr>
    </w:lvl>
    <w:lvl w:ilvl="2" w:tplc="FFFFFFFF">
      <w:start w:val="1"/>
      <w:numFmt w:val="bullet"/>
      <w:lvlText w:val="■"/>
      <w:lvlJc w:val="left"/>
      <w:pPr>
        <w:ind w:left="2160" w:hanging="360"/>
      </w:pPr>
    </w:lvl>
    <w:lvl w:ilvl="3" w:tplc="FFFFFFFF">
      <w:start w:val="1"/>
      <w:numFmt w:val="bullet"/>
      <w:lvlText w:val="●"/>
      <w:lvlJc w:val="left"/>
      <w:pPr>
        <w:ind w:left="2880" w:hanging="360"/>
      </w:pPr>
    </w:lvl>
    <w:lvl w:ilvl="4" w:tplc="FFFFFFFF">
      <w:start w:val="1"/>
      <w:numFmt w:val="bullet"/>
      <w:lvlText w:val="○"/>
      <w:lvlJc w:val="left"/>
      <w:pPr>
        <w:ind w:left="3600" w:hanging="360"/>
      </w:pPr>
    </w:lvl>
    <w:lvl w:ilvl="5" w:tplc="FFFFFFFF">
      <w:start w:val="1"/>
      <w:numFmt w:val="bullet"/>
      <w:lvlText w:val="■"/>
      <w:lvlJc w:val="left"/>
      <w:pPr>
        <w:ind w:left="4320" w:hanging="360"/>
      </w:pPr>
    </w:lvl>
    <w:lvl w:ilvl="6" w:tplc="FFFFFFFF">
      <w:start w:val="1"/>
      <w:numFmt w:val="bullet"/>
      <w:lvlText w:val="●"/>
      <w:lvlJc w:val="left"/>
      <w:pPr>
        <w:ind w:left="5040" w:hanging="360"/>
      </w:pPr>
    </w:lvl>
    <w:lvl w:ilvl="7" w:tplc="FFFFFFFF">
      <w:start w:val="1"/>
      <w:numFmt w:val="bullet"/>
      <w:lvlText w:val="●"/>
      <w:lvlJc w:val="left"/>
      <w:pPr>
        <w:ind w:left="5760" w:hanging="360"/>
      </w:pPr>
    </w:lvl>
    <w:lvl w:ilvl="8" w:tplc="FFFFFFFF">
      <w:start w:val="1"/>
      <w:numFmt w:val="bullet"/>
      <w:lvlText w:val="●"/>
      <w:lvlJc w:val="left"/>
      <w:pPr>
        <w:ind w:left="6480" w:hanging="360"/>
      </w:pPr>
    </w:lvl>
  </w:abstractNum>
  <w:num w:numId="1" w16cid:durableId="71242431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removePersonalInformation/>
  <w:removeDateAndTime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xsjAwNzM1NDcxMrQ0sTBT0lEKTi0uzszPAykwqQUAnD7vKywAAAA="/>
  </w:docVars>
  <w:rsids>
    <w:rsidRoot w:val="00093FBA"/>
    <w:rsid w:val="00064C99"/>
    <w:rsid w:val="00093FBA"/>
    <w:rsid w:val="001614C5"/>
    <w:rsid w:val="00585626"/>
    <w:rsid w:val="005C15F8"/>
    <w:rsid w:val="00600A83"/>
    <w:rsid w:val="006503AB"/>
    <w:rsid w:val="006B44E2"/>
    <w:rsid w:val="00705869"/>
    <w:rsid w:val="00707C04"/>
    <w:rsid w:val="0078317C"/>
    <w:rsid w:val="00785685"/>
    <w:rsid w:val="00884322"/>
    <w:rsid w:val="008A5A03"/>
    <w:rsid w:val="0090641E"/>
    <w:rsid w:val="00910AEF"/>
    <w:rsid w:val="0093209C"/>
    <w:rsid w:val="00963E55"/>
    <w:rsid w:val="00A17E37"/>
    <w:rsid w:val="00A8074D"/>
    <w:rsid w:val="00B8358F"/>
    <w:rsid w:val="00C27045"/>
    <w:rsid w:val="00D22EC5"/>
    <w:rsid w:val="00D83893"/>
    <w:rsid w:val="00DC0772"/>
    <w:rsid w:val="00E36430"/>
    <w:rsid w:val="00E67790"/>
    <w:rsid w:val="00E87F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6167B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5A03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uiPriority w:val="9"/>
    <w:qFormat/>
    <w:rsid w:val="00785685"/>
    <w:pPr>
      <w:spacing w:before="360" w:after="120" w:line="360" w:lineRule="auto"/>
      <w:jc w:val="both"/>
      <w:outlineLvl w:val="0"/>
    </w:pPr>
    <w:rPr>
      <w:rFonts w:ascii="Arial" w:hAnsi="Arial"/>
      <w:b/>
      <w:color w:val="2E74B5"/>
      <w:sz w:val="32"/>
      <w:szCs w:val="32"/>
    </w:rPr>
  </w:style>
  <w:style w:type="paragraph" w:styleId="Heading2">
    <w:name w:val="heading 2"/>
    <w:uiPriority w:val="9"/>
    <w:unhideWhenUsed/>
    <w:qFormat/>
    <w:rsid w:val="00785685"/>
    <w:pPr>
      <w:spacing w:before="240" w:after="120" w:line="360" w:lineRule="auto"/>
      <w:jc w:val="both"/>
      <w:outlineLvl w:val="1"/>
    </w:pPr>
    <w:rPr>
      <w:rFonts w:ascii="Arial" w:hAnsi="Arial"/>
      <w:b/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963E55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3E55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63E55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3E55"/>
    <w:rPr>
      <w:rFonts w:ascii="Arial" w:hAnsi="Arial"/>
    </w:rPr>
  </w:style>
  <w:style w:type="character" w:styleId="UnresolvedMention">
    <w:name w:val="Unresolved Mention"/>
    <w:basedOn w:val="DefaultParagraphFont"/>
    <w:uiPriority w:val="99"/>
    <w:semiHidden/>
    <w:unhideWhenUsed/>
    <w:rsid w:val="00963E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8568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312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60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58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/siteassets/documents/reports-and-publications/reports-and-briefings/active-communities/internet-use-statistics-july-2025-1.pdf" TargetMode="External"/><Relationship Id="rId13" Type="http://schemas.openxmlformats.org/officeDocument/2006/relationships/hyperlink" Target="https://www.goodthingsfoundation.org/policy-and-research/research-and-evidence/research-2024/digital-inclusion-datasets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legislation.gov.uk/ukpga/2010/15/contents" TargetMode="External"/><Relationship Id="rId17" Type="http://schemas.openxmlformats.org/officeDocument/2006/relationships/hyperlink" Target="https://www.who.int/publications/i/item/9789240020924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ofcom.org.uk/media-use-and-attitudes/media-habits-adults/adults-media-use-and-attitude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digitalhealth.net/2024/11/concerns-raised-that-nhs-digital-plans-could-exclude-older-adult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england.nhs.uk/long-read/inclusive-digital-healthcare-a-framework-for-nhs-action-on-digital-inclusion/" TargetMode="External"/><Relationship Id="rId10" Type="http://schemas.openxmlformats.org/officeDocument/2006/relationships/hyperlink" Target="https://www.gov.uk/government/publications/10-year-health-plan-for-england-fit-for-the-future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bgs.org.uk/NHS10yplan" TargetMode="External"/><Relationship Id="rId14" Type="http://schemas.openxmlformats.org/officeDocument/2006/relationships/hyperlink" Target="https://www.lloydsbankinggroup.com/assets/pdfs/media/consumer-digital-index/2025/2025-consumer-digital-index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1177</Words>
  <Characters>6711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2026-08-04T11:28:00Z</dcterms:created>
  <dcterms:modified xsi:type="dcterms:W3CDTF">2026-08-04T11:28:00Z</dcterms:modified>
</cp:coreProperties>
</file>