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EF4037" w14:textId="263AA956" w:rsidR="00B46E28" w:rsidRPr="00B46E28" w:rsidRDefault="00B46E28" w:rsidP="00B46E28">
      <w:pPr>
        <w:rPr>
          <w:b/>
          <w:bCs/>
          <w:sz w:val="32"/>
          <w:szCs w:val="32"/>
        </w:rPr>
      </w:pPr>
      <w:bookmarkStart w:id="0" w:name="_Toc134339551"/>
      <w:r w:rsidRPr="00B46E28">
        <w:rPr>
          <w:b/>
          <w:bCs/>
          <w:sz w:val="32"/>
          <w:szCs w:val="32"/>
        </w:rPr>
        <w:t>Is there a Francophone Brittany?</w:t>
      </w:r>
      <w:bookmarkEnd w:id="0"/>
    </w:p>
    <w:p w14:paraId="297F4C6F" w14:textId="77777777" w:rsidR="00B46E28" w:rsidRDefault="00B46E28" w:rsidP="00B46E28">
      <w:pPr>
        <w:pStyle w:val="BodyText"/>
        <w:spacing w:line="240" w:lineRule="auto"/>
      </w:pPr>
      <w:r>
        <w:t xml:space="preserve">Is the epithet ‘Francophone’ possible of a part of mainland France? Overwhelmingly, the term has come to be associated with the literature produced in countries colonized by France and written in the language of the oppressor. Qualifying Brittany as ‘Francophone’ gives, on one level, a simple and accurate indication of the official and majority language in that region today, but its use of a place that is part of the </w:t>
      </w:r>
      <w:r>
        <w:rPr>
          <w:i/>
          <w:iCs/>
        </w:rPr>
        <w:t>République une et indivisible</w:t>
      </w:r>
      <w:r>
        <w:t xml:space="preserve"> also calls into question the position of the French language in Brittany. Through its association with issues of postcoloniality,</w:t>
      </w:r>
      <w:r>
        <w:rPr>
          <w:rStyle w:val="FootnoteReference"/>
          <w:rFonts w:cs="Times New Roman"/>
        </w:rPr>
        <w:footnoteReference w:id="1"/>
      </w:r>
      <w:r>
        <w:t xml:space="preserve"> the term ‘Francophone’ simultaneously conceals and affirms the existence of the region’s indigenous language, the Breton language. If there is a Francophone Brittany, then this is not simply a Brittany that happens to speak French because it is part of a nation whose identity is predicated on linguistic unity. Rather it is a Brittany that speaks French over and in combination with Breton. The history of Breton and its persecution, the resulting bi-cultural situation, and impact on the politics of identity, all point to the relevance of a postcolonial framework for study of Brittany.</w:t>
      </w:r>
    </w:p>
    <w:p w14:paraId="13A3F89F" w14:textId="77777777" w:rsidR="00B46E28" w:rsidRDefault="00B46E28" w:rsidP="00B46E28">
      <w:pPr>
        <w:pStyle w:val="NormalIndent"/>
      </w:pPr>
      <w:r>
        <w:t>The use of the word Francophone to refer to a part of mainland France serves as a reminder that ‘Frenchness’ was only achieved surprisingly recently, and at the expense of France’s other indigenous languages.</w:t>
      </w:r>
      <w:r>
        <w:rPr>
          <w:rStyle w:val="FootnoteReference"/>
        </w:rPr>
        <w:footnoteReference w:id="2"/>
      </w:r>
      <w:r>
        <w:t xml:space="preserve"> A full history of the gradual eclipse of Breton by French would have to go back as far as the middle ages, via the Renaissance pride in and promotion of French, as manifested culturally in Du Bellay’s poetic manifesto of 1549 the </w:t>
      </w:r>
      <w:r>
        <w:rPr>
          <w:i/>
          <w:iCs/>
        </w:rPr>
        <w:t>Défense et illustration de la langue française</w:t>
      </w:r>
      <w:r>
        <w:t xml:space="preserve">, and legally in the Villers-Cotterêts decree of 1539, by which François I made French the language of official records. However, it was only after the Revolution of 1789 that the eradication of France’s indigenous regional languages was pursued as a political ideal, when these were initially tainted by association with counter-revolution, to later became synonymous with backwardness and superstition. Real pressure was brought to bear on regional languages in the wake of the Abbé Grégoire’s survey carried out between 1790 and 1794, tellingly entitled </w:t>
      </w:r>
      <w:r>
        <w:rPr>
          <w:i/>
        </w:rPr>
        <w:t>Sur la nécessité et les moyens d’anéantir les patois et d’universaliser la langue française</w:t>
      </w:r>
      <w:r>
        <w:t xml:space="preserve">, and Barère’s </w:t>
      </w:r>
      <w:r>
        <w:rPr>
          <w:i/>
          <w:iCs/>
        </w:rPr>
        <w:t>Rapport</w:t>
      </w:r>
      <w:r>
        <w:t>,</w:t>
      </w:r>
      <w:r>
        <w:rPr>
          <w:i/>
          <w:iCs/>
        </w:rPr>
        <w:t xml:space="preserve"> </w:t>
      </w:r>
      <w:r>
        <w:t>also published in 1794, which contains the infamous claim:</w:t>
      </w:r>
    </w:p>
    <w:p w14:paraId="1485AB61" w14:textId="77777777" w:rsidR="00B46E28" w:rsidRPr="00B46E28" w:rsidRDefault="00B46E28" w:rsidP="00B46E28">
      <w:pPr>
        <w:pStyle w:val="DisplayQuote"/>
        <w:rPr>
          <w:lang w:val="fr-FR"/>
        </w:rPr>
      </w:pPr>
      <w:r w:rsidRPr="0082625F">
        <w:rPr>
          <w:lang w:val="fr-FR"/>
        </w:rPr>
        <w:t>Le féderalisme et la superstition parlent bas-</w:t>
      </w:r>
      <w:proofErr w:type="gramStart"/>
      <w:r w:rsidRPr="0082625F">
        <w:rPr>
          <w:lang w:val="fr-FR"/>
        </w:rPr>
        <w:t>breton;</w:t>
      </w:r>
      <w:proofErr w:type="gramEnd"/>
      <w:r w:rsidRPr="0082625F">
        <w:rPr>
          <w:lang w:val="fr-FR"/>
        </w:rPr>
        <w:t xml:space="preserve"> l’émigration et la haine de la République parlent allemand; la contre-révolution parle italien et le fanatisme parle basque. </w:t>
      </w:r>
      <w:r w:rsidRPr="00B46E28">
        <w:rPr>
          <w:lang w:val="fr-FR"/>
        </w:rPr>
        <w:t>[…] Chez un peuple libre, la langue doit être une et la même pour tous.</w:t>
      </w:r>
      <w:r>
        <w:rPr>
          <w:rStyle w:val="FootnoteReference"/>
          <w:sz w:val="22"/>
        </w:rPr>
        <w:footnoteReference w:id="3"/>
      </w:r>
    </w:p>
    <w:p w14:paraId="670C63E1" w14:textId="77777777" w:rsidR="00B46E28" w:rsidRDefault="00B46E28" w:rsidP="00B46E28">
      <w:r>
        <w:t>The development of state education was key in bringing Brittany, like the other provinces of France, into Frenchness, and calls by administrators for the active suppression of the Breton language as a sure way of ‘improving’ Brittany are common in the first part of the nineteenth century. Typical is the following extract from a letter of 1831 from the préfet of Finistère to the Minster for Education, assuring him that he has no sentimental attachment to the language, and outlining the strategy that he favours:</w:t>
      </w:r>
    </w:p>
    <w:p w14:paraId="61609F0E" w14:textId="77777777" w:rsidR="00B46E28" w:rsidRPr="00B46E28" w:rsidRDefault="00B46E28" w:rsidP="00B46E28">
      <w:pPr>
        <w:pStyle w:val="DisplayQuote"/>
        <w:rPr>
          <w:lang w:val="fr-FR"/>
        </w:rPr>
      </w:pPr>
      <w:r w:rsidRPr="0082625F">
        <w:rPr>
          <w:lang w:val="fr-FR"/>
        </w:rPr>
        <w:lastRenderedPageBreak/>
        <w:t>[</w:t>
      </w:r>
      <w:proofErr w:type="gramStart"/>
      <w:r w:rsidRPr="0082625F">
        <w:rPr>
          <w:lang w:val="fr-FR"/>
        </w:rPr>
        <w:t>il</w:t>
      </w:r>
      <w:proofErr w:type="gramEnd"/>
      <w:r w:rsidRPr="0082625F">
        <w:rPr>
          <w:lang w:val="fr-FR"/>
        </w:rPr>
        <w:t xml:space="preserve"> faut] par tous les moyens possibles, favoriser l’appauvrissement, la corruption du breton, jusqu’au point que d’une commune à l’autre on ne puisse pas s’entendre. </w:t>
      </w:r>
      <w:r w:rsidRPr="00B46E28">
        <w:rPr>
          <w:lang w:val="fr-FR"/>
        </w:rPr>
        <w:t>[…] Car alors la nécessité des communications obligera le paysan d’apprendre le français.</w:t>
      </w:r>
      <w:r>
        <w:rPr>
          <w:rStyle w:val="FootnoteReference"/>
        </w:rPr>
        <w:footnoteReference w:id="4"/>
      </w:r>
    </w:p>
    <w:p w14:paraId="52C2C0A4" w14:textId="77777777" w:rsidR="00B46E28" w:rsidRDefault="00B46E28" w:rsidP="00B46E28">
      <w:pPr>
        <w:pStyle w:val="NormalIndent"/>
      </w:pPr>
      <w:r>
        <w:t xml:space="preserve">A similar view on the need for Breton to disappear in order for Brittany to be ‘improved’ is found in a series of four articles published in the </w:t>
      </w:r>
      <w:r>
        <w:rPr>
          <w:i/>
          <w:iCs/>
        </w:rPr>
        <w:t>Revue de Paris</w:t>
      </w:r>
      <w:r>
        <w:t xml:space="preserve"> between 1829 and 1831</w:t>
      </w:r>
      <w:r>
        <w:rPr>
          <w:i/>
          <w:iCs/>
        </w:rPr>
        <w:t xml:space="preserve"> </w:t>
      </w:r>
      <w:r>
        <w:t>by Auguste Romieu, who was sous-préfet of Quimperlé, Finistère.</w:t>
      </w:r>
      <w:r>
        <w:rPr>
          <w:rStyle w:val="FootnoteReference"/>
        </w:rPr>
        <w:footnoteReference w:id="5"/>
      </w:r>
      <w:r>
        <w:t xml:space="preserve"> </w:t>
      </w:r>
      <w:r w:rsidRPr="00B46E28">
        <w:rPr>
          <w:lang w:val="fr-FR"/>
        </w:rPr>
        <w:t>Another sous-préfet in 1845 tells primary school teachers: ‘Surtout, rappelez-vous messieurs, que vous n’êtes établis que pour tuer la langue bretonne’.</w:t>
      </w:r>
      <w:r>
        <w:rPr>
          <w:rStyle w:val="FootnoteReference"/>
        </w:rPr>
        <w:footnoteReference w:id="6"/>
      </w:r>
      <w:r w:rsidRPr="00B46E28">
        <w:rPr>
          <w:lang w:val="fr-FR"/>
        </w:rPr>
        <w:t xml:space="preserve"> </w:t>
      </w:r>
      <w:r>
        <w:t xml:space="preserve">This same attitude underpinned the educational reforms of Jules Ferry in 1880–1883, which saw the establishment of a French-language state school in every </w:t>
      </w:r>
      <w:r>
        <w:rPr>
          <w:i/>
          <w:iCs/>
        </w:rPr>
        <w:t>commune</w:t>
      </w:r>
      <w:r>
        <w:t>, and the Waldeck-Rousseau/ Combes legislation in the first decade of the twentieth century, which banned the use of regional languages in religious instruction.</w:t>
      </w:r>
      <w:r>
        <w:rPr>
          <w:rStyle w:val="FootnoteReference"/>
        </w:rPr>
        <w:footnoteReference w:id="7"/>
      </w:r>
      <w:r>
        <w:t xml:space="preserve"> Well into the twentieth century children who were heard speaking Breton in school were forced to wear the ‘symbole’ to mark them out for punishment.</w:t>
      </w:r>
    </w:p>
    <w:p w14:paraId="14652447" w14:textId="77777777" w:rsidR="00B46E28" w:rsidRDefault="00B46E28" w:rsidP="00B46E28">
      <w:pPr>
        <w:pStyle w:val="BodyText"/>
        <w:spacing w:line="240" w:lineRule="auto"/>
        <w:rPr>
          <w:rFonts w:cs="Times New Roman"/>
        </w:rPr>
      </w:pPr>
    </w:p>
    <w:p w14:paraId="072D8353" w14:textId="77777777" w:rsidR="00B46E28" w:rsidRDefault="00B46E28" w:rsidP="00B46E28">
      <w:r>
        <w:t xml:space="preserve">The result is that today, in sociolinguistic terms, there is indeed a Francophone Brittany. Though in Upper Brittany this has been so since the Middle Ages, in Lower Brittany the more recent and gradual changes to the balance of French and Breton can be traced in the centralizing regime of post-Revolutionary France, and later the educational reforms of the nineteenth century. </w:t>
      </w:r>
      <w:r w:rsidRPr="0082625F">
        <w:rPr>
          <w:lang w:val="fr-FR"/>
        </w:rPr>
        <w:t>It is ironic that these were all undertaken in the name of ‘</w:t>
      </w:r>
      <w:proofErr w:type="gramStart"/>
      <w:r w:rsidRPr="0082625F">
        <w:rPr>
          <w:lang w:val="fr-FR"/>
        </w:rPr>
        <w:t>égalité;</w:t>
      </w:r>
      <w:proofErr w:type="gramEnd"/>
      <w:r w:rsidRPr="0082625F">
        <w:rPr>
          <w:lang w:val="fr-FR"/>
        </w:rPr>
        <w:t xml:space="preserve"> as Mona Ozouf puts it: ‘L’égalité scolaire, en réalité, était une égalité meurtrière, puisqu’elle dissimulait un génocide culturel’.</w:t>
      </w:r>
      <w:r>
        <w:rPr>
          <w:rStyle w:val="FootnoteReference"/>
        </w:rPr>
        <w:footnoteReference w:id="8"/>
      </w:r>
      <w:r w:rsidRPr="0082625F">
        <w:rPr>
          <w:lang w:val="fr-FR"/>
        </w:rPr>
        <w:t xml:space="preserve"> </w:t>
      </w:r>
      <w:r>
        <w:t xml:space="preserve">In this respect the reforms were not dissimilar to educational policy in France’s overseas colonies. As Louis-Jean Calvet argues in his critique of the concept of </w:t>
      </w:r>
      <w:r>
        <w:rPr>
          <w:i/>
          <w:iCs/>
        </w:rPr>
        <w:t>Francophonie</w:t>
      </w:r>
      <w:r>
        <w:t>, there was essentially no difference between the linguistic policy of the French Revolution in the Hexagon, and that of the Third Republic in the colonies.</w:t>
      </w:r>
      <w:r>
        <w:rPr>
          <w:rStyle w:val="FootnoteReference"/>
        </w:rPr>
        <w:footnoteReference w:id="9"/>
      </w:r>
      <w:r>
        <w:t xml:space="preserve"> </w:t>
      </w:r>
    </w:p>
    <w:p w14:paraId="7813BE39" w14:textId="77777777" w:rsidR="00B46E28" w:rsidRDefault="00B46E28" w:rsidP="00B46E28">
      <w:pPr>
        <w:pStyle w:val="NormalIndent"/>
      </w:pPr>
      <w:r>
        <w:t xml:space="preserve">Though the decline of Breton continued throughout the twentieth century, this same century saw concerted efforts, involving more energy than ever before, to secure a future for the language. And with some measure of success: to take education as an example, a campaign that can be traced back as far as the end of the nineteenth century culminated in the establishment of the </w:t>
      </w:r>
      <w:r>
        <w:rPr>
          <w:i/>
          <w:iCs/>
        </w:rPr>
        <w:t>Diwan</w:t>
      </w:r>
      <w:r>
        <w:t xml:space="preserve"> schools, though these are under constant legal and financial threat.</w:t>
      </w:r>
      <w:r>
        <w:rPr>
          <w:rStyle w:val="FootnoteReference"/>
        </w:rPr>
        <w:footnoteReference w:id="10"/>
      </w:r>
      <w:r>
        <w:t xml:space="preserve"> Also, this century saw more publishing in the Breton language than ever before, and some radio and television provision has been secured. Today the private television company TV Breizh broadcasts around twenty hours a week of Breton programmes, in addition to about sixty-five hours a year broadcast by the state France Ouest/France 3 Iroise.</w:t>
      </w:r>
      <w:r>
        <w:rPr>
          <w:rStyle w:val="FootnoteReference"/>
        </w:rPr>
        <w:footnoteReference w:id="11"/>
      </w:r>
      <w:r>
        <w:t xml:space="preserve"> The situation for radio is better, with the private company Radio Kreiz Breizh on air twenty-four hours a day, broadcasting in both Breton and French, and the state Radio France Ouest/ Radio Breizh Izel providing somewhere around fifteen hours a week in Breton. Without official status, though, the numbers of Breton speakers will continue to decline. Statistics relating to Breton are notoriously </w:t>
      </w:r>
      <w:r>
        <w:lastRenderedPageBreak/>
        <w:t xml:space="preserve">difficult to establish as censuses in France do not take account of linguistic data; </w:t>
      </w:r>
      <w:proofErr w:type="gramStart"/>
      <w:r>
        <w:t>however</w:t>
      </w:r>
      <w:proofErr w:type="gramEnd"/>
      <w:r>
        <w:t xml:space="preserve"> it has generally been accepted that Breton is still practised by up to 500,000 people.</w:t>
      </w:r>
      <w:r>
        <w:rPr>
          <w:rStyle w:val="FootnoteReference"/>
        </w:rPr>
        <w:footnoteReference w:id="12"/>
      </w:r>
      <w:r>
        <w:t xml:space="preserve"> </w:t>
      </w:r>
    </w:p>
    <w:p w14:paraId="28757DF4" w14:textId="77777777" w:rsidR="00B46E28" w:rsidRDefault="00B46E28" w:rsidP="00B46E28">
      <w:pPr>
        <w:pStyle w:val="NormalIndent"/>
      </w:pPr>
      <w:r>
        <w:t xml:space="preserve">It is not only because the native language is still spoken that Brittany today provides arguably the most striking and distinct example of internal difference in France. What makes Brittany’s case unique is the concertedness and strength of attempts to revive and protect its language, in all spheres, from education and politics to literary criticism. The resulting bicultural situation has been investigated to show that Francophone identities in Brittany are far from straightforward, and that the relationship between language and identity can be paradoxical. For </w:t>
      </w:r>
      <w:proofErr w:type="gramStart"/>
      <w:r>
        <w:t>example</w:t>
      </w:r>
      <w:proofErr w:type="gramEnd"/>
      <w:r>
        <w:t xml:space="preserve"> Mari Jones has examined how the death of the language is curiously offset by the birth of an identity. She argues that for traditional native speakers of Breton, who speak one of the four main dialects of Breton rather than a standardized language, there is no such thing as a Breton identity. Such a homogenized identity, she contends, is the invention of a new generation of speakers, the </w:t>
      </w:r>
      <w:r>
        <w:rPr>
          <w:i/>
          <w:iCs/>
        </w:rPr>
        <w:t>néo-bretonnants</w:t>
      </w:r>
      <w:r>
        <w:t xml:space="preserve"> who have learnt a pan-Brittany variety of Breton, usually via the education system. And it is this latter group that is mainly responsible for promoting Breton as a language of and for the modern world, producing the ironic situation ‘that the future of the language and the cultivation of the notion of a separate Breton identity should be left largely in the hands of people who speak French as their mother tongue.’</w:t>
      </w:r>
      <w:r>
        <w:rPr>
          <w:rStyle w:val="FootnoteReference"/>
        </w:rPr>
        <w:footnoteReference w:id="13"/>
      </w:r>
      <w:r>
        <w:t xml:space="preserve"> In similar vein, Jean-Pierre Simon has explored how a positive idea of Bretonness or ‘néo-Bretonnité’ has grown from what he terms an ‘identité négative’, and asked how it is that the language has been made to seem that of the whole of Brittany, proposing that this was ultimately the achievement of nineteenth-century enthusiasts.</w:t>
      </w:r>
      <w:r>
        <w:rPr>
          <w:rStyle w:val="FootnoteReference"/>
        </w:rPr>
        <w:footnoteReference w:id="14"/>
      </w:r>
      <w:r>
        <w:t xml:space="preserve"> For him it is not Brittany, or </w:t>
      </w:r>
      <w:r>
        <w:br/>
        <w:t xml:space="preserve">even the Breton ‘people’, that is responsible for creating the Breton movement, but rather it is the other way around: </w:t>
      </w:r>
    </w:p>
    <w:p w14:paraId="3E6DCD30" w14:textId="77777777" w:rsidR="00B46E28" w:rsidRPr="0082625F" w:rsidRDefault="00B46E28" w:rsidP="00B46E28">
      <w:pPr>
        <w:pStyle w:val="FootnoteText"/>
        <w:spacing w:before="220" w:after="220"/>
        <w:rPr>
          <w:lang w:val="fr-FR"/>
        </w:rPr>
      </w:pPr>
      <w:r>
        <w:tab/>
      </w:r>
      <w:r w:rsidRPr="0082625F">
        <w:rPr>
          <w:lang w:val="fr-FR"/>
        </w:rPr>
        <w:t>C’est celui-ci [le mouvement breton] qui […] a produit et d’une certaine manière inventé la Bretagne et la bretonnité telles que nous les connaissons aujourd’hui.</w:t>
      </w:r>
    </w:p>
    <w:p w14:paraId="15657239" w14:textId="77777777" w:rsidR="00B46E28" w:rsidRDefault="00B46E28" w:rsidP="00B46E28">
      <w:pPr>
        <w:pStyle w:val="NormalIndent"/>
        <w:ind w:firstLine="0"/>
      </w:pPr>
      <w:r w:rsidRPr="0082625F">
        <w:rPr>
          <w:lang w:val="fr-FR"/>
        </w:rPr>
        <w:t xml:space="preserve">He further argues, after Bourdieu, </w:t>
      </w:r>
      <w:proofErr w:type="gramStart"/>
      <w:r w:rsidRPr="0082625F">
        <w:rPr>
          <w:lang w:val="fr-FR"/>
        </w:rPr>
        <w:t>that:</w:t>
      </w:r>
      <w:proofErr w:type="gramEnd"/>
      <w:r w:rsidRPr="0082625F">
        <w:rPr>
          <w:lang w:val="fr-FR"/>
        </w:rPr>
        <w:t xml:space="preserve"> ‘le discours régionaliste est un </w:t>
      </w:r>
      <w:r w:rsidRPr="0082625F">
        <w:rPr>
          <w:i/>
          <w:iCs/>
          <w:lang w:val="fr-FR"/>
        </w:rPr>
        <w:t>discours performatif</w:t>
      </w:r>
      <w:r w:rsidRPr="0082625F">
        <w:rPr>
          <w:lang w:val="fr-FR"/>
        </w:rPr>
        <w:t>’.</w:t>
      </w:r>
      <w:r>
        <w:rPr>
          <w:rStyle w:val="FootnoteReference"/>
        </w:rPr>
        <w:footnoteReference w:id="15"/>
      </w:r>
      <w:r w:rsidRPr="0082625F">
        <w:rPr>
          <w:lang w:val="fr-FR"/>
        </w:rPr>
        <w:t xml:space="preserve"> </w:t>
      </w:r>
      <w:r>
        <w:t>In sociolinguistic work similarly focused on the question of identity, Rachel Hoare has even shown how the association between Breton identity and Breton-accented French can actually be stronger than that with the Breton language itself.</w:t>
      </w:r>
      <w:r>
        <w:rPr>
          <w:rStyle w:val="FootnoteReference"/>
        </w:rPr>
        <w:footnoteReference w:id="16"/>
      </w:r>
      <w:r>
        <w:t xml:space="preserve"> </w:t>
      </w:r>
    </w:p>
    <w:p w14:paraId="6FDBA8A1" w14:textId="77777777" w:rsidR="00B46E28" w:rsidRDefault="00B46E28" w:rsidP="00B46E28">
      <w:pPr>
        <w:pStyle w:val="NormalIndent"/>
      </w:pPr>
      <w:r>
        <w:lastRenderedPageBreak/>
        <w:t xml:space="preserve">Nevertheless, the main chapter in the history of the demise of the Breton language, and therefore the key to understanding the curious contradictions of Breton identity, is the nineteenth-century one. At the beginning of the nineteenth century the average citizen of the new </w:t>
      </w:r>
      <w:r>
        <w:rPr>
          <w:i/>
          <w:iCs/>
        </w:rPr>
        <w:t xml:space="preserve">République </w:t>
      </w:r>
      <w:r>
        <w:t xml:space="preserve">had little or no sense of national identity, but by the </w:t>
      </w:r>
      <w:r>
        <w:br/>
        <w:t xml:space="preserve">end of the century a sense of ‘Frenchness’ existed, and perhaps paradoxically, so did ‘regional’ identity, and ‘Breton identity’ in particular. A shared, standardized language is generally considered a prerequisite for the creation of a feeling of group identity, as language is so much more than a simple means of communication. France is considered the paradigmatic example of this tendency, as to a greater extent than in any other country, notions of nationality are based </w:t>
      </w:r>
      <w:r>
        <w:br/>
        <w:t xml:space="preserve">on linguistic uniformity, as confirmed recently in the addition of </w:t>
      </w:r>
      <w:r>
        <w:br/>
        <w:t xml:space="preserve">the Article that ‘the language of the Republic is French’ to the Constitution in 1992. This was not so before the Revolution, as Anne-Marie Thiesse states: </w:t>
      </w:r>
    </w:p>
    <w:p w14:paraId="58E123F8" w14:textId="77777777" w:rsidR="00B46E28" w:rsidRPr="0082625F" w:rsidRDefault="00B46E28" w:rsidP="00B46E28">
      <w:pPr>
        <w:pStyle w:val="DisplayQuote"/>
        <w:rPr>
          <w:lang w:val="fr-FR"/>
        </w:rPr>
      </w:pPr>
      <w:proofErr w:type="gramStart"/>
      <w:r w:rsidRPr="0082625F">
        <w:rPr>
          <w:lang w:val="fr-FR"/>
        </w:rPr>
        <w:t>la</w:t>
      </w:r>
      <w:proofErr w:type="gramEnd"/>
      <w:r w:rsidRPr="0082625F">
        <w:rPr>
          <w:lang w:val="fr-FR"/>
        </w:rPr>
        <w:t xml:space="preserve"> monarchie française, même si elle avait imposé précocement l’usage du français dans les actes administratifs et créé une Académie chargée de veiller à la pureté et au rayonnement de la ‘langue du roi’, n’avait pas jugé utile de la faire pratiquer par l’ensemble de ses sujets.</w:t>
      </w:r>
      <w:r>
        <w:rPr>
          <w:rStyle w:val="FootnoteReference"/>
        </w:rPr>
        <w:footnoteReference w:id="17"/>
      </w:r>
      <w:r w:rsidRPr="0082625F">
        <w:rPr>
          <w:lang w:val="fr-FR"/>
        </w:rPr>
        <w:t xml:space="preserve"> </w:t>
      </w:r>
    </w:p>
    <w:p w14:paraId="502DC81F" w14:textId="77777777" w:rsidR="00B46E28" w:rsidRDefault="00B46E28" w:rsidP="00B46E28">
      <w:r>
        <w:t>The sense of national identity, shared heritage, and homogeneity necessary to the idea of ‘Frenchness’ was largely the achievement of the nineteenth century, and it is at least in part because of the symbolic importance of language that ‘more than half the population of France may be asserted to have changed language, to French, since 1789’.</w:t>
      </w:r>
      <w:r>
        <w:rPr>
          <w:rStyle w:val="FootnoteReference"/>
        </w:rPr>
        <w:footnoteReference w:id="18"/>
      </w:r>
      <w:r>
        <w:t xml:space="preserve"> Both Breton and French identities were achieved only gradually, and were the result of a process that has recently been analysed by Anne-Marie Thiesse in </w:t>
      </w:r>
      <w:r>
        <w:rPr>
          <w:i/>
        </w:rPr>
        <w:t>La Création des identités nationales: Europe, XVIII</w:t>
      </w:r>
      <w:r>
        <w:rPr>
          <w:i/>
          <w:vertAlign w:val="superscript"/>
        </w:rPr>
        <w:t>e</w:t>
      </w:r>
      <w:r>
        <w:t>–</w:t>
      </w:r>
      <w:r>
        <w:rPr>
          <w:i/>
        </w:rPr>
        <w:t>XX</w:t>
      </w:r>
      <w:r>
        <w:rPr>
          <w:i/>
          <w:vertAlign w:val="superscript"/>
        </w:rPr>
        <w:t>e</w:t>
      </w:r>
      <w:r>
        <w:rPr>
          <w:i/>
        </w:rPr>
        <w:t xml:space="preserve"> siècle</w:t>
      </w:r>
      <w:r>
        <w:t>.</w:t>
      </w:r>
      <w:r>
        <w:rPr>
          <w:rStyle w:val="FootnoteReference"/>
        </w:rPr>
        <w:footnoteReference w:id="19"/>
      </w:r>
      <w:r>
        <w:t xml:space="preserve"> Far from being in straightforward opposition, Thiesse has argued, the interplay between the ‘petite patrie’ and the development of national identity is complex and paradoxical. This interplay is what makes Brittany such a rich test case to add to the study of Francophone identities. </w:t>
      </w:r>
    </w:p>
    <w:p w14:paraId="07631DBD" w14:textId="77777777" w:rsidR="00B46E28" w:rsidRDefault="00B46E28" w:rsidP="00B46E28">
      <w:pPr>
        <w:pStyle w:val="NormalIndent"/>
        <w:rPr>
          <w:b/>
          <w:bCs/>
        </w:rPr>
      </w:pPr>
      <w:r>
        <w:t>The term ‘Francophone’ also has a special resonance when used as a label for literature. Wherever the label is used there is another language in the equation, and it is the tensions between these lan</w:t>
      </w:r>
      <w:r>
        <w:softHyphen/>
        <w:t xml:space="preserve">guages that have in recent years drawn the attention of critics to literatures produced in bicultural and multicultural situations, particularly those brought about by colonialism. Postcolonial criticism looks at these literatures for what they can tell us about politics, personal and party, and texts are investigated for the verbal manifestations of inter-cultural friction. Francophone studies is the branch that looks at cultural situations in parts of the world where one of the languages caught in such tension is French. </w:t>
      </w:r>
      <w:proofErr w:type="gramStart"/>
      <w:r>
        <w:t>Thus</w:t>
      </w:r>
      <w:proofErr w:type="gramEnd"/>
      <w:r>
        <w:t xml:space="preserve"> the label ‘Francophone literature’ not only indicates that the literature is in the French language, but simultaneously draws attention to and questions this Frenchness, and as such it suggests an attitude. Until now Francophone studies have been fascinated by the degrees of difference offered by farther-flung parts of </w:t>
      </w:r>
      <w:r>
        <w:rPr>
          <w:i/>
          <w:iCs/>
        </w:rPr>
        <w:t>la</w:t>
      </w:r>
      <w:r>
        <w:t xml:space="preserve"> </w:t>
      </w:r>
      <w:proofErr w:type="gramStart"/>
      <w:r>
        <w:rPr>
          <w:i/>
          <w:iCs/>
        </w:rPr>
        <w:t>Francophonie</w:t>
      </w:r>
      <w:r>
        <w:t>, and</w:t>
      </w:r>
      <w:proofErr w:type="gramEnd"/>
      <w:r>
        <w:t xml:space="preserve"> have neglected to scrutinize the Frenchness against which this ‘difference’ is defined. Brittany as a result is accepted as an unproblematized part of this Frenchness, despite having a culture that is Francophone in all senses of the word. French and Francophone studies have largely ignored the existence of this literature. For </w:t>
      </w:r>
      <w:proofErr w:type="gramStart"/>
      <w:r>
        <w:t>instance</w:t>
      </w:r>
      <w:proofErr w:type="gramEnd"/>
      <w:r>
        <w:t xml:space="preserve"> a recent </w:t>
      </w:r>
      <w:r>
        <w:rPr>
          <w:i/>
        </w:rPr>
        <w:t>Encyclopaedia of Contemporary French Culture</w:t>
      </w:r>
      <w:r>
        <w:rPr>
          <w:rStyle w:val="FootnoteReference"/>
          <w:iCs/>
        </w:rPr>
        <w:footnoteReference w:id="20"/>
      </w:r>
      <w:r>
        <w:rPr>
          <w:i/>
        </w:rPr>
        <w:t xml:space="preserve"> </w:t>
      </w:r>
      <w:r>
        <w:t xml:space="preserve">contains entries on regionalism, and even regional writing in Breton and Occitan, but there is no category ‘Francophone writing: Brittany’. Another recent volume, </w:t>
      </w:r>
      <w:r>
        <w:rPr>
          <w:i/>
        </w:rPr>
        <w:t>Contemporary French Cultural Studies</w:t>
      </w:r>
      <w:r>
        <w:rPr>
          <w:iCs/>
        </w:rPr>
        <w:t>,</w:t>
      </w:r>
      <w:r>
        <w:rPr>
          <w:rStyle w:val="FootnoteReference"/>
          <w:iCs/>
        </w:rPr>
        <w:footnoteReference w:id="21"/>
      </w:r>
      <w:r>
        <w:t xml:space="preserve"> is far more concerned with ‘non-territorial’ languages, and external differences than with ‘internal’ ones, although it makes brief mention of Brittany. </w:t>
      </w:r>
    </w:p>
    <w:p w14:paraId="00789249" w14:textId="77777777" w:rsidR="00B46E28" w:rsidRDefault="00B46E28" w:rsidP="00B46E28">
      <w:pPr>
        <w:pStyle w:val="NormalIndent"/>
      </w:pPr>
      <w:r>
        <w:lastRenderedPageBreak/>
        <w:t xml:space="preserve">Postcolonial studies have shown no more interest than French studies, indeed one of the seminal works in the field excluded the Celtic peripheries of Britain from its study with the claim that: </w:t>
      </w:r>
    </w:p>
    <w:p w14:paraId="2C90BDF5" w14:textId="77777777" w:rsidR="00B46E28" w:rsidRDefault="00B46E28" w:rsidP="00B46E28">
      <w:pPr>
        <w:pStyle w:val="DisplayQuote"/>
      </w:pPr>
      <w:r>
        <w:t>While it is possible to argue that these societies were the first victims of English expansion, their subsequent complicity in the British imperial enterprise makes it difficult for colonized peoples outside Britain to accept their identity as post-colonial.</w:t>
      </w:r>
      <w:r>
        <w:rPr>
          <w:rStyle w:val="FootnoteReference"/>
        </w:rPr>
        <w:footnoteReference w:id="22"/>
      </w:r>
      <w:r>
        <w:t xml:space="preserve"> </w:t>
      </w:r>
    </w:p>
    <w:p w14:paraId="47D425C3" w14:textId="77777777" w:rsidR="00B46E28" w:rsidRDefault="00B46E28" w:rsidP="00B46E28">
      <w:pPr>
        <w:pStyle w:val="NormalIndent"/>
        <w:ind w:firstLine="0"/>
        <w:rPr>
          <w:b/>
          <w:bCs/>
        </w:rPr>
      </w:pPr>
      <w:r>
        <w:t xml:space="preserve">Subsequent criticism has shown, though, how the very length of a given ‘colonial’ situation can make it an important addition to the portfolio of case-studies. Robert Crawford in </w:t>
      </w:r>
      <w:r>
        <w:rPr>
          <w:i/>
        </w:rPr>
        <w:t>Devolving English Lit</w:t>
      </w:r>
      <w:r>
        <w:rPr>
          <w:i/>
        </w:rPr>
        <w:softHyphen/>
        <w:t>erature</w:t>
      </w:r>
      <w:r>
        <w:t xml:space="preserve"> argues the case for Scotland as offering the longest continuing example of a substantial body of literature ‘produced by a culture pressurized by the threat of English cultural domination’.</w:t>
      </w:r>
      <w:r>
        <w:rPr>
          <w:rStyle w:val="FootnoteReference"/>
        </w:rPr>
        <w:footnoteReference w:id="23"/>
      </w:r>
      <w:r>
        <w:t xml:space="preserve"> Brittany has been considered too close to home to fit the postcolonial criticism paradigm, although a closer look shows that there is a comparable postcolonial situation. The way in which French writers and ad</w:t>
      </w:r>
      <w:r>
        <w:softHyphen/>
        <w:t xml:space="preserve">ministrators especially from the Revolution of 1789 to the middle of the nineteenth century used the vocabulary of colonialism, and a colonializing discourse, of Brittany is discussed in my first chapter. The adoption of a ‘colonial’ framework and terminology in the 1960s and 1970s </w:t>
      </w:r>
      <w:proofErr w:type="gramStart"/>
      <w:r>
        <w:t>in particular by</w:t>
      </w:r>
      <w:proofErr w:type="gramEnd"/>
      <w:r>
        <w:t xml:space="preserve"> the Breton movement itself is discussed in chapter 3. It follows that the cultural situation here is also comparable to that found in any other country that has been colonized by France. Perhaps the most fruitful way of answering the question ‘Is there a Francophone Brittany?’ is by asking whether there is a Breton Brittany. The answer is an unqualified yes: there is a Breton-language literature, which took off in the twentieth century.</w:t>
      </w:r>
      <w:r>
        <w:rPr>
          <w:rStyle w:val="FootnoteReference"/>
        </w:rPr>
        <w:footnoteReference w:id="24"/>
      </w:r>
      <w:r>
        <w:t xml:space="preserve"> The definiteness of this answer hardly conceals the fact that it is neglected and a minority pursuit, but its existence is nevertheless undisputable. Lit</w:t>
      </w:r>
      <w:r>
        <w:softHyphen/>
        <w:t>erature in French, on the other hand, while all too real in terms of numbers of potential readers, or print runs, is the more precarious of the two, in that it is disputed, sometimes to the point of being denied. This ‘other’ literature is the object of my study.</w:t>
      </w:r>
    </w:p>
    <w:p w14:paraId="30B9934D" w14:textId="77777777" w:rsidR="00B46E28" w:rsidRDefault="00B46E28" w:rsidP="00B46E28">
      <w:pPr>
        <w:pStyle w:val="NormalIndent"/>
      </w:pPr>
      <w:r>
        <w:t>It has frequently been argued that this literature does not exist, or in other words that there is nothing to distinguish it from French literature. This is the view expressed by Gwennolé Le Menn in his overview of literature in Breton in the second volume of Yannick Pelletier’s</w:t>
      </w:r>
      <w:r>
        <w:rPr>
          <w:i/>
        </w:rPr>
        <w:t xml:space="preserve"> Histoire générale de la Bretagne et des Bretons</w:t>
      </w:r>
      <w:r>
        <w:rPr>
          <w:iCs/>
        </w:rPr>
        <w:t>, devoted to ‘cultures et mentalités bretonnes’</w:t>
      </w:r>
      <w:r>
        <w:t>. In this he explains that he is ex</w:t>
      </w:r>
      <w:r>
        <w:softHyphen/>
        <w:t>cluding Haute-Bretagne from his survey because its culture and dialect (Gallo) are variations on French, and he says of literature produced in French from any part of Brittany: ‘si elles sont parfois inspirées par la Bretagne, [elles] font partie intégrante de la littérature française’.</w:t>
      </w:r>
      <w:r>
        <w:rPr>
          <w:rStyle w:val="FootnoteReference"/>
        </w:rPr>
        <w:footnoteReference w:id="25"/>
      </w:r>
      <w:r>
        <w:t xml:space="preserve"> The view that there is only French literature and Breton literature and nothing in between is implicit in Hémon’s reply to </w:t>
      </w:r>
      <w:r>
        <w:lastRenderedPageBreak/>
        <w:t xml:space="preserve">accusations that </w:t>
      </w:r>
      <w:r>
        <w:rPr>
          <w:i/>
        </w:rPr>
        <w:t>Gwalarn</w:t>
      </w:r>
      <w:r>
        <w:t xml:space="preserve">’s literature was not ‘Breton’ as it did not correspond to reader expectations in terms of subject-matter: </w:t>
      </w:r>
    </w:p>
    <w:p w14:paraId="5A54D0E1" w14:textId="77777777" w:rsidR="00B46E28" w:rsidRPr="00B46E28" w:rsidRDefault="00B46E28" w:rsidP="00B46E28">
      <w:pPr>
        <w:pStyle w:val="DisplayQuote"/>
        <w:rPr>
          <w:lang w:val="fr-FR"/>
        </w:rPr>
      </w:pPr>
      <w:r w:rsidRPr="0082625F">
        <w:rPr>
          <w:lang w:val="fr-FR"/>
        </w:rPr>
        <w:t xml:space="preserve">Qu’ils accusent notre littérature de n’être pas bretonne, d’être </w:t>
      </w:r>
      <w:proofErr w:type="gramStart"/>
      <w:r w:rsidRPr="0082625F">
        <w:rPr>
          <w:lang w:val="fr-FR"/>
        </w:rPr>
        <w:t>antibretonne!</w:t>
      </w:r>
      <w:proofErr w:type="gramEnd"/>
      <w:r w:rsidRPr="0082625F">
        <w:rPr>
          <w:lang w:val="fr-FR"/>
        </w:rPr>
        <w:t xml:space="preserve"> </w:t>
      </w:r>
      <w:r w:rsidRPr="00B46E28">
        <w:rPr>
          <w:lang w:val="fr-FR"/>
        </w:rPr>
        <w:t xml:space="preserve">Elle n’en a cure. </w:t>
      </w:r>
      <w:r w:rsidRPr="00B46E28">
        <w:rPr>
          <w:i/>
          <w:iCs/>
          <w:lang w:val="fr-FR"/>
        </w:rPr>
        <w:t>Elle est écrite en breton</w:t>
      </w:r>
      <w:r w:rsidRPr="00B46E28">
        <w:rPr>
          <w:lang w:val="fr-FR"/>
        </w:rPr>
        <w:t>. […] Ah, ces braves Bretons francisés qui, de confiance, admirent la littérature en langue bretonne comme ils admirent le Kreiz-Ker et les broderies bigoudenn – qu’ils seraient navrés s’ils savaient à quel point notre littérature se soucie peu de ‘faire breton’, combien, au contraire, elle s’efforce de rechercher l’universel et répugne à toute entreprise de terroir.</w:t>
      </w:r>
      <w:r>
        <w:rPr>
          <w:rStyle w:val="FootnoteReference"/>
          <w:sz w:val="22"/>
        </w:rPr>
        <w:footnoteReference w:id="26"/>
      </w:r>
    </w:p>
    <w:p w14:paraId="02DE34C3" w14:textId="77777777" w:rsidR="00B46E28" w:rsidRDefault="00B46E28" w:rsidP="00B46E28">
      <w:pPr>
        <w:rPr>
          <w:b/>
          <w:bCs/>
        </w:rPr>
      </w:pPr>
      <w:r>
        <w:t xml:space="preserve">This same view was expressed in the case of Welsh by Saunders Lewis in his seminal essay ‘Is there an Anglo-Welsh literature’ of 1939. Even if the existence of work written in the language of the ‘oppressor’ is undeniable on a pragmatic level, this argument has had the merit of keeping questions of definition to the fore. What makes literature ‘Breton’ today if it is not the language in which it is written? How far should we rely on geography, birth, citizenship, subject matter? Is </w:t>
      </w:r>
      <w:proofErr w:type="gramStart"/>
      <w:r>
        <w:t>it</w:t>
      </w:r>
      <w:proofErr w:type="gramEnd"/>
      <w:r>
        <w:t xml:space="preserve"> Breton literature just because it is written by somebody born in Brittany, such as Villiers de l’Isle-Adam who hardly wrote anything about Brittany? What about outsiders who deliberately and publicly adopt Brittany as their </w:t>
      </w:r>
      <w:r>
        <w:rPr>
          <w:i/>
        </w:rPr>
        <w:t>patrie</w:t>
      </w:r>
      <w:r>
        <w:t>, such as Saint-Pol-Roux from Marseille? And should the Brittany-based works of such a canonical writer as Balzac form part of ‘Francophone Breton literature’? The way in which Brittany’s Francophone literature is both loudly denied by Breton militants and quietly ignored by critics and historians of French literature</w:t>
      </w:r>
      <w:r>
        <w:rPr>
          <w:rStyle w:val="FootnoteReference"/>
        </w:rPr>
        <w:footnoteReference w:id="27"/>
      </w:r>
      <w:r>
        <w:t xml:space="preserve"> only makes it more compelling. Its situation is more precarious than that of its much smaller neighbour, making it the ‘minor’ of the two literatures in the sense put forth by Deleuze and Guattari in their study of Kafka.</w:t>
      </w:r>
      <w:r>
        <w:rPr>
          <w:rStyle w:val="FootnoteReference"/>
        </w:rPr>
        <w:footnoteReference w:id="28"/>
      </w:r>
    </w:p>
    <w:p w14:paraId="219ADB55" w14:textId="77777777" w:rsidR="00B46E28" w:rsidRDefault="00B46E28" w:rsidP="00B46E28">
      <w:pPr>
        <w:pStyle w:val="NormalIndent"/>
      </w:pPr>
      <w:r>
        <w:t>Brittany’s Francophone literature is also interesting because it has, for the length of its history, been overshadowed and contaminated by its neighbours: French literature proper and Breton literature proper. Literary criticism in general has largely moved beyond the idea that literatures evolve in a vacuum. Today we see cross-fert</w:t>
      </w:r>
      <w:r>
        <w:softHyphen/>
        <w:t xml:space="preserve">ilization in more places than just the obvious interface between two different national literatures with translation, in its restricted sense, as the bridge between them. Eagleton has argued in </w:t>
      </w:r>
      <w:r>
        <w:rPr>
          <w:i/>
          <w:iCs/>
        </w:rPr>
        <w:t>Exiles and Emigrés</w:t>
      </w:r>
      <w:r>
        <w:t xml:space="preserve"> for a pluralist view of literature, in which the presence of the ‘exile’ and the ‘alien’ creates rich cultural situations. He shows how such alienation is not clear-cut, and is at its most fruitful when the borderline is not clear, as is the case for Lawrence, who, coming from a working-class background, was both insider and outsider to English literature:</w:t>
      </w:r>
    </w:p>
    <w:p w14:paraId="4CDD1217" w14:textId="77777777" w:rsidR="00B46E28" w:rsidRDefault="00B46E28" w:rsidP="00B46E28">
      <w:pPr>
        <w:pStyle w:val="DisplayQuote"/>
      </w:pPr>
      <w:r>
        <w:t>Lawrence’s achievement was to bring to bear on the disintegrating order of his time, the rich values of a working-class experience: to generalise from this basis, a critique of England which seemed at times as alien as the judgement of a foreigner, yet as intimately acquainted with its real issues as a native.</w:t>
      </w:r>
      <w:r>
        <w:rPr>
          <w:rStyle w:val="FootnoteReference"/>
        </w:rPr>
        <w:footnoteReference w:id="29"/>
      </w:r>
    </w:p>
    <w:p w14:paraId="580BCE67" w14:textId="77777777" w:rsidR="00B46E28" w:rsidRDefault="00B46E28" w:rsidP="00B46E28">
      <w:r>
        <w:t>Eagleton sums up the rich possibilities of a bicultural situation:</w:t>
      </w:r>
    </w:p>
    <w:p w14:paraId="57FA1B49" w14:textId="77777777" w:rsidR="00B46E28" w:rsidRDefault="00B46E28" w:rsidP="00B46E28">
      <w:pPr>
        <w:pStyle w:val="DisplayQuote"/>
      </w:pPr>
      <w:r>
        <w:t xml:space="preserve">great art is produced, not from the simple availability of an alternative, but from the subtle and involuted tensions between the remembered and the real, the potential and the actual, integration and dispossession, </w:t>
      </w:r>
      <w:proofErr w:type="gramStart"/>
      <w:r>
        <w:t>exile</w:t>
      </w:r>
      <w:proofErr w:type="gramEnd"/>
      <w:r>
        <w:t xml:space="preserve"> and involvement.</w:t>
      </w:r>
      <w:r>
        <w:rPr>
          <w:rStyle w:val="FootnoteReference"/>
        </w:rPr>
        <w:footnoteReference w:id="30"/>
      </w:r>
    </w:p>
    <w:p w14:paraId="30F59F81" w14:textId="77777777" w:rsidR="00B46E28" w:rsidRDefault="00B46E28" w:rsidP="00B46E28">
      <w:r>
        <w:t>The word ‘translation’ itself is no longer used in literary criticism without at least an awareness of its wider senses, those explored by a new generation of theorists of translation such as Bassnett and Cronin.</w:t>
      </w:r>
      <w:r>
        <w:rPr>
          <w:rStyle w:val="FootnoteReference"/>
        </w:rPr>
        <w:footnoteReference w:id="31"/>
      </w:r>
      <w:r>
        <w:t xml:space="preserve"> Their work focuses on cultural cross-currents in literary texts, and is less interested in actual translation. It is the conflicts and failures of fit between cultures and systems, as manifested in literature, that inform us about the identity of one or other of these cultures. According to Homi Bhabha: ‘it is in </w:t>
      </w:r>
      <w:r>
        <w:lastRenderedPageBreak/>
        <w:t xml:space="preserve">the emergence of the interstices – the overlap and displacement of domains of difference – that the intersubjective and collective experiences of </w:t>
      </w:r>
      <w:r>
        <w:rPr>
          <w:i/>
        </w:rPr>
        <w:t>nationness</w:t>
      </w:r>
      <w:r>
        <w:t>, community interest, or cultural value are negotiated.’</w:t>
      </w:r>
      <w:r>
        <w:rPr>
          <w:rStyle w:val="FootnoteReference"/>
        </w:rPr>
        <w:footnoteReference w:id="32"/>
      </w:r>
      <w:r>
        <w:t xml:space="preserve"> What he here calls the ‘interstices’ are particularly interesting, and even more ur</w:t>
      </w:r>
      <w:r>
        <w:softHyphen/>
        <w:t>gent, in work explicitly battled over, or caught in real linguistic conflict. Drawing on Bhabha’s work M. Wynn Thomas undertakes a groundbreaking reading of the literatures of Wales, in which he aims to ‘explore ways in which these two cultures have to some extent developed in tandem, and share certain unnoticed common features that show them to have been the products (and producers) of the same history’.</w:t>
      </w:r>
      <w:r>
        <w:rPr>
          <w:rStyle w:val="FootnoteReference"/>
        </w:rPr>
        <w:footnoteReference w:id="33"/>
      </w:r>
      <w:r>
        <w:t xml:space="preserve"> His more recent book </w:t>
      </w:r>
      <w:r>
        <w:rPr>
          <w:i/>
        </w:rPr>
        <w:t>Corresponding Cultures</w:t>
      </w:r>
      <w:r>
        <w:rPr>
          <w:rStyle w:val="FootnoteReference"/>
          <w:iCs/>
        </w:rPr>
        <w:footnoteReference w:id="34"/>
      </w:r>
      <w:r>
        <w:rPr>
          <w:iCs/>
        </w:rPr>
        <w:t xml:space="preserve"> is</w:t>
      </w:r>
      <w:r>
        <w:t xml:space="preserve"> based on the idea that the two literatures of Wales demand to be considered together. That </w:t>
      </w:r>
      <w:proofErr w:type="gramStart"/>
      <w:r>
        <w:t>is</w:t>
      </w:r>
      <w:proofErr w:type="gramEnd"/>
      <w:r>
        <w:t xml:space="preserve"> we cannot fully understand one without the other, for even if they were in conflict, they were still ‘corresponding’ with one another.</w:t>
      </w:r>
    </w:p>
    <w:p w14:paraId="59F4E57D" w14:textId="77777777" w:rsidR="00B46E28" w:rsidRPr="0082625F" w:rsidRDefault="00B46E28" w:rsidP="00B46E28">
      <w:pPr>
        <w:pStyle w:val="NormalIndent"/>
        <w:rPr>
          <w:lang w:val="fr-FR"/>
        </w:rPr>
      </w:pPr>
      <w:proofErr w:type="gramStart"/>
      <w:r>
        <w:t>It is clear that the</w:t>
      </w:r>
      <w:proofErr w:type="gramEnd"/>
      <w:r>
        <w:t xml:space="preserve"> French-language literature of Brittany is a ‘Francophone’ literature in more than the most restricted, linguistic sense. Attempts to define it as such began with the founding of the review </w:t>
      </w:r>
      <w:r>
        <w:rPr>
          <w:i/>
        </w:rPr>
        <w:t>Bretagnes</w:t>
      </w:r>
      <w:r>
        <w:t xml:space="preserve"> by Paol Keineg and Kristian Keginer in Morlaix in 1975. It was in the columns of this publication that the question of the specificity of, indeed the existence of, a French-language Breton literature was systematically tackled for the first time. </w:t>
      </w:r>
      <w:r w:rsidRPr="0082625F">
        <w:rPr>
          <w:lang w:val="fr-FR"/>
        </w:rPr>
        <w:t xml:space="preserve">As Keginer </w:t>
      </w:r>
      <w:proofErr w:type="gramStart"/>
      <w:r w:rsidRPr="0082625F">
        <w:rPr>
          <w:lang w:val="fr-FR"/>
        </w:rPr>
        <w:t>observed:</w:t>
      </w:r>
      <w:proofErr w:type="gramEnd"/>
      <w:r w:rsidRPr="0082625F">
        <w:rPr>
          <w:lang w:val="fr-FR"/>
        </w:rPr>
        <w:t xml:space="preserve"> </w:t>
      </w:r>
    </w:p>
    <w:p w14:paraId="2314CD25" w14:textId="77777777" w:rsidR="00B46E28" w:rsidRPr="0082625F" w:rsidRDefault="00B46E28" w:rsidP="00B46E28">
      <w:pPr>
        <w:pStyle w:val="DisplayQuote"/>
        <w:rPr>
          <w:lang w:val="fr-FR"/>
        </w:rPr>
      </w:pPr>
      <w:proofErr w:type="gramStart"/>
      <w:r w:rsidRPr="0082625F">
        <w:rPr>
          <w:lang w:val="fr-FR"/>
        </w:rPr>
        <w:t>la</w:t>
      </w:r>
      <w:proofErr w:type="gramEnd"/>
      <w:r w:rsidRPr="0082625F">
        <w:rPr>
          <w:lang w:val="fr-FR"/>
        </w:rPr>
        <w:t xml:space="preserve"> francité et la bretonnité se manifestent précisément sur deux plans radicalement distincts: ce qui y est français c’est la langue, et ce qui y est breton, c’est la création. Il s’agit donc d’une création bretonne de langue française […] ou plutôt de mots français, ou à partir de mots français.</w:t>
      </w:r>
      <w:r>
        <w:rPr>
          <w:rStyle w:val="FootnoteReference"/>
          <w:sz w:val="22"/>
        </w:rPr>
        <w:footnoteReference w:id="35"/>
      </w:r>
      <w:r w:rsidRPr="0082625F">
        <w:rPr>
          <w:lang w:val="fr-FR"/>
        </w:rPr>
        <w:t xml:space="preserve"> </w:t>
      </w:r>
    </w:p>
    <w:p w14:paraId="700ECB05" w14:textId="77777777" w:rsidR="00B46E28" w:rsidRDefault="00B46E28" w:rsidP="00B46E28">
      <w:pPr>
        <w:pStyle w:val="BodyText"/>
        <w:spacing w:line="240" w:lineRule="auto"/>
        <w:rPr>
          <w:rFonts w:cs="Times New Roman"/>
        </w:rPr>
      </w:pPr>
      <w:r>
        <w:rPr>
          <w:rFonts w:cs="Times New Roman"/>
        </w:rPr>
        <w:t xml:space="preserve">Never far from controversy, its nine issues debated the question as it related to language and literature, but was also highly politicized, as Keineg and Keginer, having close links with the Union Démocratique Bretonne, pursued a policy of decolonization. Definitional work on the literature was inseparable from the political fervour, and as a result Keginer, and Keineg in particular, have become a privileged point of reference in the work of postcolonial literary critics in Brittany. </w:t>
      </w:r>
    </w:p>
    <w:p w14:paraId="028F8312" w14:textId="77777777" w:rsidR="00B46E28" w:rsidRDefault="00B46E28" w:rsidP="00B46E28">
      <w:pPr>
        <w:pStyle w:val="NormalIndent"/>
      </w:pPr>
      <w:r>
        <w:t xml:space="preserve">The question ‘is there a Francophone Brittany?’ is today being asked by </w:t>
      </w:r>
      <w:r>
        <w:rPr>
          <w:i/>
        </w:rPr>
        <w:t>Plurial</w:t>
      </w:r>
      <w:r>
        <w:t xml:space="preserve">, the journal of the Centre d’Études des Littératures et Civilisations Francophones at the University of Rennes. The journal combines revisionist work on the contribution of precursors to the definitional debate, such as the poets who wrote in </w:t>
      </w:r>
      <w:r>
        <w:rPr>
          <w:i/>
          <w:iCs/>
        </w:rPr>
        <w:t>Bretagnes</w:t>
      </w:r>
      <w:r>
        <w:t>, with discussion of present-day debates in Francophone writing from around the globe. An issue devoted to ‘métissage’, contains criteria set out by Pascal Rannou in a short but ambitious article: ‘Approche du concept de littérature bretonne de langue française’, which is the culmination of years of work on the question.</w:t>
      </w:r>
      <w:r>
        <w:rPr>
          <w:rStyle w:val="FootnoteReference"/>
        </w:rPr>
        <w:footnoteReference w:id="36"/>
      </w:r>
      <w:r>
        <w:t xml:space="preserve"> In it Rannou quickly moves beyond the argument about whether this literature exists, lamenting the way critics consider both literatures in isolation from each other. He singles out two recent, and significant, volumes on Brittany, the </w:t>
      </w:r>
      <w:r>
        <w:rPr>
          <w:i/>
        </w:rPr>
        <w:t>Histoire littéraire et culturelle de la Bretagne</w:t>
      </w:r>
      <w:r>
        <w:rPr>
          <w:iCs/>
        </w:rPr>
        <w:t xml:space="preserve">, and the </w:t>
      </w:r>
      <w:r>
        <w:rPr>
          <w:i/>
        </w:rPr>
        <w:t>Histoire générale de la Bretagne et des Bretons</w:t>
      </w:r>
      <w:r>
        <w:rPr>
          <w:iCs/>
        </w:rPr>
        <w:t xml:space="preserve">, to show how anthologies and reference works exemplify the problem. He is disappointed by Gwennolé Le Menn’s exclusionary gesture in the </w:t>
      </w:r>
      <w:proofErr w:type="gramStart"/>
      <w:r>
        <w:rPr>
          <w:iCs/>
        </w:rPr>
        <w:t>latter, and</w:t>
      </w:r>
      <w:proofErr w:type="gramEnd"/>
      <w:r>
        <w:rPr>
          <w:iCs/>
        </w:rPr>
        <w:t xml:space="preserve"> </w:t>
      </w:r>
      <w:r>
        <w:t>castigates both editorial teams for failing to address the definitional problems. The works display: ‘aucune interrogation conceptuelle, une démarche qui reste purement compilatoire,’</w:t>
      </w:r>
      <w:r>
        <w:rPr>
          <w:rStyle w:val="FootnoteReference"/>
        </w:rPr>
        <w:footnoteReference w:id="37"/>
      </w:r>
      <w:r>
        <w:t xml:space="preserve"> relying instead on what he dismisses as the ‘droit du sol’ (geographical criteria) and ‘droit du sang’ (ethnic origin). </w:t>
      </w:r>
    </w:p>
    <w:p w14:paraId="56A3ED94" w14:textId="77777777" w:rsidR="00B46E28" w:rsidRDefault="00B46E28" w:rsidP="00B46E28">
      <w:pPr>
        <w:pStyle w:val="NormalIndent"/>
      </w:pPr>
      <w:r>
        <w:lastRenderedPageBreak/>
        <w:t xml:space="preserve">Rannou grasps the nettle, and his suggested criteria for the definition of Francophone Breton literature are </w:t>
      </w:r>
      <w:proofErr w:type="gramStart"/>
      <w:r>
        <w:t>bolder, and</w:t>
      </w:r>
      <w:proofErr w:type="gramEnd"/>
      <w:r>
        <w:t xml:space="preserve"> are set out here in three main parts. The first is based on what he describes as the alienation of the writer – ‘l’aliénation propre à tout écrivain breton francophone’ – and which is the legacy of the cultural genocide suffered by Brittany. This need not be explicit in the </w:t>
      </w:r>
      <w:proofErr w:type="gramStart"/>
      <w:r>
        <w:t>text, and</w:t>
      </w:r>
      <w:proofErr w:type="gramEnd"/>
      <w:r>
        <w:t xml:space="preserve"> may be symbolic or present between the lines. The second has to do with the relationship of the text to past clichés of Bretonness. Rannou advocates avoidance of the ‘picturesque’ and ‘folkloric’ in favour of what he calls a ‘linear’ description of a Breton setting – ‘linéarité de la description du paysage breton’. Further criteria relate to the piece’s form, the example suggested is the incorporation of the Celtic motif of the double spiral into the structure; and he also discusses lexical peculiarities which are the result of borrowings, or calques. He ends by putting forward the ‘métisse’ idea, which is further developed in his work on Hélias, where he shows how the latter’s </w:t>
      </w:r>
      <w:r>
        <w:rPr>
          <w:i/>
        </w:rPr>
        <w:t>Le Cheval d’orgueil</w:t>
      </w:r>
      <w:r>
        <w:rPr>
          <w:iCs/>
        </w:rPr>
        <w:t xml:space="preserve"> </w:t>
      </w:r>
      <w:r>
        <w:t>can only be properly understood as part of a ‘littérature métissée’.</w:t>
      </w:r>
      <w:r>
        <w:rPr>
          <w:rStyle w:val="FootnoteReference"/>
        </w:rPr>
        <w:footnoteReference w:id="38"/>
      </w:r>
      <w:r>
        <w:t xml:space="preserve"> His work on Tristan Corbière is equally pioneering; in the collection </w:t>
      </w:r>
      <w:r>
        <w:rPr>
          <w:i/>
          <w:iCs/>
        </w:rPr>
        <w:t>Visages de Tristan Corbière</w:t>
      </w:r>
      <w:r>
        <w:t>, extensive analysis of Cor</w:t>
      </w:r>
      <w:r>
        <w:softHyphen/>
        <w:t>bière’s notoriously heterogeneous language, reveals him to be the first ‘écrivain aliéné’ in the sense explored in Rannou’s more theoretical work.</w:t>
      </w:r>
      <w:r>
        <w:rPr>
          <w:rStyle w:val="FootnoteReference"/>
        </w:rPr>
        <w:footnoteReference w:id="39"/>
      </w:r>
    </w:p>
    <w:p w14:paraId="69DE2EC4" w14:textId="77777777" w:rsidR="00B46E28" w:rsidRDefault="00B46E28" w:rsidP="00B46E28">
      <w:pPr>
        <w:pStyle w:val="NormalIndent"/>
      </w:pPr>
      <w:r>
        <w:t>Thierry Glon’s work inevitably comes up against this central problem of definition, through the twin concerns of ‘alienation’ and ‘recouvrance’. He identifies ‘recouvrance’ as a key characteristic of Breton writing in French,</w:t>
      </w:r>
      <w:r>
        <w:rPr>
          <w:rStyle w:val="FootnoteReference"/>
        </w:rPr>
        <w:footnoteReference w:id="40"/>
      </w:r>
      <w:r>
        <w:t xml:space="preserve"> defining it as: ‘cette convocation magique et culpabilisée d’un temps meilleur dont les écrivains bretons se sentent exilés comme de nouveaux Romantiques’,</w:t>
      </w:r>
      <w:r>
        <w:rPr>
          <w:rStyle w:val="FootnoteReference"/>
        </w:rPr>
        <w:footnoteReference w:id="41"/>
      </w:r>
      <w:r>
        <w:t xml:space="preserve"> and ends by ask</w:t>
      </w:r>
      <w:r>
        <w:softHyphen/>
        <w:t>ing whether this might not be traced right back to the nineteenth century. The question is explored further in a later piece on ‘recouv</w:t>
      </w:r>
      <w:r>
        <w:softHyphen/>
        <w:t>rance’ with specific focus on Xavier Grall,</w:t>
      </w:r>
      <w:r>
        <w:rPr>
          <w:rStyle w:val="FootnoteReference"/>
        </w:rPr>
        <w:footnoteReference w:id="42"/>
      </w:r>
      <w:r>
        <w:t xml:space="preserve"> who used the term himself with the meaning ‘se retrouver soi-même’, or ‘se désaliéner’ in his </w:t>
      </w:r>
      <w:r>
        <w:rPr>
          <w:i/>
          <w:iCs/>
        </w:rPr>
        <w:t>Cheval couché</w:t>
      </w:r>
      <w:r>
        <w:t>.</w:t>
      </w:r>
      <w:r>
        <w:rPr>
          <w:rStyle w:val="FootnoteReference"/>
        </w:rPr>
        <w:footnoteReference w:id="43"/>
      </w:r>
      <w:r>
        <w:t xml:space="preserve"> Another key contributor to the debate is Marc Gontard, who produced a survey article ‘Pour une littérature bretonne de langue française’, published in </w:t>
      </w:r>
      <w:r>
        <w:rPr>
          <w:i/>
          <w:iCs/>
        </w:rPr>
        <w:t>Écrire la Bretagne 1960–1995</w:t>
      </w:r>
      <w:r>
        <w:t>, and a discussion of hybridity in ‘Effets de métissage dans la littérature bretonne’.</w:t>
      </w:r>
      <w:r>
        <w:rPr>
          <w:rStyle w:val="FootnoteReference"/>
          <w:iCs/>
        </w:rPr>
        <w:footnoteReference w:id="44"/>
      </w:r>
      <w:r>
        <w:rPr>
          <w:b/>
          <w:bCs/>
        </w:rPr>
        <w:t xml:space="preserve"> </w:t>
      </w:r>
      <w:r>
        <w:t>Gontard has pushed his interest in the question to ext</w:t>
      </w:r>
      <w:r>
        <w:softHyphen/>
        <w:t xml:space="preserve">remes, writing an experimental novel, </w:t>
      </w:r>
      <w:r>
        <w:rPr>
          <w:i/>
        </w:rPr>
        <w:t>De Sable et de sang</w:t>
      </w:r>
      <w:r>
        <w:rPr>
          <w:iCs/>
        </w:rPr>
        <w:t>, which he describes as</w:t>
      </w:r>
      <w:r>
        <w:t xml:space="preserve"> a Breton novel, but in which that adjective itself is never used.</w:t>
      </w:r>
      <w:r>
        <w:rPr>
          <w:rStyle w:val="FootnoteReference"/>
        </w:rPr>
        <w:footnoteReference w:id="45"/>
      </w:r>
      <w:r>
        <w:t xml:space="preserve"> </w:t>
      </w:r>
    </w:p>
    <w:p w14:paraId="0BB50A8B" w14:textId="77777777" w:rsidR="00B46E28" w:rsidRDefault="00B46E28" w:rsidP="00B46E28">
      <w:pPr>
        <w:pStyle w:val="NormalIndent"/>
      </w:pPr>
      <w:r>
        <w:t xml:space="preserve">Though it has received little critical attention, the existence of this literature has been acknowledged, and it is now increasingly being investigated. If Brittany had been invisible to all but Celtic scholars for so long, this is now changing in some areas. What might be called a </w:t>
      </w:r>
      <w:r>
        <w:rPr>
          <w:i/>
        </w:rPr>
        <w:t>centralizing</w:t>
      </w:r>
      <w:r>
        <w:t xml:space="preserve"> way of looking at France has been challenged in recent years in the discipline of history. Caroline Ford has shown how the nation was ‘made’ in provincial France, challenging the traditional discourse of centralizing history. In tracing the growth of national identity she rejects the traditional investigation of it as something imposed by the centre on the periphery, arguing that ‘the creation of national identity is a process continually in the making rather than the imposition of a fixed set of values and beliefs’.</w:t>
      </w:r>
      <w:r>
        <w:rPr>
          <w:rStyle w:val="FootnoteReference"/>
        </w:rPr>
        <w:footnoteReference w:id="46"/>
      </w:r>
      <w:r>
        <w:t xml:space="preserve"> Her case-study of Finistère shows how </w:t>
      </w:r>
    </w:p>
    <w:p w14:paraId="3B623B35" w14:textId="77777777" w:rsidR="00B46E28" w:rsidRDefault="00B46E28" w:rsidP="00B46E28">
      <w:pPr>
        <w:pStyle w:val="DisplayQuote"/>
      </w:pPr>
      <w:r>
        <w:lastRenderedPageBreak/>
        <w:t>political change and national awareness were effected not through the wholesale importation of urban values, Parisian political movements, and the assimilation of the periphery into the center, but through an indigenous movement that emerged in the countryside and ultimately came to represent the periphery at the center.</w:t>
      </w:r>
      <w:r>
        <w:rPr>
          <w:rStyle w:val="FootnoteReference"/>
          <w:sz w:val="22"/>
        </w:rPr>
        <w:footnoteReference w:id="47"/>
      </w:r>
      <w:r>
        <w:t xml:space="preserve"> </w:t>
      </w:r>
    </w:p>
    <w:p w14:paraId="42862962" w14:textId="77777777" w:rsidR="00B46E28" w:rsidRDefault="00B46E28" w:rsidP="00B46E28">
      <w:r>
        <w:t xml:space="preserve">A similar non-centralizing view is found in Robert Gildea’s </w:t>
      </w:r>
      <w:r>
        <w:rPr>
          <w:i/>
        </w:rPr>
        <w:t>The Past in French History</w:t>
      </w:r>
      <w:r>
        <w:t>; he asserts that ‘there is no single French collective memory but parallel and competing collective memories elaborated by communities which have experienced and handle the past in different ways’.</w:t>
      </w:r>
      <w:r>
        <w:rPr>
          <w:rStyle w:val="FootnoteReference"/>
        </w:rPr>
        <w:footnoteReference w:id="48"/>
      </w:r>
      <w:r>
        <w:t xml:space="preserve"> From Brittany Jean-Yves Guiomar has argued that the Breton movement comes from the periphery, which has made itself the centre.</w:t>
      </w:r>
      <w:r>
        <w:rPr>
          <w:rStyle w:val="FootnoteReference"/>
        </w:rPr>
        <w:footnoteReference w:id="49"/>
      </w:r>
      <w:r>
        <w:t xml:space="preserve"> However, in other disciplines, especially literary studies, Brittany remains invisible. In </w:t>
      </w:r>
      <w:proofErr w:type="gramStart"/>
      <w:r>
        <w:t>fact</w:t>
      </w:r>
      <w:proofErr w:type="gramEnd"/>
      <w:r>
        <w:t xml:space="preserve"> Brittany suffers two layers of neg</w:t>
      </w:r>
      <w:r>
        <w:softHyphen/>
        <w:t>lect. Firstly postcolonial studies have been rather slow in giving serious attention to Francophone material, and this despite relying heavily on French theory.</w:t>
      </w:r>
      <w:r>
        <w:rPr>
          <w:rStyle w:val="FootnoteReference"/>
        </w:rPr>
        <w:footnoteReference w:id="50"/>
      </w:r>
      <w:r>
        <w:t xml:space="preserve"> Secondly postcolonial studies on the whole exclude ‘ancient’ colonizations, as demonstrated above in my comparison of Brittany with the Celtic peripheries of Britain. It is hardly surprising that postcolonial studies have only recently begun to have an impact on the study of the literatures of Brittany. Critics at the Centre d’Études des Littératures et Civilisations Francophones at the University of Rennes are at the forefront in adapting the framework to the particular bicultural situation in modern Brittany, and have studied Brittany in parallel with other better-publicized examples of ‘métis</w:t>
      </w:r>
      <w:r>
        <w:softHyphen/>
        <w:t xml:space="preserve">sage’, for instance the Maghreb and Québec. </w:t>
      </w:r>
    </w:p>
    <w:p w14:paraId="2FEE793B" w14:textId="77777777" w:rsidR="00B46E28" w:rsidRDefault="00B46E28" w:rsidP="00B46E28">
      <w:pPr>
        <w:pStyle w:val="NormalIndent"/>
      </w:pPr>
      <w:r>
        <w:t>Presumably because their other culture is Anglophone, post</w:t>
      </w:r>
      <w:r>
        <w:softHyphen/>
        <w:t>colonial studies made their mark on the other Celtic countries much earlier, in the form of ‘Celticism’. Just as ‘Orientalism’, after Said,</w:t>
      </w:r>
      <w:r>
        <w:rPr>
          <w:rStyle w:val="FootnoteReference"/>
        </w:rPr>
        <w:footnoteReference w:id="51"/>
      </w:r>
      <w:r>
        <w:t xml:space="preserve"> describes a discourse composed of blanket statements about other cultures classed as ‘Oriental’, so ‘Celticism’ is composed of blanket statements made from a particular point of view, about Celts. The new criticism to which it gave rise saw a similarity between the way nineteenth-century European Orientalists wrote about Eastern themes in homogenizing terms and from a eurocentric perspective, and the approach of two of the founding fathers of Celtic Studies as we know it today, Ernest Renan and Matthew Arnold. Criticism of Anglo-Irish literature showed the way, and Mc Cormack was the first to del</w:t>
      </w:r>
      <w:r>
        <w:softHyphen/>
        <w:t>iberately model ‘Celticism’ on ‘Orientalism’ in order to describe the discourse inaugurated by Renan and Arnold.</w:t>
      </w:r>
      <w:r>
        <w:rPr>
          <w:rStyle w:val="FootnoteReference"/>
        </w:rPr>
        <w:footnoteReference w:id="52"/>
      </w:r>
      <w:r>
        <w:t xml:space="preserve"> Malcolm Chapman later described Arnold’s work in embellishing and interpreting Renan as ‘arguably the most influential piece ever written in the field of Celtic studies’,</w:t>
      </w:r>
      <w:r>
        <w:rPr>
          <w:rStyle w:val="FootnoteReference"/>
        </w:rPr>
        <w:footnoteReference w:id="53"/>
      </w:r>
      <w:r>
        <w:t xml:space="preserve"> and went further, summing up Renan’s ‘Celt’ thus:</w:t>
      </w:r>
    </w:p>
    <w:p w14:paraId="6AADA419" w14:textId="77777777" w:rsidR="00B46E28" w:rsidRDefault="00B46E28" w:rsidP="00B46E28">
      <w:pPr>
        <w:pStyle w:val="DisplayQuote"/>
      </w:pPr>
      <w:r>
        <w:t xml:space="preserve">A conflation of the domesticity and femininity of Renan’s childhood; of the emotionality that he felt his intellectuality had lost him; all the supposed characteristics of primitive literature, </w:t>
      </w:r>
      <w:r>
        <w:rPr>
          <w:i/>
        </w:rPr>
        <w:t>naïveté</w:t>
      </w:r>
      <w:r>
        <w:t>, spontaneity, and simple unaffected truth.</w:t>
      </w:r>
      <w:r>
        <w:rPr>
          <w:rStyle w:val="FootnoteReference"/>
        </w:rPr>
        <w:footnoteReference w:id="54"/>
      </w:r>
      <w:r>
        <w:t xml:space="preserve"> </w:t>
      </w:r>
    </w:p>
    <w:p w14:paraId="227D40DB" w14:textId="77777777" w:rsidR="00B46E28" w:rsidRDefault="00B46E28" w:rsidP="00B46E28">
      <w:r>
        <w:t xml:space="preserve">For Mc Cormack Alglophone Celtic literature must not be seen in </w:t>
      </w:r>
      <w:proofErr w:type="gramStart"/>
      <w:r>
        <w:t>isolation, and</w:t>
      </w:r>
      <w:proofErr w:type="gramEnd"/>
      <w:r>
        <w:t xml:space="preserve"> can only be properly understood as interacting with other literatures. The literature produced in Ireland, then, must </w:t>
      </w:r>
      <w:proofErr w:type="gramStart"/>
      <w:r>
        <w:t>be seen as</w:t>
      </w:r>
      <w:proofErr w:type="gramEnd"/>
      <w:r>
        <w:t xml:space="preserve"> a whole:</w:t>
      </w:r>
    </w:p>
    <w:p w14:paraId="3A2DC902" w14:textId="77777777" w:rsidR="00B46E28" w:rsidRDefault="00B46E28" w:rsidP="00B46E28">
      <w:pPr>
        <w:pStyle w:val="DisplayQuote"/>
      </w:pPr>
      <w:r>
        <w:t>No account of Anglo-Irish literature can be complete without some attention to the question of its relation to Gaelic culture, the nineteenth-century decline of Gaelic as a vernacular, and the movement to revive it (p.219).</w:t>
      </w:r>
    </w:p>
    <w:p w14:paraId="09851517" w14:textId="77777777" w:rsidR="00B46E28" w:rsidRDefault="00B46E28" w:rsidP="00B46E28">
      <w:r>
        <w:t xml:space="preserve">Venturing further afield, when the emergence of English- or French-language literatures in Celtic regions is considered in the context of European Romanticism, Renan’s influential essay ‘La Poésie des races celtiques’ of 1854 can be seen as very much the product of its time, representing a </w:t>
      </w:r>
    </w:p>
    <w:p w14:paraId="5186D225" w14:textId="77777777" w:rsidR="00B46E28" w:rsidRDefault="00B46E28" w:rsidP="00B46E28">
      <w:pPr>
        <w:pStyle w:val="DisplayQuote"/>
        <w:rPr>
          <w:sz w:val="22"/>
        </w:rPr>
      </w:pPr>
      <w:r>
        <w:lastRenderedPageBreak/>
        <w:t>meeting point between the high sophistication of comparative philology as developed in Germany, France, and Britain from the initiative of Herder, and the popular perception of a Celtic fringe as an aesthetic survival in the industrial age.</w:t>
      </w:r>
      <w:r>
        <w:rPr>
          <w:rStyle w:val="FootnoteReference"/>
          <w:sz w:val="22"/>
        </w:rPr>
        <w:footnoteReference w:id="55"/>
      </w:r>
      <w:r>
        <w:t xml:space="preserve"> </w:t>
      </w:r>
    </w:p>
    <w:p w14:paraId="3C38B786" w14:textId="77777777" w:rsidR="00B46E28" w:rsidRDefault="00B46E28" w:rsidP="00B46E28">
      <w:pPr>
        <w:pStyle w:val="NormalIndent"/>
      </w:pPr>
      <w:r>
        <w:t xml:space="preserve">Despite the key role played by Renan’s essay, Brittany has not received attention either from the direction of French Studies or that of ‘Celticism’. The influential collection of essays </w:t>
      </w:r>
      <w:r>
        <w:rPr>
          <w:i/>
        </w:rPr>
        <w:t>The Invention of Tradition</w:t>
      </w:r>
      <w:r>
        <w:t xml:space="preserve"> includes chapters on Wales and Scotland, but not Brittany.</w:t>
      </w:r>
      <w:r>
        <w:rPr>
          <w:rStyle w:val="FootnoteReference"/>
        </w:rPr>
        <w:footnoteReference w:id="56"/>
      </w:r>
      <w:r>
        <w:t xml:space="preserve"> Similarly Terence Brown’s collection </w:t>
      </w:r>
      <w:r>
        <w:rPr>
          <w:i/>
        </w:rPr>
        <w:t>Celticism</w:t>
      </w:r>
      <w:r>
        <w:t xml:space="preserve"> neglects Brittany </w:t>
      </w:r>
      <w:r>
        <w:rPr>
          <w:i/>
          <w:iCs/>
        </w:rPr>
        <w:t>per se</w:t>
      </w:r>
      <w:r>
        <w:t>,</w:t>
      </w:r>
      <w:r>
        <w:rPr>
          <w:i/>
          <w:iCs/>
        </w:rPr>
        <w:t xml:space="preserve"> </w:t>
      </w:r>
      <w:r>
        <w:t>though it does cover French Romanticism.</w:t>
      </w:r>
      <w:r>
        <w:rPr>
          <w:rStyle w:val="FootnoteReference"/>
        </w:rPr>
        <w:footnoteReference w:id="57"/>
      </w:r>
      <w:r>
        <w:t xml:space="preserve"> This Francophone Brittany, then, has yet to be studied in a sustained way within a frame</w:t>
      </w:r>
      <w:r>
        <w:softHyphen/>
        <w:t>work that takes account of analogous debates in postcolonialism and Celticism.</w:t>
      </w:r>
    </w:p>
    <w:p w14:paraId="66E5609A" w14:textId="77777777" w:rsidR="00B46E28" w:rsidRPr="0082625F" w:rsidRDefault="00B46E28" w:rsidP="00B46E28">
      <w:pPr>
        <w:pStyle w:val="NormalIndent"/>
        <w:rPr>
          <w:lang w:val="fr-FR"/>
        </w:rPr>
      </w:pPr>
      <w:r>
        <w:t xml:space="preserve">My first chapter looks at the invention of Brittany. The idea that all places are invented in literature is expressed by Proust in an essay on Nerval’s </w:t>
      </w:r>
      <w:r>
        <w:rPr>
          <w:i/>
        </w:rPr>
        <w:t>Sylvie</w:t>
      </w:r>
      <w:r>
        <w:t xml:space="preserve">: ‘c’est que ces noms, nous les avons lu dans </w:t>
      </w:r>
      <w:r>
        <w:rPr>
          <w:i/>
        </w:rPr>
        <w:t>Sylvie</w:t>
      </w:r>
      <w:r>
        <w:t>’.</w:t>
      </w:r>
      <w:r>
        <w:rPr>
          <w:rStyle w:val="FootnoteReference"/>
        </w:rPr>
        <w:footnoteReference w:id="58"/>
      </w:r>
      <w:r>
        <w:t xml:space="preserve"> Literature creates for us, or in other words blinds us to, the real landscape. The motif is developed in </w:t>
      </w:r>
      <w:r>
        <w:rPr>
          <w:i/>
        </w:rPr>
        <w:t>Du côté de chez Swann</w:t>
      </w:r>
      <w:r>
        <w:rPr>
          <w:iCs/>
        </w:rPr>
        <w:t>, where Proust</w:t>
      </w:r>
      <w:r>
        <w:t xml:space="preserve"> discusses the relationship between real landscapes and those that exist through reading. </w:t>
      </w:r>
      <w:r w:rsidRPr="0082625F">
        <w:rPr>
          <w:lang w:val="fr-FR"/>
        </w:rPr>
        <w:t xml:space="preserve">He describes the latter type </w:t>
      </w:r>
      <w:proofErr w:type="gramStart"/>
      <w:r w:rsidRPr="0082625F">
        <w:rPr>
          <w:lang w:val="fr-FR"/>
        </w:rPr>
        <w:t>thus:</w:t>
      </w:r>
      <w:proofErr w:type="gramEnd"/>
      <w:r w:rsidRPr="0082625F">
        <w:rPr>
          <w:lang w:val="fr-FR"/>
        </w:rPr>
        <w:t xml:space="preserve"> </w:t>
      </w:r>
    </w:p>
    <w:p w14:paraId="08B7D462" w14:textId="77777777" w:rsidR="00B46E28" w:rsidRPr="0082625F" w:rsidRDefault="00B46E28" w:rsidP="00B46E28">
      <w:pPr>
        <w:pStyle w:val="DisplayQuote"/>
        <w:rPr>
          <w:lang w:val="fr-FR"/>
        </w:rPr>
      </w:pPr>
      <w:proofErr w:type="gramStart"/>
      <w:r w:rsidRPr="0082625F">
        <w:rPr>
          <w:lang w:val="fr-FR"/>
        </w:rPr>
        <w:t>venait</w:t>
      </w:r>
      <w:proofErr w:type="gramEnd"/>
      <w:r w:rsidRPr="0082625F">
        <w:rPr>
          <w:lang w:val="fr-FR"/>
        </w:rPr>
        <w:t xml:space="preserve"> ensuite, à demi projeté devant moi, le paysage où se déroulait l’action et qui exerçait sur ma pensée une bien plus grande influence que l’autre, que celui que j’avais sous les yeux quand je les levais du livre.</w:t>
      </w:r>
      <w:r>
        <w:rPr>
          <w:rStyle w:val="FootnoteReference"/>
        </w:rPr>
        <w:footnoteReference w:id="59"/>
      </w:r>
    </w:p>
    <w:p w14:paraId="0F5B5E50" w14:textId="77777777" w:rsidR="00B46E28" w:rsidRDefault="00B46E28" w:rsidP="00B46E28">
      <w:r>
        <w:t>The meaning of ‘inventing Brittany’ in chapter 1 is based on the idea that any literary work is written partly in reaction to previous literary works. As Michael Riffaterre has argued, the relation of poetry to the world is always and irreducibly intertextual, because poetry articulates ‘reality’ only by way of its reworking of prior literary and linguistic forms.</w:t>
      </w:r>
      <w:r>
        <w:rPr>
          <w:rStyle w:val="FootnoteReference"/>
        </w:rPr>
        <w:footnoteReference w:id="60"/>
      </w:r>
      <w:r>
        <w:t xml:space="preserve"> </w:t>
      </w:r>
    </w:p>
    <w:p w14:paraId="3F3DEB12" w14:textId="77777777" w:rsidR="00B46E28" w:rsidRDefault="00B46E28" w:rsidP="00B46E28">
      <w:pPr>
        <w:pStyle w:val="NormalIndent"/>
      </w:pPr>
      <w:r>
        <w:t xml:space="preserve">Reading can also be a deliberate preparation for travel. Stendhal, in his </w:t>
      </w:r>
      <w:r>
        <w:rPr>
          <w:i/>
        </w:rPr>
        <w:t>Mémoires d’un touriste</w:t>
      </w:r>
      <w:r>
        <w:rPr>
          <w:iCs/>
        </w:rPr>
        <w:t>,</w:t>
      </w:r>
      <w:r>
        <w:t xml:space="preserve"> is quite open about seeing the Breton landscape through the filter of his reading of Walter Scott.</w:t>
      </w:r>
      <w:r>
        <w:rPr>
          <w:rStyle w:val="FootnoteReference"/>
        </w:rPr>
        <w:footnoteReference w:id="61"/>
      </w:r>
      <w:r>
        <w:t xml:space="preserve"> Literature can affect real life, and real landscapes can be changed because of the influence of literature, as when Botrel ‘returns’ to Brittany, and starts a pardon that attracts tourists,</w:t>
      </w:r>
      <w:r>
        <w:rPr>
          <w:rStyle w:val="FootnoteReference"/>
        </w:rPr>
        <w:footnoteReference w:id="62"/>
      </w:r>
      <w:r>
        <w:t xml:space="preserve"> or the fact that tourists can now visit a ‘roche de Velléda’ at Plancoët, thanks to Chateaubriand.</w:t>
      </w:r>
      <w:r>
        <w:rPr>
          <w:rStyle w:val="FootnoteReference"/>
        </w:rPr>
        <w:footnoteReference w:id="63"/>
      </w:r>
      <w:r>
        <w:t xml:space="preserve"> In the Romantic period even the landscape represented in the visual arts was born from literature rather than from observation of the real thing, and was largely based on the poetry of Brizeux’s </w:t>
      </w:r>
      <w:r>
        <w:rPr>
          <w:i/>
        </w:rPr>
        <w:t>Marie</w:t>
      </w:r>
      <w:r>
        <w:t xml:space="preserve">, La Villemarqué’s </w:t>
      </w:r>
      <w:r>
        <w:rPr>
          <w:i/>
        </w:rPr>
        <w:t>Barzaz Breiz</w:t>
      </w:r>
      <w:r>
        <w:t xml:space="preserve">, and the prose of Balzac’s </w:t>
      </w:r>
      <w:r>
        <w:rPr>
          <w:i/>
        </w:rPr>
        <w:t>Béatrix</w:t>
      </w:r>
      <w:r>
        <w:t>.</w:t>
      </w:r>
      <w:r>
        <w:rPr>
          <w:rStyle w:val="FootnoteReference"/>
        </w:rPr>
        <w:footnoteReference w:id="64"/>
      </w:r>
      <w:r>
        <w:t xml:space="preserve"> </w:t>
      </w:r>
    </w:p>
    <w:p w14:paraId="456FDA5F" w14:textId="77777777" w:rsidR="00B46E28" w:rsidRDefault="00B46E28" w:rsidP="00B46E28">
      <w:pPr>
        <w:pStyle w:val="NormalIndent"/>
      </w:pPr>
      <w:r>
        <w:t xml:space="preserve">Many of these issues have naturally been addressed in critical work on travel literature. A passion for travel had been born with the Napoleonic wars, and travel within France was linked to the discovery of history and identity. The extent to which these travellers were describing, or even seeing, the real landscape has been a matter for debate. In the case of the Pyrenees the real landscape was obscured </w:t>
      </w:r>
      <w:r>
        <w:br/>
      </w:r>
      <w:r>
        <w:lastRenderedPageBreak/>
        <w:t>by the fashion for soul-searching, as well as by other literature.</w:t>
      </w:r>
      <w:r>
        <w:rPr>
          <w:rStyle w:val="FootnoteReference"/>
        </w:rPr>
        <w:footnoteReference w:id="65"/>
      </w:r>
      <w:r>
        <w:t xml:space="preserve"> </w:t>
      </w:r>
      <w:r w:rsidRPr="00B46E28">
        <w:rPr>
          <w:lang w:val="fr-FR"/>
        </w:rPr>
        <w:t xml:space="preserve">In Chateaubriand literal and metaphorical travel are inseparable, as seen for example in </w:t>
      </w:r>
      <w:r w:rsidRPr="00B46E28">
        <w:rPr>
          <w:i/>
          <w:lang w:val="fr-FR"/>
        </w:rPr>
        <w:t>René</w:t>
      </w:r>
      <w:r w:rsidRPr="00B46E28">
        <w:rPr>
          <w:lang w:val="fr-FR"/>
        </w:rPr>
        <w:t>: ‘Heureux ceux qui ont fini leur voyage, sans avoir quitté le port’.</w:t>
      </w:r>
      <w:r>
        <w:rPr>
          <w:rStyle w:val="FootnoteReference"/>
        </w:rPr>
        <w:footnoteReference w:id="66"/>
      </w:r>
      <w:r w:rsidRPr="00B46E28">
        <w:rPr>
          <w:lang w:val="fr-FR"/>
        </w:rPr>
        <w:t xml:space="preserve"> </w:t>
      </w:r>
      <w:r>
        <w:t>Travel as framework or simply as metaphor is particularly common in Francophone Breton writing not just because of the influence of real travel accounts, or the real journey that had to be made up to the capital by any ambitious writer, but also because it conveys the insurmountable distance between cultures that is implicit in this writing.</w:t>
      </w:r>
      <w:r>
        <w:rPr>
          <w:rStyle w:val="FootnoteReference"/>
        </w:rPr>
        <w:footnoteReference w:id="67"/>
      </w:r>
      <w:r>
        <w:t xml:space="preserve"> </w:t>
      </w:r>
    </w:p>
    <w:p w14:paraId="6F193744" w14:textId="77777777" w:rsidR="00B46E28" w:rsidRDefault="00B46E28" w:rsidP="00B46E28">
      <w:pPr>
        <w:pStyle w:val="NormalIndent"/>
      </w:pPr>
      <w:proofErr w:type="gramStart"/>
      <w:r>
        <w:t>So</w:t>
      </w:r>
      <w:proofErr w:type="gramEnd"/>
      <w:r>
        <w:t xml:space="preserve"> this book makes no new claim in arguing for a literary bias in an investigation of the construction of an identity. The importance of literature for the study of postcolonial situations is accepted because literature, in the words of </w:t>
      </w:r>
      <w:r>
        <w:rPr>
          <w:i/>
        </w:rPr>
        <w:t>The Empire Writes Back</w:t>
      </w:r>
      <w:r>
        <w:t>, ‘was made as central to the cultural enterprise of Empire as the monarchy was to its political formation’.</w:t>
      </w:r>
      <w:r>
        <w:rPr>
          <w:rStyle w:val="FootnoteReference"/>
        </w:rPr>
        <w:footnoteReference w:id="68"/>
      </w:r>
      <w:r>
        <w:t xml:space="preserve"> But in the case of Brittany, literature has re</w:t>
      </w:r>
      <w:r>
        <w:softHyphen/>
        <w:t>ceived scant attention, even though, as Guiomar has argued, literature is where the whole Breton movement begins: ‘Je suis depuis longtemps convaincu que la question bretonne se joue et se comprend d’abord sur le terrain de l’histoire littéraire […]. Tout est parti des années 1820–1840’.</w:t>
      </w:r>
      <w:r>
        <w:rPr>
          <w:rStyle w:val="FootnoteReference"/>
        </w:rPr>
        <w:footnoteReference w:id="69"/>
      </w:r>
      <w:r>
        <w:t xml:space="preserve"> </w:t>
      </w:r>
    </w:p>
    <w:p w14:paraId="356A13DB" w14:textId="77777777" w:rsidR="00B46E28" w:rsidRDefault="00B46E28" w:rsidP="00B46E28">
      <w:pPr>
        <w:pStyle w:val="NormalIndent"/>
      </w:pPr>
      <w:r>
        <w:t xml:space="preserve">In the French-language literature of Brittany the matters of intertextuality, bi-culturality and postcolonialism meet, producing a complex case of internal cultural difference. The ‘space’ between languages, or distance implicit in the juxtaposition of ‘Brittany’ and ‘Francophone’, needs to be characterized. A reading method like that developed by Jean-Pierre Richard in which ‘pa(ysa)ges’ collapse into ‘pages’ is needed. Richard’s method in </w:t>
      </w:r>
      <w:r>
        <w:rPr>
          <w:i/>
        </w:rPr>
        <w:t>Pages/ Paysages</w:t>
      </w:r>
      <w:r>
        <w:rPr>
          <w:rStyle w:val="FootnoteReference"/>
          <w:iCs/>
        </w:rPr>
        <w:footnoteReference w:id="70"/>
      </w:r>
      <w:r>
        <w:rPr>
          <w:iCs/>
        </w:rPr>
        <w:t xml:space="preserve"> is close reading that he describes in terms of a balance between ‘pages’, or the words on</w:t>
      </w:r>
      <w:r>
        <w:t xml:space="preserve"> the page, or their disposition, and paysage, which is the version of reality produced by a given </w:t>
      </w:r>
      <w:r>
        <w:rPr>
          <w:i/>
        </w:rPr>
        <w:t>œuvre</w:t>
      </w:r>
      <w:r>
        <w:t>:</w:t>
      </w:r>
    </w:p>
    <w:p w14:paraId="41887E9E" w14:textId="77777777" w:rsidR="00B46E28" w:rsidRPr="0082625F" w:rsidRDefault="00B46E28" w:rsidP="00B46E28">
      <w:pPr>
        <w:pStyle w:val="DisplayQuote"/>
        <w:rPr>
          <w:lang w:val="fr-FR"/>
        </w:rPr>
      </w:pPr>
      <w:proofErr w:type="gramStart"/>
      <w:r w:rsidRPr="0082625F">
        <w:rPr>
          <w:lang w:val="fr-FR"/>
        </w:rPr>
        <w:t>une</w:t>
      </w:r>
      <w:proofErr w:type="gramEnd"/>
      <w:r w:rsidRPr="0082625F">
        <w:rPr>
          <w:lang w:val="fr-FR"/>
        </w:rPr>
        <w:t xml:space="preserve"> lecture qui se fonderait à la fois sur l’essence verbale des œuvres littéraires (ce qui les constitue en </w:t>
      </w:r>
      <w:r w:rsidRPr="0082625F">
        <w:rPr>
          <w:i/>
          <w:lang w:val="fr-FR"/>
        </w:rPr>
        <w:t>pages</w:t>
      </w:r>
      <w:r w:rsidRPr="0082625F">
        <w:rPr>
          <w:lang w:val="fr-FR"/>
        </w:rPr>
        <w:t xml:space="preserve">), et sur les formes, thématico-pulsionnelles, par où s’y manifeste un univers singulier (ce qui les organise en </w:t>
      </w:r>
      <w:r w:rsidRPr="0082625F">
        <w:rPr>
          <w:i/>
          <w:lang w:val="fr-FR"/>
        </w:rPr>
        <w:t>paysage</w:t>
      </w:r>
      <w:r w:rsidRPr="0082625F">
        <w:rPr>
          <w:lang w:val="fr-FR"/>
        </w:rPr>
        <w:t>).</w:t>
      </w:r>
      <w:r>
        <w:rPr>
          <w:rStyle w:val="FootnoteReference"/>
        </w:rPr>
        <w:footnoteReference w:id="71"/>
      </w:r>
    </w:p>
    <w:p w14:paraId="2C6E46DF" w14:textId="77777777" w:rsidR="00B46E28" w:rsidRDefault="00B46E28" w:rsidP="00B46E28">
      <w:pPr>
        <w:pStyle w:val="NormalIndent"/>
      </w:pPr>
      <w:r>
        <w:t xml:space="preserve">In chapters 2 and 3 the space between languages is investigated through a series of close readings of literary texts that represent Brittany or Bretonness in the French language. This is the space that is negotiated by translation, be it a smooth translation of Breton scenes and themes into a French fit for the </w:t>
      </w:r>
      <w:r>
        <w:rPr>
          <w:i/>
          <w:iCs/>
        </w:rPr>
        <w:t>salons</w:t>
      </w:r>
      <w:r>
        <w:t xml:space="preserve"> of the capital, or a foreignizing translation of Breton motifs into a French that writhes and struggles to accommodate them. It is also the space negotiated by the bilingual author who writes in the shadow of the other language: the literary conventions of one may permeate his work in the other, or the idioms and syntax of one may make their ghostly presence felt in the other. It can equally be a space of violence as in the case of the writer whose whole community has lost its mother </w:t>
      </w:r>
      <w:proofErr w:type="gramStart"/>
      <w:r>
        <w:t>tongue, and</w:t>
      </w:r>
      <w:proofErr w:type="gramEnd"/>
      <w:r>
        <w:t xml:space="preserve"> writes under protest in the language of the cultural oppressor. As the first sustained analysis of the literature produced between French and Breton, this book will show us something about the way literary French is affected by such intercultural tensions, and it will also be a book about what it can mean to be caught between two cultures.</w:t>
      </w:r>
    </w:p>
    <w:p w14:paraId="1DA199D4" w14:textId="77777777" w:rsidR="00B46E28" w:rsidRDefault="00B46E28" w:rsidP="00B46E28">
      <w:pPr>
        <w:pStyle w:val="NormalIndent"/>
      </w:pPr>
      <w:r>
        <w:t xml:space="preserve">Although interest in cultural differences, especially those generated by postcolonial situations, has steadily increased within French studies over the last decade or so, the linguistic and cultural minorities in the French regions, and particularly their literary outputs, have, until now, received only limited attention from literary scholars. As I have shown, Brittany is no exception. This book accepts that the term ‘Francophone’ and the postcolonial framework are useful in discussions of Brittany, and further </w:t>
      </w:r>
      <w:r>
        <w:lastRenderedPageBreak/>
        <w:t xml:space="preserve">suggests that the case of Brittany has something to offer postcolonial studies. The French-language literature of Brittany is written in reaction to, and always in dialogue with mainstream French literary representations of Brittany. Chapter 1 shows how true this was at the time when this literature was born in the </w:t>
      </w:r>
      <w:proofErr w:type="gramStart"/>
      <w:r>
        <w:t>1830s, and</w:t>
      </w:r>
      <w:proofErr w:type="gramEnd"/>
      <w:r>
        <w:t xml:space="preserve"> argues that Brittany was invented in these texts. Chapters 2 and 3 then show how subsequent literature, up to the present day, is still reacting to the moment of its invention. In chapter 2 I compare the work of two Breton-born poets, Auguste Brizeux and Tristan Corbière, and in chapter 3 I discuss the renewal of the Breton movement in the 1960s and 1970s, which stemmed from a realization on the part of Bretons, led by the ‘poets of decolonization’,  that their country was, and had been, in a ‘colonial’ situation.</w:t>
      </w:r>
    </w:p>
    <w:p w14:paraId="5B971210" w14:textId="77777777" w:rsidR="00B46E28" w:rsidRDefault="00B46E28" w:rsidP="00B46E28">
      <w:pPr>
        <w:pStyle w:val="NormalIndent"/>
      </w:pPr>
      <w:r>
        <w:t>This study charts the development of a French-language lit</w:t>
      </w:r>
      <w:r>
        <w:softHyphen/>
        <w:t>erature of and for Brittany against a backdrop of language change from overwhelmingly Breton to overwhelmingly French. The French-language literature of Brittany will be traced from its beginnings in the wake of European Romanticism to its encounter with postcolonial ideas and criticism, as it is in these texts that the image and self-image of Brittany is made. In sum, this book asks what makes literature Breton today if it is not the language in which it is written. The literary texts selected for study here are French, but they draw attention to and question this Frenchness on various levels. My analysis of this literature exposes the cultural heterogeneity concealed beneath the surface of one of the most centralized administrations in Europe. The challenge presented by Brittany to the notion of French</w:t>
      </w:r>
      <w:r>
        <w:softHyphen/>
        <w:t>ness will be an instructive case study of intercultural conflicts and how these are negotiated in literature.</w:t>
      </w:r>
    </w:p>
    <w:p w14:paraId="457F133F" w14:textId="77777777" w:rsidR="00210BE3" w:rsidRDefault="00210BE3"/>
    <w:sectPr w:rsidR="00210BE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A18C71" w14:textId="77777777" w:rsidR="00B46E28" w:rsidRDefault="00B46E28" w:rsidP="00B46E28">
      <w:pPr>
        <w:spacing w:line="240" w:lineRule="auto"/>
      </w:pPr>
      <w:r>
        <w:separator/>
      </w:r>
    </w:p>
  </w:endnote>
  <w:endnote w:type="continuationSeparator" w:id="0">
    <w:p w14:paraId="05331C11" w14:textId="77777777" w:rsidR="00B46E28" w:rsidRDefault="00B46E28" w:rsidP="00B46E2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D4E331" w14:textId="77777777" w:rsidR="00B46E28" w:rsidRDefault="00B46E28" w:rsidP="00B46E28">
      <w:pPr>
        <w:spacing w:line="240" w:lineRule="auto"/>
      </w:pPr>
      <w:r>
        <w:separator/>
      </w:r>
    </w:p>
  </w:footnote>
  <w:footnote w:type="continuationSeparator" w:id="0">
    <w:p w14:paraId="4FBBDB59" w14:textId="77777777" w:rsidR="00B46E28" w:rsidRDefault="00B46E28" w:rsidP="00B46E28">
      <w:pPr>
        <w:spacing w:line="240" w:lineRule="auto"/>
      </w:pPr>
      <w:r>
        <w:continuationSeparator/>
      </w:r>
    </w:p>
  </w:footnote>
  <w:footnote w:id="1">
    <w:p w14:paraId="4D9CC48E" w14:textId="77777777" w:rsidR="00B46E28" w:rsidRDefault="00B46E28" w:rsidP="00B46E28">
      <w:pPr>
        <w:pStyle w:val="FootnoteText"/>
      </w:pPr>
      <w:r>
        <w:rPr>
          <w:rStyle w:val="FootnoteReference"/>
        </w:rPr>
        <w:footnoteRef/>
      </w:r>
      <w:r>
        <w:tab/>
        <w:t xml:space="preserve">For a recent discussion of this word’s ‘heavy baggage’, see Charles Forsdick and David Murphy, ‘Introduction: the case for Francophone Postcolonial Studies’, in </w:t>
      </w:r>
      <w:r>
        <w:rPr>
          <w:i/>
          <w:iCs/>
        </w:rPr>
        <w:t>Francophone Postcolonial Studies: A Critical Introduction</w:t>
      </w:r>
      <w:r>
        <w:t xml:space="preserve">, ed. by Charles Forsdick and David Murphy (London: Arnold, 2003), pp.1–14 (p.7), and Charles Forsdick, état présent: </w:t>
      </w:r>
      <w:r>
        <w:rPr>
          <w:bCs/>
        </w:rPr>
        <w:t xml:space="preserve">‘Between “French” and “Francophone”: French Studies and the Postcolonial Turn’, </w:t>
      </w:r>
      <w:r>
        <w:rPr>
          <w:bCs/>
          <w:i/>
          <w:iCs/>
        </w:rPr>
        <w:t>French Studies</w:t>
      </w:r>
      <w:r>
        <w:rPr>
          <w:bCs/>
        </w:rPr>
        <w:t>, 59:4 (2005), 523–30.</w:t>
      </w:r>
    </w:p>
  </w:footnote>
  <w:footnote w:id="2">
    <w:p w14:paraId="122D6623" w14:textId="77777777" w:rsidR="00B46E28" w:rsidRDefault="00B46E28" w:rsidP="00B46E28">
      <w:pPr>
        <w:pStyle w:val="FootnoteText"/>
        <w:tabs>
          <w:tab w:val="left" w:pos="5040"/>
        </w:tabs>
      </w:pPr>
      <w:r>
        <w:rPr>
          <w:rStyle w:val="FootnoteReference"/>
        </w:rPr>
        <w:footnoteRef/>
      </w:r>
      <w:r>
        <w:tab/>
        <w:t xml:space="preserve">There exists a rich variety of accounts of the demise of Breton, to which I am indebted. General surveys can be found in Jorj Gwegen, </w:t>
      </w:r>
      <w:r>
        <w:rPr>
          <w:i/>
          <w:iCs/>
        </w:rPr>
        <w:t>La Langue bretonne face à ses oppresseurs</w:t>
      </w:r>
      <w:r>
        <w:t xml:space="preserve"> (Quimper: Nature et Bretagne, 1975), and part one of Maryon McDonald, </w:t>
      </w:r>
      <w:r>
        <w:rPr>
          <w:i/>
          <w:iCs/>
        </w:rPr>
        <w:t>‘We are Not French!’: Language, Culture and Identity in Brittany</w:t>
      </w:r>
      <w:r>
        <w:t xml:space="preserve"> (London-New York: Routledge, 1989). </w:t>
      </w:r>
      <w:r w:rsidRPr="0082625F">
        <w:rPr>
          <w:lang w:val="fr-FR"/>
        </w:rPr>
        <w:t xml:space="preserve">Possibly the most reliable and detailed is part two of Fañch Broudic, </w:t>
      </w:r>
      <w:r w:rsidRPr="0082625F">
        <w:rPr>
          <w:i/>
          <w:iCs/>
          <w:lang w:val="fr-FR"/>
        </w:rPr>
        <w:t>La Pratique du breton de l’Ancien Régime à nos jours</w:t>
      </w:r>
      <w:r w:rsidRPr="0082625F">
        <w:rPr>
          <w:lang w:val="fr-FR"/>
        </w:rPr>
        <w:t xml:space="preserve"> (</w:t>
      </w:r>
      <w:proofErr w:type="gramStart"/>
      <w:r w:rsidRPr="0082625F">
        <w:rPr>
          <w:lang w:val="fr-FR"/>
        </w:rPr>
        <w:t>Rennes:</w:t>
      </w:r>
      <w:proofErr w:type="gramEnd"/>
      <w:r w:rsidRPr="0082625F">
        <w:rPr>
          <w:lang w:val="fr-FR"/>
        </w:rPr>
        <w:t xml:space="preserve"> Presses Universitaires de Rennes, 1995). An account which focuses on the Revolution is found in Michel de Certeau, Julia Dominique and Jacques Revel, </w:t>
      </w:r>
      <w:r w:rsidRPr="0082625F">
        <w:rPr>
          <w:i/>
          <w:iCs/>
          <w:lang w:val="fr-FR"/>
        </w:rPr>
        <w:t xml:space="preserve">Une Politique de la langue. La Révolution française et les </w:t>
      </w:r>
      <w:proofErr w:type="gramStart"/>
      <w:r w:rsidRPr="0082625F">
        <w:rPr>
          <w:i/>
          <w:iCs/>
          <w:lang w:val="fr-FR"/>
        </w:rPr>
        <w:t>patois:</w:t>
      </w:r>
      <w:proofErr w:type="gramEnd"/>
      <w:r w:rsidRPr="0082625F">
        <w:rPr>
          <w:i/>
          <w:iCs/>
          <w:lang w:val="fr-FR"/>
        </w:rPr>
        <w:t xml:space="preserve"> l’enquête Grégoire</w:t>
      </w:r>
      <w:r w:rsidRPr="0082625F">
        <w:rPr>
          <w:lang w:val="fr-FR"/>
        </w:rPr>
        <w:t xml:space="preserve"> (Paris: Gallimard, 1975). </w:t>
      </w:r>
      <w:r>
        <w:t xml:space="preserve">For a detailed discussion of the attitudes and actions of the French administrative machine towards the Breton language, specifically in the nineteenth century, see Valérie Lachuer, </w:t>
      </w:r>
      <w:r>
        <w:rPr>
          <w:i/>
        </w:rPr>
        <w:t>L’État face à la langue bretonne</w:t>
      </w:r>
      <w:r>
        <w:t xml:space="preserve"> (Rennes: Klask, 1998). For a general historical survey of France’s attitude towards her own indigenous languages, including Breton, see D. Ager, </w:t>
      </w:r>
      <w:r>
        <w:rPr>
          <w:i/>
          <w:iCs/>
        </w:rPr>
        <w:t xml:space="preserve">Identity, </w:t>
      </w:r>
      <w:proofErr w:type="gramStart"/>
      <w:r>
        <w:rPr>
          <w:i/>
          <w:iCs/>
        </w:rPr>
        <w:t>Insecurity</w:t>
      </w:r>
      <w:proofErr w:type="gramEnd"/>
      <w:r>
        <w:rPr>
          <w:i/>
          <w:iCs/>
        </w:rPr>
        <w:t xml:space="preserve"> and Image: France and Language</w:t>
      </w:r>
      <w:r>
        <w:t xml:space="preserve"> (Clevedon: Multilingual Matters, 1999).</w:t>
      </w:r>
    </w:p>
  </w:footnote>
  <w:footnote w:id="3">
    <w:p w14:paraId="72B40B6D" w14:textId="77777777" w:rsidR="00B46E28" w:rsidRPr="0082625F" w:rsidRDefault="00B46E28" w:rsidP="00B46E28">
      <w:pPr>
        <w:pStyle w:val="FootnoteText"/>
        <w:rPr>
          <w:lang w:val="fr-FR"/>
        </w:rPr>
      </w:pPr>
      <w:r>
        <w:rPr>
          <w:rStyle w:val="FootnoteReference"/>
        </w:rPr>
        <w:footnoteRef/>
      </w:r>
      <w:r w:rsidRPr="0082625F">
        <w:rPr>
          <w:lang w:val="fr-FR"/>
        </w:rPr>
        <w:tab/>
      </w:r>
      <w:r w:rsidRPr="0082625F">
        <w:rPr>
          <w:i/>
          <w:iCs/>
          <w:lang w:val="fr-FR"/>
        </w:rPr>
        <w:t>Rapport et projet de décret présentés au nom du Comité de Salut Public sur les idiomes étrangers et l’enseignement de la langue française (8 pluviose an II).</w:t>
      </w:r>
      <w:r w:rsidRPr="0082625F">
        <w:rPr>
          <w:lang w:val="fr-FR"/>
        </w:rPr>
        <w:t xml:space="preserve"> Cited in Jorj Gwegen, </w:t>
      </w:r>
      <w:r w:rsidRPr="0082625F">
        <w:rPr>
          <w:i/>
          <w:iCs/>
          <w:lang w:val="fr-FR"/>
        </w:rPr>
        <w:t>La Langue bretonne face à ses oppresseurs</w:t>
      </w:r>
      <w:r w:rsidRPr="0082625F">
        <w:rPr>
          <w:lang w:val="fr-FR"/>
        </w:rPr>
        <w:t xml:space="preserve"> (</w:t>
      </w:r>
      <w:proofErr w:type="gramStart"/>
      <w:r w:rsidRPr="0082625F">
        <w:rPr>
          <w:lang w:val="fr-FR"/>
        </w:rPr>
        <w:t>Quimper:</w:t>
      </w:r>
      <w:proofErr w:type="gramEnd"/>
      <w:r w:rsidRPr="0082625F">
        <w:rPr>
          <w:lang w:val="fr-FR"/>
        </w:rPr>
        <w:t xml:space="preserve"> Nature et Bretagne, 1975), p.33.</w:t>
      </w:r>
    </w:p>
  </w:footnote>
  <w:footnote w:id="4">
    <w:p w14:paraId="00275614" w14:textId="77777777" w:rsidR="00B46E28" w:rsidRPr="0082625F" w:rsidRDefault="00B46E28" w:rsidP="00B46E28">
      <w:pPr>
        <w:pStyle w:val="FootnoteText"/>
        <w:rPr>
          <w:smallCaps/>
          <w:lang w:val="fr-FR"/>
        </w:rPr>
      </w:pPr>
      <w:r>
        <w:rPr>
          <w:rStyle w:val="FootnoteReference"/>
        </w:rPr>
        <w:footnoteRef/>
      </w:r>
      <w:r w:rsidRPr="0082625F">
        <w:rPr>
          <w:lang w:val="fr-FR"/>
        </w:rPr>
        <w:tab/>
      </w:r>
      <w:r w:rsidRPr="0082625F">
        <w:rPr>
          <w:i/>
          <w:iCs/>
          <w:lang w:val="fr-FR"/>
        </w:rPr>
        <w:t>Annales de Bretagne</w:t>
      </w:r>
      <w:r w:rsidRPr="0082625F">
        <w:rPr>
          <w:lang w:val="fr-FR"/>
        </w:rPr>
        <w:t xml:space="preserve">, 1917, pp.4, </w:t>
      </w:r>
      <w:proofErr w:type="gramStart"/>
      <w:r w:rsidRPr="0082625F">
        <w:rPr>
          <w:lang w:val="fr-FR"/>
        </w:rPr>
        <w:t>8;</w:t>
      </w:r>
      <w:proofErr w:type="gramEnd"/>
      <w:r w:rsidRPr="0082625F">
        <w:rPr>
          <w:lang w:val="fr-FR"/>
        </w:rPr>
        <w:t xml:space="preserve"> cited in </w:t>
      </w:r>
      <w:r w:rsidRPr="0082625F">
        <w:rPr>
          <w:i/>
          <w:iCs/>
          <w:lang w:val="fr-FR"/>
        </w:rPr>
        <w:t>Histoire générale de la Bretagne et des Bretons</w:t>
      </w:r>
      <w:r w:rsidRPr="0082625F">
        <w:rPr>
          <w:lang w:val="fr-FR"/>
        </w:rPr>
        <w:t xml:space="preserve">, 2 vols, ed. </w:t>
      </w:r>
      <w:proofErr w:type="gramStart"/>
      <w:r w:rsidRPr="0082625F">
        <w:rPr>
          <w:lang w:val="fr-FR"/>
        </w:rPr>
        <w:t>by</w:t>
      </w:r>
      <w:proofErr w:type="gramEnd"/>
      <w:r w:rsidRPr="0082625F">
        <w:rPr>
          <w:lang w:val="fr-FR"/>
        </w:rPr>
        <w:t xml:space="preserve"> Yannick Pelletier (Paris: Nouvelle Librairie de France, 1990), </w:t>
      </w:r>
      <w:r w:rsidRPr="0082625F">
        <w:rPr>
          <w:smallCaps/>
          <w:lang w:val="fr-FR"/>
        </w:rPr>
        <w:t>ii, 556–57.</w:t>
      </w:r>
    </w:p>
  </w:footnote>
  <w:footnote w:id="5">
    <w:p w14:paraId="001DEBF3" w14:textId="77777777" w:rsidR="00B46E28" w:rsidRPr="0082625F" w:rsidRDefault="00B46E28" w:rsidP="00B46E28">
      <w:pPr>
        <w:pStyle w:val="FootnoteText"/>
        <w:rPr>
          <w:lang w:val="fr-FR"/>
        </w:rPr>
      </w:pPr>
      <w:r>
        <w:rPr>
          <w:rStyle w:val="FootnoteReference"/>
        </w:rPr>
        <w:footnoteRef/>
      </w:r>
      <w:r w:rsidRPr="0082625F">
        <w:rPr>
          <w:lang w:val="fr-FR"/>
        </w:rPr>
        <w:tab/>
        <w:t xml:space="preserve">Auguste Romieu, ‘La Basse-Bretagne, ses mœurs, son langage et ses monuments’, </w:t>
      </w:r>
      <w:r w:rsidRPr="0082625F">
        <w:rPr>
          <w:i/>
          <w:lang w:val="fr-FR"/>
        </w:rPr>
        <w:t>Revue de Paris</w:t>
      </w:r>
      <w:r w:rsidRPr="0082625F">
        <w:rPr>
          <w:lang w:val="fr-FR"/>
        </w:rPr>
        <w:t>, 2 (1829), 155–</w:t>
      </w:r>
      <w:proofErr w:type="gramStart"/>
      <w:r w:rsidRPr="0082625F">
        <w:rPr>
          <w:lang w:val="fr-FR"/>
        </w:rPr>
        <w:t>67;</w:t>
      </w:r>
      <w:proofErr w:type="gramEnd"/>
      <w:r w:rsidRPr="0082625F">
        <w:rPr>
          <w:lang w:val="fr-FR"/>
        </w:rPr>
        <w:t xml:space="preserve"> ‘La Basse-Bretagne’, </w:t>
      </w:r>
      <w:r w:rsidRPr="0082625F">
        <w:rPr>
          <w:i/>
          <w:iCs/>
          <w:lang w:val="fr-FR"/>
        </w:rPr>
        <w:t>Revue de Paris</w:t>
      </w:r>
      <w:r w:rsidRPr="0082625F">
        <w:rPr>
          <w:lang w:val="fr-FR"/>
        </w:rPr>
        <w:t>, 22 (1831), 13–20, 274–81; ‘La Basse-Bretagne’, 30 (1831), 145–54.</w:t>
      </w:r>
    </w:p>
  </w:footnote>
  <w:footnote w:id="6">
    <w:p w14:paraId="16F182FA" w14:textId="77777777" w:rsidR="00B46E28" w:rsidRPr="0082625F" w:rsidRDefault="00B46E28" w:rsidP="00B46E28">
      <w:pPr>
        <w:pStyle w:val="FootnoteText"/>
        <w:rPr>
          <w:lang w:val="fr-FR"/>
        </w:rPr>
      </w:pPr>
      <w:r>
        <w:rPr>
          <w:rStyle w:val="FootnoteReference"/>
        </w:rPr>
        <w:footnoteRef/>
      </w:r>
      <w:r w:rsidRPr="0082625F">
        <w:rPr>
          <w:lang w:val="fr-FR"/>
        </w:rPr>
        <w:tab/>
        <w:t xml:space="preserve">Cited in </w:t>
      </w:r>
      <w:r w:rsidRPr="0082625F">
        <w:rPr>
          <w:i/>
          <w:iCs/>
          <w:lang w:val="fr-FR"/>
        </w:rPr>
        <w:t>Histoire générale de la Bretagne et des Bretons</w:t>
      </w:r>
      <w:r w:rsidRPr="0082625F">
        <w:rPr>
          <w:lang w:val="fr-FR"/>
        </w:rPr>
        <w:t xml:space="preserve">, </w:t>
      </w:r>
      <w:r w:rsidRPr="0082625F">
        <w:rPr>
          <w:smallCaps/>
          <w:lang w:val="fr-FR"/>
        </w:rPr>
        <w:t>ii, 557.</w:t>
      </w:r>
    </w:p>
  </w:footnote>
  <w:footnote w:id="7">
    <w:p w14:paraId="4A3A6D6D" w14:textId="77777777" w:rsidR="00B46E28" w:rsidRDefault="00B46E28" w:rsidP="00B46E28">
      <w:pPr>
        <w:pStyle w:val="FootnoteText"/>
        <w:rPr>
          <w:i/>
          <w:iCs/>
        </w:rPr>
      </w:pPr>
      <w:r>
        <w:rPr>
          <w:rStyle w:val="FootnoteReference"/>
        </w:rPr>
        <w:footnoteRef/>
      </w:r>
      <w:r>
        <w:tab/>
        <w:t xml:space="preserve">For a detailed account of the extreme reactions to the Combes legislation in Brittany, including armed resistance and public demonstrations, see Caroline Ford, </w:t>
      </w:r>
      <w:r>
        <w:rPr>
          <w:i/>
          <w:iCs/>
        </w:rPr>
        <w:t xml:space="preserve">Creating the Nation in Provincial France </w:t>
      </w:r>
      <w:r>
        <w:t>(Princeton: Princeton University Press, 1993), esp. pp.135–69.</w:t>
      </w:r>
    </w:p>
  </w:footnote>
  <w:footnote w:id="8">
    <w:p w14:paraId="3E84C0C7" w14:textId="77777777" w:rsidR="00B46E28" w:rsidRDefault="00B46E28" w:rsidP="00B46E28">
      <w:pPr>
        <w:pStyle w:val="FootnoteText"/>
      </w:pPr>
      <w:r>
        <w:rPr>
          <w:rStyle w:val="FootnoteReference"/>
        </w:rPr>
        <w:footnoteRef/>
      </w:r>
      <w:r w:rsidRPr="0082625F">
        <w:rPr>
          <w:lang w:val="fr-FR"/>
        </w:rPr>
        <w:tab/>
        <w:t xml:space="preserve">Mona Ozouf, </w:t>
      </w:r>
      <w:r w:rsidRPr="0082625F">
        <w:rPr>
          <w:i/>
          <w:iCs/>
          <w:lang w:val="fr-FR"/>
        </w:rPr>
        <w:t xml:space="preserve">L’École de la </w:t>
      </w:r>
      <w:proofErr w:type="gramStart"/>
      <w:r w:rsidRPr="0082625F">
        <w:rPr>
          <w:i/>
          <w:iCs/>
          <w:lang w:val="fr-FR"/>
        </w:rPr>
        <w:t>France:</w:t>
      </w:r>
      <w:proofErr w:type="gramEnd"/>
      <w:r w:rsidRPr="0082625F">
        <w:rPr>
          <w:i/>
          <w:iCs/>
          <w:lang w:val="fr-FR"/>
        </w:rPr>
        <w:t xml:space="preserve"> essais sur la Révolution, l’utopie et l’enseignement </w:t>
      </w:r>
      <w:r w:rsidRPr="0082625F">
        <w:rPr>
          <w:lang w:val="fr-FR"/>
        </w:rPr>
        <w:t xml:space="preserve">(Paris: Gallimard, 1984), p.21. </w:t>
      </w:r>
      <w:r>
        <w:t xml:space="preserve">For a collection of Breton speakers’ memories of schooldays in Brittany in the twentieth century, see Klaoda an Du, </w:t>
      </w:r>
      <w:r>
        <w:rPr>
          <w:i/>
          <w:iCs/>
        </w:rPr>
        <w:t>Histoire d’un interdit: le breton à l’école</w:t>
      </w:r>
      <w:r>
        <w:t xml:space="preserve"> (Lesneven: Hor Yezh, 1991).</w:t>
      </w:r>
    </w:p>
  </w:footnote>
  <w:footnote w:id="9">
    <w:p w14:paraId="05E4579B" w14:textId="77777777" w:rsidR="00B46E28" w:rsidRDefault="00B46E28" w:rsidP="00B46E28">
      <w:pPr>
        <w:pStyle w:val="FootnoteText"/>
      </w:pPr>
      <w:r>
        <w:rPr>
          <w:rStyle w:val="FootnoteReference"/>
        </w:rPr>
        <w:footnoteRef/>
      </w:r>
      <w:r w:rsidRPr="0082625F">
        <w:rPr>
          <w:lang w:val="fr-FR"/>
        </w:rPr>
        <w:t xml:space="preserve"> </w:t>
      </w:r>
      <w:r w:rsidRPr="0082625F">
        <w:rPr>
          <w:lang w:val="fr-FR"/>
        </w:rPr>
        <w:tab/>
        <w:t xml:space="preserve">Louis-Jean Calvet, </w:t>
      </w:r>
      <w:r w:rsidRPr="0082625F">
        <w:rPr>
          <w:i/>
          <w:iCs/>
          <w:lang w:val="fr-FR"/>
        </w:rPr>
        <w:t xml:space="preserve">Linguistique et </w:t>
      </w:r>
      <w:proofErr w:type="gramStart"/>
      <w:r w:rsidRPr="0082625F">
        <w:rPr>
          <w:i/>
          <w:iCs/>
          <w:lang w:val="fr-FR"/>
        </w:rPr>
        <w:t>colonialisme:</w:t>
      </w:r>
      <w:proofErr w:type="gramEnd"/>
      <w:r w:rsidRPr="0082625F">
        <w:rPr>
          <w:i/>
          <w:iCs/>
          <w:lang w:val="fr-FR"/>
        </w:rPr>
        <w:t xml:space="preserve"> petit traité de glottophagie</w:t>
      </w:r>
      <w:r w:rsidRPr="0082625F">
        <w:rPr>
          <w:lang w:val="fr-FR"/>
        </w:rPr>
        <w:t xml:space="preserve"> (Paris: Payot, 1974), p.15. </w:t>
      </w:r>
      <w:r>
        <w:t>‘Hexagon’ refers to the geographical France without its overseas colonies.</w:t>
      </w:r>
    </w:p>
  </w:footnote>
  <w:footnote w:id="10">
    <w:p w14:paraId="24018976" w14:textId="77777777" w:rsidR="00B46E28" w:rsidRDefault="00B46E28" w:rsidP="00B46E28">
      <w:pPr>
        <w:pStyle w:val="FootnoteText"/>
      </w:pPr>
      <w:r>
        <w:rPr>
          <w:rStyle w:val="FootnoteReference"/>
        </w:rPr>
        <w:footnoteRef/>
      </w:r>
      <w:r>
        <w:tab/>
        <w:t xml:space="preserve">For a detailed history of the Breton-medium </w:t>
      </w:r>
      <w:proofErr w:type="gramStart"/>
      <w:r>
        <w:t>schools</w:t>
      </w:r>
      <w:proofErr w:type="gramEnd"/>
      <w:r>
        <w:t xml:space="preserve"> movement, see Jean-Charles Perazzi, </w:t>
      </w:r>
      <w:r>
        <w:rPr>
          <w:i/>
          <w:iCs/>
        </w:rPr>
        <w:t>Diwan: vingt ans d’enthousiasme, de doute et d’espoir</w:t>
      </w:r>
      <w:r>
        <w:t xml:space="preserve"> (Spézet: Coop Breizh, 1998).</w:t>
      </w:r>
    </w:p>
  </w:footnote>
  <w:footnote w:id="11">
    <w:p w14:paraId="6A033786" w14:textId="77777777" w:rsidR="00B46E28" w:rsidRDefault="00B46E28" w:rsidP="00B46E28">
      <w:pPr>
        <w:pStyle w:val="FootnoteText"/>
      </w:pPr>
      <w:r>
        <w:rPr>
          <w:rStyle w:val="FootnoteReference"/>
        </w:rPr>
        <w:footnoteRef/>
      </w:r>
      <w:r>
        <w:t xml:space="preserve"> </w:t>
      </w:r>
      <w:r>
        <w:tab/>
        <w:t xml:space="preserve">The situation of TV Breizh is in constant flux due to financial pressures. For </w:t>
      </w:r>
      <w:proofErr w:type="gramStart"/>
      <w:r>
        <w:t>example</w:t>
      </w:r>
      <w:proofErr w:type="gramEnd"/>
      <w:r>
        <w:t xml:space="preserve"> in summer 2005 the Breton-language news programme was reduced from seventeen to eight minutes, and seven members of staff were made redundant.</w:t>
      </w:r>
    </w:p>
  </w:footnote>
  <w:footnote w:id="12">
    <w:p w14:paraId="187610B5" w14:textId="77777777" w:rsidR="00B46E28" w:rsidRDefault="00B46E28" w:rsidP="00B46E28">
      <w:pPr>
        <w:pStyle w:val="FootnoteText"/>
      </w:pPr>
      <w:r>
        <w:rPr>
          <w:rStyle w:val="FootnoteReference"/>
        </w:rPr>
        <w:footnoteRef/>
      </w:r>
      <w:r>
        <w:tab/>
        <w:t xml:space="preserve">The most recent authoritative survey (1997) was carried out by Fañch Broudic, who found that 31% of respondents, which would correspond to 370,000 individuals, claimed to ‘understand Breton’. For a breakdown and full discussion of these results, see his </w:t>
      </w:r>
      <w:r>
        <w:rPr>
          <w:i/>
        </w:rPr>
        <w:t>Qui parle Breton aujourd’hui? Qui le parlera demain?</w:t>
      </w:r>
      <w:r>
        <w:t xml:space="preserve"> (Brest: Brud Nevez, 1999). This research was a refinement of his 1990/91 work, using a bigger sample and modified questions. See also Marianne Renate Berger, </w:t>
      </w:r>
      <w:r>
        <w:rPr>
          <w:i/>
          <w:iCs/>
        </w:rPr>
        <w:t>Sprachkontakt in der Bretagne: Sprachloyalität versus Sprachwechsel</w:t>
      </w:r>
      <w:r>
        <w:t xml:space="preserve"> (Tübingen: Niemeyer, 1988); her stated aim is to compensate for the lack of official census figures by investigating bilingual competence (p.7). She gives a detailed breakdown in percentage terms of the results for different communes chosen in the Pays bigouden, Tréméoc, Loctudy and Île Tudy (pp.44–5). Her research also differentiates between active and passive use, written and spoken, and so forth. See also Fañch Broudic’s earlier </w:t>
      </w:r>
      <w:r>
        <w:rPr>
          <w:i/>
          <w:iCs/>
        </w:rPr>
        <w:t>La Pratique du breton de l’Ancien Régime à nos jours</w:t>
      </w:r>
      <w:r>
        <w:t xml:space="preserve"> (Rennes: Presses Universitaires de Rennes, 1995); part one reviews all previous attempts at establishing numbers up to and including his own TMO-Ouest survey in 1990/91, in which he calculated that 250,000 people could express themselves in Breton.</w:t>
      </w:r>
    </w:p>
  </w:footnote>
  <w:footnote w:id="13">
    <w:p w14:paraId="046BC15B" w14:textId="77777777" w:rsidR="00B46E28" w:rsidRDefault="00B46E28" w:rsidP="00B46E28">
      <w:pPr>
        <w:pStyle w:val="FootnoteText"/>
      </w:pPr>
      <w:r>
        <w:rPr>
          <w:rStyle w:val="FootnoteReference"/>
        </w:rPr>
        <w:footnoteRef/>
      </w:r>
      <w:r>
        <w:tab/>
        <w:t xml:space="preserve">Mari C. Jones, ‘Death of a Language, Birth of an Identity: Brittany and the Bretons’, </w:t>
      </w:r>
      <w:r>
        <w:rPr>
          <w:i/>
        </w:rPr>
        <w:t>Language Problems and Language Planning</w:t>
      </w:r>
      <w:r>
        <w:t xml:space="preserve">, 22 (1998), 129–42 (139). See also her ‘At what Price Language </w:t>
      </w:r>
      <w:proofErr w:type="gramStart"/>
      <w:r>
        <w:t>Maintenance?:</w:t>
      </w:r>
      <w:proofErr w:type="gramEnd"/>
      <w:r>
        <w:t xml:space="preserve"> Standardization in modern Breton’, </w:t>
      </w:r>
      <w:r>
        <w:rPr>
          <w:i/>
        </w:rPr>
        <w:t>French Studies</w:t>
      </w:r>
      <w:r>
        <w:t xml:space="preserve">, XLIX (1995), 424–38. The classic study of modern Breton identities and the ‘néo-bretonnants’ is Maryon McDonald, </w:t>
      </w:r>
      <w:r>
        <w:rPr>
          <w:i/>
          <w:iCs/>
        </w:rPr>
        <w:t>‘We are Not French!’: Language, Culture and Identity in Brittany</w:t>
      </w:r>
      <w:r>
        <w:t xml:space="preserve"> (London-New York: Routledge, 1989), though this work is highly controversial and has been criticized by both néo-breton militants (the author’s term), and the academic community. For details of the former see the author’s own discussion in the book, for the latter see D. Ellis Evans, ‘Celticity, Celtic awareness and Celtic Studies’, </w:t>
      </w:r>
      <w:r>
        <w:rPr>
          <w:i/>
        </w:rPr>
        <w:t>Zeitschrift für celtische Philologie</w:t>
      </w:r>
      <w:r>
        <w:t xml:space="preserve">, 49–50 (1997), 1–27 (16). </w:t>
      </w:r>
    </w:p>
  </w:footnote>
  <w:footnote w:id="14">
    <w:p w14:paraId="34E56C1E" w14:textId="77777777" w:rsidR="00B46E28" w:rsidRPr="0082625F" w:rsidRDefault="00B46E28" w:rsidP="00B46E28">
      <w:pPr>
        <w:pStyle w:val="FootnoteText"/>
        <w:rPr>
          <w:lang w:val="fr-FR"/>
        </w:rPr>
      </w:pPr>
      <w:r>
        <w:rPr>
          <w:rStyle w:val="FootnoteReference"/>
        </w:rPr>
        <w:footnoteRef/>
      </w:r>
      <w:r w:rsidRPr="0082625F">
        <w:rPr>
          <w:lang w:val="fr-FR"/>
        </w:rPr>
        <w:tab/>
        <w:t xml:space="preserve">Jean-Pierre Simon, </w:t>
      </w:r>
      <w:r w:rsidRPr="0082625F">
        <w:rPr>
          <w:i/>
          <w:iCs/>
          <w:lang w:val="fr-FR"/>
        </w:rPr>
        <w:t xml:space="preserve">La </w:t>
      </w:r>
      <w:proofErr w:type="gramStart"/>
      <w:r w:rsidRPr="0082625F">
        <w:rPr>
          <w:i/>
          <w:iCs/>
          <w:lang w:val="fr-FR"/>
        </w:rPr>
        <w:t>Bretonnité:</w:t>
      </w:r>
      <w:proofErr w:type="gramEnd"/>
      <w:r w:rsidRPr="0082625F">
        <w:rPr>
          <w:i/>
          <w:iCs/>
          <w:lang w:val="fr-FR"/>
        </w:rPr>
        <w:t xml:space="preserve"> une ethnicité problématique</w:t>
      </w:r>
      <w:r w:rsidRPr="0082625F">
        <w:rPr>
          <w:lang w:val="fr-FR"/>
        </w:rPr>
        <w:t xml:space="preserve"> (Rennes: Terre de Brume, 1999), pp.162–63.</w:t>
      </w:r>
    </w:p>
  </w:footnote>
  <w:footnote w:id="15">
    <w:p w14:paraId="60718D3E" w14:textId="77777777" w:rsidR="00B46E28" w:rsidRPr="0082625F" w:rsidRDefault="00B46E28" w:rsidP="00B46E28">
      <w:pPr>
        <w:pStyle w:val="FootnoteText"/>
        <w:rPr>
          <w:lang w:val="fr-FR"/>
        </w:rPr>
      </w:pPr>
      <w:r>
        <w:rPr>
          <w:rStyle w:val="FootnoteReference"/>
        </w:rPr>
        <w:footnoteRef/>
      </w:r>
      <w:r w:rsidRPr="0082625F">
        <w:rPr>
          <w:lang w:val="fr-FR"/>
        </w:rPr>
        <w:tab/>
        <w:t>Ibid</w:t>
      </w:r>
      <w:r w:rsidRPr="0082625F">
        <w:rPr>
          <w:i/>
          <w:iCs/>
          <w:lang w:val="fr-FR"/>
        </w:rPr>
        <w:t>.</w:t>
      </w:r>
      <w:r w:rsidRPr="0082625F">
        <w:rPr>
          <w:lang w:val="fr-FR"/>
        </w:rPr>
        <w:t>, pp.195, 198.</w:t>
      </w:r>
    </w:p>
  </w:footnote>
  <w:footnote w:id="16">
    <w:p w14:paraId="7F447543" w14:textId="77777777" w:rsidR="00B46E28" w:rsidRPr="0082625F" w:rsidRDefault="00B46E28" w:rsidP="00B46E28">
      <w:pPr>
        <w:pStyle w:val="FootnoteText"/>
        <w:rPr>
          <w:lang w:val="fr-FR"/>
        </w:rPr>
      </w:pPr>
      <w:r>
        <w:rPr>
          <w:rStyle w:val="FootnoteReference"/>
        </w:rPr>
        <w:footnoteRef/>
      </w:r>
      <w:r w:rsidRPr="0082625F">
        <w:rPr>
          <w:lang w:val="fr-FR"/>
        </w:rPr>
        <w:tab/>
        <w:t xml:space="preserve">‘il semble y avoir une association plus forte dans les esprits des auditeurs-juges entre l’identité bretonne et le français parlé avec l’accent breton qu’entre l’identité bretonne et la langue bretonne’, Rachel Hoare, </w:t>
      </w:r>
      <w:r w:rsidRPr="0082625F">
        <w:rPr>
          <w:i/>
          <w:lang w:val="fr-FR"/>
        </w:rPr>
        <w:t>L’Identité linguistique des jeunes en Bretagne</w:t>
      </w:r>
      <w:r w:rsidRPr="0082625F">
        <w:rPr>
          <w:lang w:val="fr-FR"/>
        </w:rPr>
        <w:t xml:space="preserve"> (Brest: Brud Nevez, 2003), p.131; see also her ‘Linguistic Competence and Regional Identity in Brittany: Attitudes and perceptions of identity’, </w:t>
      </w:r>
      <w:r w:rsidRPr="0082625F">
        <w:rPr>
          <w:i/>
          <w:lang w:val="fr-FR"/>
        </w:rPr>
        <w:t>Multilingual and Multicultural Development</w:t>
      </w:r>
      <w:r w:rsidRPr="0082625F">
        <w:rPr>
          <w:lang w:val="fr-FR"/>
        </w:rPr>
        <w:t xml:space="preserve">, 21:4 (2000), 324–46; and ‘An Integrative Approach to Language Attitudes and Identity in Brittany’, </w:t>
      </w:r>
      <w:r w:rsidRPr="0082625F">
        <w:rPr>
          <w:i/>
          <w:lang w:val="fr-FR"/>
        </w:rPr>
        <w:t>Journal of Sociolinguistics</w:t>
      </w:r>
      <w:r w:rsidRPr="0082625F">
        <w:rPr>
          <w:lang w:val="fr-FR"/>
        </w:rPr>
        <w:t>, 5:1 (2001), 73–84.</w:t>
      </w:r>
    </w:p>
  </w:footnote>
  <w:footnote w:id="17">
    <w:p w14:paraId="00538135" w14:textId="77777777" w:rsidR="00B46E28" w:rsidRPr="0082625F" w:rsidRDefault="00B46E28" w:rsidP="00B46E28">
      <w:pPr>
        <w:pStyle w:val="FootnoteText"/>
        <w:rPr>
          <w:lang w:val="fr-FR"/>
        </w:rPr>
      </w:pPr>
      <w:r>
        <w:rPr>
          <w:rStyle w:val="FootnoteReference"/>
        </w:rPr>
        <w:footnoteRef/>
      </w:r>
      <w:r w:rsidRPr="0082625F">
        <w:rPr>
          <w:lang w:val="fr-FR"/>
        </w:rPr>
        <w:tab/>
        <w:t xml:space="preserve">‘Des fictions </w:t>
      </w:r>
      <w:proofErr w:type="gramStart"/>
      <w:r w:rsidRPr="0082625F">
        <w:rPr>
          <w:lang w:val="fr-FR"/>
        </w:rPr>
        <w:t>créatrices:</w:t>
      </w:r>
      <w:proofErr w:type="gramEnd"/>
      <w:r w:rsidRPr="0082625F">
        <w:rPr>
          <w:lang w:val="fr-FR"/>
        </w:rPr>
        <w:t xml:space="preserve"> les identités nationales’, </w:t>
      </w:r>
      <w:r w:rsidRPr="0082625F">
        <w:rPr>
          <w:i/>
          <w:lang w:val="fr-FR"/>
        </w:rPr>
        <w:t>Romantisme</w:t>
      </w:r>
      <w:r w:rsidRPr="0082625F">
        <w:rPr>
          <w:lang w:val="fr-FR"/>
        </w:rPr>
        <w:t xml:space="preserve">, 110 (2000), 51–62 (54). </w:t>
      </w:r>
    </w:p>
  </w:footnote>
  <w:footnote w:id="18">
    <w:p w14:paraId="1E907718" w14:textId="77777777" w:rsidR="00B46E28" w:rsidRDefault="00B46E28" w:rsidP="00B46E28">
      <w:pPr>
        <w:pStyle w:val="FootnoteText"/>
      </w:pPr>
      <w:r>
        <w:rPr>
          <w:rStyle w:val="FootnoteReference"/>
        </w:rPr>
        <w:footnoteRef/>
      </w:r>
      <w:r>
        <w:tab/>
        <w:t xml:space="preserve">Ian J. Press, ‘Breton Speakers in Brittany, France and Europe: constraints on the search for an identity’, in </w:t>
      </w:r>
      <w:r>
        <w:rPr>
          <w:i/>
        </w:rPr>
        <w:t>The Changing Voices of Europe: Social and Political Changes and their Linguistic Repercussions, Past, Present and Future</w:t>
      </w:r>
      <w:r>
        <w:t xml:space="preserve">, ed. by M. M. Parry, W. V. Davies, and R. A. M. Temple (Cardiff: University of Wales Press, in conjunction with the Modern Humanities Research Association, 1994), pp.213–26 (p.215). </w:t>
      </w:r>
    </w:p>
  </w:footnote>
  <w:footnote w:id="19">
    <w:p w14:paraId="273586F9" w14:textId="77777777" w:rsidR="00B46E28" w:rsidRPr="0082625F" w:rsidRDefault="00B46E28" w:rsidP="00B46E28">
      <w:pPr>
        <w:pStyle w:val="FootnoteText"/>
        <w:rPr>
          <w:lang w:val="fr-FR"/>
        </w:rPr>
      </w:pPr>
      <w:r>
        <w:rPr>
          <w:rStyle w:val="FootnoteReference"/>
        </w:rPr>
        <w:footnoteRef/>
      </w:r>
      <w:r w:rsidRPr="0082625F">
        <w:rPr>
          <w:lang w:val="fr-FR"/>
        </w:rPr>
        <w:tab/>
        <w:t xml:space="preserve">Anne-Marie Thiesse, </w:t>
      </w:r>
      <w:r w:rsidRPr="0082625F">
        <w:rPr>
          <w:i/>
          <w:lang w:val="fr-FR"/>
        </w:rPr>
        <w:t xml:space="preserve">La Création des identités </w:t>
      </w:r>
      <w:proofErr w:type="gramStart"/>
      <w:r w:rsidRPr="0082625F">
        <w:rPr>
          <w:i/>
          <w:lang w:val="fr-FR"/>
        </w:rPr>
        <w:t>nationales:</w:t>
      </w:r>
      <w:proofErr w:type="gramEnd"/>
      <w:r w:rsidRPr="0082625F">
        <w:rPr>
          <w:i/>
          <w:lang w:val="fr-FR"/>
        </w:rPr>
        <w:t xml:space="preserve"> Europe, XVIIIe</w:t>
      </w:r>
      <w:r w:rsidRPr="0082625F">
        <w:rPr>
          <w:lang w:val="fr-FR"/>
        </w:rPr>
        <w:t>–</w:t>
      </w:r>
      <w:r w:rsidRPr="0082625F">
        <w:rPr>
          <w:i/>
          <w:lang w:val="fr-FR"/>
        </w:rPr>
        <w:t>XXe siècle</w:t>
      </w:r>
      <w:r w:rsidRPr="0082625F">
        <w:rPr>
          <w:lang w:val="fr-FR"/>
        </w:rPr>
        <w:t xml:space="preserve"> (Paris: Seuil, 1999), and more recently her ‘Des fictions créatrices: les identités nationales’, </w:t>
      </w:r>
      <w:r w:rsidRPr="0082625F">
        <w:rPr>
          <w:i/>
          <w:lang w:val="fr-FR"/>
        </w:rPr>
        <w:t>Romantisme</w:t>
      </w:r>
      <w:r w:rsidRPr="0082625F">
        <w:rPr>
          <w:lang w:val="fr-FR"/>
        </w:rPr>
        <w:t xml:space="preserve">, 110 (2000), 51–62. On this question see also Stéphane Gerson, ‘La représentation historique du “pays”, entre l’État et la société civile’, </w:t>
      </w:r>
      <w:r w:rsidRPr="0082625F">
        <w:rPr>
          <w:i/>
          <w:lang w:val="fr-FR"/>
        </w:rPr>
        <w:t>Romantisme</w:t>
      </w:r>
      <w:r w:rsidRPr="0082625F">
        <w:rPr>
          <w:lang w:val="fr-FR"/>
        </w:rPr>
        <w:t>, 110 (2000), 39–49.</w:t>
      </w:r>
    </w:p>
  </w:footnote>
  <w:footnote w:id="20">
    <w:p w14:paraId="4B87C99C" w14:textId="77777777" w:rsidR="00B46E28" w:rsidRDefault="00B46E28" w:rsidP="00B46E28">
      <w:pPr>
        <w:pStyle w:val="FootnoteText"/>
      </w:pPr>
      <w:r>
        <w:rPr>
          <w:rStyle w:val="FootnoteReference"/>
        </w:rPr>
        <w:footnoteRef/>
      </w:r>
      <w:r>
        <w:tab/>
        <w:t xml:space="preserve">ed. by Alex Hughes and Keith Reader (London: Routledge, 1998). </w:t>
      </w:r>
    </w:p>
  </w:footnote>
  <w:footnote w:id="21">
    <w:p w14:paraId="334E46A1" w14:textId="77777777" w:rsidR="00B46E28" w:rsidRDefault="00B46E28" w:rsidP="00B46E28">
      <w:pPr>
        <w:pStyle w:val="FootnoteText"/>
      </w:pPr>
      <w:r>
        <w:rPr>
          <w:rStyle w:val="FootnoteReference"/>
        </w:rPr>
        <w:footnoteRef/>
      </w:r>
      <w:r>
        <w:tab/>
        <w:t xml:space="preserve">ed. by William Kidd and Siân Reynolds (London: Arnold, 2000). </w:t>
      </w:r>
    </w:p>
  </w:footnote>
  <w:footnote w:id="22">
    <w:p w14:paraId="5CF869F9" w14:textId="77777777" w:rsidR="00B46E28" w:rsidRDefault="00B46E28" w:rsidP="00B46E28">
      <w:pPr>
        <w:pStyle w:val="FootnoteText"/>
      </w:pPr>
      <w:r>
        <w:rPr>
          <w:rStyle w:val="FootnoteReference"/>
        </w:rPr>
        <w:footnoteRef/>
      </w:r>
      <w:r>
        <w:tab/>
      </w:r>
      <w:r>
        <w:rPr>
          <w:i/>
        </w:rPr>
        <w:t>The Empire Writes Back: Theory and Practice in Post-colonial Literatures</w:t>
      </w:r>
      <w:r>
        <w:t xml:space="preserve">, ed. by Bill Ashcroft, Gareth Griffiths, and Helen Tiffin (London: Routledge, 1989), p.33. </w:t>
      </w:r>
    </w:p>
  </w:footnote>
  <w:footnote w:id="23">
    <w:p w14:paraId="41066D58" w14:textId="77777777" w:rsidR="00B46E28" w:rsidRDefault="00B46E28" w:rsidP="00B46E28">
      <w:pPr>
        <w:pStyle w:val="FootnoteText"/>
      </w:pPr>
      <w:r>
        <w:rPr>
          <w:rStyle w:val="FootnoteReference"/>
        </w:rPr>
        <w:footnoteRef/>
      </w:r>
      <w:r>
        <w:tab/>
      </w:r>
      <w:r>
        <w:rPr>
          <w:i/>
          <w:iCs/>
        </w:rPr>
        <w:t>Devolving English Literature</w:t>
      </w:r>
      <w:r>
        <w:t xml:space="preserve"> (Oxford: Clarendon Press, 1992), p.8. </w:t>
      </w:r>
    </w:p>
  </w:footnote>
  <w:footnote w:id="24">
    <w:p w14:paraId="2E9D946C" w14:textId="77777777" w:rsidR="00B46E28" w:rsidRPr="0082625F" w:rsidRDefault="00B46E28" w:rsidP="00B46E28">
      <w:pPr>
        <w:pStyle w:val="FootnoteText"/>
        <w:rPr>
          <w:lang w:val="fr-FR"/>
        </w:rPr>
      </w:pPr>
      <w:r>
        <w:rPr>
          <w:rStyle w:val="FootnoteReference"/>
        </w:rPr>
        <w:footnoteRef/>
      </w:r>
      <w:r>
        <w:tab/>
        <w:t xml:space="preserve">There has been relatively little sustained work in English on Breton literature, though a notable exception is the recent book-length study by William Calin, </w:t>
      </w:r>
      <w:r>
        <w:rPr>
          <w:i/>
        </w:rPr>
        <w:t>Minority Literatures and Modernism: Scots, Breton, and Occitan, 1920–1990</w:t>
      </w:r>
      <w:r>
        <w:t xml:space="preserve"> (Toronto: University of Toronto Press, 2000). </w:t>
      </w:r>
      <w:r w:rsidRPr="0082625F">
        <w:rPr>
          <w:lang w:val="fr-FR"/>
        </w:rPr>
        <w:t xml:space="preserve">Other accounts include Yves-Marie Rudel, </w:t>
      </w:r>
      <w:r w:rsidRPr="0082625F">
        <w:rPr>
          <w:i/>
          <w:lang w:val="fr-FR"/>
        </w:rPr>
        <w:t xml:space="preserve">Panorama de la littérature bretonne des origines à nos </w:t>
      </w:r>
      <w:proofErr w:type="gramStart"/>
      <w:r w:rsidRPr="0082625F">
        <w:rPr>
          <w:i/>
          <w:lang w:val="fr-FR"/>
        </w:rPr>
        <w:t>jours:</w:t>
      </w:r>
      <w:proofErr w:type="gramEnd"/>
      <w:r w:rsidRPr="0082625F">
        <w:rPr>
          <w:i/>
          <w:lang w:val="fr-FR"/>
        </w:rPr>
        <w:t xml:space="preserve"> écrivains de langue bretonne &amp; de langue française</w:t>
      </w:r>
      <w:r w:rsidRPr="0082625F">
        <w:rPr>
          <w:lang w:val="fr-FR"/>
        </w:rPr>
        <w:t xml:space="preserve"> (Rennes: Imprimerie Bretonne, 1950), Abeozen, </w:t>
      </w:r>
      <w:r w:rsidRPr="0082625F">
        <w:rPr>
          <w:i/>
          <w:iCs/>
          <w:lang w:val="fr-FR"/>
        </w:rPr>
        <w:t>Istor lennegezh vrezhonek an amzer-vreman</w:t>
      </w:r>
      <w:r w:rsidRPr="0082625F">
        <w:rPr>
          <w:lang w:val="fr-FR"/>
        </w:rPr>
        <w:t xml:space="preserve"> (Brest: Al Liamm, 1957), Per Denez, ‘Modern Breton Literature’, in </w:t>
      </w:r>
      <w:r w:rsidRPr="0082625F">
        <w:rPr>
          <w:i/>
          <w:lang w:val="fr-FR"/>
        </w:rPr>
        <w:t>Literature in Celtic Countries</w:t>
      </w:r>
      <w:r w:rsidRPr="0082625F">
        <w:rPr>
          <w:lang w:val="fr-FR"/>
        </w:rPr>
        <w:t xml:space="preserve">, ed. </w:t>
      </w:r>
      <w:proofErr w:type="gramStart"/>
      <w:r w:rsidRPr="0082625F">
        <w:rPr>
          <w:lang w:val="fr-FR"/>
        </w:rPr>
        <w:t>by</w:t>
      </w:r>
      <w:proofErr w:type="gramEnd"/>
      <w:r w:rsidRPr="0082625F">
        <w:rPr>
          <w:lang w:val="fr-FR"/>
        </w:rPr>
        <w:t xml:space="preserve"> J. E. Caerwyn Williams [Taliesin Congress Lectures] (Cardiff: University of Wales Press, 1971), pp.113–36; Jean Le Dû, and Yves Le Berre, ‘Un siècle d’écrits en langue bretonne: 1790–1892’, in </w:t>
      </w:r>
      <w:r w:rsidRPr="0082625F">
        <w:rPr>
          <w:i/>
          <w:iCs/>
          <w:lang w:val="fr-FR"/>
        </w:rPr>
        <w:t>Histoire littéraire et culturelle de la Bretagne</w:t>
      </w:r>
      <w:r w:rsidRPr="0082625F">
        <w:rPr>
          <w:lang w:val="fr-FR"/>
        </w:rPr>
        <w:t xml:space="preserve">, 3 vols, ed. </w:t>
      </w:r>
      <w:proofErr w:type="gramStart"/>
      <w:r w:rsidRPr="0082625F">
        <w:rPr>
          <w:lang w:val="fr-FR"/>
        </w:rPr>
        <w:t>by</w:t>
      </w:r>
      <w:proofErr w:type="gramEnd"/>
      <w:r w:rsidRPr="0082625F">
        <w:rPr>
          <w:lang w:val="fr-FR"/>
        </w:rPr>
        <w:t xml:space="preserve"> Jean Balcou and Yves Le Gallo, Centre de recherche bretonne et celtique (Paris/Geneva: Champion-Slatkine, 1987), </w:t>
      </w:r>
      <w:r w:rsidRPr="0082625F">
        <w:rPr>
          <w:smallCaps/>
          <w:lang w:val="fr-FR"/>
        </w:rPr>
        <w:t>ii</w:t>
      </w:r>
      <w:r w:rsidRPr="0082625F">
        <w:rPr>
          <w:lang w:val="fr-FR"/>
        </w:rPr>
        <w:t xml:space="preserve">, 251–91, and Fañch Morvannou, ‘La littérature de langue bretonne au XXe siècle’, in </w:t>
      </w:r>
      <w:r w:rsidRPr="0082625F">
        <w:rPr>
          <w:i/>
          <w:iCs/>
          <w:lang w:val="fr-FR"/>
        </w:rPr>
        <w:t>Histoire littéraire et culturelle de la Bretagne</w:t>
      </w:r>
      <w:r w:rsidRPr="0082625F">
        <w:rPr>
          <w:lang w:val="fr-FR"/>
        </w:rPr>
        <w:t xml:space="preserve">, </w:t>
      </w:r>
      <w:r w:rsidRPr="0082625F">
        <w:rPr>
          <w:smallCaps/>
          <w:lang w:val="fr-FR"/>
        </w:rPr>
        <w:t>iii</w:t>
      </w:r>
      <w:r w:rsidRPr="0082625F">
        <w:rPr>
          <w:lang w:val="fr-FR"/>
        </w:rPr>
        <w:t xml:space="preserve">, 175–249, Lukian Raoul, </w:t>
      </w:r>
      <w:r w:rsidRPr="0082625F">
        <w:rPr>
          <w:i/>
          <w:iCs/>
          <w:lang w:val="fr-FR"/>
        </w:rPr>
        <w:t>Geiriadur ar skrivagrerien ha yezheurien vrezhonek aet da annen a-raok mis Meurzh 1992</w:t>
      </w:r>
      <w:r w:rsidRPr="0082625F">
        <w:rPr>
          <w:lang w:val="fr-FR"/>
        </w:rPr>
        <w:t xml:space="preserve"> (Brest: Al Liamm, 1992). The most authoritative recent reference is a projected four-volume anthology by Francis Favereau, </w:t>
      </w:r>
      <w:r w:rsidRPr="0082625F">
        <w:rPr>
          <w:i/>
          <w:lang w:val="fr-FR"/>
        </w:rPr>
        <w:t>Anthologie de la littérature bretonne au XXe siècle.</w:t>
      </w:r>
      <w:r w:rsidRPr="0082625F">
        <w:rPr>
          <w:iCs/>
          <w:lang w:val="fr-FR"/>
        </w:rPr>
        <w:t xml:space="preserve"> Vols 1 and 2 are already </w:t>
      </w:r>
      <w:proofErr w:type="gramStart"/>
      <w:r w:rsidRPr="0082625F">
        <w:rPr>
          <w:iCs/>
          <w:lang w:val="fr-FR"/>
        </w:rPr>
        <w:t>published:</w:t>
      </w:r>
      <w:proofErr w:type="gramEnd"/>
      <w:r w:rsidRPr="0082625F">
        <w:rPr>
          <w:iCs/>
          <w:lang w:val="fr-FR"/>
        </w:rPr>
        <w:t xml:space="preserve"> </w:t>
      </w:r>
      <w:r w:rsidRPr="0082625F">
        <w:rPr>
          <w:i/>
          <w:lang w:val="fr-FR"/>
        </w:rPr>
        <w:t>Le premier ‘Emzao’ 1900/1918</w:t>
      </w:r>
      <w:r w:rsidRPr="0082625F">
        <w:rPr>
          <w:lang w:val="fr-FR"/>
        </w:rPr>
        <w:t xml:space="preserve">, vol. 1 (Morlaix: Skol Vreizh, 2002), </w:t>
      </w:r>
      <w:r w:rsidRPr="0082625F">
        <w:rPr>
          <w:i/>
          <w:lang w:val="fr-FR"/>
        </w:rPr>
        <w:t>Anthologie de la littérature bretonne au XXe siècle: Breiz Atao et les autres en littérature 1919/1944</w:t>
      </w:r>
      <w:r w:rsidRPr="0082625F">
        <w:rPr>
          <w:lang w:val="fr-FR"/>
        </w:rPr>
        <w:t xml:space="preserve">, vol. 2 (Morlaix: Skol Vreizh, 2003), these contain detailed bibliographies. See also his </w:t>
      </w:r>
      <w:r w:rsidRPr="0082625F">
        <w:rPr>
          <w:i/>
          <w:iCs/>
          <w:lang w:val="fr-FR"/>
        </w:rPr>
        <w:t>Littérature et écrivains bretonnants depuis 1945</w:t>
      </w:r>
      <w:r w:rsidRPr="0082625F">
        <w:rPr>
          <w:lang w:val="fr-FR"/>
        </w:rPr>
        <w:t xml:space="preserve"> (</w:t>
      </w:r>
      <w:proofErr w:type="gramStart"/>
      <w:r w:rsidRPr="0082625F">
        <w:rPr>
          <w:lang w:val="fr-FR"/>
        </w:rPr>
        <w:t>Morlaix:</w:t>
      </w:r>
      <w:proofErr w:type="gramEnd"/>
      <w:r w:rsidRPr="0082625F">
        <w:rPr>
          <w:lang w:val="fr-FR"/>
        </w:rPr>
        <w:t xml:space="preserve"> Skol Vreizh, 1991), translated into English as </w:t>
      </w:r>
      <w:r w:rsidRPr="0082625F">
        <w:rPr>
          <w:i/>
          <w:iCs/>
          <w:lang w:val="fr-FR"/>
        </w:rPr>
        <w:t>Breton Literature and Writers since 1945</w:t>
      </w:r>
      <w:r w:rsidRPr="0082625F">
        <w:rPr>
          <w:lang w:val="fr-FR"/>
        </w:rPr>
        <w:t xml:space="preserve"> (Morlaix: Ar Falz, 1992).</w:t>
      </w:r>
    </w:p>
  </w:footnote>
  <w:footnote w:id="25">
    <w:p w14:paraId="6E53C9B3" w14:textId="77777777" w:rsidR="00B46E28" w:rsidRPr="0082625F" w:rsidRDefault="00B46E28" w:rsidP="00B46E28">
      <w:pPr>
        <w:pStyle w:val="FootnoteText"/>
        <w:rPr>
          <w:lang w:val="fr-FR"/>
        </w:rPr>
      </w:pPr>
      <w:r>
        <w:rPr>
          <w:rStyle w:val="FootnoteReference"/>
        </w:rPr>
        <w:footnoteRef/>
      </w:r>
      <w:r w:rsidRPr="0082625F">
        <w:rPr>
          <w:i/>
          <w:lang w:val="fr-FR"/>
        </w:rPr>
        <w:tab/>
        <w:t>Histoire générale de la Bretagne et des Bretons</w:t>
      </w:r>
      <w:r w:rsidRPr="0082625F">
        <w:rPr>
          <w:lang w:val="fr-FR"/>
        </w:rPr>
        <w:t xml:space="preserve">, </w:t>
      </w:r>
      <w:r w:rsidRPr="0082625F">
        <w:rPr>
          <w:smallCaps/>
          <w:lang w:val="fr-FR"/>
        </w:rPr>
        <w:t>ii</w:t>
      </w:r>
      <w:r w:rsidRPr="0082625F">
        <w:rPr>
          <w:lang w:val="fr-FR"/>
        </w:rPr>
        <w:t xml:space="preserve">, 405. See Pascal Rannou, ‘De “l’histoire littéraire et culturelle de la Bretagne” à “l’histoire générale de la Bretagne et des Bretons’, series of 5 articles in </w:t>
      </w:r>
      <w:r w:rsidRPr="0082625F">
        <w:rPr>
          <w:i/>
          <w:iCs/>
          <w:lang w:val="fr-FR"/>
        </w:rPr>
        <w:t>Le Peuple breton</w:t>
      </w:r>
      <w:r w:rsidRPr="0082625F">
        <w:rPr>
          <w:lang w:val="fr-FR"/>
        </w:rPr>
        <w:t>, issues 324–28 (1991).</w:t>
      </w:r>
    </w:p>
  </w:footnote>
  <w:footnote w:id="26">
    <w:p w14:paraId="1F6DC965" w14:textId="77777777" w:rsidR="00B46E28" w:rsidRPr="0082625F" w:rsidRDefault="00B46E28" w:rsidP="00B46E28">
      <w:pPr>
        <w:pStyle w:val="FootnoteText"/>
        <w:rPr>
          <w:lang w:val="fr-FR"/>
        </w:rPr>
      </w:pPr>
      <w:r>
        <w:rPr>
          <w:rStyle w:val="FootnoteReference"/>
        </w:rPr>
        <w:footnoteRef/>
      </w:r>
      <w:r w:rsidRPr="0082625F">
        <w:rPr>
          <w:lang w:val="fr-FR"/>
        </w:rPr>
        <w:tab/>
      </w:r>
      <w:r w:rsidRPr="0082625F">
        <w:rPr>
          <w:i/>
          <w:iCs/>
          <w:lang w:val="fr-FR"/>
        </w:rPr>
        <w:t>Kornog</w:t>
      </w:r>
      <w:r w:rsidRPr="0082625F">
        <w:rPr>
          <w:lang w:val="fr-FR"/>
        </w:rPr>
        <w:t xml:space="preserve">, 1929. Cited in Morvan Lebesque, </w:t>
      </w:r>
      <w:r w:rsidRPr="0082625F">
        <w:rPr>
          <w:i/>
          <w:iCs/>
          <w:lang w:val="fr-FR"/>
        </w:rPr>
        <w:t xml:space="preserve">Comment peut-on être </w:t>
      </w:r>
      <w:proofErr w:type="gramStart"/>
      <w:r w:rsidRPr="0082625F">
        <w:rPr>
          <w:i/>
          <w:iCs/>
          <w:lang w:val="fr-FR"/>
        </w:rPr>
        <w:t>breton?:</w:t>
      </w:r>
      <w:proofErr w:type="gramEnd"/>
      <w:r w:rsidRPr="0082625F">
        <w:rPr>
          <w:i/>
          <w:iCs/>
          <w:lang w:val="fr-FR"/>
        </w:rPr>
        <w:t xml:space="preserve"> essai sur la démocratie française</w:t>
      </w:r>
      <w:r w:rsidRPr="0082625F">
        <w:rPr>
          <w:lang w:val="fr-FR"/>
        </w:rPr>
        <w:t xml:space="preserve">, preface de Gwenc’hlan Le Scouëzec (Paris: Seuil, 1970), p.175. </w:t>
      </w:r>
    </w:p>
  </w:footnote>
  <w:footnote w:id="27">
    <w:p w14:paraId="51D3FAC9" w14:textId="77777777" w:rsidR="00B46E28" w:rsidRPr="0082625F" w:rsidRDefault="00B46E28" w:rsidP="00B46E28">
      <w:pPr>
        <w:pStyle w:val="FootnoteText"/>
        <w:rPr>
          <w:lang w:val="fr-FR"/>
        </w:rPr>
      </w:pPr>
      <w:r>
        <w:rPr>
          <w:rStyle w:val="FootnoteReference"/>
        </w:rPr>
        <w:footnoteRef/>
      </w:r>
      <w:r w:rsidRPr="0082625F">
        <w:rPr>
          <w:lang w:val="fr-FR"/>
        </w:rPr>
        <w:tab/>
        <w:t xml:space="preserve">Anne-Marie Thiesse describes the French-language texts produced in the provinces in the nineteenth century as a missing chapter in histories of French literature, </w:t>
      </w:r>
      <w:r w:rsidRPr="0082625F">
        <w:rPr>
          <w:i/>
          <w:lang w:val="fr-FR"/>
        </w:rPr>
        <w:t xml:space="preserve">Écrire la </w:t>
      </w:r>
      <w:proofErr w:type="gramStart"/>
      <w:r w:rsidRPr="0082625F">
        <w:rPr>
          <w:i/>
          <w:lang w:val="fr-FR"/>
        </w:rPr>
        <w:t>France:</w:t>
      </w:r>
      <w:proofErr w:type="gramEnd"/>
      <w:r w:rsidRPr="0082625F">
        <w:rPr>
          <w:i/>
          <w:lang w:val="fr-FR"/>
        </w:rPr>
        <w:t xml:space="preserve"> le mouvement littéraire régionaliste de langue française entre la belle époque et la libération</w:t>
      </w:r>
      <w:r w:rsidRPr="0082625F">
        <w:rPr>
          <w:lang w:val="fr-FR"/>
        </w:rPr>
        <w:t xml:space="preserve"> (Paris: Presses Universitaires de France, 1991), p.10. </w:t>
      </w:r>
    </w:p>
  </w:footnote>
  <w:footnote w:id="28">
    <w:p w14:paraId="4C48DBB8" w14:textId="77777777" w:rsidR="00B46E28" w:rsidRPr="0082625F" w:rsidRDefault="00B46E28" w:rsidP="00B46E28">
      <w:pPr>
        <w:pStyle w:val="FootnoteText"/>
        <w:rPr>
          <w:lang w:val="fr-FR"/>
        </w:rPr>
      </w:pPr>
      <w:r>
        <w:rPr>
          <w:rStyle w:val="FootnoteReference"/>
        </w:rPr>
        <w:footnoteRef/>
      </w:r>
      <w:r w:rsidRPr="0082625F">
        <w:rPr>
          <w:lang w:val="fr-FR"/>
        </w:rPr>
        <w:tab/>
        <w:t xml:space="preserve">Gilles Deleuze and Félix Guattari, </w:t>
      </w:r>
      <w:proofErr w:type="gramStart"/>
      <w:r w:rsidRPr="0082625F">
        <w:rPr>
          <w:i/>
          <w:lang w:val="fr-FR"/>
        </w:rPr>
        <w:t>Kafka:</w:t>
      </w:r>
      <w:proofErr w:type="gramEnd"/>
      <w:r w:rsidRPr="0082625F">
        <w:rPr>
          <w:i/>
          <w:lang w:val="fr-FR"/>
        </w:rPr>
        <w:t xml:space="preserve"> pour une littérature mineure</w:t>
      </w:r>
      <w:r w:rsidRPr="0082625F">
        <w:rPr>
          <w:lang w:val="fr-FR"/>
        </w:rPr>
        <w:t xml:space="preserve"> (Paris: Minuit, 1975).</w:t>
      </w:r>
    </w:p>
  </w:footnote>
  <w:footnote w:id="29">
    <w:p w14:paraId="2221EE7F" w14:textId="77777777" w:rsidR="00B46E28" w:rsidRDefault="00B46E28" w:rsidP="00B46E28">
      <w:pPr>
        <w:pStyle w:val="FootnoteText"/>
      </w:pPr>
      <w:r>
        <w:rPr>
          <w:rStyle w:val="FootnoteReference"/>
        </w:rPr>
        <w:footnoteRef/>
      </w:r>
      <w:r>
        <w:tab/>
        <w:t xml:space="preserve">Terry Eagleton, </w:t>
      </w:r>
      <w:r>
        <w:rPr>
          <w:i/>
        </w:rPr>
        <w:t>Exiles and Emigrés</w:t>
      </w:r>
      <w:r>
        <w:rPr>
          <w:iCs/>
        </w:rPr>
        <w:t xml:space="preserve"> </w:t>
      </w:r>
      <w:r>
        <w:t>(London: Chatto and Windus, 1970), p.17.</w:t>
      </w:r>
    </w:p>
  </w:footnote>
  <w:footnote w:id="30">
    <w:p w14:paraId="0AC75103" w14:textId="77777777" w:rsidR="00B46E28" w:rsidRDefault="00B46E28" w:rsidP="00B46E28">
      <w:pPr>
        <w:pStyle w:val="FootnoteText"/>
      </w:pPr>
      <w:r>
        <w:rPr>
          <w:rStyle w:val="FootnoteReference"/>
        </w:rPr>
        <w:footnoteRef/>
      </w:r>
      <w:r>
        <w:tab/>
        <w:t>Ibid., p.18.</w:t>
      </w:r>
    </w:p>
  </w:footnote>
  <w:footnote w:id="31">
    <w:p w14:paraId="1B7B8F86" w14:textId="77777777" w:rsidR="00B46E28" w:rsidRDefault="00B46E28" w:rsidP="00B46E28">
      <w:pPr>
        <w:pStyle w:val="FootnoteText"/>
      </w:pPr>
      <w:r>
        <w:rPr>
          <w:rStyle w:val="FootnoteReference"/>
        </w:rPr>
        <w:footnoteRef/>
      </w:r>
      <w:r>
        <w:tab/>
        <w:t xml:space="preserve">See, for example, Susan Bassnett and Harish Trivedi, eds, </w:t>
      </w:r>
      <w:r>
        <w:rPr>
          <w:i/>
          <w:iCs/>
        </w:rPr>
        <w:t>Post-colonial Translation: Theory and Practice</w:t>
      </w:r>
      <w:r>
        <w:t xml:space="preserve"> (London: Routledge, 1999), and Michael Cronin, </w:t>
      </w:r>
      <w:r>
        <w:rPr>
          <w:i/>
          <w:iCs/>
        </w:rPr>
        <w:t>Across the Lines</w:t>
      </w:r>
      <w:r>
        <w:t xml:space="preserve"> (Cork: University of Cork Press, 2000).</w:t>
      </w:r>
    </w:p>
  </w:footnote>
  <w:footnote w:id="32">
    <w:p w14:paraId="6E3DBA54" w14:textId="77777777" w:rsidR="00B46E28" w:rsidRDefault="00B46E28" w:rsidP="00B46E28">
      <w:pPr>
        <w:pStyle w:val="FootnoteText"/>
      </w:pPr>
      <w:r>
        <w:rPr>
          <w:rStyle w:val="FootnoteReference"/>
        </w:rPr>
        <w:footnoteRef/>
      </w:r>
      <w:r>
        <w:tab/>
        <w:t xml:space="preserve">Homi K. Bhabha, </w:t>
      </w:r>
      <w:r>
        <w:rPr>
          <w:i/>
        </w:rPr>
        <w:t>The Location of Culture</w:t>
      </w:r>
      <w:r>
        <w:t xml:space="preserve"> (London: Routledge, 1994), p.2. </w:t>
      </w:r>
    </w:p>
  </w:footnote>
  <w:footnote w:id="33">
    <w:p w14:paraId="512220A0" w14:textId="77777777" w:rsidR="00B46E28" w:rsidRDefault="00B46E28" w:rsidP="00B46E28">
      <w:pPr>
        <w:pStyle w:val="FootnoteText"/>
      </w:pPr>
      <w:r>
        <w:rPr>
          <w:rStyle w:val="FootnoteReference"/>
        </w:rPr>
        <w:footnoteRef/>
      </w:r>
      <w:r>
        <w:tab/>
        <w:t xml:space="preserve">M. Wynn Thomas, </w:t>
      </w:r>
      <w:r>
        <w:rPr>
          <w:i/>
          <w:iCs/>
        </w:rPr>
        <w:t>Internal Difference</w:t>
      </w:r>
      <w:r>
        <w:rPr>
          <w:i/>
        </w:rPr>
        <w:t>: Twentieth-century Writing in Wales</w:t>
      </w:r>
      <w:r>
        <w:t xml:space="preserve"> (Cardiff: University of Wales Press, 1992), p.xiv</w:t>
      </w:r>
    </w:p>
  </w:footnote>
  <w:footnote w:id="34">
    <w:p w14:paraId="254A7A8F" w14:textId="77777777" w:rsidR="00B46E28" w:rsidRDefault="00B46E28" w:rsidP="00B46E28">
      <w:pPr>
        <w:pStyle w:val="FootnoteText"/>
      </w:pPr>
      <w:r>
        <w:rPr>
          <w:rStyle w:val="FootnoteReference"/>
        </w:rPr>
        <w:footnoteRef/>
      </w:r>
      <w:r>
        <w:tab/>
      </w:r>
      <w:r>
        <w:rPr>
          <w:i/>
          <w:iCs/>
        </w:rPr>
        <w:t xml:space="preserve">Corresponding Cultures: </w:t>
      </w:r>
      <w:r>
        <w:rPr>
          <w:i/>
        </w:rPr>
        <w:t>The Two Literatures of Wales</w:t>
      </w:r>
      <w:r>
        <w:t xml:space="preserve"> (Cardiff: University of Wales Press, 1999).</w:t>
      </w:r>
    </w:p>
  </w:footnote>
  <w:footnote w:id="35">
    <w:p w14:paraId="354C9106" w14:textId="77777777" w:rsidR="00B46E28" w:rsidRDefault="00B46E28" w:rsidP="00B46E28">
      <w:pPr>
        <w:pStyle w:val="FootnoteText"/>
      </w:pPr>
      <w:r>
        <w:rPr>
          <w:rStyle w:val="FootnoteReference"/>
        </w:rPr>
        <w:footnoteRef/>
      </w:r>
      <w:r w:rsidRPr="0082625F">
        <w:rPr>
          <w:lang w:val="fr-FR"/>
        </w:rPr>
        <w:tab/>
        <w:t xml:space="preserve">Kristian Keginer, </w:t>
      </w:r>
      <w:r w:rsidRPr="0082625F">
        <w:rPr>
          <w:i/>
          <w:iCs/>
          <w:lang w:val="fr-FR"/>
        </w:rPr>
        <w:t>Bretagnes</w:t>
      </w:r>
      <w:r w:rsidRPr="0082625F">
        <w:rPr>
          <w:lang w:val="fr-FR"/>
        </w:rPr>
        <w:t xml:space="preserve">, 6, p.22. Cited in Pascal Rannou, ‘Approche du concept de littérature bretonne de langue française’, in </w:t>
      </w:r>
      <w:r w:rsidRPr="0082625F">
        <w:rPr>
          <w:i/>
          <w:lang w:val="fr-FR"/>
        </w:rPr>
        <w:t xml:space="preserve">Métissage du </w:t>
      </w:r>
      <w:proofErr w:type="gramStart"/>
      <w:r w:rsidRPr="0082625F">
        <w:rPr>
          <w:i/>
          <w:lang w:val="fr-FR"/>
        </w:rPr>
        <w:t>texte:</w:t>
      </w:r>
      <w:proofErr w:type="gramEnd"/>
      <w:r w:rsidRPr="0082625F">
        <w:rPr>
          <w:i/>
          <w:lang w:val="fr-FR"/>
        </w:rPr>
        <w:t xml:space="preserve"> Bretagne, Maghreb, Québec</w:t>
      </w:r>
      <w:r w:rsidRPr="0082625F">
        <w:rPr>
          <w:lang w:val="fr-FR"/>
        </w:rPr>
        <w:t xml:space="preserve">, ed. </w:t>
      </w:r>
      <w:proofErr w:type="gramStart"/>
      <w:r w:rsidRPr="0082625F">
        <w:rPr>
          <w:lang w:val="fr-FR"/>
        </w:rPr>
        <w:t>by</w:t>
      </w:r>
      <w:proofErr w:type="gramEnd"/>
      <w:r w:rsidRPr="0082625F">
        <w:rPr>
          <w:lang w:val="fr-FR"/>
        </w:rPr>
        <w:t xml:space="preserve"> Bernard Hue (Rennes: Presses Universitaires de Rennes, 1994), pp.75–86 (p.79). </w:t>
      </w:r>
      <w:r>
        <w:t xml:space="preserve">While </w:t>
      </w:r>
      <w:r>
        <w:rPr>
          <w:i/>
          <w:iCs/>
        </w:rPr>
        <w:t>Bretagnes</w:t>
      </w:r>
      <w:r>
        <w:t xml:space="preserve"> was the major forum for discussion, the debate can also be traced in a special number of </w:t>
      </w:r>
      <w:r>
        <w:rPr>
          <w:i/>
          <w:iCs/>
        </w:rPr>
        <w:t>Europe</w:t>
      </w:r>
      <w:r>
        <w:t>, 625 (1981), ed. by M. Le Sidaner.</w:t>
      </w:r>
    </w:p>
  </w:footnote>
  <w:footnote w:id="36">
    <w:p w14:paraId="55645B2F" w14:textId="77777777" w:rsidR="00B46E28" w:rsidRPr="0082625F" w:rsidRDefault="00B46E28" w:rsidP="00B46E28">
      <w:pPr>
        <w:pStyle w:val="FootnoteText"/>
        <w:rPr>
          <w:lang w:val="fr-FR"/>
        </w:rPr>
      </w:pPr>
      <w:r>
        <w:rPr>
          <w:rStyle w:val="FootnoteReference"/>
        </w:rPr>
        <w:footnoteRef/>
      </w:r>
      <w:r w:rsidRPr="0082625F">
        <w:rPr>
          <w:lang w:val="fr-FR"/>
        </w:rPr>
        <w:tab/>
        <w:t xml:space="preserve">‘Approche du concept de littérature bretonne de langue française’, as above. See also his earlier ‘Littérature et bretonnité’, </w:t>
      </w:r>
      <w:r w:rsidRPr="0082625F">
        <w:rPr>
          <w:i/>
          <w:lang w:val="fr-FR"/>
        </w:rPr>
        <w:t>Le Peuple Breton</w:t>
      </w:r>
      <w:r w:rsidRPr="0082625F">
        <w:rPr>
          <w:lang w:val="fr-FR"/>
        </w:rPr>
        <w:t xml:space="preserve">, issues 278–279 (1987). And his unpublished DEA thesis, </w:t>
      </w:r>
      <w:r w:rsidRPr="0082625F">
        <w:rPr>
          <w:i/>
          <w:iCs/>
          <w:lang w:val="fr-FR"/>
        </w:rPr>
        <w:t>Approche du concept de littérature bretonne francophone à travers des textes de Villiers de l’Isle-Adam, Yvon le Men, Kristian Keginer et Youenn Coïc</w:t>
      </w:r>
      <w:r w:rsidRPr="0082625F">
        <w:rPr>
          <w:lang w:val="fr-FR"/>
        </w:rPr>
        <w:t>, (Université de Haute Bretagne, Rennes, 1991).</w:t>
      </w:r>
    </w:p>
  </w:footnote>
  <w:footnote w:id="37">
    <w:p w14:paraId="060B0946" w14:textId="77777777" w:rsidR="00B46E28" w:rsidRPr="0082625F" w:rsidRDefault="00B46E28" w:rsidP="00B46E28">
      <w:pPr>
        <w:pStyle w:val="FootnoteText"/>
        <w:rPr>
          <w:lang w:val="fr-FR"/>
        </w:rPr>
      </w:pPr>
      <w:r>
        <w:rPr>
          <w:rStyle w:val="FootnoteReference"/>
        </w:rPr>
        <w:footnoteRef/>
      </w:r>
      <w:r w:rsidRPr="0082625F">
        <w:rPr>
          <w:lang w:val="fr-FR"/>
        </w:rPr>
        <w:tab/>
        <w:t>‘Approche du concept de littérature bretonne de langue française’, p.76. See also his series of short articles ‘L’</w:t>
      </w:r>
      <w:r w:rsidRPr="0082625F">
        <w:rPr>
          <w:i/>
          <w:iCs/>
          <w:lang w:val="fr-FR"/>
        </w:rPr>
        <w:t>Histoire Culturelle et Littéraire de la Bretagne</w:t>
      </w:r>
      <w:r w:rsidRPr="0082625F">
        <w:rPr>
          <w:lang w:val="fr-FR"/>
        </w:rPr>
        <w:t xml:space="preserve"> à la loupe’, in </w:t>
      </w:r>
      <w:r w:rsidRPr="0082625F">
        <w:rPr>
          <w:i/>
          <w:iCs/>
          <w:lang w:val="fr-FR"/>
        </w:rPr>
        <w:t>Le Peuple Breton</w:t>
      </w:r>
      <w:r w:rsidRPr="0082625F">
        <w:rPr>
          <w:lang w:val="fr-FR"/>
        </w:rPr>
        <w:t xml:space="preserve">, issues 293 to 297 (1988), and his ‘De “l’histoire littéraire et culturelle de la Bretagne” à “l’histoire générale de la Bretagne et des Bretons’, a series of 5 articles in </w:t>
      </w:r>
      <w:r w:rsidRPr="0082625F">
        <w:rPr>
          <w:i/>
          <w:iCs/>
          <w:lang w:val="fr-FR"/>
        </w:rPr>
        <w:t>Le Peuple breton</w:t>
      </w:r>
      <w:r w:rsidRPr="0082625F">
        <w:rPr>
          <w:lang w:val="fr-FR"/>
        </w:rPr>
        <w:t xml:space="preserve">, issues 324–328 (1991). </w:t>
      </w:r>
      <w:r>
        <w:t xml:space="preserve">Similar treatment is given to Le Quintrec’s </w:t>
      </w:r>
      <w:r>
        <w:rPr>
          <w:i/>
        </w:rPr>
        <w:t>Littératures de Bretagne</w:t>
      </w:r>
      <w:r>
        <w:t xml:space="preserve"> (Rennes: Ouest France, 1992), by Yannick Lemaire, who condemns it for making no attempt at definition, and having produced nothing more than a series of disclaimers: ‘nous ne voyons pas l’intérêt d’un tel ouvrage. </w:t>
      </w:r>
      <w:r w:rsidRPr="0082625F">
        <w:rPr>
          <w:lang w:val="fr-FR"/>
        </w:rPr>
        <w:t xml:space="preserve">Œuvre de </w:t>
      </w:r>
      <w:proofErr w:type="gramStart"/>
      <w:r w:rsidRPr="0082625F">
        <w:rPr>
          <w:lang w:val="fr-FR"/>
        </w:rPr>
        <w:t>circonstance?</w:t>
      </w:r>
      <w:proofErr w:type="gramEnd"/>
      <w:r w:rsidRPr="0082625F">
        <w:rPr>
          <w:lang w:val="fr-FR"/>
        </w:rPr>
        <w:t xml:space="preserve"> Plaisir </w:t>
      </w:r>
      <w:proofErr w:type="gramStart"/>
      <w:r w:rsidRPr="0082625F">
        <w:rPr>
          <w:lang w:val="fr-FR"/>
        </w:rPr>
        <w:t>personnel?</w:t>
      </w:r>
      <w:proofErr w:type="gramEnd"/>
      <w:r w:rsidRPr="0082625F">
        <w:rPr>
          <w:lang w:val="fr-FR"/>
        </w:rPr>
        <w:t xml:space="preserve"> Lagarde et Michard de la littérature </w:t>
      </w:r>
      <w:proofErr w:type="gramStart"/>
      <w:r w:rsidRPr="0082625F">
        <w:rPr>
          <w:lang w:val="fr-FR"/>
        </w:rPr>
        <w:t>bretonne?</w:t>
      </w:r>
      <w:proofErr w:type="gramEnd"/>
      <w:r w:rsidRPr="0082625F">
        <w:rPr>
          <w:lang w:val="fr-FR"/>
        </w:rPr>
        <w:t xml:space="preserve">’, also in </w:t>
      </w:r>
      <w:r w:rsidRPr="0082625F">
        <w:rPr>
          <w:i/>
          <w:lang w:val="fr-FR"/>
        </w:rPr>
        <w:t>Le Peuple breton</w:t>
      </w:r>
      <w:r w:rsidRPr="0082625F">
        <w:rPr>
          <w:lang w:val="fr-FR"/>
        </w:rPr>
        <w:t>, 351 (1993), p.20.</w:t>
      </w:r>
    </w:p>
  </w:footnote>
  <w:footnote w:id="38">
    <w:p w14:paraId="706F64D2" w14:textId="77777777" w:rsidR="00B46E28" w:rsidRPr="0082625F" w:rsidRDefault="00B46E28" w:rsidP="00B46E28">
      <w:pPr>
        <w:pStyle w:val="FootnoteText"/>
        <w:rPr>
          <w:lang w:val="fr-FR"/>
        </w:rPr>
      </w:pPr>
      <w:r>
        <w:rPr>
          <w:rStyle w:val="FootnoteReference"/>
        </w:rPr>
        <w:footnoteRef/>
      </w:r>
      <w:r w:rsidRPr="0082625F">
        <w:rPr>
          <w:lang w:val="fr-FR"/>
        </w:rPr>
        <w:t xml:space="preserve"> </w:t>
      </w:r>
      <w:r w:rsidRPr="0082625F">
        <w:rPr>
          <w:lang w:val="fr-FR"/>
        </w:rPr>
        <w:tab/>
        <w:t>Pascal Rannou</w:t>
      </w:r>
      <w:r w:rsidRPr="0082625F">
        <w:rPr>
          <w:i/>
          <w:iCs/>
          <w:lang w:val="fr-FR"/>
        </w:rPr>
        <w:t xml:space="preserve">, Inventaire d’un </w:t>
      </w:r>
      <w:proofErr w:type="gramStart"/>
      <w:r w:rsidRPr="0082625F">
        <w:rPr>
          <w:i/>
          <w:iCs/>
          <w:lang w:val="fr-FR"/>
        </w:rPr>
        <w:t>héritage:</w:t>
      </w:r>
      <w:proofErr w:type="gramEnd"/>
      <w:r w:rsidRPr="0082625F">
        <w:rPr>
          <w:i/>
          <w:iCs/>
          <w:lang w:val="fr-FR"/>
        </w:rPr>
        <w:t xml:space="preserve"> essai sur l’œuvre littéraire de Pierre-Jakez Hélias </w:t>
      </w:r>
      <w:r w:rsidRPr="0082625F">
        <w:rPr>
          <w:lang w:val="fr-FR"/>
        </w:rPr>
        <w:t>(Relecq-Kerhuon: An Here, 1997).</w:t>
      </w:r>
    </w:p>
  </w:footnote>
  <w:footnote w:id="39">
    <w:p w14:paraId="7C7BB470" w14:textId="77777777" w:rsidR="00B46E28" w:rsidRPr="0082625F" w:rsidRDefault="00B46E28" w:rsidP="00B46E28">
      <w:pPr>
        <w:pStyle w:val="FootnoteText"/>
        <w:rPr>
          <w:lang w:val="fr-FR"/>
        </w:rPr>
      </w:pPr>
      <w:r>
        <w:rPr>
          <w:rStyle w:val="FootnoteReference"/>
        </w:rPr>
        <w:footnoteRef/>
      </w:r>
      <w:r w:rsidRPr="0082625F">
        <w:rPr>
          <w:lang w:val="fr-FR"/>
        </w:rPr>
        <w:tab/>
      </w:r>
      <w:r w:rsidRPr="0082625F">
        <w:rPr>
          <w:i/>
          <w:iCs/>
          <w:lang w:val="fr-FR"/>
        </w:rPr>
        <w:t>Visages de Tristan Corbière</w:t>
      </w:r>
      <w:r w:rsidRPr="0082625F">
        <w:rPr>
          <w:lang w:val="fr-FR"/>
        </w:rPr>
        <w:t xml:space="preserve">, ed. </w:t>
      </w:r>
      <w:proofErr w:type="gramStart"/>
      <w:r w:rsidRPr="0082625F">
        <w:rPr>
          <w:lang w:val="fr-FR"/>
        </w:rPr>
        <w:t>by</w:t>
      </w:r>
      <w:proofErr w:type="gramEnd"/>
      <w:r w:rsidRPr="0082625F">
        <w:rPr>
          <w:lang w:val="fr-FR"/>
        </w:rPr>
        <w:t xml:space="preserve"> Pascal Rannou and Pierre Bazantay (Morlaix: Skol Vreizh, 1995). </w:t>
      </w:r>
    </w:p>
  </w:footnote>
  <w:footnote w:id="40">
    <w:p w14:paraId="30C6191C" w14:textId="77777777" w:rsidR="00B46E28" w:rsidRPr="0082625F" w:rsidRDefault="00B46E28" w:rsidP="00B46E28">
      <w:pPr>
        <w:pStyle w:val="FootnoteText"/>
        <w:rPr>
          <w:lang w:val="fr-FR"/>
        </w:rPr>
      </w:pPr>
      <w:r>
        <w:rPr>
          <w:rStyle w:val="FootnoteReference"/>
        </w:rPr>
        <w:footnoteRef/>
      </w:r>
      <w:r w:rsidRPr="0082625F">
        <w:rPr>
          <w:lang w:val="fr-FR"/>
        </w:rPr>
        <w:tab/>
        <w:t>‘</w:t>
      </w:r>
      <w:proofErr w:type="gramStart"/>
      <w:r w:rsidRPr="0082625F">
        <w:rPr>
          <w:lang w:val="fr-FR"/>
        </w:rPr>
        <w:t>il</w:t>
      </w:r>
      <w:proofErr w:type="gramEnd"/>
      <w:r w:rsidRPr="0082625F">
        <w:rPr>
          <w:lang w:val="fr-FR"/>
        </w:rPr>
        <w:t xml:space="preserve"> me semble que la littérature bretonne en français possède une réelle spécificité littéraire qui n’est pas liée à une hypothétique </w:t>
      </w:r>
      <w:r w:rsidRPr="0082625F">
        <w:rPr>
          <w:i/>
          <w:iCs/>
          <w:lang w:val="fr-FR"/>
        </w:rPr>
        <w:t>âme bretonne</w:t>
      </w:r>
      <w:r w:rsidRPr="0082625F">
        <w:rPr>
          <w:lang w:val="fr-FR"/>
        </w:rPr>
        <w:t xml:space="preserve">, ni même à une thématique trop souvent normative de la mélancolie ou de la pastorale. À mon avis, elle tient son originalité du fonctionnement de la </w:t>
      </w:r>
      <w:r w:rsidRPr="0082625F">
        <w:rPr>
          <w:i/>
          <w:iCs/>
          <w:lang w:val="fr-FR"/>
        </w:rPr>
        <w:t>Recouvrance’</w:t>
      </w:r>
      <w:r w:rsidRPr="0082625F">
        <w:rPr>
          <w:lang w:val="fr-FR"/>
        </w:rPr>
        <w:t xml:space="preserve">, Thierry Glon, ‘Écrivains de la “recouvrance” (de 1960 à 1980)’, in </w:t>
      </w:r>
      <w:r w:rsidRPr="0082625F">
        <w:rPr>
          <w:i/>
          <w:iCs/>
          <w:lang w:val="fr-FR"/>
        </w:rPr>
        <w:t>Écrire la Bretagne 1960–1995</w:t>
      </w:r>
      <w:r w:rsidRPr="0082625F">
        <w:rPr>
          <w:lang w:val="fr-FR"/>
        </w:rPr>
        <w:t xml:space="preserve">, ed. </w:t>
      </w:r>
      <w:proofErr w:type="gramStart"/>
      <w:r w:rsidRPr="0082625F">
        <w:rPr>
          <w:lang w:val="fr-FR"/>
        </w:rPr>
        <w:t>by</w:t>
      </w:r>
      <w:proofErr w:type="gramEnd"/>
      <w:r w:rsidRPr="0082625F">
        <w:rPr>
          <w:lang w:val="fr-FR"/>
        </w:rPr>
        <w:t xml:space="preserve"> Bernard Hue and Marc Gontard, </w:t>
      </w:r>
      <w:r w:rsidRPr="0082625F">
        <w:rPr>
          <w:i/>
          <w:iCs/>
          <w:lang w:val="fr-FR"/>
        </w:rPr>
        <w:t xml:space="preserve">Plurial 5 </w:t>
      </w:r>
      <w:r w:rsidRPr="0082625F">
        <w:rPr>
          <w:lang w:val="fr-FR"/>
        </w:rPr>
        <w:t>(Rennes: Presses universitaires de Rennes, 1995), pp.33–52 (p.52).</w:t>
      </w:r>
    </w:p>
  </w:footnote>
  <w:footnote w:id="41">
    <w:p w14:paraId="3ABE1AB8" w14:textId="77777777" w:rsidR="00B46E28" w:rsidRPr="0082625F" w:rsidRDefault="00B46E28" w:rsidP="00B46E28">
      <w:pPr>
        <w:pStyle w:val="FootnoteText"/>
        <w:rPr>
          <w:lang w:val="fr-FR"/>
        </w:rPr>
      </w:pPr>
      <w:r>
        <w:rPr>
          <w:rStyle w:val="FootnoteReference"/>
        </w:rPr>
        <w:footnoteRef/>
      </w:r>
      <w:r w:rsidRPr="0082625F">
        <w:rPr>
          <w:lang w:val="fr-FR"/>
        </w:rPr>
        <w:tab/>
        <w:t>Ibid., p.51.</w:t>
      </w:r>
    </w:p>
  </w:footnote>
  <w:footnote w:id="42">
    <w:p w14:paraId="2A13CCA0" w14:textId="77777777" w:rsidR="00B46E28" w:rsidRPr="0082625F" w:rsidRDefault="00B46E28" w:rsidP="00B46E28">
      <w:pPr>
        <w:pStyle w:val="FootnoteText"/>
        <w:rPr>
          <w:lang w:val="fr-FR"/>
        </w:rPr>
      </w:pPr>
      <w:r>
        <w:rPr>
          <w:rStyle w:val="FootnoteReference"/>
        </w:rPr>
        <w:footnoteRef/>
      </w:r>
      <w:r w:rsidRPr="0082625F">
        <w:rPr>
          <w:lang w:val="fr-FR"/>
        </w:rPr>
        <w:tab/>
        <w:t xml:space="preserve">Thierry Glon, ‘Xavier Grall et la recouvrance’, in </w:t>
      </w:r>
      <w:proofErr w:type="gramStart"/>
      <w:r w:rsidRPr="0082625F">
        <w:rPr>
          <w:i/>
          <w:lang w:val="fr-FR"/>
        </w:rPr>
        <w:t>Bretagne:</w:t>
      </w:r>
      <w:proofErr w:type="gramEnd"/>
      <w:r w:rsidRPr="0082625F">
        <w:rPr>
          <w:i/>
          <w:lang w:val="fr-FR"/>
        </w:rPr>
        <w:t xml:space="preserve"> l’autre et l’ailleurs</w:t>
      </w:r>
      <w:r w:rsidRPr="0082625F">
        <w:rPr>
          <w:lang w:val="fr-FR"/>
        </w:rPr>
        <w:t xml:space="preserve">, ed. </w:t>
      </w:r>
      <w:proofErr w:type="gramStart"/>
      <w:r w:rsidRPr="0082625F">
        <w:rPr>
          <w:lang w:val="fr-FR"/>
        </w:rPr>
        <w:t>by</w:t>
      </w:r>
      <w:proofErr w:type="gramEnd"/>
      <w:r w:rsidRPr="0082625F">
        <w:rPr>
          <w:lang w:val="fr-FR"/>
        </w:rPr>
        <w:t xml:space="preserve"> Marc Gontard, </w:t>
      </w:r>
      <w:r w:rsidRPr="0082625F">
        <w:rPr>
          <w:i/>
          <w:lang w:val="fr-FR"/>
        </w:rPr>
        <w:t xml:space="preserve">Plurial 8 </w:t>
      </w:r>
      <w:r w:rsidRPr="0082625F">
        <w:rPr>
          <w:lang w:val="fr-FR"/>
        </w:rPr>
        <w:t>(Rennes: Presses universitaires de Rennes, 1999), pp.58–75.</w:t>
      </w:r>
    </w:p>
  </w:footnote>
  <w:footnote w:id="43">
    <w:p w14:paraId="549DF06A" w14:textId="77777777" w:rsidR="00B46E28" w:rsidRDefault="00B46E28" w:rsidP="00B46E28">
      <w:pPr>
        <w:pStyle w:val="FootnoteText"/>
      </w:pPr>
      <w:r>
        <w:rPr>
          <w:rStyle w:val="FootnoteReference"/>
        </w:rPr>
        <w:footnoteRef/>
      </w:r>
      <w:r w:rsidRPr="0082625F">
        <w:rPr>
          <w:lang w:val="fr-FR"/>
        </w:rPr>
        <w:tab/>
        <w:t xml:space="preserve">Xavier Grall, </w:t>
      </w:r>
      <w:r w:rsidRPr="0082625F">
        <w:rPr>
          <w:i/>
          <w:lang w:val="fr-FR"/>
        </w:rPr>
        <w:t xml:space="preserve">Le Cheval </w:t>
      </w:r>
      <w:proofErr w:type="gramStart"/>
      <w:r w:rsidRPr="0082625F">
        <w:rPr>
          <w:i/>
          <w:lang w:val="fr-FR"/>
        </w:rPr>
        <w:t>couché:</w:t>
      </w:r>
      <w:proofErr w:type="gramEnd"/>
      <w:r w:rsidRPr="0082625F">
        <w:rPr>
          <w:i/>
          <w:lang w:val="fr-FR"/>
        </w:rPr>
        <w:t xml:space="preserve"> réponse au cheval d’orgueil</w:t>
      </w:r>
      <w:r w:rsidRPr="0082625F">
        <w:rPr>
          <w:lang w:val="fr-FR"/>
        </w:rPr>
        <w:t xml:space="preserve"> (Paris: Hachette, 1977). </w:t>
      </w:r>
      <w:r>
        <w:t>This was, as the title suggests, a direct reaction to Hélias’s book.</w:t>
      </w:r>
    </w:p>
  </w:footnote>
  <w:footnote w:id="44">
    <w:p w14:paraId="4A1CE7A0" w14:textId="77777777" w:rsidR="00B46E28" w:rsidRPr="0082625F" w:rsidRDefault="00B46E28" w:rsidP="00B46E28">
      <w:pPr>
        <w:pStyle w:val="FootnoteText"/>
        <w:rPr>
          <w:lang w:val="fr-FR"/>
        </w:rPr>
      </w:pPr>
      <w:r>
        <w:rPr>
          <w:rStyle w:val="FootnoteReference"/>
        </w:rPr>
        <w:footnoteRef/>
      </w:r>
      <w:r w:rsidRPr="0082625F">
        <w:rPr>
          <w:lang w:val="fr-FR"/>
        </w:rPr>
        <w:tab/>
        <w:t xml:space="preserve">In </w:t>
      </w:r>
      <w:r w:rsidRPr="0082625F">
        <w:rPr>
          <w:i/>
          <w:iCs/>
          <w:lang w:val="fr-FR"/>
        </w:rPr>
        <w:t xml:space="preserve">Métissage du </w:t>
      </w:r>
      <w:proofErr w:type="gramStart"/>
      <w:r w:rsidRPr="0082625F">
        <w:rPr>
          <w:i/>
          <w:iCs/>
          <w:lang w:val="fr-FR"/>
        </w:rPr>
        <w:t>texte:</w:t>
      </w:r>
      <w:proofErr w:type="gramEnd"/>
      <w:r w:rsidRPr="0082625F">
        <w:rPr>
          <w:i/>
          <w:iCs/>
          <w:lang w:val="fr-FR"/>
        </w:rPr>
        <w:t xml:space="preserve"> Bretagne, Maghreb, Québec</w:t>
      </w:r>
      <w:r w:rsidRPr="0082625F">
        <w:rPr>
          <w:lang w:val="fr-FR"/>
        </w:rPr>
        <w:t xml:space="preserve">, ed. </w:t>
      </w:r>
      <w:proofErr w:type="gramStart"/>
      <w:r w:rsidRPr="0082625F">
        <w:rPr>
          <w:lang w:val="fr-FR"/>
        </w:rPr>
        <w:t>by</w:t>
      </w:r>
      <w:proofErr w:type="gramEnd"/>
      <w:r w:rsidRPr="0082625F">
        <w:rPr>
          <w:lang w:val="fr-FR"/>
        </w:rPr>
        <w:t xml:space="preserve"> Bernard Hue, </w:t>
      </w:r>
      <w:r w:rsidRPr="0082625F">
        <w:rPr>
          <w:iCs/>
          <w:lang w:val="fr-FR"/>
        </w:rPr>
        <w:t>Plurial</w:t>
      </w:r>
      <w:r w:rsidRPr="0082625F">
        <w:rPr>
          <w:lang w:val="fr-FR"/>
        </w:rPr>
        <w:t>, 4 (1994), pp.27–39.</w:t>
      </w:r>
    </w:p>
  </w:footnote>
  <w:footnote w:id="45">
    <w:p w14:paraId="51EECC27" w14:textId="77777777" w:rsidR="00B46E28" w:rsidRDefault="00B46E28" w:rsidP="00B46E28">
      <w:pPr>
        <w:pStyle w:val="FootnoteText"/>
      </w:pPr>
      <w:r>
        <w:rPr>
          <w:rStyle w:val="FootnoteReference"/>
        </w:rPr>
        <w:footnoteRef/>
      </w:r>
      <w:r>
        <w:tab/>
        <w:t>(Paris: L’Harmattan, 1982).</w:t>
      </w:r>
    </w:p>
  </w:footnote>
  <w:footnote w:id="46">
    <w:p w14:paraId="511AC4A4" w14:textId="77777777" w:rsidR="00B46E28" w:rsidRDefault="00B46E28" w:rsidP="00B46E28">
      <w:pPr>
        <w:pStyle w:val="FootnoteText"/>
      </w:pPr>
      <w:r>
        <w:rPr>
          <w:rStyle w:val="FootnoteReference"/>
        </w:rPr>
        <w:footnoteRef/>
      </w:r>
      <w:r>
        <w:tab/>
      </w:r>
      <w:r>
        <w:rPr>
          <w:i/>
        </w:rPr>
        <w:t>Creating the Nation</w:t>
      </w:r>
      <w:r>
        <w:t xml:space="preserve"> (Princeton: Princeton University Press, 1995), p.5. </w:t>
      </w:r>
    </w:p>
  </w:footnote>
  <w:footnote w:id="47">
    <w:p w14:paraId="0AF6A491" w14:textId="77777777" w:rsidR="00B46E28" w:rsidRDefault="00B46E28" w:rsidP="00B46E28">
      <w:pPr>
        <w:pStyle w:val="FootnoteText"/>
        <w:tabs>
          <w:tab w:val="left" w:pos="720"/>
          <w:tab w:val="left" w:pos="1485"/>
        </w:tabs>
      </w:pPr>
      <w:r>
        <w:rPr>
          <w:rStyle w:val="FootnoteReference"/>
        </w:rPr>
        <w:footnoteRef/>
      </w:r>
      <w:r>
        <w:tab/>
        <w:t>Ibid., p.9.</w:t>
      </w:r>
      <w:r>
        <w:tab/>
      </w:r>
    </w:p>
  </w:footnote>
  <w:footnote w:id="48">
    <w:p w14:paraId="3314121D" w14:textId="77777777" w:rsidR="00B46E28" w:rsidRDefault="00B46E28" w:rsidP="00B46E28">
      <w:pPr>
        <w:pStyle w:val="FootnoteText"/>
      </w:pPr>
      <w:r>
        <w:rPr>
          <w:rStyle w:val="FootnoteReference"/>
        </w:rPr>
        <w:footnoteRef/>
      </w:r>
      <w:r>
        <w:tab/>
        <w:t>(London/New Haven: Yale University Press, 1994), p.10.</w:t>
      </w:r>
    </w:p>
  </w:footnote>
  <w:footnote w:id="49">
    <w:p w14:paraId="2407A84C" w14:textId="77777777" w:rsidR="00B46E28" w:rsidRPr="0082625F" w:rsidRDefault="00B46E28" w:rsidP="00B46E28">
      <w:pPr>
        <w:pStyle w:val="FootnoteText"/>
        <w:rPr>
          <w:lang w:val="fr-FR"/>
        </w:rPr>
      </w:pPr>
      <w:r>
        <w:rPr>
          <w:rStyle w:val="FootnoteReference"/>
        </w:rPr>
        <w:footnoteRef/>
      </w:r>
      <w:r w:rsidRPr="0082625F">
        <w:rPr>
          <w:lang w:val="fr-FR"/>
        </w:rPr>
        <w:tab/>
      </w:r>
      <w:r w:rsidRPr="0082625F">
        <w:rPr>
          <w:i/>
          <w:iCs/>
          <w:lang w:val="fr-FR"/>
        </w:rPr>
        <w:t xml:space="preserve">Le </w:t>
      </w:r>
      <w:proofErr w:type="gramStart"/>
      <w:r w:rsidRPr="0082625F">
        <w:rPr>
          <w:i/>
          <w:iCs/>
          <w:lang w:val="fr-FR"/>
        </w:rPr>
        <w:t>Bretonisme</w:t>
      </w:r>
      <w:r w:rsidRPr="0082625F">
        <w:rPr>
          <w:i/>
          <w:lang w:val="fr-FR"/>
        </w:rPr>
        <w:t>:</w:t>
      </w:r>
      <w:proofErr w:type="gramEnd"/>
      <w:r w:rsidRPr="0082625F">
        <w:rPr>
          <w:i/>
          <w:lang w:val="fr-FR"/>
        </w:rPr>
        <w:t xml:space="preserve"> Les historiens bretons au XIXe siècle</w:t>
      </w:r>
      <w:r w:rsidRPr="0082625F">
        <w:rPr>
          <w:lang w:val="fr-FR"/>
        </w:rPr>
        <w:t xml:space="preserve"> (Mayenne: Imprimerie de la Manutention, 1987), p.88.</w:t>
      </w:r>
    </w:p>
  </w:footnote>
  <w:footnote w:id="50">
    <w:p w14:paraId="54D02335" w14:textId="77777777" w:rsidR="00B46E28" w:rsidRDefault="00B46E28" w:rsidP="00B46E28">
      <w:pPr>
        <w:pStyle w:val="FootnoteText"/>
      </w:pPr>
      <w:r>
        <w:rPr>
          <w:rStyle w:val="FootnoteReference"/>
        </w:rPr>
        <w:footnoteRef/>
      </w:r>
      <w:r>
        <w:tab/>
        <w:t xml:space="preserve">For a recent discussion of this problem see Charles Forsdick and David Murphy, ‘Introduction’, in </w:t>
      </w:r>
      <w:r>
        <w:rPr>
          <w:i/>
          <w:iCs/>
        </w:rPr>
        <w:t>Francophone Postcolonial Studies</w:t>
      </w:r>
      <w:r>
        <w:t>, pp.1–14.</w:t>
      </w:r>
    </w:p>
  </w:footnote>
  <w:footnote w:id="51">
    <w:p w14:paraId="4FE3798D" w14:textId="77777777" w:rsidR="00B46E28" w:rsidRDefault="00B46E28" w:rsidP="00B46E28">
      <w:pPr>
        <w:pStyle w:val="FootnoteText"/>
      </w:pPr>
      <w:r>
        <w:rPr>
          <w:rStyle w:val="FootnoteReference"/>
        </w:rPr>
        <w:footnoteRef/>
      </w:r>
      <w:r>
        <w:tab/>
        <w:t xml:space="preserve">Edward W. Said, </w:t>
      </w:r>
      <w:r>
        <w:rPr>
          <w:i/>
        </w:rPr>
        <w:t>Orientalism</w:t>
      </w:r>
      <w:r>
        <w:t xml:space="preserve"> ((London: Penguin, 1995), first published 1978.</w:t>
      </w:r>
    </w:p>
  </w:footnote>
  <w:footnote w:id="52">
    <w:p w14:paraId="64BAF322" w14:textId="77777777" w:rsidR="00B46E28" w:rsidRDefault="00B46E28" w:rsidP="00B46E28">
      <w:pPr>
        <w:pStyle w:val="FootnoteText"/>
      </w:pPr>
      <w:r>
        <w:rPr>
          <w:rStyle w:val="FootnoteReference"/>
        </w:rPr>
        <w:footnoteRef/>
      </w:r>
      <w:r>
        <w:tab/>
        <w:t xml:space="preserve">In his </w:t>
      </w:r>
      <w:r>
        <w:rPr>
          <w:i/>
          <w:iCs/>
        </w:rPr>
        <w:t>Ascendancy and Tradition in Anglo-Irish Literary History from 1789–1939</w:t>
      </w:r>
      <w:r>
        <w:t xml:space="preserve"> (Oxford: Clarendon Press, 1985); see especially p.220. See also Declan Kiberd, </w:t>
      </w:r>
      <w:r>
        <w:rPr>
          <w:i/>
          <w:iCs/>
        </w:rPr>
        <w:t>Inventing Ireland: The Literature of the Modern Nation</w:t>
      </w:r>
      <w:r>
        <w:t xml:space="preserve"> (London: Vintage, 1996), p.6. </w:t>
      </w:r>
    </w:p>
  </w:footnote>
  <w:footnote w:id="53">
    <w:p w14:paraId="730E422E" w14:textId="77777777" w:rsidR="00B46E28" w:rsidRDefault="00B46E28" w:rsidP="00B46E28">
      <w:pPr>
        <w:pStyle w:val="FootnoteText"/>
      </w:pPr>
      <w:r>
        <w:rPr>
          <w:rStyle w:val="FootnoteReference"/>
        </w:rPr>
        <w:footnoteRef/>
      </w:r>
      <w:r>
        <w:tab/>
      </w:r>
      <w:r>
        <w:rPr>
          <w:i/>
        </w:rPr>
        <w:t>The Celts: The Construction of a Myth</w:t>
      </w:r>
      <w:r>
        <w:t xml:space="preserve"> (London: Macmillan, 1992), p.215.</w:t>
      </w:r>
    </w:p>
  </w:footnote>
  <w:footnote w:id="54">
    <w:p w14:paraId="050DCEF5" w14:textId="77777777" w:rsidR="00B46E28" w:rsidRDefault="00B46E28" w:rsidP="00B46E28">
      <w:pPr>
        <w:pStyle w:val="FootnoteText"/>
      </w:pPr>
      <w:r>
        <w:rPr>
          <w:rStyle w:val="FootnoteReference"/>
        </w:rPr>
        <w:footnoteRef/>
      </w:r>
      <w:r>
        <w:tab/>
        <w:t xml:space="preserve">Malcolm Chapman, </w:t>
      </w:r>
      <w:r>
        <w:rPr>
          <w:i/>
          <w:iCs/>
        </w:rPr>
        <w:t>The Gaelic Vision in Scottish Culture</w:t>
      </w:r>
      <w:r>
        <w:t xml:space="preserve"> (London: Croom Helm, 1978), p.84.</w:t>
      </w:r>
    </w:p>
  </w:footnote>
  <w:footnote w:id="55">
    <w:p w14:paraId="7DC9445F" w14:textId="77777777" w:rsidR="00B46E28" w:rsidRDefault="00B46E28" w:rsidP="00B46E28">
      <w:pPr>
        <w:pStyle w:val="FootnoteText"/>
      </w:pPr>
      <w:r>
        <w:rPr>
          <w:rStyle w:val="FootnoteReference"/>
        </w:rPr>
        <w:footnoteRef/>
      </w:r>
      <w:r>
        <w:tab/>
        <w:t xml:space="preserve">Malcolm Chapman, </w:t>
      </w:r>
      <w:r>
        <w:rPr>
          <w:i/>
          <w:iCs/>
        </w:rPr>
        <w:t>The Gaelic Vision</w:t>
      </w:r>
      <w:r>
        <w:t>, p.224.</w:t>
      </w:r>
    </w:p>
  </w:footnote>
  <w:footnote w:id="56">
    <w:p w14:paraId="2D50F9A2" w14:textId="77777777" w:rsidR="00B46E28" w:rsidRDefault="00B46E28" w:rsidP="00B46E28">
      <w:pPr>
        <w:pStyle w:val="FootnoteText"/>
      </w:pPr>
      <w:r>
        <w:rPr>
          <w:rStyle w:val="FootnoteReference"/>
        </w:rPr>
        <w:footnoteRef/>
      </w:r>
      <w:r>
        <w:tab/>
        <w:t>ed. by Eric Hobsbawm and Terence Ranger (Cambridge: Cambridge University Press, 1983), reprinted Canto, 1992.</w:t>
      </w:r>
    </w:p>
  </w:footnote>
  <w:footnote w:id="57">
    <w:p w14:paraId="16857EEA" w14:textId="77777777" w:rsidR="00B46E28" w:rsidRPr="0082625F" w:rsidRDefault="00B46E28" w:rsidP="00B46E28">
      <w:pPr>
        <w:pStyle w:val="FootnoteText"/>
        <w:rPr>
          <w:lang w:val="fr-FR"/>
        </w:rPr>
      </w:pPr>
      <w:r>
        <w:rPr>
          <w:rStyle w:val="FootnoteReference"/>
        </w:rPr>
        <w:footnoteRef/>
      </w:r>
      <w:r w:rsidRPr="0082625F">
        <w:rPr>
          <w:lang w:val="fr-FR"/>
        </w:rPr>
        <w:tab/>
        <w:t>(</w:t>
      </w:r>
      <w:proofErr w:type="gramStart"/>
      <w:r w:rsidRPr="0082625F">
        <w:rPr>
          <w:lang w:val="fr-FR"/>
        </w:rPr>
        <w:t>Amsterdam:</w:t>
      </w:r>
      <w:proofErr w:type="gramEnd"/>
      <w:r w:rsidRPr="0082625F">
        <w:rPr>
          <w:lang w:val="fr-FR"/>
        </w:rPr>
        <w:t xml:space="preserve"> Rodopi, 1996).</w:t>
      </w:r>
    </w:p>
  </w:footnote>
  <w:footnote w:id="58">
    <w:p w14:paraId="1A62A04A" w14:textId="77777777" w:rsidR="00B46E28" w:rsidRPr="0082625F" w:rsidRDefault="00B46E28" w:rsidP="00B46E28">
      <w:pPr>
        <w:pStyle w:val="FootnoteText"/>
        <w:rPr>
          <w:lang w:val="fr-FR"/>
        </w:rPr>
      </w:pPr>
      <w:r>
        <w:rPr>
          <w:rStyle w:val="FootnoteReference"/>
        </w:rPr>
        <w:footnoteRef/>
      </w:r>
      <w:r w:rsidRPr="0082625F">
        <w:rPr>
          <w:lang w:val="fr-FR"/>
        </w:rPr>
        <w:tab/>
        <w:t xml:space="preserve">Marcel Proust, </w:t>
      </w:r>
      <w:r w:rsidRPr="0082625F">
        <w:rPr>
          <w:i/>
          <w:lang w:val="fr-FR"/>
        </w:rPr>
        <w:t>Contre Sainte-Beuve</w:t>
      </w:r>
      <w:r w:rsidRPr="0082625F">
        <w:rPr>
          <w:lang w:val="fr-FR"/>
        </w:rPr>
        <w:t>, (</w:t>
      </w:r>
      <w:proofErr w:type="gramStart"/>
      <w:r w:rsidRPr="0082625F">
        <w:rPr>
          <w:lang w:val="fr-FR"/>
        </w:rPr>
        <w:t>Paris:</w:t>
      </w:r>
      <w:proofErr w:type="gramEnd"/>
      <w:r w:rsidRPr="0082625F">
        <w:rPr>
          <w:lang w:val="fr-FR"/>
        </w:rPr>
        <w:t xml:space="preserve"> Gallimard, 1954), p.189. </w:t>
      </w:r>
    </w:p>
  </w:footnote>
  <w:footnote w:id="59">
    <w:p w14:paraId="54AC0315" w14:textId="77777777" w:rsidR="00B46E28" w:rsidRPr="0082625F" w:rsidRDefault="00B46E28" w:rsidP="00B46E28">
      <w:pPr>
        <w:pStyle w:val="FootnoteText"/>
        <w:rPr>
          <w:lang w:val="fr-FR"/>
        </w:rPr>
      </w:pPr>
      <w:r>
        <w:rPr>
          <w:rStyle w:val="FootnoteReference"/>
        </w:rPr>
        <w:footnoteRef/>
      </w:r>
      <w:r w:rsidRPr="0082625F">
        <w:rPr>
          <w:lang w:val="fr-FR"/>
        </w:rPr>
        <w:tab/>
        <w:t xml:space="preserve">Marcel Proust, </w:t>
      </w:r>
      <w:r w:rsidRPr="0082625F">
        <w:rPr>
          <w:i/>
          <w:lang w:val="fr-FR"/>
        </w:rPr>
        <w:t>A la recherche du temps perdu</w:t>
      </w:r>
      <w:r w:rsidRPr="0082625F">
        <w:rPr>
          <w:iCs/>
          <w:lang w:val="fr-FR"/>
        </w:rPr>
        <w:t xml:space="preserve">, ed. </w:t>
      </w:r>
      <w:proofErr w:type="gramStart"/>
      <w:r w:rsidRPr="0082625F">
        <w:rPr>
          <w:iCs/>
          <w:lang w:val="fr-FR"/>
        </w:rPr>
        <w:t>by</w:t>
      </w:r>
      <w:proofErr w:type="gramEnd"/>
      <w:r w:rsidRPr="0082625F">
        <w:rPr>
          <w:iCs/>
          <w:lang w:val="fr-FR"/>
        </w:rPr>
        <w:t xml:space="preserve"> Jean-Yves Tadié, </w:t>
      </w:r>
      <w:r w:rsidRPr="0082625F">
        <w:rPr>
          <w:lang w:val="fr-FR"/>
        </w:rPr>
        <w:t xml:space="preserve">Bibliothèque de la Pléiade (Paris: Gallimard, 1987), 4 vols, </w:t>
      </w:r>
      <w:r w:rsidRPr="0082625F">
        <w:rPr>
          <w:smallCaps/>
          <w:lang w:val="fr-FR"/>
        </w:rPr>
        <w:t>i</w:t>
      </w:r>
      <w:r w:rsidRPr="0082625F">
        <w:rPr>
          <w:lang w:val="fr-FR"/>
        </w:rPr>
        <w:t>, 85.</w:t>
      </w:r>
    </w:p>
  </w:footnote>
  <w:footnote w:id="60">
    <w:p w14:paraId="65FF326A" w14:textId="77777777" w:rsidR="00B46E28" w:rsidRDefault="00B46E28" w:rsidP="00B46E28">
      <w:pPr>
        <w:pStyle w:val="FootnoteText"/>
      </w:pPr>
      <w:r>
        <w:rPr>
          <w:rStyle w:val="FootnoteReference"/>
        </w:rPr>
        <w:footnoteRef/>
      </w:r>
      <w:r>
        <w:tab/>
        <w:t xml:space="preserve">See Michael Riffaterre, </w:t>
      </w:r>
      <w:r>
        <w:rPr>
          <w:i/>
        </w:rPr>
        <w:t>The Semiotics of Poetry</w:t>
      </w:r>
      <w:r>
        <w:t xml:space="preserve"> (Bloomington and London: Indiana University Press, 1978). See also Paul Zumthor’s </w:t>
      </w:r>
      <w:proofErr w:type="gramStart"/>
      <w:r>
        <w:t>lexically-based</w:t>
      </w:r>
      <w:proofErr w:type="gramEnd"/>
      <w:r>
        <w:t xml:space="preserve"> history of ‘space’ </w:t>
      </w:r>
      <w:r>
        <w:rPr>
          <w:i/>
        </w:rPr>
        <w:t>La Mesure du monde</w:t>
      </w:r>
      <w:r>
        <w:t xml:space="preserve"> (Paris: Seuil, 1993).</w:t>
      </w:r>
    </w:p>
  </w:footnote>
  <w:footnote w:id="61">
    <w:p w14:paraId="0A3DFB08" w14:textId="77777777" w:rsidR="00B46E28" w:rsidRPr="0082625F" w:rsidRDefault="00B46E28" w:rsidP="00B46E28">
      <w:pPr>
        <w:pStyle w:val="FootnoteText"/>
        <w:rPr>
          <w:lang w:val="fr-FR"/>
        </w:rPr>
      </w:pPr>
      <w:r>
        <w:rPr>
          <w:rStyle w:val="FootnoteReference"/>
        </w:rPr>
        <w:footnoteRef/>
      </w:r>
      <w:r w:rsidRPr="0082625F">
        <w:rPr>
          <w:lang w:val="fr-FR"/>
        </w:rPr>
        <w:tab/>
        <w:t xml:space="preserve">He mentions the writer by name, </w:t>
      </w:r>
      <w:r w:rsidRPr="0082625F">
        <w:rPr>
          <w:i/>
          <w:iCs/>
          <w:lang w:val="fr-FR"/>
        </w:rPr>
        <w:t xml:space="preserve">Mémoires </w:t>
      </w:r>
      <w:r w:rsidRPr="0082625F">
        <w:rPr>
          <w:i/>
          <w:lang w:val="fr-FR"/>
        </w:rPr>
        <w:t>d’un touriste</w:t>
      </w:r>
      <w:r w:rsidRPr="0082625F">
        <w:rPr>
          <w:lang w:val="fr-FR"/>
        </w:rPr>
        <w:t>, 2 vols (</w:t>
      </w:r>
      <w:proofErr w:type="gramStart"/>
      <w:r w:rsidRPr="0082625F">
        <w:rPr>
          <w:lang w:val="fr-FR"/>
        </w:rPr>
        <w:t>Paris:</w:t>
      </w:r>
      <w:proofErr w:type="gramEnd"/>
      <w:r w:rsidRPr="0082625F">
        <w:rPr>
          <w:lang w:val="fr-FR"/>
        </w:rPr>
        <w:t xml:space="preserve"> Calmann-Lévy, 1854), </w:t>
      </w:r>
      <w:r w:rsidRPr="0082625F">
        <w:rPr>
          <w:smallCaps/>
          <w:lang w:val="fr-FR"/>
        </w:rPr>
        <w:t>ii,</w:t>
      </w:r>
      <w:r w:rsidRPr="0082625F">
        <w:rPr>
          <w:lang w:val="fr-FR"/>
        </w:rPr>
        <w:t xml:space="preserve"> 6, 7, and later describes people and conversations as ‘tout à fait dans le genre de celles de </w:t>
      </w:r>
      <w:r w:rsidRPr="0082625F">
        <w:rPr>
          <w:i/>
          <w:iCs/>
          <w:lang w:val="fr-FR"/>
        </w:rPr>
        <w:t>Waverley’</w:t>
      </w:r>
      <w:r w:rsidRPr="0082625F">
        <w:rPr>
          <w:lang w:val="fr-FR"/>
        </w:rPr>
        <w:t xml:space="preserve">, </w:t>
      </w:r>
      <w:r w:rsidRPr="0082625F">
        <w:rPr>
          <w:smallCaps/>
          <w:lang w:val="fr-FR"/>
        </w:rPr>
        <w:t xml:space="preserve">ii, </w:t>
      </w:r>
      <w:r w:rsidRPr="0082625F">
        <w:rPr>
          <w:lang w:val="fr-FR"/>
        </w:rPr>
        <w:t xml:space="preserve">10. </w:t>
      </w:r>
    </w:p>
  </w:footnote>
  <w:footnote w:id="62">
    <w:p w14:paraId="06D41250" w14:textId="77777777" w:rsidR="00B46E28" w:rsidRPr="0082625F" w:rsidRDefault="00B46E28" w:rsidP="00B46E28">
      <w:pPr>
        <w:pStyle w:val="FootnoteText"/>
        <w:rPr>
          <w:lang w:val="fr-FR"/>
        </w:rPr>
      </w:pPr>
      <w:r>
        <w:rPr>
          <w:rStyle w:val="FootnoteReference"/>
        </w:rPr>
        <w:footnoteRef/>
      </w:r>
      <w:r w:rsidRPr="0082625F">
        <w:rPr>
          <w:lang w:val="fr-FR"/>
        </w:rPr>
        <w:tab/>
        <w:t xml:space="preserve">Discussed in Thiesse, </w:t>
      </w:r>
      <w:r w:rsidRPr="0082625F">
        <w:rPr>
          <w:i/>
          <w:lang w:val="fr-FR"/>
        </w:rPr>
        <w:t>Écrire la France</w:t>
      </w:r>
      <w:r w:rsidRPr="0082625F">
        <w:rPr>
          <w:lang w:val="fr-FR"/>
        </w:rPr>
        <w:t>, p.174.</w:t>
      </w:r>
    </w:p>
  </w:footnote>
  <w:footnote w:id="63">
    <w:p w14:paraId="10CF4794" w14:textId="77777777" w:rsidR="00B46E28" w:rsidRPr="0082625F" w:rsidRDefault="00B46E28" w:rsidP="00B46E28">
      <w:pPr>
        <w:pStyle w:val="FootnoteText"/>
        <w:rPr>
          <w:lang w:val="fr-FR"/>
        </w:rPr>
      </w:pPr>
      <w:r>
        <w:rPr>
          <w:rStyle w:val="FootnoteReference"/>
        </w:rPr>
        <w:footnoteRef/>
      </w:r>
      <w:r w:rsidRPr="0082625F">
        <w:rPr>
          <w:lang w:val="fr-FR"/>
        </w:rPr>
        <w:tab/>
        <w:t xml:space="preserve">See Yannick Pelletier, </w:t>
      </w:r>
      <w:r w:rsidRPr="0082625F">
        <w:rPr>
          <w:i/>
          <w:lang w:val="fr-FR"/>
        </w:rPr>
        <w:t>La Bretagne chez Chateaubriand</w:t>
      </w:r>
      <w:r w:rsidRPr="0082625F">
        <w:rPr>
          <w:lang w:val="fr-FR"/>
        </w:rPr>
        <w:t xml:space="preserve"> (</w:t>
      </w:r>
      <w:proofErr w:type="gramStart"/>
      <w:r w:rsidRPr="0082625F">
        <w:rPr>
          <w:lang w:val="fr-FR"/>
        </w:rPr>
        <w:t>Spézet:</w:t>
      </w:r>
      <w:proofErr w:type="gramEnd"/>
      <w:r w:rsidRPr="0082625F">
        <w:rPr>
          <w:lang w:val="fr-FR"/>
        </w:rPr>
        <w:t xml:space="preserve"> Coop Breizh, 1998), p.18. </w:t>
      </w:r>
    </w:p>
  </w:footnote>
  <w:footnote w:id="64">
    <w:p w14:paraId="7AF9BB4C" w14:textId="77777777" w:rsidR="00B46E28" w:rsidRPr="0082625F" w:rsidRDefault="00B46E28" w:rsidP="00B46E28">
      <w:pPr>
        <w:pStyle w:val="FootnoteText"/>
        <w:rPr>
          <w:lang w:val="fr-FR"/>
        </w:rPr>
      </w:pPr>
      <w:r>
        <w:rPr>
          <w:rStyle w:val="FootnoteReference"/>
        </w:rPr>
        <w:footnoteRef/>
      </w:r>
      <w:r w:rsidRPr="0082625F">
        <w:rPr>
          <w:lang w:val="fr-FR"/>
        </w:rPr>
        <w:tab/>
        <w:t xml:space="preserve">See Denise Delouche, ‘Le Mot et l’image dans la vision romantique picturale de la Bretagne’, in </w:t>
      </w:r>
      <w:r w:rsidRPr="0082625F">
        <w:rPr>
          <w:i/>
          <w:lang w:val="fr-FR"/>
        </w:rPr>
        <w:t>Ouest et romantismes</w:t>
      </w:r>
      <w:r w:rsidRPr="0082625F">
        <w:rPr>
          <w:lang w:val="fr-FR"/>
        </w:rPr>
        <w:t xml:space="preserve">, actes du colloque des 6,7,8 et 9 décembre 1990, ed. </w:t>
      </w:r>
      <w:proofErr w:type="gramStart"/>
      <w:r w:rsidRPr="0082625F">
        <w:rPr>
          <w:lang w:val="fr-FR"/>
        </w:rPr>
        <w:t>by</w:t>
      </w:r>
      <w:proofErr w:type="gramEnd"/>
      <w:r w:rsidRPr="0082625F">
        <w:rPr>
          <w:lang w:val="fr-FR"/>
        </w:rPr>
        <w:t xml:space="preserve"> Georges Cesbron (Angers: Presses de L’Université d’Angers, 1991), pp.253–63; ‘Trois ouvrages ont eu un écho privilégié chez les peintres: </w:t>
      </w:r>
      <w:r w:rsidRPr="0082625F">
        <w:rPr>
          <w:i/>
          <w:lang w:val="fr-FR"/>
        </w:rPr>
        <w:t>Les Chouans</w:t>
      </w:r>
      <w:r w:rsidRPr="0082625F">
        <w:rPr>
          <w:lang w:val="fr-FR"/>
        </w:rPr>
        <w:t xml:space="preserve">, </w:t>
      </w:r>
      <w:r w:rsidRPr="0082625F">
        <w:rPr>
          <w:i/>
          <w:lang w:val="fr-FR"/>
        </w:rPr>
        <w:t>Les Martyrs</w:t>
      </w:r>
      <w:r w:rsidRPr="0082625F">
        <w:rPr>
          <w:lang w:val="fr-FR"/>
        </w:rPr>
        <w:t xml:space="preserve">, et </w:t>
      </w:r>
      <w:r w:rsidRPr="0082625F">
        <w:rPr>
          <w:i/>
          <w:lang w:val="fr-FR"/>
        </w:rPr>
        <w:t>Marie</w:t>
      </w:r>
      <w:r w:rsidRPr="0082625F">
        <w:rPr>
          <w:lang w:val="fr-FR"/>
        </w:rPr>
        <w:t xml:space="preserve">’, p.256. See also Denise Delouche, ‘Rencontres de peintres et de poètes en Bretagne au XIXe siècle’, </w:t>
      </w:r>
      <w:r w:rsidRPr="0082625F">
        <w:rPr>
          <w:i/>
          <w:lang w:val="fr-FR"/>
        </w:rPr>
        <w:t>Cahiers d’Iroise</w:t>
      </w:r>
      <w:r w:rsidRPr="0082625F">
        <w:rPr>
          <w:lang w:val="fr-FR"/>
        </w:rPr>
        <w:t xml:space="preserve">, 22e année, No 4 (Nouvelle Série), Octobre–Décembre 1975/4, pp.175–83. The reaction to </w:t>
      </w:r>
      <w:r w:rsidRPr="0082625F">
        <w:rPr>
          <w:i/>
          <w:lang w:val="fr-FR"/>
        </w:rPr>
        <w:t>Marie</w:t>
      </w:r>
      <w:r w:rsidRPr="0082625F">
        <w:rPr>
          <w:lang w:val="fr-FR"/>
        </w:rPr>
        <w:t xml:space="preserve"> is a delayed </w:t>
      </w:r>
      <w:proofErr w:type="gramStart"/>
      <w:r w:rsidRPr="0082625F">
        <w:rPr>
          <w:lang w:val="fr-FR"/>
        </w:rPr>
        <w:t>one:</w:t>
      </w:r>
      <w:proofErr w:type="gramEnd"/>
      <w:r w:rsidRPr="0082625F">
        <w:rPr>
          <w:lang w:val="fr-FR"/>
        </w:rPr>
        <w:t xml:space="preserve"> ‘Cependant, alors que “Marie” a fait l’enthousiasme unanime des critiques, l’écho près des peintres n’est pas immédiat: ceux-ci ont d’abord vu la Bretagne âpre et sauvage évouquée par Chateaubriand dans “Les Martyrs”; c’est lentement, après 1848–50, que la Bretagne agreste et souriante chantée par Brizeux séduit et s’impose, favorisée par le courant général qui porte les artistes vers le monde paysan’, p.176.</w:t>
      </w:r>
    </w:p>
  </w:footnote>
  <w:footnote w:id="65">
    <w:p w14:paraId="59935E33" w14:textId="77777777" w:rsidR="00B46E28" w:rsidRPr="0082625F" w:rsidRDefault="00B46E28" w:rsidP="00B46E28">
      <w:pPr>
        <w:pStyle w:val="FootnoteText"/>
        <w:rPr>
          <w:lang w:val="fr-FR"/>
        </w:rPr>
      </w:pPr>
      <w:r>
        <w:rPr>
          <w:rStyle w:val="FootnoteReference"/>
        </w:rPr>
        <w:footnoteRef/>
      </w:r>
      <w:r w:rsidRPr="0082625F">
        <w:rPr>
          <w:lang w:val="fr-FR"/>
        </w:rPr>
        <w:tab/>
        <w:t xml:space="preserve">Anne Lasserre-Vergne </w:t>
      </w:r>
      <w:proofErr w:type="gramStart"/>
      <w:r w:rsidRPr="0082625F">
        <w:rPr>
          <w:lang w:val="fr-FR"/>
        </w:rPr>
        <w:t>says:</w:t>
      </w:r>
      <w:proofErr w:type="gramEnd"/>
      <w:r w:rsidRPr="0082625F">
        <w:rPr>
          <w:lang w:val="fr-FR"/>
        </w:rPr>
        <w:t xml:space="preserve"> ‘Les Pyrénées n’ont d’intérêt, d’existence, de réalité que dans la mesure où elles renouvellent sans cesse les impressions du voyageur’, </w:t>
      </w:r>
      <w:r w:rsidRPr="0082625F">
        <w:rPr>
          <w:i/>
          <w:iCs/>
          <w:lang w:val="fr-FR"/>
        </w:rPr>
        <w:t>Les Pyrénées centrales dans la littérature française entre 1820 et 1870</w:t>
      </w:r>
      <w:r w:rsidRPr="0082625F">
        <w:rPr>
          <w:lang w:val="fr-FR"/>
        </w:rPr>
        <w:t xml:space="preserve"> (Toulouse: Éché, 1985), p.92. </w:t>
      </w:r>
    </w:p>
  </w:footnote>
  <w:footnote w:id="66">
    <w:p w14:paraId="0591B3A8" w14:textId="77777777" w:rsidR="00B46E28" w:rsidRPr="0082625F" w:rsidRDefault="00B46E28" w:rsidP="00B46E28">
      <w:pPr>
        <w:pStyle w:val="FootnoteText"/>
        <w:rPr>
          <w:lang w:val="fr-FR"/>
        </w:rPr>
      </w:pPr>
      <w:r>
        <w:rPr>
          <w:rStyle w:val="FootnoteReference"/>
        </w:rPr>
        <w:footnoteRef/>
      </w:r>
      <w:r w:rsidRPr="0082625F">
        <w:rPr>
          <w:lang w:val="fr-FR"/>
        </w:rPr>
        <w:tab/>
        <w:t>(</w:t>
      </w:r>
      <w:proofErr w:type="gramStart"/>
      <w:r w:rsidRPr="0082625F">
        <w:rPr>
          <w:lang w:val="fr-FR"/>
        </w:rPr>
        <w:t>Geneva:</w:t>
      </w:r>
      <w:proofErr w:type="gramEnd"/>
      <w:r w:rsidRPr="0082625F">
        <w:rPr>
          <w:lang w:val="fr-FR"/>
        </w:rPr>
        <w:t xml:space="preserve"> Droz, 1947), pp.22–3. For discussion of this aspect see M. Granet, ‘La Nostalgie de l’Ouest dans le livre IV des </w:t>
      </w:r>
      <w:r w:rsidRPr="0082625F">
        <w:rPr>
          <w:i/>
          <w:lang w:val="fr-FR"/>
        </w:rPr>
        <w:t>Mémoires d’outre-tombe</w:t>
      </w:r>
      <w:r w:rsidRPr="0082625F">
        <w:rPr>
          <w:lang w:val="fr-FR"/>
        </w:rPr>
        <w:t xml:space="preserve"> de François de Chateaubriand, une figure de l’intellectuel’, in </w:t>
      </w:r>
      <w:r w:rsidRPr="0082625F">
        <w:rPr>
          <w:i/>
          <w:lang w:val="fr-FR"/>
        </w:rPr>
        <w:t>Ouest et romantismes</w:t>
      </w:r>
      <w:r w:rsidRPr="0082625F">
        <w:rPr>
          <w:lang w:val="fr-FR"/>
        </w:rPr>
        <w:t>, pp.371–</w:t>
      </w:r>
      <w:proofErr w:type="gramStart"/>
      <w:r w:rsidRPr="0082625F">
        <w:rPr>
          <w:lang w:val="fr-FR"/>
        </w:rPr>
        <w:t>80;</w:t>
      </w:r>
      <w:proofErr w:type="gramEnd"/>
      <w:r w:rsidRPr="0082625F">
        <w:rPr>
          <w:lang w:val="fr-FR"/>
        </w:rPr>
        <w:t xml:space="preserve"> Granet explores the paradox that: ‘Il voyage physiquement vers l’Est, mais sentimentalement vers l’Ouest’ (p.371).</w:t>
      </w:r>
    </w:p>
  </w:footnote>
  <w:footnote w:id="67">
    <w:p w14:paraId="41A5E170" w14:textId="77777777" w:rsidR="00B46E28" w:rsidRPr="0082625F" w:rsidRDefault="00B46E28" w:rsidP="00B46E28">
      <w:pPr>
        <w:pStyle w:val="FootnoteText"/>
        <w:rPr>
          <w:lang w:val="fr-FR"/>
        </w:rPr>
      </w:pPr>
      <w:r>
        <w:rPr>
          <w:rStyle w:val="FootnoteReference"/>
        </w:rPr>
        <w:footnoteRef/>
      </w:r>
      <w:r w:rsidRPr="0082625F">
        <w:rPr>
          <w:lang w:val="fr-FR"/>
        </w:rPr>
        <w:tab/>
        <w:t xml:space="preserve">See Heather Williams, ‘Le voyage transculturel de Brizeux’, in </w:t>
      </w:r>
      <w:r w:rsidRPr="0082625F">
        <w:rPr>
          <w:i/>
          <w:iCs/>
          <w:lang w:val="fr-FR"/>
        </w:rPr>
        <w:t xml:space="preserve">Seuils et </w:t>
      </w:r>
      <w:proofErr w:type="gramStart"/>
      <w:r w:rsidRPr="0082625F">
        <w:rPr>
          <w:i/>
          <w:iCs/>
          <w:lang w:val="fr-FR"/>
        </w:rPr>
        <w:t>traverses:</w:t>
      </w:r>
      <w:proofErr w:type="gramEnd"/>
      <w:r w:rsidRPr="0082625F">
        <w:rPr>
          <w:i/>
          <w:iCs/>
          <w:lang w:val="fr-FR"/>
        </w:rPr>
        <w:t xml:space="preserve"> enjeux de l’écriture de voyage</w:t>
      </w:r>
      <w:r w:rsidRPr="0082625F">
        <w:rPr>
          <w:lang w:val="fr-FR"/>
        </w:rPr>
        <w:t xml:space="preserve">, 2 vols, ed. </w:t>
      </w:r>
      <w:proofErr w:type="gramStart"/>
      <w:r w:rsidRPr="0082625F">
        <w:rPr>
          <w:lang w:val="fr-FR"/>
        </w:rPr>
        <w:t>by</w:t>
      </w:r>
      <w:proofErr w:type="gramEnd"/>
      <w:r w:rsidRPr="0082625F">
        <w:rPr>
          <w:lang w:val="fr-FR"/>
        </w:rPr>
        <w:t xml:space="preserve"> Jean-Yves Le Disez (Brest: CRBC, 2002), </w:t>
      </w:r>
      <w:r w:rsidRPr="0082625F">
        <w:rPr>
          <w:smallCaps/>
          <w:lang w:val="fr-FR"/>
        </w:rPr>
        <w:t>i</w:t>
      </w:r>
      <w:r w:rsidRPr="0082625F">
        <w:rPr>
          <w:lang w:val="fr-FR"/>
        </w:rPr>
        <w:t xml:space="preserve">, 275–85, and Eugène Bérest, ‘Les voyageurs français en Bretagne’, in </w:t>
      </w:r>
      <w:r w:rsidRPr="0082625F">
        <w:rPr>
          <w:i/>
          <w:lang w:val="fr-FR"/>
        </w:rPr>
        <w:t>Histoire littéraire et culturelle de la Bretagne</w:t>
      </w:r>
      <w:r w:rsidRPr="0082625F">
        <w:rPr>
          <w:lang w:val="fr-FR"/>
        </w:rPr>
        <w:t xml:space="preserve">, </w:t>
      </w:r>
      <w:r w:rsidRPr="0082625F">
        <w:rPr>
          <w:smallCaps/>
          <w:lang w:val="fr-FR"/>
        </w:rPr>
        <w:t xml:space="preserve">ii, </w:t>
      </w:r>
      <w:r w:rsidRPr="0082625F">
        <w:rPr>
          <w:lang w:val="fr-FR"/>
        </w:rPr>
        <w:t>177–218.</w:t>
      </w:r>
    </w:p>
  </w:footnote>
  <w:footnote w:id="68">
    <w:p w14:paraId="13C66260" w14:textId="77777777" w:rsidR="00B46E28" w:rsidRDefault="00B46E28" w:rsidP="00B46E28">
      <w:pPr>
        <w:pStyle w:val="FootnoteText"/>
      </w:pPr>
      <w:r>
        <w:rPr>
          <w:rStyle w:val="FootnoteReference"/>
        </w:rPr>
        <w:footnoteRef/>
      </w:r>
      <w:r>
        <w:tab/>
      </w:r>
      <w:r>
        <w:rPr>
          <w:i/>
        </w:rPr>
        <w:t>The Empire Writes Back</w:t>
      </w:r>
      <w:r>
        <w:t>, ed. by Ashcroft, Griffiths, Tiffin, p.3.</w:t>
      </w:r>
    </w:p>
  </w:footnote>
  <w:footnote w:id="69">
    <w:p w14:paraId="3CB8CACD" w14:textId="77777777" w:rsidR="00B46E28" w:rsidRPr="0082625F" w:rsidRDefault="00B46E28" w:rsidP="00B46E28">
      <w:pPr>
        <w:pStyle w:val="FootnoteText"/>
        <w:rPr>
          <w:lang w:val="fr-FR"/>
        </w:rPr>
      </w:pPr>
      <w:r>
        <w:rPr>
          <w:rStyle w:val="FootnoteReference"/>
        </w:rPr>
        <w:footnoteRef/>
      </w:r>
      <w:r w:rsidRPr="0082625F">
        <w:rPr>
          <w:lang w:val="fr-FR"/>
        </w:rPr>
        <w:tab/>
        <w:t xml:space="preserve">Guiomar, </w:t>
      </w:r>
      <w:r w:rsidRPr="0082625F">
        <w:rPr>
          <w:i/>
          <w:lang w:val="fr-FR"/>
        </w:rPr>
        <w:t xml:space="preserve">Le </w:t>
      </w:r>
      <w:proofErr w:type="gramStart"/>
      <w:r w:rsidRPr="0082625F">
        <w:rPr>
          <w:i/>
          <w:lang w:val="fr-FR"/>
        </w:rPr>
        <w:t>Bretonisme:</w:t>
      </w:r>
      <w:proofErr w:type="gramEnd"/>
      <w:r w:rsidRPr="0082625F">
        <w:rPr>
          <w:i/>
          <w:lang w:val="fr-FR"/>
        </w:rPr>
        <w:t xml:space="preserve"> les historiens bretons au XIXe siècle</w:t>
      </w:r>
      <w:r w:rsidRPr="0082625F">
        <w:rPr>
          <w:lang w:val="fr-FR"/>
        </w:rPr>
        <w:t xml:space="preserve"> (Mayenne: Imprimerie de la Manutention, 1987), p.254</w:t>
      </w:r>
    </w:p>
  </w:footnote>
  <w:footnote w:id="70">
    <w:p w14:paraId="1848F0B8" w14:textId="77777777" w:rsidR="00B46E28" w:rsidRPr="0082625F" w:rsidRDefault="00B46E28" w:rsidP="00B46E28">
      <w:pPr>
        <w:pStyle w:val="FootnoteText"/>
        <w:rPr>
          <w:lang w:val="fr-FR"/>
        </w:rPr>
      </w:pPr>
      <w:r>
        <w:rPr>
          <w:rStyle w:val="FootnoteReference"/>
        </w:rPr>
        <w:footnoteRef/>
      </w:r>
      <w:r w:rsidRPr="0082625F">
        <w:rPr>
          <w:lang w:val="fr-FR"/>
        </w:rPr>
        <w:tab/>
      </w:r>
      <w:r w:rsidRPr="0082625F">
        <w:rPr>
          <w:i/>
          <w:iCs/>
          <w:lang w:val="fr-FR"/>
        </w:rPr>
        <w:t>Pages/</w:t>
      </w:r>
      <w:proofErr w:type="gramStart"/>
      <w:r w:rsidRPr="0082625F">
        <w:rPr>
          <w:i/>
          <w:iCs/>
          <w:lang w:val="fr-FR"/>
        </w:rPr>
        <w:t>Paysages:</w:t>
      </w:r>
      <w:proofErr w:type="gramEnd"/>
      <w:r w:rsidRPr="0082625F">
        <w:rPr>
          <w:i/>
          <w:iCs/>
          <w:lang w:val="fr-FR"/>
        </w:rPr>
        <w:t xml:space="preserve"> </w:t>
      </w:r>
      <w:r w:rsidRPr="0082625F">
        <w:rPr>
          <w:i/>
          <w:lang w:val="fr-FR"/>
        </w:rPr>
        <w:t>Microlectures II</w:t>
      </w:r>
      <w:r w:rsidRPr="0082625F">
        <w:rPr>
          <w:lang w:val="fr-FR"/>
        </w:rPr>
        <w:t xml:space="preserve">, (Paris: Seuil, 1984). </w:t>
      </w:r>
    </w:p>
  </w:footnote>
  <w:footnote w:id="71">
    <w:p w14:paraId="414778F1" w14:textId="77777777" w:rsidR="00B46E28" w:rsidRPr="0082625F" w:rsidRDefault="00B46E28" w:rsidP="00B46E28">
      <w:pPr>
        <w:pStyle w:val="FootnoteText"/>
        <w:rPr>
          <w:lang w:val="fr-FR"/>
        </w:rPr>
      </w:pPr>
      <w:r>
        <w:rPr>
          <w:rStyle w:val="FootnoteReference"/>
        </w:rPr>
        <w:footnoteRef/>
      </w:r>
      <w:r w:rsidRPr="0082625F">
        <w:rPr>
          <w:lang w:val="fr-FR"/>
        </w:rPr>
        <w:tab/>
        <w:t xml:space="preserve">Avant-propos to </w:t>
      </w:r>
      <w:r w:rsidRPr="0082625F">
        <w:rPr>
          <w:i/>
          <w:lang w:val="fr-FR"/>
        </w:rPr>
        <w:t>Pages/ paysages</w:t>
      </w:r>
      <w:r w:rsidRPr="0082625F">
        <w:rPr>
          <w:lang w:val="fr-FR"/>
        </w:rPr>
        <w:t>, p.7.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6E28"/>
    <w:rsid w:val="00210BE3"/>
    <w:rsid w:val="00B46E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243191"/>
  <w15:chartTrackingRefBased/>
  <w15:docId w15:val="{254ADCD5-B18A-42B2-8E78-2111D30E2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6E28"/>
    <w:pPr>
      <w:spacing w:after="0" w:line="260" w:lineRule="exact"/>
      <w:jc w:val="both"/>
    </w:pPr>
    <w:rPr>
      <w:rFonts w:ascii="Times New Roman" w:eastAsia="Times New Roman" w:hAnsi="Times New Roman" w:cs="Times New Roman"/>
      <w:szCs w:val="24"/>
    </w:rPr>
  </w:style>
  <w:style w:type="paragraph" w:styleId="Heading1">
    <w:name w:val="heading 1"/>
    <w:basedOn w:val="Normal"/>
    <w:next w:val="Normal"/>
    <w:link w:val="Heading1Char"/>
    <w:qFormat/>
    <w:rsid w:val="00B46E28"/>
    <w:pPr>
      <w:keepNext/>
      <w:pageBreakBefore/>
      <w:spacing w:after="1040" w:line="340" w:lineRule="exact"/>
      <w:outlineLvl w:val="0"/>
    </w:pPr>
    <w:rPr>
      <w:bCs/>
      <w:color w:val="000000"/>
      <w:sz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46E28"/>
    <w:rPr>
      <w:rFonts w:ascii="Times New Roman" w:eastAsia="Times New Roman" w:hAnsi="Times New Roman" w:cs="Times New Roman"/>
      <w:bCs/>
      <w:color w:val="000000"/>
      <w:sz w:val="30"/>
      <w:szCs w:val="24"/>
    </w:rPr>
  </w:style>
  <w:style w:type="character" w:styleId="FootnoteReference">
    <w:name w:val="footnote reference"/>
    <w:basedOn w:val="DefaultParagraphFont"/>
    <w:semiHidden/>
    <w:rsid w:val="00B46E28"/>
    <w:rPr>
      <w:vertAlign w:val="superscript"/>
    </w:rPr>
  </w:style>
  <w:style w:type="paragraph" w:styleId="BodyText">
    <w:name w:val="Body Text"/>
    <w:basedOn w:val="Normal"/>
    <w:link w:val="BodyTextChar"/>
    <w:semiHidden/>
    <w:rsid w:val="00B46E28"/>
    <w:rPr>
      <w:rFonts w:cs="Arial"/>
    </w:rPr>
  </w:style>
  <w:style w:type="character" w:customStyle="1" w:styleId="BodyTextChar">
    <w:name w:val="Body Text Char"/>
    <w:basedOn w:val="DefaultParagraphFont"/>
    <w:link w:val="BodyText"/>
    <w:semiHidden/>
    <w:rsid w:val="00B46E28"/>
    <w:rPr>
      <w:rFonts w:ascii="Times New Roman" w:eastAsia="Times New Roman" w:hAnsi="Times New Roman" w:cs="Arial"/>
      <w:szCs w:val="24"/>
    </w:rPr>
  </w:style>
  <w:style w:type="paragraph" w:styleId="FootnoteText">
    <w:name w:val="footnote text"/>
    <w:basedOn w:val="Normal"/>
    <w:link w:val="FootnoteTextChar"/>
    <w:semiHidden/>
    <w:rsid w:val="00B46E28"/>
    <w:pPr>
      <w:tabs>
        <w:tab w:val="left" w:pos="454"/>
      </w:tabs>
      <w:overflowPunct w:val="0"/>
      <w:autoSpaceDE w:val="0"/>
      <w:autoSpaceDN w:val="0"/>
      <w:adjustRightInd w:val="0"/>
      <w:spacing w:line="220" w:lineRule="exact"/>
      <w:ind w:left="454" w:hanging="454"/>
      <w:textAlignment w:val="baseline"/>
    </w:pPr>
    <w:rPr>
      <w:sz w:val="18"/>
      <w:szCs w:val="20"/>
    </w:rPr>
  </w:style>
  <w:style w:type="character" w:customStyle="1" w:styleId="FootnoteTextChar">
    <w:name w:val="Footnote Text Char"/>
    <w:basedOn w:val="DefaultParagraphFont"/>
    <w:link w:val="FootnoteText"/>
    <w:semiHidden/>
    <w:rsid w:val="00B46E28"/>
    <w:rPr>
      <w:rFonts w:ascii="Times New Roman" w:eastAsia="Times New Roman" w:hAnsi="Times New Roman" w:cs="Times New Roman"/>
      <w:sz w:val="18"/>
      <w:szCs w:val="20"/>
    </w:rPr>
  </w:style>
  <w:style w:type="paragraph" w:styleId="NormalIndent">
    <w:name w:val="Normal Indent"/>
    <w:basedOn w:val="Normal"/>
    <w:semiHidden/>
    <w:rsid w:val="00B46E28"/>
    <w:pPr>
      <w:ind w:firstLine="454"/>
    </w:pPr>
  </w:style>
  <w:style w:type="paragraph" w:customStyle="1" w:styleId="DisplayQuote">
    <w:name w:val="Display Quote"/>
    <w:basedOn w:val="BodyTextIndent"/>
    <w:next w:val="BodyText"/>
    <w:rsid w:val="00B46E28"/>
    <w:pPr>
      <w:spacing w:before="220" w:after="220" w:line="220" w:lineRule="exact"/>
      <w:ind w:left="454"/>
    </w:pPr>
    <w:rPr>
      <w:sz w:val="18"/>
    </w:rPr>
  </w:style>
  <w:style w:type="paragraph" w:styleId="BodyTextIndent">
    <w:name w:val="Body Text Indent"/>
    <w:basedOn w:val="Normal"/>
    <w:link w:val="BodyTextIndentChar"/>
    <w:uiPriority w:val="99"/>
    <w:semiHidden/>
    <w:unhideWhenUsed/>
    <w:rsid w:val="00B46E28"/>
    <w:pPr>
      <w:spacing w:after="120"/>
      <w:ind w:left="283"/>
    </w:pPr>
  </w:style>
  <w:style w:type="character" w:customStyle="1" w:styleId="BodyTextIndentChar">
    <w:name w:val="Body Text Indent Char"/>
    <w:basedOn w:val="DefaultParagraphFont"/>
    <w:link w:val="BodyTextIndent"/>
    <w:uiPriority w:val="99"/>
    <w:semiHidden/>
    <w:rsid w:val="00B46E28"/>
    <w:rPr>
      <w:rFonts w:ascii="Times New Roman" w:eastAsia="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5929</Words>
  <Characters>33800</Characters>
  <Application>Microsoft Office Word</Application>
  <DocSecurity>0</DocSecurity>
  <Lines>281</Lines>
  <Paragraphs>79</Paragraphs>
  <ScaleCrop>false</ScaleCrop>
  <Company/>
  <LinksUpToDate>false</LinksUpToDate>
  <CharactersWithSpaces>39650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Shilton</dc:creator>
  <cp:keywords/>
  <dc:description/>
  <cp:lastModifiedBy>Nicholas Shilton</cp:lastModifiedBy>
  <cp:revision>1</cp:revision>
  <dcterms:created xsi:type="dcterms:W3CDTF">2020-09-25T10:33:00Z</dcterms:created>
  <dcterms:modified xsi:type="dcterms:W3CDTF">2020-09-25T10:36:00Z</dcterms:modified>
</cp:coreProperties>
</file>