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1F957" w14:textId="77777777" w:rsidR="00CE10BC" w:rsidRDefault="00326FAD">
      <w:r>
        <w:rPr>
          <w:noProof/>
        </w:rPr>
        <w:drawing>
          <wp:anchor distT="0" distB="0" distL="0" distR="114300" simplePos="0" relativeHeight="2" behindDoc="0" locked="0" layoutInCell="0" allowOverlap="1" wp14:anchorId="0E41FABB" wp14:editId="071F9D14">
            <wp:simplePos x="0" y="0"/>
            <wp:positionH relativeFrom="column">
              <wp:posOffset>2247900</wp:posOffset>
            </wp:positionH>
            <wp:positionV relativeFrom="paragraph">
              <wp:posOffset>45085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7"/>
                    <a:stretch>
                      <a:fillRect/>
                    </a:stretch>
                  </pic:blipFill>
                  <pic:spPr bwMode="auto">
                    <a:xfrm>
                      <a:off x="0" y="0"/>
                      <a:ext cx="1809750" cy="723900"/>
                    </a:xfrm>
                    <a:prstGeom prst="rect">
                      <a:avLst/>
                    </a:prstGeom>
                  </pic:spPr>
                </pic:pic>
              </a:graphicData>
            </a:graphic>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0E41F958" w14:textId="77777777" w:rsidR="00CE10BC" w:rsidRDefault="00CE10BC"/>
    <w:p w14:paraId="0E41F959" w14:textId="77777777" w:rsidR="00CE10BC" w:rsidRDefault="00CE10BC">
      <w:pPr>
        <w:pStyle w:val="BodyText"/>
        <w:spacing w:line="360" w:lineRule="auto"/>
        <w:jc w:val="center"/>
        <w:rPr>
          <w:rFonts w:ascii="Arial" w:hAnsi="Arial"/>
          <w:b/>
          <w:bCs/>
        </w:rPr>
      </w:pPr>
    </w:p>
    <w:p w14:paraId="0E41F95A" w14:textId="77777777" w:rsidR="00CE10BC" w:rsidRDefault="00326FAD">
      <w:pPr>
        <w:pStyle w:val="BodyText"/>
        <w:spacing w:line="360" w:lineRule="auto"/>
        <w:rPr>
          <w:rFonts w:ascii="Arial" w:hAnsi="Arial"/>
          <w:b/>
          <w:bCs/>
        </w:rPr>
      </w:pPr>
      <w:r>
        <w:rPr>
          <w:rFonts w:ascii="Arial" w:hAnsi="Arial"/>
          <w:b/>
          <w:bCs/>
        </w:rPr>
        <w:t xml:space="preserve">                                         MSc Public Health and Social Care in Practice</w:t>
      </w:r>
      <w:r>
        <w:rPr>
          <w:rFonts w:ascii="Arial" w:hAnsi="Arial" w:cs="Arial"/>
          <w:b/>
          <w:bCs/>
          <w:sz w:val="22"/>
          <w:szCs w:val="22"/>
        </w:rPr>
        <w:t xml:space="preserve"> </w:t>
      </w:r>
    </w:p>
    <w:p w14:paraId="0E41F95B" w14:textId="77777777" w:rsidR="00CE10BC" w:rsidRDefault="00CE10BC">
      <w:pPr>
        <w:pStyle w:val="BodyText"/>
        <w:spacing w:line="360" w:lineRule="auto"/>
        <w:rPr>
          <w:rFonts w:ascii="Arial" w:hAnsi="Arial" w:cs="Arial"/>
          <w:sz w:val="22"/>
          <w:szCs w:val="22"/>
        </w:rPr>
      </w:pPr>
    </w:p>
    <w:p w14:paraId="0E41F95C" w14:textId="77777777" w:rsidR="00CE10BC" w:rsidRDefault="00CE10BC">
      <w:pPr>
        <w:pStyle w:val="BodyText"/>
        <w:spacing w:line="360" w:lineRule="auto"/>
        <w:rPr>
          <w:rFonts w:ascii="Arial" w:hAnsi="Arial" w:cs="Arial"/>
          <w:sz w:val="22"/>
          <w:szCs w:val="22"/>
        </w:rPr>
      </w:pPr>
    </w:p>
    <w:p w14:paraId="0E41F95D" w14:textId="77777777" w:rsidR="00CE10BC" w:rsidRDefault="00326FAD">
      <w:pPr>
        <w:pStyle w:val="BodyText"/>
        <w:spacing w:line="360" w:lineRule="auto"/>
        <w:jc w:val="center"/>
        <w:rPr>
          <w:rFonts w:ascii="Arial" w:hAnsi="Arial"/>
          <w:b/>
          <w:bCs/>
        </w:rPr>
      </w:pPr>
      <w:r>
        <w:rPr>
          <w:rFonts w:ascii="Arial" w:hAnsi="Arial"/>
          <w:b/>
          <w:bCs/>
        </w:rPr>
        <w:t>Improving Quality and Patient Safety in the Healthcare System – A Review of Service Improvements at Mid Staffordshire NHS Foundation Trust</w:t>
      </w:r>
    </w:p>
    <w:p w14:paraId="0E41F95E" w14:textId="77777777" w:rsidR="00CE10BC" w:rsidRDefault="00CE10BC">
      <w:pPr>
        <w:pStyle w:val="BodyText"/>
        <w:spacing w:line="360" w:lineRule="auto"/>
        <w:jc w:val="center"/>
        <w:rPr>
          <w:rFonts w:ascii="Arial" w:hAnsi="Arial"/>
          <w:b/>
          <w:bCs/>
        </w:rPr>
      </w:pPr>
    </w:p>
    <w:p w14:paraId="0E41F95F" w14:textId="77777777" w:rsidR="00CE10BC" w:rsidRDefault="00326FAD">
      <w:pPr>
        <w:spacing w:before="120" w:after="120"/>
        <w:jc w:val="center"/>
      </w:pPr>
      <w:r>
        <w:rPr>
          <w:rFonts w:ascii="Arial" w:hAnsi="Arial" w:cs="Arial"/>
          <w:b/>
          <w:bCs/>
        </w:rPr>
        <w:t>Component 2 – Service Improvement Report</w:t>
      </w:r>
    </w:p>
    <w:p w14:paraId="0E41F960" w14:textId="77777777" w:rsidR="00CE10BC" w:rsidRDefault="00CE10BC">
      <w:pPr>
        <w:pStyle w:val="BodyText"/>
        <w:spacing w:line="360" w:lineRule="auto"/>
        <w:jc w:val="center"/>
        <w:rPr>
          <w:rFonts w:ascii="Arial" w:hAnsi="Arial"/>
          <w:b/>
          <w:bCs/>
        </w:rPr>
      </w:pPr>
    </w:p>
    <w:p w14:paraId="0E41F961" w14:textId="77777777" w:rsidR="00CE10BC" w:rsidRDefault="00CE10BC">
      <w:pPr>
        <w:pStyle w:val="BodyText"/>
        <w:spacing w:line="360" w:lineRule="auto"/>
        <w:jc w:val="center"/>
        <w:rPr>
          <w:rFonts w:ascii="Arial" w:hAnsi="Arial"/>
          <w:b/>
          <w:bCs/>
        </w:rPr>
      </w:pPr>
    </w:p>
    <w:p w14:paraId="0E41F962" w14:textId="77777777" w:rsidR="00CE10BC" w:rsidRDefault="00CE10BC">
      <w:pPr>
        <w:pStyle w:val="BodyText"/>
        <w:spacing w:line="360" w:lineRule="auto"/>
        <w:jc w:val="both"/>
        <w:rPr>
          <w:rFonts w:ascii="Arial" w:hAnsi="Arial"/>
          <w:b/>
          <w:bCs/>
        </w:rPr>
      </w:pPr>
    </w:p>
    <w:p w14:paraId="0E41F963" w14:textId="77777777" w:rsidR="00CE10BC" w:rsidRDefault="00CE10BC">
      <w:pPr>
        <w:pStyle w:val="BodyText"/>
        <w:spacing w:line="360" w:lineRule="auto"/>
        <w:jc w:val="both"/>
        <w:rPr>
          <w:rFonts w:ascii="Arial" w:hAnsi="Arial"/>
          <w:b/>
          <w:bCs/>
        </w:rPr>
      </w:pPr>
    </w:p>
    <w:p w14:paraId="0E41F964" w14:textId="77777777" w:rsidR="00CE10BC" w:rsidRDefault="00CE10BC">
      <w:pPr>
        <w:pStyle w:val="BodyText"/>
        <w:spacing w:line="360" w:lineRule="auto"/>
        <w:jc w:val="both"/>
        <w:rPr>
          <w:rFonts w:ascii="Arial" w:hAnsi="Arial"/>
          <w:b/>
          <w:bCs/>
        </w:rPr>
      </w:pPr>
    </w:p>
    <w:p w14:paraId="0E41F965" w14:textId="77777777" w:rsidR="00CE10BC" w:rsidRDefault="00CE10BC">
      <w:pPr>
        <w:pStyle w:val="BodyText"/>
        <w:spacing w:line="360" w:lineRule="auto"/>
        <w:jc w:val="both"/>
        <w:rPr>
          <w:rFonts w:ascii="Arial" w:hAnsi="Arial"/>
          <w:b/>
          <w:bCs/>
        </w:rPr>
      </w:pPr>
    </w:p>
    <w:p w14:paraId="0E41F966" w14:textId="77777777" w:rsidR="00CE10BC" w:rsidRDefault="00CE10BC">
      <w:pPr>
        <w:pStyle w:val="BodyText"/>
        <w:spacing w:line="360" w:lineRule="auto"/>
        <w:jc w:val="both"/>
        <w:rPr>
          <w:rFonts w:ascii="Arial" w:hAnsi="Arial"/>
          <w:b/>
          <w:bCs/>
        </w:rPr>
      </w:pPr>
    </w:p>
    <w:p w14:paraId="0E41F967" w14:textId="22B1C07F" w:rsidR="00CE10BC" w:rsidRPr="006316CC" w:rsidRDefault="00326FAD" w:rsidP="00B54327">
      <w:pPr>
        <w:pStyle w:val="BodyText"/>
        <w:spacing w:after="0" w:line="360" w:lineRule="auto"/>
        <w:jc w:val="center"/>
        <w:rPr>
          <w:lang w:val="en-GB"/>
        </w:rPr>
      </w:pPr>
      <w:r>
        <w:rPr>
          <w:rFonts w:ascii="Arial" w:hAnsi="Arial"/>
          <w:b/>
          <w:bCs/>
        </w:rPr>
        <w:t>Student Name:</w:t>
      </w:r>
      <w:r w:rsidR="006316CC">
        <w:rPr>
          <w:rFonts w:ascii="Arial" w:hAnsi="Arial"/>
          <w:b/>
          <w:bCs/>
          <w:lang w:val="en-GB"/>
        </w:rPr>
        <w:t xml:space="preserve"> </w:t>
      </w:r>
      <w:r w:rsidR="007C5980">
        <w:rPr>
          <w:rFonts w:ascii="Arial" w:hAnsi="Arial"/>
          <w:b/>
          <w:bCs/>
          <w:lang w:val="en-GB"/>
        </w:rPr>
        <w:t>Simona Maria Dinu</w:t>
      </w:r>
    </w:p>
    <w:p w14:paraId="0E41F968" w14:textId="7B9B01D4" w:rsidR="00CE10BC" w:rsidRPr="007C5980" w:rsidRDefault="00326FAD" w:rsidP="00B54327">
      <w:pPr>
        <w:pStyle w:val="BodyText"/>
        <w:spacing w:after="0" w:line="360" w:lineRule="auto"/>
        <w:jc w:val="center"/>
        <w:rPr>
          <w:lang w:val="en-GB"/>
        </w:rPr>
      </w:pPr>
      <w:r>
        <w:rPr>
          <w:rFonts w:ascii="Arial" w:hAnsi="Arial"/>
          <w:b/>
          <w:bCs/>
        </w:rPr>
        <w:t>Student ID:</w:t>
      </w:r>
      <w:r w:rsidR="007C5980">
        <w:rPr>
          <w:rFonts w:ascii="Arial" w:hAnsi="Arial"/>
          <w:b/>
          <w:bCs/>
          <w:lang w:val="en-GB"/>
        </w:rPr>
        <w:t xml:space="preserve"> 2229007</w:t>
      </w:r>
    </w:p>
    <w:p w14:paraId="0E41F969" w14:textId="03586A12" w:rsidR="00CE10BC" w:rsidRPr="007C5980" w:rsidRDefault="00326FAD" w:rsidP="00B54327">
      <w:pPr>
        <w:pStyle w:val="BodyText"/>
        <w:spacing w:after="0" w:line="360" w:lineRule="auto"/>
        <w:jc w:val="center"/>
        <w:rPr>
          <w:lang w:val="en-GB"/>
        </w:rPr>
      </w:pPr>
      <w:r>
        <w:rPr>
          <w:rFonts w:ascii="Arial" w:hAnsi="Arial"/>
          <w:b/>
          <w:bCs/>
        </w:rPr>
        <w:t>Lecturer:</w:t>
      </w:r>
      <w:r w:rsidR="007C5980">
        <w:rPr>
          <w:rFonts w:ascii="Arial" w:hAnsi="Arial"/>
          <w:b/>
          <w:bCs/>
          <w:lang w:val="en-GB"/>
        </w:rPr>
        <w:t xml:space="preserve"> Dr Fahad Khan</w:t>
      </w:r>
    </w:p>
    <w:p w14:paraId="0E41F96C" w14:textId="350E6964" w:rsidR="00CE10BC" w:rsidRDefault="0025647E" w:rsidP="00B54327">
      <w:pPr>
        <w:pStyle w:val="BodyText"/>
        <w:spacing w:after="0" w:line="360" w:lineRule="auto"/>
        <w:jc w:val="center"/>
        <w:rPr>
          <w:rFonts w:ascii="Arial" w:hAnsi="Arial"/>
          <w:b/>
          <w:bCs/>
          <w:lang w:val="en-GB"/>
        </w:rPr>
      </w:pPr>
      <w:r>
        <w:rPr>
          <w:rFonts w:ascii="Arial" w:hAnsi="Arial"/>
          <w:b/>
          <w:bCs/>
          <w:lang w:val="en-GB"/>
        </w:rPr>
        <w:t>Modu</w:t>
      </w:r>
      <w:r w:rsidR="006316CC">
        <w:rPr>
          <w:rFonts w:ascii="Arial" w:hAnsi="Arial"/>
          <w:b/>
          <w:bCs/>
          <w:lang w:val="en-GB"/>
        </w:rPr>
        <w:t>le name</w:t>
      </w:r>
      <w:r w:rsidR="00326FAD">
        <w:rPr>
          <w:rFonts w:ascii="Arial" w:hAnsi="Arial"/>
          <w:b/>
          <w:bCs/>
        </w:rPr>
        <w:t>:</w:t>
      </w:r>
      <w:r w:rsidR="007C5980">
        <w:rPr>
          <w:rFonts w:ascii="Arial" w:hAnsi="Arial"/>
          <w:b/>
          <w:bCs/>
          <w:lang w:val="en-GB"/>
        </w:rPr>
        <w:t xml:space="preserve"> Quality and Assurance </w:t>
      </w:r>
      <w:r w:rsidR="00A55CA1">
        <w:rPr>
          <w:rFonts w:ascii="Arial" w:hAnsi="Arial"/>
          <w:b/>
          <w:bCs/>
          <w:lang w:val="en-GB"/>
        </w:rPr>
        <w:t>and Service improvement</w:t>
      </w:r>
      <w:r w:rsidR="00ED48A7">
        <w:rPr>
          <w:rFonts w:ascii="Arial" w:hAnsi="Arial"/>
          <w:b/>
          <w:bCs/>
          <w:lang w:val="en-GB"/>
        </w:rPr>
        <w:t xml:space="preserve"> (LCHS7006)</w:t>
      </w:r>
    </w:p>
    <w:p w14:paraId="7AE03F8A" w14:textId="77777777" w:rsidR="00A55CA1" w:rsidRPr="007C5980" w:rsidRDefault="00A55CA1" w:rsidP="006316CC">
      <w:pPr>
        <w:pStyle w:val="BodyText"/>
        <w:spacing w:after="0" w:line="360" w:lineRule="auto"/>
        <w:jc w:val="both"/>
        <w:rPr>
          <w:lang w:val="en-GB"/>
        </w:rPr>
      </w:pPr>
    </w:p>
    <w:p w14:paraId="0E41F96D" w14:textId="77777777" w:rsidR="00CE10BC" w:rsidRDefault="00CE10BC"/>
    <w:p w14:paraId="0E41F96E" w14:textId="77777777" w:rsidR="00CE10BC" w:rsidRDefault="00326FAD">
      <w:r>
        <w:t xml:space="preserve">                                                                                              </w:t>
      </w:r>
    </w:p>
    <w:p w14:paraId="0E41F96F" w14:textId="77777777" w:rsidR="00CE10BC" w:rsidRDefault="00CE10BC"/>
    <w:p w14:paraId="0E41F970" w14:textId="77777777" w:rsidR="00CE10BC" w:rsidRDefault="00CE10BC"/>
    <w:p w14:paraId="0E41F971" w14:textId="77777777" w:rsidR="00CE10BC" w:rsidRDefault="00CE10BC"/>
    <w:p w14:paraId="0E41F972" w14:textId="77777777" w:rsidR="00CE10BC" w:rsidRDefault="00CE10BC">
      <w:pPr>
        <w:rPr>
          <w:lang w:val="en-GB"/>
        </w:rPr>
      </w:pPr>
    </w:p>
    <w:p w14:paraId="2C6CA20F" w14:textId="77777777" w:rsidR="006316CC" w:rsidRDefault="006316CC">
      <w:pPr>
        <w:rPr>
          <w:lang w:val="en-GB"/>
        </w:rPr>
      </w:pPr>
    </w:p>
    <w:p w14:paraId="20828BCE" w14:textId="77777777" w:rsidR="006316CC" w:rsidRDefault="006316CC">
      <w:pPr>
        <w:rPr>
          <w:lang w:val="en-GB"/>
        </w:rPr>
      </w:pPr>
    </w:p>
    <w:p w14:paraId="12BBE1EE" w14:textId="77777777" w:rsidR="006316CC" w:rsidRPr="006316CC" w:rsidRDefault="006316CC">
      <w:pPr>
        <w:rPr>
          <w:lang w:val="en-GB"/>
        </w:rPr>
      </w:pPr>
    </w:p>
    <w:p w14:paraId="0E41F973" w14:textId="77777777" w:rsidR="00CE10BC" w:rsidRDefault="00326FAD">
      <w:r>
        <w:lastRenderedPageBreak/>
        <w:t xml:space="preserve">                                                                                                                                   </w:t>
      </w:r>
    </w:p>
    <w:p w14:paraId="0E41F974" w14:textId="77777777" w:rsidR="00CE10BC" w:rsidRDefault="00326FAD">
      <w:r>
        <w:rPr>
          <w:rFonts w:ascii="Arial" w:hAnsi="Arial"/>
        </w:rPr>
        <w:t xml:space="preserve">Table of contents:     </w:t>
      </w:r>
    </w:p>
    <w:p w14:paraId="0E41F975" w14:textId="77777777" w:rsidR="00CE10BC" w:rsidRDefault="00326FAD">
      <w:pPr>
        <w:jc w:val="both"/>
      </w:pPr>
      <w:r>
        <w:rPr>
          <w:rFonts w:ascii="Arial" w:hAnsi="Arial"/>
        </w:rPr>
        <w:t xml:space="preserve">                                                                                                   </w:t>
      </w:r>
    </w:p>
    <w:p w14:paraId="0E41F976" w14:textId="77777777" w:rsidR="00CE10BC" w:rsidRDefault="00326FAD">
      <w:pPr>
        <w:spacing w:line="360" w:lineRule="auto"/>
        <w:jc w:val="both"/>
        <w:rPr>
          <w:sz w:val="22"/>
          <w:szCs w:val="22"/>
        </w:rPr>
      </w:pPr>
      <w:r>
        <w:rPr>
          <w:rFonts w:ascii="Arial" w:hAnsi="Arial"/>
          <w:sz w:val="22"/>
          <w:szCs w:val="22"/>
        </w:rPr>
        <w:t>1. Introduction ..................................................................................................................................3</w:t>
      </w:r>
    </w:p>
    <w:p w14:paraId="0E41F977" w14:textId="77777777" w:rsidR="00CE10BC" w:rsidRDefault="00326FAD">
      <w:pPr>
        <w:spacing w:line="360" w:lineRule="auto"/>
        <w:jc w:val="both"/>
        <w:rPr>
          <w:sz w:val="22"/>
          <w:szCs w:val="22"/>
        </w:rPr>
      </w:pPr>
      <w:r>
        <w:rPr>
          <w:rFonts w:ascii="Arial" w:hAnsi="Arial"/>
          <w:sz w:val="22"/>
          <w:szCs w:val="22"/>
        </w:rPr>
        <w:tab/>
        <w:t>1.1 Background ....................................................................................................................3</w:t>
      </w:r>
    </w:p>
    <w:p w14:paraId="0E41F978" w14:textId="77777777" w:rsidR="00CE10BC" w:rsidRDefault="00326FAD">
      <w:pPr>
        <w:spacing w:line="360" w:lineRule="auto"/>
        <w:jc w:val="both"/>
        <w:rPr>
          <w:sz w:val="22"/>
          <w:szCs w:val="22"/>
        </w:rPr>
      </w:pPr>
      <w:r>
        <w:rPr>
          <w:rFonts w:ascii="Arial" w:hAnsi="Arial"/>
          <w:sz w:val="22"/>
          <w:szCs w:val="22"/>
        </w:rPr>
        <w:tab/>
        <w:t>1.2 Rationale for the Report .................................................................................................4</w:t>
      </w:r>
    </w:p>
    <w:p w14:paraId="0E41F979" w14:textId="77777777" w:rsidR="00CE10BC" w:rsidRDefault="00326FAD">
      <w:pPr>
        <w:spacing w:line="360" w:lineRule="auto"/>
        <w:jc w:val="both"/>
        <w:rPr>
          <w:sz w:val="22"/>
          <w:szCs w:val="22"/>
        </w:rPr>
      </w:pPr>
      <w:r>
        <w:rPr>
          <w:rFonts w:ascii="Arial" w:hAnsi="Arial"/>
          <w:sz w:val="22"/>
          <w:szCs w:val="22"/>
        </w:rPr>
        <w:tab/>
        <w:t>1.3 Aim of the Report ...........................................................................................................4</w:t>
      </w:r>
    </w:p>
    <w:p w14:paraId="0E41F97A" w14:textId="77777777" w:rsidR="00CE10BC" w:rsidRDefault="00326FAD">
      <w:pPr>
        <w:spacing w:line="360" w:lineRule="auto"/>
        <w:jc w:val="both"/>
        <w:rPr>
          <w:sz w:val="22"/>
          <w:szCs w:val="22"/>
        </w:rPr>
      </w:pPr>
      <w:r>
        <w:rPr>
          <w:rFonts w:ascii="Arial" w:hAnsi="Arial"/>
          <w:sz w:val="22"/>
          <w:szCs w:val="22"/>
        </w:rPr>
        <w:tab/>
        <w:t>1.4 Report Structure .............................................................................................................4</w:t>
      </w:r>
    </w:p>
    <w:p w14:paraId="0E41F97B" w14:textId="77777777" w:rsidR="00CE10BC" w:rsidRDefault="00326FAD">
      <w:pPr>
        <w:spacing w:line="360" w:lineRule="auto"/>
        <w:jc w:val="both"/>
        <w:rPr>
          <w:sz w:val="22"/>
          <w:szCs w:val="22"/>
        </w:rPr>
      </w:pPr>
      <w:r>
        <w:rPr>
          <w:rFonts w:ascii="Arial" w:hAnsi="Arial"/>
          <w:sz w:val="22"/>
          <w:szCs w:val="22"/>
        </w:rPr>
        <w:t>2. Root Cause Analysis of the Mid Staffordshire failures .................................................................5</w:t>
      </w:r>
    </w:p>
    <w:p w14:paraId="0E41F97C" w14:textId="77777777" w:rsidR="00CE10BC" w:rsidRDefault="00326FAD">
      <w:pPr>
        <w:spacing w:line="360" w:lineRule="auto"/>
        <w:jc w:val="both"/>
        <w:rPr>
          <w:sz w:val="22"/>
          <w:szCs w:val="22"/>
        </w:rPr>
      </w:pPr>
      <w:r>
        <w:rPr>
          <w:rFonts w:ascii="Arial" w:hAnsi="Arial"/>
          <w:sz w:val="22"/>
          <w:szCs w:val="22"/>
        </w:rPr>
        <w:tab/>
        <w:t>2.1 Donabedian Model .........................................................................................................5</w:t>
      </w:r>
    </w:p>
    <w:p w14:paraId="0E41F97D" w14:textId="77777777" w:rsidR="00CE10BC" w:rsidRDefault="00326FAD">
      <w:pPr>
        <w:spacing w:line="360" w:lineRule="auto"/>
        <w:jc w:val="both"/>
        <w:rPr>
          <w:sz w:val="22"/>
          <w:szCs w:val="22"/>
        </w:rPr>
      </w:pPr>
      <w:r>
        <w:rPr>
          <w:rFonts w:ascii="Arial" w:hAnsi="Arial"/>
          <w:sz w:val="22"/>
          <w:szCs w:val="22"/>
        </w:rPr>
        <w:tab/>
        <w:t>2.2 Fishbone Diagram ..........................................................................................................6</w:t>
      </w:r>
    </w:p>
    <w:p w14:paraId="0E41F97E" w14:textId="77777777" w:rsidR="00CE10BC" w:rsidRDefault="00326FAD">
      <w:pPr>
        <w:spacing w:line="360" w:lineRule="auto"/>
        <w:jc w:val="both"/>
        <w:rPr>
          <w:sz w:val="22"/>
          <w:szCs w:val="22"/>
        </w:rPr>
      </w:pPr>
      <w:r>
        <w:rPr>
          <w:rFonts w:ascii="Arial" w:hAnsi="Arial"/>
          <w:sz w:val="22"/>
          <w:szCs w:val="22"/>
        </w:rPr>
        <w:tab/>
        <w:t>2.3 Five Whys Analysis ........................................................................................................7</w:t>
      </w:r>
    </w:p>
    <w:p w14:paraId="0E41F97F" w14:textId="77777777" w:rsidR="00CE10BC" w:rsidRDefault="00326FAD">
      <w:pPr>
        <w:spacing w:line="360" w:lineRule="auto"/>
        <w:jc w:val="both"/>
        <w:rPr>
          <w:sz w:val="22"/>
          <w:szCs w:val="22"/>
        </w:rPr>
      </w:pPr>
      <w:r>
        <w:rPr>
          <w:rFonts w:ascii="Arial" w:hAnsi="Arial"/>
          <w:sz w:val="22"/>
          <w:szCs w:val="22"/>
        </w:rPr>
        <w:tab/>
        <w:t>2.4 PESTLE Analysis ...........................................................................................................8</w:t>
      </w:r>
    </w:p>
    <w:p w14:paraId="0E41F980" w14:textId="77777777" w:rsidR="00CE10BC" w:rsidRDefault="00326FAD">
      <w:pPr>
        <w:spacing w:line="360" w:lineRule="auto"/>
        <w:jc w:val="both"/>
        <w:rPr>
          <w:sz w:val="22"/>
          <w:szCs w:val="22"/>
        </w:rPr>
      </w:pPr>
      <w:r>
        <w:rPr>
          <w:rFonts w:ascii="Arial" w:hAnsi="Arial"/>
          <w:sz w:val="22"/>
          <w:szCs w:val="22"/>
        </w:rPr>
        <w:tab/>
        <w:t>2.5 Benchmarking ................................................................................................................9</w:t>
      </w:r>
    </w:p>
    <w:p w14:paraId="0E41F981" w14:textId="77777777" w:rsidR="00CE10BC" w:rsidRDefault="00326FAD">
      <w:pPr>
        <w:spacing w:line="360" w:lineRule="auto"/>
        <w:jc w:val="both"/>
        <w:rPr>
          <w:sz w:val="22"/>
          <w:szCs w:val="22"/>
        </w:rPr>
      </w:pPr>
      <w:r>
        <w:rPr>
          <w:rFonts w:ascii="Arial" w:hAnsi="Arial"/>
          <w:sz w:val="22"/>
          <w:szCs w:val="22"/>
        </w:rPr>
        <w:tab/>
        <w:t>2.6 Critical Analysis .............................................................................................................11</w:t>
      </w:r>
    </w:p>
    <w:p w14:paraId="0E41F982" w14:textId="77777777" w:rsidR="00CE10BC" w:rsidRDefault="00326FAD">
      <w:pPr>
        <w:spacing w:line="360" w:lineRule="auto"/>
        <w:jc w:val="both"/>
        <w:rPr>
          <w:sz w:val="22"/>
          <w:szCs w:val="22"/>
        </w:rPr>
      </w:pPr>
      <w:r>
        <w:rPr>
          <w:rFonts w:ascii="Arial" w:hAnsi="Arial"/>
          <w:sz w:val="22"/>
          <w:szCs w:val="22"/>
        </w:rPr>
        <w:t>3. Recommendations ......................................................................................................................12</w:t>
      </w:r>
    </w:p>
    <w:p w14:paraId="0E41F983" w14:textId="77777777" w:rsidR="00CE10BC" w:rsidRDefault="00326FAD">
      <w:pPr>
        <w:spacing w:line="360" w:lineRule="auto"/>
        <w:jc w:val="both"/>
        <w:rPr>
          <w:sz w:val="22"/>
          <w:szCs w:val="22"/>
        </w:rPr>
      </w:pPr>
      <w:r>
        <w:rPr>
          <w:rFonts w:ascii="Arial" w:hAnsi="Arial"/>
          <w:sz w:val="22"/>
          <w:szCs w:val="22"/>
        </w:rPr>
        <w:tab/>
        <w:t>3.1 Strengthen Leadership and Clinical Governance ..........................................................12</w:t>
      </w:r>
    </w:p>
    <w:p w14:paraId="0E41F984" w14:textId="77777777" w:rsidR="00CE10BC" w:rsidRDefault="00326FAD">
      <w:pPr>
        <w:spacing w:line="360" w:lineRule="auto"/>
        <w:jc w:val="both"/>
        <w:rPr>
          <w:sz w:val="22"/>
          <w:szCs w:val="22"/>
        </w:rPr>
      </w:pPr>
      <w:r>
        <w:rPr>
          <w:rFonts w:ascii="Arial" w:hAnsi="Arial"/>
          <w:sz w:val="22"/>
          <w:szCs w:val="22"/>
        </w:rPr>
        <w:tab/>
        <w:t>3.2 Improving Workforce Management and Staff Training ..................................................13</w:t>
      </w:r>
    </w:p>
    <w:p w14:paraId="0E41F985" w14:textId="77777777" w:rsidR="00CE10BC" w:rsidRDefault="00326FAD">
      <w:pPr>
        <w:spacing w:line="360" w:lineRule="auto"/>
        <w:jc w:val="both"/>
        <w:rPr>
          <w:sz w:val="22"/>
          <w:szCs w:val="22"/>
        </w:rPr>
      </w:pPr>
      <w:r>
        <w:rPr>
          <w:rFonts w:ascii="Arial" w:hAnsi="Arial"/>
          <w:sz w:val="22"/>
          <w:szCs w:val="22"/>
        </w:rPr>
        <w:tab/>
        <w:t>3.3 Strengthen Patient Safety and Organisational Learning ...............................................14</w:t>
      </w:r>
    </w:p>
    <w:p w14:paraId="0E41F986" w14:textId="77777777" w:rsidR="00CE10BC" w:rsidRDefault="00326FAD">
      <w:pPr>
        <w:spacing w:line="360" w:lineRule="auto"/>
        <w:jc w:val="both"/>
        <w:rPr>
          <w:sz w:val="22"/>
          <w:szCs w:val="22"/>
        </w:rPr>
      </w:pPr>
      <w:r>
        <w:rPr>
          <w:rFonts w:ascii="Arial" w:hAnsi="Arial"/>
          <w:sz w:val="22"/>
          <w:szCs w:val="22"/>
        </w:rPr>
        <w:tab/>
        <w:t>3.4 Improving Quality by Continuous Monitoring .................................................................14</w:t>
      </w:r>
    </w:p>
    <w:p w14:paraId="0E41F987" w14:textId="77777777" w:rsidR="00CE10BC" w:rsidRDefault="00326FAD">
      <w:pPr>
        <w:spacing w:line="360" w:lineRule="auto"/>
        <w:jc w:val="both"/>
        <w:rPr>
          <w:sz w:val="22"/>
          <w:szCs w:val="22"/>
        </w:rPr>
      </w:pPr>
      <w:r>
        <w:rPr>
          <w:rFonts w:ascii="Arial" w:hAnsi="Arial"/>
          <w:sz w:val="22"/>
          <w:szCs w:val="22"/>
        </w:rPr>
        <w:t>4. Conclusion ..................................................................................................................................14</w:t>
      </w:r>
    </w:p>
    <w:p w14:paraId="0E41F988" w14:textId="475BAD82" w:rsidR="00CE10BC" w:rsidRPr="00624851" w:rsidRDefault="00326FAD">
      <w:pPr>
        <w:spacing w:line="360" w:lineRule="auto"/>
        <w:jc w:val="both"/>
        <w:rPr>
          <w:sz w:val="22"/>
          <w:szCs w:val="22"/>
          <w:lang w:val="en-GB"/>
        </w:rPr>
      </w:pPr>
      <w:r>
        <w:rPr>
          <w:rFonts w:ascii="Arial" w:hAnsi="Arial"/>
          <w:sz w:val="22"/>
          <w:szCs w:val="22"/>
        </w:rPr>
        <w:t>5. References .................................................................................................................................</w:t>
      </w:r>
      <w:r w:rsidR="00624851">
        <w:rPr>
          <w:rFonts w:ascii="Arial" w:hAnsi="Arial"/>
          <w:sz w:val="22"/>
          <w:szCs w:val="22"/>
          <w:lang w:val="en-GB"/>
        </w:rPr>
        <w:t>16</w:t>
      </w:r>
    </w:p>
    <w:p w14:paraId="0E41F989" w14:textId="77777777" w:rsidR="00CE10BC" w:rsidRDefault="00CE10BC">
      <w:pPr>
        <w:spacing w:line="360" w:lineRule="auto"/>
        <w:jc w:val="both"/>
        <w:rPr>
          <w:sz w:val="22"/>
          <w:szCs w:val="22"/>
        </w:rPr>
      </w:pPr>
    </w:p>
    <w:p w14:paraId="0E41F98A" w14:textId="77777777" w:rsidR="00CE10BC" w:rsidRDefault="00CE10BC">
      <w:pPr>
        <w:spacing w:line="360" w:lineRule="auto"/>
        <w:jc w:val="both"/>
        <w:rPr>
          <w:sz w:val="22"/>
          <w:szCs w:val="22"/>
        </w:rPr>
      </w:pPr>
    </w:p>
    <w:p w14:paraId="0E41F98B" w14:textId="77777777" w:rsidR="00CE10BC" w:rsidRDefault="00CE10BC">
      <w:pPr>
        <w:spacing w:line="360" w:lineRule="auto"/>
        <w:jc w:val="both"/>
        <w:rPr>
          <w:sz w:val="22"/>
          <w:szCs w:val="22"/>
        </w:rPr>
      </w:pPr>
    </w:p>
    <w:p w14:paraId="0E41F98C" w14:textId="77777777" w:rsidR="00CE10BC" w:rsidRDefault="00CE10BC">
      <w:pPr>
        <w:spacing w:line="360" w:lineRule="auto"/>
        <w:jc w:val="both"/>
        <w:rPr>
          <w:sz w:val="22"/>
          <w:szCs w:val="22"/>
        </w:rPr>
      </w:pPr>
    </w:p>
    <w:p w14:paraId="0E41F98D" w14:textId="77777777" w:rsidR="00CE10BC" w:rsidRDefault="00CE10BC">
      <w:pPr>
        <w:spacing w:line="360" w:lineRule="auto"/>
        <w:jc w:val="both"/>
        <w:rPr>
          <w:sz w:val="22"/>
          <w:szCs w:val="22"/>
        </w:rPr>
      </w:pPr>
    </w:p>
    <w:p w14:paraId="0E41F98E" w14:textId="77777777" w:rsidR="00CE10BC" w:rsidRDefault="00CE10BC">
      <w:pPr>
        <w:spacing w:line="360" w:lineRule="auto"/>
        <w:jc w:val="both"/>
        <w:rPr>
          <w:sz w:val="22"/>
          <w:szCs w:val="22"/>
        </w:rPr>
      </w:pPr>
    </w:p>
    <w:p w14:paraId="0E41F98F" w14:textId="77777777" w:rsidR="00CE10BC" w:rsidRDefault="00CE10BC">
      <w:pPr>
        <w:spacing w:line="360" w:lineRule="auto"/>
        <w:jc w:val="both"/>
        <w:rPr>
          <w:sz w:val="22"/>
          <w:szCs w:val="22"/>
        </w:rPr>
      </w:pPr>
    </w:p>
    <w:p w14:paraId="0E41F990" w14:textId="77777777" w:rsidR="00CE10BC" w:rsidRDefault="00CE10BC">
      <w:pPr>
        <w:spacing w:line="360" w:lineRule="auto"/>
        <w:jc w:val="both"/>
        <w:rPr>
          <w:sz w:val="22"/>
          <w:szCs w:val="22"/>
        </w:rPr>
      </w:pPr>
    </w:p>
    <w:p w14:paraId="0E41F991" w14:textId="77777777" w:rsidR="00CE10BC" w:rsidRDefault="00CE10BC">
      <w:pPr>
        <w:spacing w:line="360" w:lineRule="auto"/>
        <w:jc w:val="both"/>
        <w:rPr>
          <w:sz w:val="22"/>
          <w:szCs w:val="22"/>
        </w:rPr>
      </w:pPr>
    </w:p>
    <w:p w14:paraId="0E41F992" w14:textId="77777777" w:rsidR="00CE10BC" w:rsidRDefault="00CE10BC">
      <w:pPr>
        <w:spacing w:line="360" w:lineRule="auto"/>
        <w:jc w:val="both"/>
        <w:rPr>
          <w:sz w:val="22"/>
          <w:szCs w:val="22"/>
        </w:rPr>
      </w:pPr>
    </w:p>
    <w:p w14:paraId="0E41F993" w14:textId="77777777" w:rsidR="00CE10BC" w:rsidRDefault="00CE10BC">
      <w:pPr>
        <w:spacing w:line="360" w:lineRule="auto"/>
        <w:jc w:val="both"/>
        <w:rPr>
          <w:sz w:val="22"/>
          <w:szCs w:val="22"/>
        </w:rPr>
      </w:pPr>
    </w:p>
    <w:p w14:paraId="0E41F994" w14:textId="77777777" w:rsidR="00CE10BC" w:rsidRDefault="00326FAD">
      <w:pPr>
        <w:spacing w:line="360" w:lineRule="auto"/>
        <w:jc w:val="both"/>
        <w:rPr>
          <w:sz w:val="22"/>
          <w:szCs w:val="22"/>
        </w:rPr>
      </w:pPr>
      <w:r>
        <w:rPr>
          <w:rFonts w:ascii="Arial" w:hAnsi="Arial"/>
          <w:sz w:val="22"/>
          <w:szCs w:val="22"/>
        </w:rPr>
        <w:t xml:space="preserve">                                                                   </w:t>
      </w:r>
    </w:p>
    <w:p w14:paraId="0E41F995" w14:textId="77777777" w:rsidR="00CE10BC" w:rsidRDefault="00CE10BC">
      <w:pPr>
        <w:spacing w:line="360" w:lineRule="auto"/>
        <w:jc w:val="both"/>
        <w:rPr>
          <w:sz w:val="22"/>
          <w:szCs w:val="22"/>
        </w:rPr>
      </w:pPr>
    </w:p>
    <w:p w14:paraId="0E41F996" w14:textId="77777777" w:rsidR="00CE10BC" w:rsidRDefault="00CE10BC">
      <w:pPr>
        <w:spacing w:line="360" w:lineRule="auto"/>
        <w:jc w:val="both"/>
        <w:rPr>
          <w:sz w:val="22"/>
          <w:szCs w:val="22"/>
        </w:rPr>
      </w:pPr>
    </w:p>
    <w:p w14:paraId="0E41F997" w14:textId="77777777" w:rsidR="00CE10BC" w:rsidRDefault="00CE10BC">
      <w:pPr>
        <w:spacing w:line="360" w:lineRule="auto"/>
        <w:jc w:val="both"/>
        <w:rPr>
          <w:sz w:val="22"/>
          <w:szCs w:val="22"/>
          <w:lang w:val="en-GB"/>
        </w:rPr>
      </w:pPr>
    </w:p>
    <w:p w14:paraId="73061CCC" w14:textId="77777777" w:rsidR="006316CC" w:rsidRPr="006316CC" w:rsidRDefault="006316CC">
      <w:pPr>
        <w:spacing w:line="360" w:lineRule="auto"/>
        <w:jc w:val="both"/>
        <w:rPr>
          <w:sz w:val="22"/>
          <w:szCs w:val="22"/>
          <w:lang w:val="en-GB"/>
        </w:rPr>
      </w:pPr>
    </w:p>
    <w:p w14:paraId="0E41F998" w14:textId="77777777" w:rsidR="00CE10BC" w:rsidRDefault="00326FAD">
      <w:pPr>
        <w:spacing w:line="360" w:lineRule="auto"/>
        <w:jc w:val="both"/>
        <w:rPr>
          <w:sz w:val="22"/>
          <w:szCs w:val="22"/>
        </w:rPr>
      </w:pPr>
      <w:r>
        <w:rPr>
          <w:rFonts w:ascii="Arial" w:hAnsi="Arial"/>
          <w:b/>
          <w:bCs/>
          <w:sz w:val="22"/>
          <w:szCs w:val="22"/>
        </w:rPr>
        <w:lastRenderedPageBreak/>
        <w:t xml:space="preserve">1. Introduction </w:t>
      </w:r>
    </w:p>
    <w:p w14:paraId="0E41F999" w14:textId="77777777" w:rsidR="00CE10BC" w:rsidRDefault="00326FAD">
      <w:pPr>
        <w:spacing w:line="360" w:lineRule="auto"/>
        <w:jc w:val="both"/>
        <w:rPr>
          <w:b/>
          <w:bCs/>
        </w:rPr>
      </w:pPr>
      <w:r>
        <w:rPr>
          <w:rFonts w:ascii="Arial" w:hAnsi="Arial"/>
          <w:b/>
          <w:bCs/>
          <w:sz w:val="22"/>
          <w:szCs w:val="22"/>
        </w:rPr>
        <w:tab/>
        <w:t>1.1 Background</w:t>
      </w:r>
    </w:p>
    <w:p w14:paraId="0E41F99A"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Quality improvement is a critical priority in the modern healthcare setting, as effective, safe and personalised healthcare services depend not just on clinical expertise, as well, but on organisational systems that function well. Healthcare providers and health organisations are operating in an extremely complex environment, where insufficient staffing, financial challenges, rapidly ageing populations and increased demand for healthcare services, combined with ineffective quality management processes, can lead to compromised patient safety. Therefore, ongoing quality improvement is now considered an essential part of healthcare management, not just an optional part of overall management (World Health Organisation (WHO), 2021; NHS England, 2022).                                                 </w:t>
      </w:r>
    </w:p>
    <w:p w14:paraId="0E41F99B"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The National Health Service (NHS) usually measures quality based on three related areas: patient safety, clinical efficiency, and user experience. These principles are reflected in the NHS Patient Safety Strategy, the regulatory framework of the Care Quality Commission (CQC) and National Institute for Health and Care Excellence (NICE) quality standards, which all focus on learning from mistakes, preventing unnecessary harm, and promoting ongoing organisational development (NHS England, 2022; CQC, 2023; NICE, 2023). Nevertheless, achieving these standards continues to be a challenge when organisational culture, leadership and governance are unable to sustain safe practices.</w:t>
      </w:r>
    </w:p>
    <w:p w14:paraId="0E41F99C"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There are some failures in the NHS that highlight these issues more significantly than the events that occurred at the Mid Staffordshire NHS Foundation Trust from 2005 to 2009. Throughout this timeframe, patients were exposed to inadequate standards of care, which included deficiencies in basic healthcare provision, staff deficiencies, poor management and weak organisational governance. The public inquiry that followed, headed by Robert Francis QC, determined that the organisation’s focus on financial performance and its position as a Foundation Trust had overwhelmed its most important responsibility: to deliver safe and ethical care (Francis, 2013). Even though these incidents happened more than ten years ago, they still influence today's NHS quality improvement and patient safety policies.</w:t>
      </w:r>
    </w:p>
    <w:p w14:paraId="0E41F99D" w14:textId="60644B44" w:rsidR="00CE10BC" w:rsidRDefault="00326FAD">
      <w:pPr>
        <w:pStyle w:val="BodyText"/>
        <w:spacing w:line="360" w:lineRule="auto"/>
        <w:jc w:val="both"/>
        <w:rPr>
          <w:rFonts w:ascii="Arial" w:hAnsi="Arial"/>
          <w:sz w:val="22"/>
          <w:szCs w:val="22"/>
        </w:rPr>
      </w:pPr>
      <w:r>
        <w:rPr>
          <w:rFonts w:ascii="Arial" w:hAnsi="Arial"/>
          <w:sz w:val="22"/>
          <w:szCs w:val="22"/>
        </w:rPr>
        <w:tab/>
        <w:t xml:space="preserve">The present report draws on the Component 1 Presentation, taking a critical examination of the </w:t>
      </w:r>
      <w:r w:rsidR="00200A05">
        <w:rPr>
          <w:rFonts w:ascii="Arial" w:hAnsi="Arial"/>
          <w:sz w:val="22"/>
          <w:szCs w:val="22"/>
        </w:rPr>
        <w:t xml:space="preserve">root </w:t>
      </w:r>
      <w:r>
        <w:rPr>
          <w:rFonts w:ascii="Arial" w:hAnsi="Arial"/>
          <w:sz w:val="22"/>
          <w:szCs w:val="22"/>
        </w:rPr>
        <w:t>causes behind the failures at Mid Staffordshire, using widely recognised quality improvement approaches. Instead of regarding the incident as the consequence of distinct errors, the report examines how multiple organisational weaknesses interacted, resulting in a systemic failure</w:t>
      </w:r>
      <w:r w:rsidR="00200A05">
        <w:rPr>
          <w:rFonts w:ascii="Arial" w:hAnsi="Arial"/>
          <w:sz w:val="22"/>
          <w:szCs w:val="22"/>
        </w:rPr>
        <w:t xml:space="preserve"> (the swiss cheese model)</w:t>
      </w:r>
      <w:r>
        <w:rPr>
          <w:rFonts w:ascii="Arial" w:hAnsi="Arial"/>
          <w:sz w:val="22"/>
          <w:szCs w:val="22"/>
        </w:rPr>
        <w:t>. This approach reflects contemporary views on patient safety, which acknowledge that negative events usually arise from failings in multiple interconnected organisational processes, not just from individual failures (Reason, 2000; NHS England, 2022).</w:t>
      </w:r>
    </w:p>
    <w:p w14:paraId="0E41F99E" w14:textId="77777777" w:rsidR="00CE10BC" w:rsidRDefault="00CE10BC">
      <w:pPr>
        <w:spacing w:line="360" w:lineRule="auto"/>
        <w:jc w:val="both"/>
        <w:rPr>
          <w:sz w:val="22"/>
          <w:szCs w:val="22"/>
          <w:lang w:val="en-GB"/>
        </w:rPr>
      </w:pPr>
    </w:p>
    <w:p w14:paraId="25C38F66" w14:textId="77777777" w:rsidR="006316CC" w:rsidRPr="006316CC" w:rsidRDefault="006316CC">
      <w:pPr>
        <w:spacing w:line="360" w:lineRule="auto"/>
        <w:jc w:val="both"/>
        <w:rPr>
          <w:sz w:val="22"/>
          <w:szCs w:val="22"/>
          <w:lang w:val="en-GB"/>
        </w:rPr>
      </w:pPr>
    </w:p>
    <w:p w14:paraId="0E41F99F" w14:textId="77777777" w:rsidR="00CE10BC" w:rsidRDefault="00326FAD">
      <w:pPr>
        <w:spacing w:line="360" w:lineRule="auto"/>
        <w:jc w:val="both"/>
        <w:rPr>
          <w:sz w:val="22"/>
          <w:szCs w:val="22"/>
        </w:rPr>
      </w:pPr>
      <w:r>
        <w:rPr>
          <w:rFonts w:ascii="Arial" w:hAnsi="Arial"/>
          <w:sz w:val="22"/>
          <w:szCs w:val="22"/>
        </w:rPr>
        <w:lastRenderedPageBreak/>
        <w:tab/>
      </w:r>
      <w:r>
        <w:rPr>
          <w:rFonts w:ascii="Arial" w:hAnsi="Arial"/>
          <w:b/>
          <w:bCs/>
          <w:sz w:val="22"/>
          <w:szCs w:val="22"/>
        </w:rPr>
        <w:t>1.2 Rationale for the Report</w:t>
      </w:r>
    </w:p>
    <w:p w14:paraId="0E41F9A0" w14:textId="77777777" w:rsidR="00CE10BC" w:rsidRDefault="00326FAD">
      <w:pPr>
        <w:spacing w:line="360" w:lineRule="auto"/>
        <w:jc w:val="both"/>
        <w:rPr>
          <w:sz w:val="22"/>
          <w:szCs w:val="22"/>
        </w:rPr>
      </w:pPr>
      <w:r>
        <w:rPr>
          <w:rFonts w:ascii="Arial" w:hAnsi="Arial"/>
          <w:sz w:val="22"/>
          <w:szCs w:val="22"/>
        </w:rPr>
        <w:tab/>
        <w:t>While the Francis Inquiry brought significant national reforms, many of the basic challenges discovered at Mid Staffordshire still impact healthcare organisations around the world. Ongoing staff deficits, increased pressures on service provision, staff exhaustion and fluctuations in organisational culture, remain significant challenges to healthcare quality (WHO, 2021; The King’s Fund, 2024). This indicates that the Mid Staffordshire case, should not be regarded as a single historical event. On the contrary, it provides valuable insights on leadership, governance, responsibility and quality assurance in complex healthcare settings.</w:t>
      </w:r>
    </w:p>
    <w:p w14:paraId="0E41F9A1" w14:textId="77777777" w:rsidR="00CE10BC" w:rsidRDefault="00326FAD">
      <w:pPr>
        <w:spacing w:line="360" w:lineRule="auto"/>
        <w:jc w:val="both"/>
        <w:rPr>
          <w:sz w:val="22"/>
          <w:szCs w:val="22"/>
        </w:rPr>
      </w:pPr>
      <w:r>
        <w:rPr>
          <w:rFonts w:ascii="Arial" w:hAnsi="Arial"/>
          <w:sz w:val="22"/>
          <w:szCs w:val="22"/>
        </w:rPr>
        <w:tab/>
        <w:t xml:space="preserve">A rigorous analysis of this situation also highlights the importance of using structured quality improvement approaches to understand why such failures can occur and how similar events can be avoided. Frameworks such as Donabedian’s Structure-Process-Outcome model, the Fishbone diagram and the 5 ‘Whys’ method provide a basis for a thorough investigation of the underlying causes, which goes further than simple explanations (Nash </w:t>
      </w:r>
      <w:r>
        <w:rPr>
          <w:rFonts w:ascii="Arial" w:hAnsi="Arial"/>
          <w:i/>
          <w:iCs/>
          <w:sz w:val="22"/>
          <w:szCs w:val="22"/>
        </w:rPr>
        <w:t>et al.</w:t>
      </w:r>
      <w:r>
        <w:rPr>
          <w:rFonts w:ascii="Arial" w:hAnsi="Arial"/>
          <w:sz w:val="22"/>
          <w:szCs w:val="22"/>
        </w:rPr>
        <w:t>, 2019). In addition, analytical tools such as PESTLE help to identify larger organisational and environmental factors that may impact service delivery (CIPD, 2025). Combined, these tools allow healthcare organisations to develop evidence-based improvements, thereby avoiding a solely reactive strategy.</w:t>
      </w:r>
    </w:p>
    <w:p w14:paraId="0E41F9A2"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1.3 Aim of the Report</w:t>
      </w:r>
    </w:p>
    <w:p w14:paraId="0E41F9A3" w14:textId="77777777" w:rsidR="00CE10BC" w:rsidRDefault="00326FAD">
      <w:pPr>
        <w:spacing w:line="360" w:lineRule="auto"/>
        <w:jc w:val="both"/>
        <w:rPr>
          <w:sz w:val="22"/>
          <w:szCs w:val="22"/>
        </w:rPr>
      </w:pPr>
      <w:r>
        <w:rPr>
          <w:rFonts w:ascii="Arial" w:hAnsi="Arial"/>
          <w:sz w:val="22"/>
          <w:szCs w:val="22"/>
        </w:rPr>
        <w:tab/>
        <w:t>This report aims to critically examine the quality challenges experienced at Mid Staffordshire NHS Foundation Trust and to examine approaches to improve health and social care services informed by existing research. The report uses recognised approaches in quality improvement and management in order to identify the reasons for the organisational failure, before providing practical recommendations for the service improvement.</w:t>
      </w:r>
    </w:p>
    <w:p w14:paraId="0E41F9A4"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1.4 Report Structure</w:t>
      </w:r>
    </w:p>
    <w:p w14:paraId="0E41F9A5" w14:textId="77777777" w:rsidR="00CE10BC" w:rsidRDefault="00326FAD">
      <w:pPr>
        <w:pStyle w:val="BodyText"/>
        <w:spacing w:after="0" w:line="360" w:lineRule="auto"/>
        <w:jc w:val="both"/>
      </w:pPr>
      <w:r>
        <w:rPr>
          <w:rFonts w:ascii="Arial" w:hAnsi="Arial"/>
          <w:sz w:val="22"/>
          <w:szCs w:val="22"/>
        </w:rPr>
        <w:tab/>
        <w:t>The report starts by implementing the Donabedian model to explore how organisational structures, clinical practices, and patient experiences contributed to the quality deficiencies at Mid Staffordshire NHS Foundation Trust (Donabedian, 1988; Ayanian and Markel, 2016). The study then applies the Fishbone diagram and the ‘5 Whys’ technique to identify the factors underlying these failures, whilst a PESTLE analysis evaluates the larger political, economic, social, technological, legal and environmental forces influencing service quality (Ishikawa, 1986; MindTools, 2024).</w:t>
      </w:r>
    </w:p>
    <w:p w14:paraId="0E41F9A7" w14:textId="3E601720" w:rsidR="00CE10BC" w:rsidRPr="00900518" w:rsidRDefault="00326FAD" w:rsidP="00900518">
      <w:pPr>
        <w:pStyle w:val="BodyText"/>
        <w:spacing w:line="360" w:lineRule="auto"/>
        <w:jc w:val="both"/>
      </w:pPr>
      <w:r>
        <w:rPr>
          <w:rFonts w:ascii="Arial" w:hAnsi="Arial"/>
          <w:sz w:val="22"/>
          <w:szCs w:val="22"/>
        </w:rPr>
        <w:tab/>
        <w:t xml:space="preserve">Based on these results, recommendations are proposed, supported by the Plan–Do–Check–Act (PDCA) cycle, to illustrate how improvements can be successfully implemented, monitored and maintained (Taylor </w:t>
      </w:r>
      <w:r>
        <w:rPr>
          <w:rFonts w:ascii="Arial" w:hAnsi="Arial"/>
          <w:i/>
          <w:iCs/>
          <w:sz w:val="22"/>
          <w:szCs w:val="22"/>
        </w:rPr>
        <w:t>et al.</w:t>
      </w:r>
      <w:r>
        <w:rPr>
          <w:rFonts w:ascii="Arial" w:hAnsi="Arial"/>
          <w:sz w:val="22"/>
          <w:szCs w:val="22"/>
        </w:rPr>
        <w:t>, 2014). Kurt Lewin’s three-stage model of change is later applied to demonstrate how organisational change can be implemented, while simultaneously addressing staff opposition (Burnes, 2020). Lastly, a comparison of current standards developed by NHS England, NICE and CQC provides an insight on how similar quality issues have been managed previously, offering practical guidance to improve patient safety, governance and service quality in the long term (NHS England, 2022; NICE, 2023; CQC, 2023).</w:t>
      </w:r>
    </w:p>
    <w:p w14:paraId="0E41F9A8" w14:textId="77777777" w:rsidR="00CE10BC" w:rsidRDefault="00326FAD">
      <w:pPr>
        <w:spacing w:line="360" w:lineRule="auto"/>
        <w:jc w:val="both"/>
        <w:rPr>
          <w:b/>
          <w:bCs/>
        </w:rPr>
      </w:pPr>
      <w:r>
        <w:rPr>
          <w:rFonts w:ascii="Arial" w:hAnsi="Arial"/>
          <w:b/>
          <w:bCs/>
          <w:sz w:val="22"/>
          <w:szCs w:val="22"/>
        </w:rPr>
        <w:lastRenderedPageBreak/>
        <w:t>2. Root Cause Analysis of the Mid Staffordshire Failures</w:t>
      </w:r>
    </w:p>
    <w:p w14:paraId="0E41F9A9" w14:textId="77777777" w:rsidR="00CE10BC" w:rsidRDefault="00CE10BC">
      <w:pPr>
        <w:spacing w:line="360" w:lineRule="auto"/>
        <w:jc w:val="both"/>
        <w:rPr>
          <w:sz w:val="22"/>
          <w:szCs w:val="22"/>
        </w:rPr>
      </w:pPr>
    </w:p>
    <w:p w14:paraId="0E41F9AA" w14:textId="77777777" w:rsidR="00CE10BC" w:rsidRDefault="00326FAD">
      <w:pPr>
        <w:pStyle w:val="BodyText"/>
        <w:spacing w:after="0" w:line="360" w:lineRule="auto"/>
        <w:jc w:val="both"/>
      </w:pPr>
      <w:r>
        <w:rPr>
          <w:rFonts w:ascii="Arial" w:hAnsi="Arial"/>
          <w:sz w:val="22"/>
          <w:szCs w:val="22"/>
        </w:rPr>
        <w:tab/>
        <w:t>This section critically examines the factor that led to the quality deficiencies identified at Mid Staffordshire NHS Foundation Trust, by applying established frameworks in quality management and service improvement. The Donabedian framework, the Fishbone diagram and the ‘5 Whys’ method were selected as they offer additional perspectives when analysing organisational structures, care practices and the underlying factors of the adverse consequences, instead of focusing exclusively on individual errors (Donabedian, 1988; Reason, 2000).</w:t>
      </w:r>
    </w:p>
    <w:p w14:paraId="0E41F9AB" w14:textId="77777777" w:rsidR="00CE10BC" w:rsidRDefault="00326FAD">
      <w:pPr>
        <w:pStyle w:val="BodyText"/>
        <w:spacing w:after="0" w:line="360" w:lineRule="auto"/>
        <w:jc w:val="both"/>
      </w:pPr>
      <w:r>
        <w:rPr>
          <w:rFonts w:ascii="Arial" w:hAnsi="Arial"/>
          <w:sz w:val="22"/>
          <w:szCs w:val="22"/>
        </w:rPr>
        <w:tab/>
        <w:t xml:space="preserve"> A PESTLE analysis is also performed to determine how political, economic, social, technological, legal and environmental factors influenced the service delivery (MindTools, 2024). The discussion is informed by a comparative analysis with existing NHS, NICE and CQC standards, to highlight examples of good practice and identify areas for improvement. Combined, these approaches will provide a strong evidence base to inform practical recommendations designed to strengthen patient safety, leadership and the long-term quality of healthcare provision (NHS England, 2022; NICE, 2023; CQC, 2023).</w:t>
      </w:r>
    </w:p>
    <w:p w14:paraId="0E41F9AC"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 xml:space="preserve">2.1 Donabedian Model </w:t>
      </w:r>
    </w:p>
    <w:p w14:paraId="0E41F9AD"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The Donabedian framework was selected because it offers a structured method to evaluate healthcare quality by analysing the relationship between organisational processes, structure and results (Donabedian, 1988). Although it was designed many decades ago, the model continues to be frequently used in healthcare quality evaluations because it motivates organisations to consider more than just clinical results, encouraging them to analyse the systems that impact patient care (Ayanian and Markel, 2016).</w:t>
      </w:r>
    </w:p>
    <w:p w14:paraId="0E41F9AE"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The application of this model to Mid Staffordshire demonstrates that shortcomings existed in all three aspects. Regarding structure, the Trust struggled with a sustained shortage of healthcare staff, inefficient management, inadequate clinical supervision and weakness in governance mechanisms, which created conditions that made it difficult to deliver safe care (Francis, 2013). These deficiencies affected the processes, causing delays in assessing patients, ineffective communication between healthcare teams, inadequate monitoring and a culture that often disregarded patients’ preferences. Given this, it is understandable that the outcomes included unnecessary harm to patients, higher mortality rates, a negative patient experiences and a significant decline in public trust in the organisation (Francis, 2013; CQC, 2023).                                                                                                                                                   </w:t>
      </w:r>
    </w:p>
    <w:p w14:paraId="0E41F9AF" w14:textId="77777777" w:rsidR="00CE10BC" w:rsidRDefault="00326FAD">
      <w:pPr>
        <w:pStyle w:val="BodyText"/>
        <w:spacing w:line="360" w:lineRule="auto"/>
        <w:jc w:val="both"/>
        <w:rPr>
          <w:rFonts w:ascii="Arial" w:hAnsi="Arial"/>
          <w:sz w:val="22"/>
          <w:szCs w:val="22"/>
        </w:rPr>
      </w:pPr>
      <w:r>
        <w:rPr>
          <w:rFonts w:ascii="Arial" w:hAnsi="Arial"/>
          <w:sz w:val="22"/>
          <w:szCs w:val="22"/>
        </w:rPr>
        <w:tab/>
        <w:t>The model clearly illustrates that negative outcomes for patients usually do not occur independently. These are typically the result of multiple interconnected organisational shortcomings. Even so, one limitation is that Donabedian describes where quality problems appear, but offers fewer insights into why they appear or how organisations should respond to them. Therefore, the model is more effective when used in combination with analytical tools to identify causes, such as the Fishbone diagram and the ‘5 Whys’ method (Ayanian and Markel, 2016).</w:t>
      </w:r>
    </w:p>
    <w:p w14:paraId="0E41F9B0" w14:textId="77777777" w:rsidR="00CE10BC" w:rsidRDefault="00326FAD">
      <w:pPr>
        <w:pStyle w:val="BodyText"/>
        <w:spacing w:line="360" w:lineRule="auto"/>
        <w:jc w:val="center"/>
        <w:rPr>
          <w:rFonts w:ascii="Arial" w:hAnsi="Arial"/>
          <w:b/>
          <w:bCs/>
          <w:sz w:val="22"/>
          <w:szCs w:val="22"/>
        </w:rPr>
      </w:pPr>
      <w:r>
        <w:rPr>
          <w:rFonts w:ascii="Arial" w:hAnsi="Arial"/>
          <w:b/>
          <w:bCs/>
          <w:sz w:val="22"/>
          <w:szCs w:val="22"/>
        </w:rPr>
        <w:lastRenderedPageBreak/>
        <w:t>Table 1 – Donabedian Model Applied to Mid Staffordshire Trust</w:t>
      </w:r>
    </w:p>
    <w:tbl>
      <w:tblPr>
        <w:tblW w:w="9638" w:type="dxa"/>
        <w:tblInd w:w="-5" w:type="dxa"/>
        <w:tblLayout w:type="fixed"/>
        <w:tblCellMar>
          <w:top w:w="55" w:type="dxa"/>
          <w:left w:w="55" w:type="dxa"/>
          <w:bottom w:w="55" w:type="dxa"/>
          <w:right w:w="55" w:type="dxa"/>
        </w:tblCellMar>
        <w:tblLook w:val="0000" w:firstRow="0" w:lastRow="0" w:firstColumn="0" w:lastColumn="0" w:noHBand="0" w:noVBand="0"/>
      </w:tblPr>
      <w:tblGrid>
        <w:gridCol w:w="2572"/>
        <w:gridCol w:w="336"/>
        <w:gridCol w:w="3406"/>
        <w:gridCol w:w="336"/>
        <w:gridCol w:w="2988"/>
      </w:tblGrid>
      <w:tr w:rsidR="00CE10BC" w14:paraId="0E41F9B2" w14:textId="77777777">
        <w:trPr>
          <w:tblHeader/>
        </w:trPr>
        <w:tc>
          <w:tcPr>
            <w:tcW w:w="9638" w:type="dxa"/>
            <w:gridSpan w:val="5"/>
            <w:tcBorders>
              <w:top w:val="single" w:sz="4" w:space="0" w:color="000000"/>
              <w:left w:val="single" w:sz="4" w:space="0" w:color="000000"/>
              <w:bottom w:val="single" w:sz="4" w:space="0" w:color="000000"/>
              <w:right w:val="single" w:sz="4" w:space="0" w:color="000000"/>
            </w:tcBorders>
            <w:shd w:val="clear" w:color="auto" w:fill="B4C7DC"/>
            <w:vAlign w:val="center"/>
          </w:tcPr>
          <w:p w14:paraId="0E41F9B1" w14:textId="77777777" w:rsidR="00CE10BC" w:rsidRDefault="00326FAD">
            <w:pPr>
              <w:pStyle w:val="TableHeading"/>
              <w:jc w:val="left"/>
            </w:pPr>
            <w:r>
              <w:rPr>
                <w:rStyle w:val="Strong"/>
                <w:rFonts w:ascii="Arial" w:hAnsi="Arial"/>
                <w:b/>
                <w:sz w:val="22"/>
                <w:szCs w:val="22"/>
              </w:rPr>
              <w:t xml:space="preserve">         Structure                 </w:t>
            </w:r>
            <w:r>
              <w:rPr>
                <w:rFonts w:ascii="Arial" w:hAnsi="Arial"/>
                <w:color w:val="000000"/>
                <w:sz w:val="22"/>
                <w:szCs w:val="22"/>
              </w:rPr>
              <w:t>➜</w:t>
            </w:r>
            <w:r>
              <w:rPr>
                <w:rFonts w:ascii="Arial" w:hAnsi="Arial"/>
                <w:color w:val="55308D"/>
                <w:sz w:val="22"/>
                <w:szCs w:val="22"/>
              </w:rPr>
              <w:t xml:space="preserve"> </w:t>
            </w:r>
            <w:r>
              <w:rPr>
                <w:rFonts w:ascii="Arial" w:hAnsi="Arial"/>
                <w:sz w:val="22"/>
                <w:szCs w:val="22"/>
              </w:rPr>
              <w:t xml:space="preserve">                     </w:t>
            </w:r>
            <w:r>
              <w:rPr>
                <w:rStyle w:val="Strong"/>
                <w:rFonts w:ascii="Arial" w:hAnsi="Arial"/>
                <w:b/>
                <w:sz w:val="22"/>
                <w:szCs w:val="22"/>
              </w:rPr>
              <w:t xml:space="preserve">Process                     </w:t>
            </w:r>
            <w:r>
              <w:rPr>
                <w:rFonts w:ascii="Arial" w:hAnsi="Arial"/>
                <w:sz w:val="22"/>
                <w:szCs w:val="22"/>
              </w:rPr>
              <w:t xml:space="preserve">➜                </w:t>
            </w:r>
            <w:r>
              <w:rPr>
                <w:rStyle w:val="Strong"/>
                <w:rFonts w:ascii="Arial" w:hAnsi="Arial"/>
                <w:b/>
                <w:sz w:val="22"/>
                <w:szCs w:val="22"/>
              </w:rPr>
              <w:t>Outcomes</w:t>
            </w:r>
          </w:p>
        </w:tc>
      </w:tr>
      <w:tr w:rsidR="00CE10BC" w14:paraId="0E41F9C1" w14:textId="77777777">
        <w:tc>
          <w:tcPr>
            <w:tcW w:w="2572" w:type="dxa"/>
            <w:tcBorders>
              <w:left w:val="single" w:sz="4" w:space="0" w:color="000000"/>
              <w:bottom w:val="single" w:sz="4" w:space="0" w:color="000000"/>
            </w:tcBorders>
            <w:vAlign w:val="center"/>
          </w:tcPr>
          <w:p w14:paraId="0E41F9B3" w14:textId="77777777" w:rsidR="00CE10BC" w:rsidRDefault="00326FAD">
            <w:pPr>
              <w:pStyle w:val="TableContents"/>
              <w:spacing w:line="360" w:lineRule="auto"/>
              <w:rPr>
                <w:rFonts w:ascii="Arial" w:hAnsi="Arial"/>
                <w:sz w:val="22"/>
                <w:szCs w:val="22"/>
              </w:rPr>
            </w:pPr>
            <w:r>
              <w:rPr>
                <w:rFonts w:ascii="Arial" w:hAnsi="Arial"/>
                <w:sz w:val="22"/>
                <w:szCs w:val="22"/>
              </w:rPr>
              <w:t>• Staff shortages</w:t>
            </w:r>
          </w:p>
          <w:p w14:paraId="0E41F9B4" w14:textId="77777777" w:rsidR="00CE10BC" w:rsidRDefault="00326FAD">
            <w:pPr>
              <w:pStyle w:val="TableContents"/>
              <w:spacing w:line="360" w:lineRule="auto"/>
              <w:rPr>
                <w:rFonts w:ascii="Arial" w:hAnsi="Arial"/>
                <w:sz w:val="22"/>
                <w:szCs w:val="22"/>
              </w:rPr>
            </w:pPr>
            <w:r>
              <w:rPr>
                <w:rFonts w:ascii="Arial" w:hAnsi="Arial"/>
                <w:sz w:val="22"/>
                <w:szCs w:val="22"/>
              </w:rPr>
              <w:t>• Weak leadership</w:t>
            </w:r>
          </w:p>
          <w:p w14:paraId="0E41F9B5" w14:textId="77777777" w:rsidR="00CE10BC" w:rsidRDefault="00326FAD">
            <w:pPr>
              <w:pStyle w:val="TableContents"/>
              <w:spacing w:line="360" w:lineRule="auto"/>
              <w:rPr>
                <w:rFonts w:ascii="Arial" w:hAnsi="Arial"/>
                <w:sz w:val="22"/>
                <w:szCs w:val="22"/>
              </w:rPr>
            </w:pPr>
            <w:r>
              <w:rPr>
                <w:rFonts w:ascii="Arial" w:hAnsi="Arial"/>
                <w:sz w:val="22"/>
                <w:szCs w:val="22"/>
              </w:rPr>
              <w:t>• Poor governance</w:t>
            </w:r>
          </w:p>
          <w:p w14:paraId="0E41F9B6" w14:textId="77777777" w:rsidR="00CE10BC" w:rsidRDefault="00326FAD">
            <w:pPr>
              <w:pStyle w:val="TableContents"/>
              <w:spacing w:line="360" w:lineRule="auto"/>
              <w:rPr>
                <w:rFonts w:ascii="Arial" w:hAnsi="Arial"/>
                <w:sz w:val="22"/>
                <w:szCs w:val="22"/>
              </w:rPr>
            </w:pPr>
            <w:r>
              <w:rPr>
                <w:rFonts w:ascii="Arial" w:hAnsi="Arial"/>
                <w:sz w:val="22"/>
                <w:szCs w:val="22"/>
              </w:rPr>
              <w:t>• Limited training</w:t>
            </w:r>
          </w:p>
        </w:tc>
        <w:tc>
          <w:tcPr>
            <w:tcW w:w="336" w:type="dxa"/>
            <w:tcBorders>
              <w:left w:val="single" w:sz="4" w:space="0" w:color="000000"/>
              <w:bottom w:val="single" w:sz="4" w:space="0" w:color="000000"/>
            </w:tcBorders>
            <w:vAlign w:val="center"/>
          </w:tcPr>
          <w:p w14:paraId="0E41F9B7" w14:textId="77777777" w:rsidR="00CE10BC" w:rsidRDefault="00326FAD">
            <w:pPr>
              <w:pStyle w:val="TableContents"/>
              <w:spacing w:line="360" w:lineRule="auto"/>
              <w:rPr>
                <w:rFonts w:ascii="Arial" w:hAnsi="Arial"/>
                <w:sz w:val="22"/>
                <w:szCs w:val="22"/>
              </w:rPr>
            </w:pPr>
            <w:r>
              <w:rPr>
                <w:rFonts w:ascii="Arial" w:hAnsi="Arial"/>
                <w:sz w:val="22"/>
                <w:szCs w:val="22"/>
              </w:rPr>
              <w:t xml:space="preserve">   </w:t>
            </w:r>
          </w:p>
        </w:tc>
        <w:tc>
          <w:tcPr>
            <w:tcW w:w="3406" w:type="dxa"/>
            <w:tcBorders>
              <w:left w:val="single" w:sz="4" w:space="0" w:color="000000"/>
              <w:bottom w:val="single" w:sz="4" w:space="0" w:color="000000"/>
            </w:tcBorders>
            <w:vAlign w:val="center"/>
          </w:tcPr>
          <w:p w14:paraId="0E41F9B8" w14:textId="77777777" w:rsidR="00CE10BC" w:rsidRDefault="00326FAD">
            <w:pPr>
              <w:pStyle w:val="TableContents"/>
              <w:spacing w:line="360" w:lineRule="auto"/>
              <w:rPr>
                <w:rFonts w:ascii="Arial" w:hAnsi="Arial"/>
                <w:sz w:val="22"/>
                <w:szCs w:val="22"/>
              </w:rPr>
            </w:pPr>
            <w:r>
              <w:rPr>
                <w:rFonts w:ascii="Arial" w:hAnsi="Arial"/>
                <w:sz w:val="22"/>
                <w:szCs w:val="22"/>
              </w:rPr>
              <w:t>• Delayed assessments</w:t>
            </w:r>
          </w:p>
          <w:p w14:paraId="0E41F9B9" w14:textId="77777777" w:rsidR="00CE10BC" w:rsidRDefault="00326FAD">
            <w:pPr>
              <w:pStyle w:val="TableContents"/>
              <w:spacing w:line="360" w:lineRule="auto"/>
              <w:rPr>
                <w:rFonts w:ascii="Arial" w:hAnsi="Arial"/>
                <w:sz w:val="22"/>
                <w:szCs w:val="22"/>
              </w:rPr>
            </w:pPr>
            <w:r>
              <w:rPr>
                <w:rFonts w:ascii="Arial" w:hAnsi="Arial"/>
                <w:sz w:val="22"/>
                <w:szCs w:val="22"/>
              </w:rPr>
              <w:t>• Poor communication</w:t>
            </w:r>
          </w:p>
          <w:p w14:paraId="0E41F9BA" w14:textId="77777777" w:rsidR="00CE10BC" w:rsidRDefault="00326FAD">
            <w:pPr>
              <w:pStyle w:val="TableContents"/>
              <w:spacing w:line="360" w:lineRule="auto"/>
              <w:rPr>
                <w:rFonts w:ascii="Arial" w:hAnsi="Arial"/>
                <w:sz w:val="22"/>
                <w:szCs w:val="22"/>
              </w:rPr>
            </w:pPr>
            <w:r>
              <w:rPr>
                <w:rFonts w:ascii="Arial" w:hAnsi="Arial"/>
                <w:sz w:val="22"/>
                <w:szCs w:val="22"/>
              </w:rPr>
              <w:t>• Inadequate monitoring</w:t>
            </w:r>
          </w:p>
          <w:p w14:paraId="0E41F9BB" w14:textId="77777777" w:rsidR="00CE10BC" w:rsidRDefault="00326FAD">
            <w:pPr>
              <w:pStyle w:val="TableContents"/>
              <w:spacing w:line="360" w:lineRule="auto"/>
              <w:rPr>
                <w:rFonts w:ascii="Arial" w:hAnsi="Arial"/>
                <w:sz w:val="22"/>
                <w:szCs w:val="22"/>
              </w:rPr>
            </w:pPr>
            <w:r>
              <w:rPr>
                <w:rFonts w:ascii="Arial" w:hAnsi="Arial"/>
                <w:sz w:val="22"/>
                <w:szCs w:val="22"/>
              </w:rPr>
              <w:t>• Ignored patient concerns</w:t>
            </w:r>
          </w:p>
        </w:tc>
        <w:tc>
          <w:tcPr>
            <w:tcW w:w="336" w:type="dxa"/>
            <w:tcBorders>
              <w:left w:val="single" w:sz="4" w:space="0" w:color="000000"/>
              <w:bottom w:val="single" w:sz="4" w:space="0" w:color="000000"/>
            </w:tcBorders>
            <w:vAlign w:val="center"/>
          </w:tcPr>
          <w:p w14:paraId="0E41F9BC" w14:textId="77777777" w:rsidR="00CE10BC" w:rsidRDefault="00CE10BC">
            <w:pPr>
              <w:pStyle w:val="TableContents"/>
              <w:spacing w:line="360" w:lineRule="auto"/>
              <w:rPr>
                <w:rFonts w:ascii="Arial" w:hAnsi="Arial"/>
                <w:sz w:val="22"/>
                <w:szCs w:val="22"/>
              </w:rPr>
            </w:pPr>
          </w:p>
        </w:tc>
        <w:tc>
          <w:tcPr>
            <w:tcW w:w="2988" w:type="dxa"/>
            <w:tcBorders>
              <w:left w:val="single" w:sz="4" w:space="0" w:color="000000"/>
              <w:bottom w:val="single" w:sz="4" w:space="0" w:color="000000"/>
              <w:right w:val="single" w:sz="4" w:space="0" w:color="000000"/>
            </w:tcBorders>
            <w:vAlign w:val="center"/>
          </w:tcPr>
          <w:p w14:paraId="0E41F9BD" w14:textId="77777777" w:rsidR="00CE10BC" w:rsidRDefault="00326FAD">
            <w:pPr>
              <w:pStyle w:val="TableContents"/>
              <w:spacing w:line="360" w:lineRule="auto"/>
              <w:rPr>
                <w:rFonts w:ascii="Arial" w:hAnsi="Arial"/>
                <w:sz w:val="22"/>
                <w:szCs w:val="22"/>
              </w:rPr>
            </w:pPr>
            <w:r>
              <w:rPr>
                <w:rFonts w:ascii="Arial" w:hAnsi="Arial"/>
                <w:sz w:val="22"/>
                <w:szCs w:val="22"/>
              </w:rPr>
              <w:t>• Higher mortality</w:t>
            </w:r>
          </w:p>
          <w:p w14:paraId="0E41F9BE" w14:textId="77777777" w:rsidR="00CE10BC" w:rsidRDefault="00326FAD">
            <w:pPr>
              <w:pStyle w:val="TableContents"/>
              <w:spacing w:line="360" w:lineRule="auto"/>
              <w:rPr>
                <w:rFonts w:ascii="Arial" w:hAnsi="Arial"/>
                <w:sz w:val="22"/>
                <w:szCs w:val="22"/>
              </w:rPr>
            </w:pPr>
            <w:r>
              <w:rPr>
                <w:rFonts w:ascii="Arial" w:hAnsi="Arial"/>
                <w:sz w:val="22"/>
                <w:szCs w:val="22"/>
              </w:rPr>
              <w:t>• Poor patient experience</w:t>
            </w:r>
          </w:p>
          <w:p w14:paraId="0E41F9BF" w14:textId="77777777" w:rsidR="00CE10BC" w:rsidRDefault="00326FAD">
            <w:pPr>
              <w:pStyle w:val="TableContents"/>
              <w:spacing w:line="360" w:lineRule="auto"/>
              <w:rPr>
                <w:rFonts w:ascii="Arial" w:hAnsi="Arial"/>
                <w:sz w:val="22"/>
                <w:szCs w:val="22"/>
              </w:rPr>
            </w:pPr>
            <w:r>
              <w:rPr>
                <w:rFonts w:ascii="Arial" w:hAnsi="Arial"/>
                <w:sz w:val="22"/>
                <w:szCs w:val="22"/>
              </w:rPr>
              <w:t>• Loss of public trust</w:t>
            </w:r>
          </w:p>
          <w:p w14:paraId="0E41F9C0" w14:textId="77777777" w:rsidR="00CE10BC" w:rsidRDefault="00326FAD">
            <w:pPr>
              <w:pStyle w:val="TableContents"/>
              <w:spacing w:line="360" w:lineRule="auto"/>
              <w:rPr>
                <w:rFonts w:ascii="Arial" w:hAnsi="Arial"/>
                <w:sz w:val="22"/>
                <w:szCs w:val="22"/>
              </w:rPr>
            </w:pPr>
            <w:r>
              <w:rPr>
                <w:rFonts w:ascii="Arial" w:hAnsi="Arial"/>
                <w:sz w:val="22"/>
                <w:szCs w:val="22"/>
              </w:rPr>
              <w:t>• Regulatory intervention</w:t>
            </w:r>
          </w:p>
        </w:tc>
      </w:tr>
    </w:tbl>
    <w:p w14:paraId="0E41F9C2" w14:textId="77777777" w:rsidR="00CE10BC" w:rsidRDefault="00CE10BC">
      <w:pPr>
        <w:spacing w:line="360" w:lineRule="auto"/>
        <w:jc w:val="both"/>
        <w:rPr>
          <w:sz w:val="22"/>
          <w:szCs w:val="22"/>
        </w:rPr>
      </w:pPr>
    </w:p>
    <w:p w14:paraId="0E41F9C3" w14:textId="77777777" w:rsidR="00CE10BC" w:rsidRDefault="00CE10BC">
      <w:pPr>
        <w:spacing w:line="360" w:lineRule="auto"/>
        <w:jc w:val="both"/>
        <w:rPr>
          <w:sz w:val="22"/>
          <w:szCs w:val="22"/>
        </w:rPr>
      </w:pPr>
    </w:p>
    <w:p w14:paraId="0E41F9C4"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 xml:space="preserve">2.2 Fishbone Diagram </w:t>
      </w:r>
    </w:p>
    <w:p w14:paraId="0E41F9C5"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The Fishbone Diagram, pioneered by Ishikawa, was selected because it facilitates the determination of the various interconnected causes of a certain issue, instead of just attributing failures to a single incident or individual (Ishikawa, 1986). This approach based on systematic analysis is highly relevant to the Mid Staffordshire example, where the inadequate quality of care emerged from organisational shortcomings that had developed over years, instead of isolated clinical errors (Francis, 2013; Reason, 2000).</w:t>
      </w:r>
    </w:p>
    <w:p w14:paraId="0E41F9C6"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Applying this framework indicates that the poor management was a significant factor leading to this situation, as senior managers focused on financial targets and Foundation Trust status, while neglecting patient safety and healthcare quality (Francis, 2013; Berwick, 2013). As regards staff, severe staff shortages, low morale and inappropriate professional training undermined staff's ability to deliver compassionate and safe care (West </w:t>
      </w:r>
      <w:r>
        <w:rPr>
          <w:rFonts w:ascii="Arial" w:hAnsi="Arial"/>
          <w:i/>
          <w:iCs/>
          <w:sz w:val="22"/>
          <w:szCs w:val="22"/>
        </w:rPr>
        <w:t>et al</w:t>
      </w:r>
      <w:r>
        <w:rPr>
          <w:rFonts w:ascii="Arial" w:hAnsi="Arial"/>
          <w:sz w:val="22"/>
          <w:szCs w:val="22"/>
        </w:rPr>
        <w:t xml:space="preserve">., 2017; CQC, 2023). Shortcomings in communication have contributed to complaints from patients, family members and frontline staff being disregarded, while poor governance has undermined organisational accountability and learning (Francis, 2013; NHS England, 2022). Pressure on resources and increased demand for services have intensified these problems even more. </w:t>
      </w:r>
    </w:p>
    <w:p w14:paraId="705D968D" w14:textId="3A72FB62" w:rsidR="00900518" w:rsidRDefault="00326FAD">
      <w:pPr>
        <w:pStyle w:val="BodyText"/>
        <w:spacing w:after="0" w:line="360" w:lineRule="auto"/>
        <w:jc w:val="both"/>
        <w:rPr>
          <w:rFonts w:ascii="Arial" w:hAnsi="Arial"/>
          <w:sz w:val="22"/>
          <w:szCs w:val="22"/>
        </w:rPr>
      </w:pPr>
      <w:r>
        <w:rPr>
          <w:rFonts w:ascii="Arial" w:hAnsi="Arial"/>
          <w:sz w:val="22"/>
          <w:szCs w:val="22"/>
        </w:rPr>
        <w:tab/>
        <w:t>Although the Fishbone diagram alone will not identify the root cause, it demonstrates how management, staff and governance have interacted to increase the risks, leading to conditions in which serious events have become harder to prevent (Ayanian and Markel, 2016; The King’s Fund, 2024).</w:t>
      </w:r>
      <w:r w:rsidR="00900518" w:rsidRPr="00900518">
        <w:rPr>
          <w:noProof/>
        </w:rPr>
        <w:t xml:space="preserve"> </w:t>
      </w:r>
      <w:r w:rsidR="00900518" w:rsidRPr="00900518">
        <w:rPr>
          <w:rFonts w:ascii="Arial" w:hAnsi="Arial"/>
          <w:sz w:val="22"/>
          <w:szCs w:val="22"/>
        </w:rPr>
        <w:drawing>
          <wp:inline distT="0" distB="0" distL="0" distR="0" wp14:anchorId="61AE457C" wp14:editId="4CC99710">
            <wp:extent cx="6120130" cy="1732157"/>
            <wp:effectExtent l="0" t="0" r="0" b="1905"/>
            <wp:docPr id="67958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583317" name=""/>
                    <pic:cNvPicPr/>
                  </pic:nvPicPr>
                  <pic:blipFill>
                    <a:blip r:embed="rId8"/>
                    <a:stretch>
                      <a:fillRect/>
                    </a:stretch>
                  </pic:blipFill>
                  <pic:spPr>
                    <a:xfrm>
                      <a:off x="0" y="0"/>
                      <a:ext cx="6126386" cy="1733928"/>
                    </a:xfrm>
                    <a:prstGeom prst="rect">
                      <a:avLst/>
                    </a:prstGeom>
                  </pic:spPr>
                </pic:pic>
              </a:graphicData>
            </a:graphic>
          </wp:inline>
        </w:drawing>
      </w:r>
    </w:p>
    <w:p w14:paraId="13BD980C" w14:textId="6CB51900" w:rsidR="006316CC" w:rsidRPr="00BD4372" w:rsidRDefault="00326FAD" w:rsidP="00BD4372">
      <w:pPr>
        <w:pStyle w:val="BodyText"/>
        <w:spacing w:after="0" w:line="360" w:lineRule="auto"/>
        <w:rPr>
          <w:rFonts w:ascii="Arial" w:hAnsi="Arial"/>
          <w:b/>
          <w:bCs/>
          <w:sz w:val="22"/>
          <w:szCs w:val="22"/>
        </w:rPr>
      </w:pPr>
      <w:r w:rsidRPr="00900518">
        <w:rPr>
          <w:rFonts w:ascii="Arial" w:hAnsi="Arial"/>
          <w:b/>
          <w:bCs/>
          <w:sz w:val="22"/>
          <w:szCs w:val="22"/>
        </w:rPr>
        <w:t xml:space="preserve">              </w:t>
      </w:r>
      <w:r w:rsidR="00900518" w:rsidRPr="00900518">
        <w:rPr>
          <w:rFonts w:ascii="Arial" w:hAnsi="Arial"/>
          <w:b/>
          <w:bCs/>
          <w:sz w:val="22"/>
          <w:szCs w:val="22"/>
        </w:rPr>
        <w:t>Fishbone Diagram (self-created image generated with Gemini</w:t>
      </w:r>
      <w:r w:rsidRPr="00900518">
        <w:rPr>
          <w:rFonts w:ascii="Arial" w:hAnsi="Arial"/>
          <w:b/>
          <w:bCs/>
          <w:sz w:val="22"/>
          <w:szCs w:val="22"/>
        </w:rPr>
        <w:t xml:space="preserve"> </w:t>
      </w:r>
      <w:r w:rsidR="00900518" w:rsidRPr="00900518">
        <w:rPr>
          <w:rFonts w:ascii="Arial" w:hAnsi="Arial"/>
          <w:b/>
          <w:bCs/>
          <w:sz w:val="22"/>
          <w:szCs w:val="22"/>
        </w:rPr>
        <w:t>photo generator)</w:t>
      </w:r>
      <w:r w:rsidRPr="00900518">
        <w:rPr>
          <w:rFonts w:ascii="Arial" w:hAnsi="Arial"/>
          <w:b/>
          <w:bCs/>
          <w:sz w:val="22"/>
          <w:szCs w:val="22"/>
        </w:rPr>
        <w:t xml:space="preserve">                </w:t>
      </w:r>
    </w:p>
    <w:p w14:paraId="0E41F9CC" w14:textId="77777777" w:rsidR="00CE10BC" w:rsidRDefault="00326FAD">
      <w:pPr>
        <w:pStyle w:val="BodyText"/>
        <w:spacing w:after="0" w:line="360" w:lineRule="auto"/>
        <w:jc w:val="center"/>
        <w:rPr>
          <w:rFonts w:ascii="Arial" w:hAnsi="Arial"/>
          <w:b/>
          <w:bCs/>
          <w:sz w:val="22"/>
          <w:szCs w:val="22"/>
        </w:rPr>
      </w:pPr>
      <w:r>
        <w:rPr>
          <w:rFonts w:ascii="Arial" w:hAnsi="Arial"/>
          <w:b/>
          <w:bCs/>
          <w:sz w:val="22"/>
          <w:szCs w:val="22"/>
        </w:rPr>
        <w:lastRenderedPageBreak/>
        <w:t xml:space="preserve">Table 2 –  Fishbone Diagram: Root Causes of Mid Staffordshire </w:t>
      </w:r>
    </w:p>
    <w:p w14:paraId="0E41F9CD" w14:textId="77777777" w:rsidR="00CE10BC" w:rsidRDefault="00CE10BC">
      <w:pPr>
        <w:pStyle w:val="BodyText"/>
        <w:spacing w:after="0" w:line="360" w:lineRule="auto"/>
        <w:jc w:val="center"/>
        <w:rPr>
          <w:rFonts w:ascii="Arial" w:hAnsi="Arial"/>
          <w:b/>
          <w:bCs/>
          <w:sz w:val="22"/>
          <w:szCs w:val="22"/>
        </w:rPr>
      </w:pPr>
    </w:p>
    <w:tbl>
      <w:tblPr>
        <w:tblW w:w="9638" w:type="dxa"/>
        <w:tblInd w:w="-5" w:type="dxa"/>
        <w:tblLayout w:type="fixed"/>
        <w:tblCellMar>
          <w:top w:w="55" w:type="dxa"/>
          <w:left w:w="55" w:type="dxa"/>
          <w:bottom w:w="55" w:type="dxa"/>
          <w:right w:w="55" w:type="dxa"/>
        </w:tblCellMar>
        <w:tblLook w:val="0000" w:firstRow="0" w:lastRow="0" w:firstColumn="0" w:lastColumn="0" w:noHBand="0" w:noVBand="0"/>
      </w:tblPr>
      <w:tblGrid>
        <w:gridCol w:w="3675"/>
        <w:gridCol w:w="5963"/>
      </w:tblGrid>
      <w:tr w:rsidR="00CE10BC" w14:paraId="0E41F9D0" w14:textId="77777777">
        <w:trPr>
          <w:tblHeader/>
        </w:trPr>
        <w:tc>
          <w:tcPr>
            <w:tcW w:w="3675" w:type="dxa"/>
            <w:tcBorders>
              <w:top w:val="single" w:sz="4" w:space="0" w:color="000000"/>
              <w:left w:val="single" w:sz="4" w:space="0" w:color="000000"/>
              <w:bottom w:val="single" w:sz="4" w:space="0" w:color="000000"/>
            </w:tcBorders>
            <w:shd w:val="clear" w:color="auto" w:fill="B4C7DC"/>
            <w:vAlign w:val="center"/>
          </w:tcPr>
          <w:p w14:paraId="0E41F9CE" w14:textId="77777777" w:rsidR="00CE10BC" w:rsidRDefault="00326FAD">
            <w:pPr>
              <w:pStyle w:val="TableHeading"/>
              <w:spacing w:line="360" w:lineRule="auto"/>
            </w:pPr>
            <w:r>
              <w:rPr>
                <w:rStyle w:val="Strong"/>
                <w:rFonts w:ascii="Arial" w:hAnsi="Arial"/>
                <w:b/>
                <w:sz w:val="22"/>
                <w:szCs w:val="22"/>
              </w:rPr>
              <w:t>Category</w:t>
            </w:r>
          </w:p>
        </w:tc>
        <w:tc>
          <w:tcPr>
            <w:tcW w:w="5963" w:type="dxa"/>
            <w:tcBorders>
              <w:top w:val="single" w:sz="4" w:space="0" w:color="000000"/>
              <w:left w:val="single" w:sz="4" w:space="0" w:color="000000"/>
              <w:bottom w:val="single" w:sz="4" w:space="0" w:color="000000"/>
              <w:right w:val="single" w:sz="4" w:space="0" w:color="000000"/>
            </w:tcBorders>
            <w:shd w:val="clear" w:color="auto" w:fill="B4C7DC"/>
            <w:vAlign w:val="center"/>
          </w:tcPr>
          <w:p w14:paraId="0E41F9CF" w14:textId="77777777" w:rsidR="00CE10BC" w:rsidRDefault="00326FAD">
            <w:pPr>
              <w:pStyle w:val="TableHeading"/>
              <w:spacing w:line="360" w:lineRule="auto"/>
            </w:pPr>
            <w:r>
              <w:rPr>
                <w:rStyle w:val="Strong"/>
                <w:rFonts w:ascii="Arial" w:hAnsi="Arial"/>
                <w:b/>
                <w:sz w:val="22"/>
                <w:szCs w:val="22"/>
              </w:rPr>
              <w:t>Root Causes Identified</w:t>
            </w:r>
          </w:p>
        </w:tc>
      </w:tr>
      <w:tr w:rsidR="00CE10BC" w14:paraId="0E41F9D5" w14:textId="77777777">
        <w:tc>
          <w:tcPr>
            <w:tcW w:w="3675" w:type="dxa"/>
            <w:tcBorders>
              <w:left w:val="single" w:sz="4" w:space="0" w:color="000000"/>
              <w:bottom w:val="single" w:sz="4" w:space="0" w:color="000000"/>
            </w:tcBorders>
            <w:vAlign w:val="center"/>
          </w:tcPr>
          <w:p w14:paraId="0E41F9D1" w14:textId="77777777" w:rsidR="00CE10BC" w:rsidRDefault="00326FAD">
            <w:pPr>
              <w:pStyle w:val="TableContents"/>
              <w:spacing w:line="360" w:lineRule="auto"/>
              <w:jc w:val="center"/>
            </w:pPr>
            <w:r>
              <w:rPr>
                <w:rStyle w:val="Strong"/>
                <w:rFonts w:ascii="Arial" w:hAnsi="Arial"/>
                <w:sz w:val="22"/>
                <w:szCs w:val="22"/>
              </w:rPr>
              <w:t>Leadership</w:t>
            </w:r>
          </w:p>
        </w:tc>
        <w:tc>
          <w:tcPr>
            <w:tcW w:w="5963" w:type="dxa"/>
            <w:tcBorders>
              <w:left w:val="single" w:sz="4" w:space="0" w:color="000000"/>
              <w:bottom w:val="single" w:sz="4" w:space="0" w:color="000000"/>
              <w:right w:val="single" w:sz="4" w:space="0" w:color="000000"/>
            </w:tcBorders>
            <w:vAlign w:val="center"/>
          </w:tcPr>
          <w:p w14:paraId="0E41F9D2" w14:textId="77777777" w:rsidR="00CE10BC" w:rsidRDefault="00326FAD">
            <w:pPr>
              <w:pStyle w:val="TableContents"/>
              <w:spacing w:line="360" w:lineRule="auto"/>
              <w:rPr>
                <w:rFonts w:ascii="Arial" w:hAnsi="Arial"/>
                <w:sz w:val="22"/>
                <w:szCs w:val="22"/>
              </w:rPr>
            </w:pPr>
            <w:r>
              <w:rPr>
                <w:rFonts w:ascii="Arial" w:hAnsi="Arial"/>
                <w:sz w:val="22"/>
                <w:szCs w:val="22"/>
              </w:rPr>
              <w:t>• Weak clinical leadership</w:t>
            </w:r>
          </w:p>
          <w:p w14:paraId="0E41F9D3" w14:textId="77777777" w:rsidR="00CE10BC" w:rsidRDefault="00326FAD">
            <w:pPr>
              <w:pStyle w:val="TableContents"/>
              <w:spacing w:line="360" w:lineRule="auto"/>
              <w:rPr>
                <w:rFonts w:ascii="Arial" w:hAnsi="Arial"/>
                <w:sz w:val="22"/>
                <w:szCs w:val="22"/>
              </w:rPr>
            </w:pPr>
            <w:r>
              <w:rPr>
                <w:rFonts w:ascii="Arial" w:hAnsi="Arial"/>
                <w:sz w:val="22"/>
                <w:szCs w:val="22"/>
              </w:rPr>
              <w:t>• Financial targets prioritised over patient safety</w:t>
            </w:r>
          </w:p>
          <w:p w14:paraId="0E41F9D4" w14:textId="77777777" w:rsidR="00CE10BC" w:rsidRDefault="00326FAD">
            <w:pPr>
              <w:pStyle w:val="TableContents"/>
              <w:spacing w:line="360" w:lineRule="auto"/>
              <w:rPr>
                <w:rFonts w:ascii="Arial" w:hAnsi="Arial"/>
                <w:sz w:val="22"/>
                <w:szCs w:val="22"/>
              </w:rPr>
            </w:pPr>
            <w:r>
              <w:rPr>
                <w:rFonts w:ascii="Arial" w:hAnsi="Arial"/>
                <w:sz w:val="22"/>
                <w:szCs w:val="22"/>
              </w:rPr>
              <w:t>• Poor strategic decision-making</w:t>
            </w:r>
          </w:p>
        </w:tc>
      </w:tr>
      <w:tr w:rsidR="00CE10BC" w14:paraId="0E41F9DA" w14:textId="77777777">
        <w:tc>
          <w:tcPr>
            <w:tcW w:w="3675" w:type="dxa"/>
            <w:tcBorders>
              <w:left w:val="single" w:sz="4" w:space="0" w:color="000000"/>
              <w:bottom w:val="single" w:sz="4" w:space="0" w:color="000000"/>
            </w:tcBorders>
            <w:vAlign w:val="center"/>
          </w:tcPr>
          <w:p w14:paraId="0E41F9D6" w14:textId="77777777" w:rsidR="00CE10BC" w:rsidRDefault="00326FAD">
            <w:pPr>
              <w:pStyle w:val="TableContents"/>
              <w:spacing w:line="360" w:lineRule="auto"/>
              <w:jc w:val="center"/>
            </w:pPr>
            <w:r>
              <w:rPr>
                <w:rStyle w:val="Strong"/>
                <w:rFonts w:ascii="Arial" w:hAnsi="Arial"/>
                <w:sz w:val="22"/>
                <w:szCs w:val="22"/>
              </w:rPr>
              <w:t>Healthcare Staff</w:t>
            </w:r>
          </w:p>
        </w:tc>
        <w:tc>
          <w:tcPr>
            <w:tcW w:w="5963" w:type="dxa"/>
            <w:tcBorders>
              <w:left w:val="single" w:sz="4" w:space="0" w:color="000000"/>
              <w:bottom w:val="single" w:sz="4" w:space="0" w:color="000000"/>
              <w:right w:val="single" w:sz="4" w:space="0" w:color="000000"/>
            </w:tcBorders>
            <w:vAlign w:val="center"/>
          </w:tcPr>
          <w:p w14:paraId="0E41F9D7" w14:textId="77777777" w:rsidR="00CE10BC" w:rsidRDefault="00326FAD">
            <w:pPr>
              <w:pStyle w:val="TableContents"/>
              <w:spacing w:line="360" w:lineRule="auto"/>
              <w:rPr>
                <w:rFonts w:ascii="Arial" w:hAnsi="Arial"/>
                <w:sz w:val="22"/>
                <w:szCs w:val="22"/>
              </w:rPr>
            </w:pPr>
            <w:r>
              <w:rPr>
                <w:rFonts w:ascii="Arial" w:hAnsi="Arial"/>
                <w:sz w:val="22"/>
                <w:szCs w:val="22"/>
              </w:rPr>
              <w:t>• Nurse shortages</w:t>
            </w:r>
          </w:p>
          <w:p w14:paraId="0E41F9D8" w14:textId="77777777" w:rsidR="00CE10BC" w:rsidRDefault="00326FAD">
            <w:pPr>
              <w:pStyle w:val="TableContents"/>
              <w:spacing w:line="360" w:lineRule="auto"/>
              <w:rPr>
                <w:rFonts w:ascii="Arial" w:hAnsi="Arial"/>
                <w:sz w:val="22"/>
                <w:szCs w:val="22"/>
              </w:rPr>
            </w:pPr>
            <w:r>
              <w:rPr>
                <w:rFonts w:ascii="Arial" w:hAnsi="Arial"/>
                <w:sz w:val="22"/>
                <w:szCs w:val="22"/>
              </w:rPr>
              <w:t>• Low staff morale</w:t>
            </w:r>
          </w:p>
          <w:p w14:paraId="0E41F9D9" w14:textId="77777777" w:rsidR="00CE10BC" w:rsidRDefault="00326FAD">
            <w:pPr>
              <w:pStyle w:val="TableContents"/>
              <w:spacing w:line="360" w:lineRule="auto"/>
              <w:rPr>
                <w:rFonts w:ascii="Arial" w:hAnsi="Arial"/>
                <w:sz w:val="22"/>
                <w:szCs w:val="22"/>
              </w:rPr>
            </w:pPr>
            <w:r>
              <w:rPr>
                <w:rFonts w:ascii="Arial" w:hAnsi="Arial"/>
                <w:sz w:val="22"/>
                <w:szCs w:val="22"/>
              </w:rPr>
              <w:t>• Inadequate training and supervision</w:t>
            </w:r>
          </w:p>
        </w:tc>
      </w:tr>
      <w:tr w:rsidR="00CE10BC" w14:paraId="0E41F9DF" w14:textId="77777777">
        <w:tc>
          <w:tcPr>
            <w:tcW w:w="3675" w:type="dxa"/>
            <w:tcBorders>
              <w:left w:val="single" w:sz="4" w:space="0" w:color="000000"/>
              <w:bottom w:val="single" w:sz="4" w:space="0" w:color="000000"/>
            </w:tcBorders>
            <w:vAlign w:val="center"/>
          </w:tcPr>
          <w:p w14:paraId="0E41F9DB" w14:textId="77777777" w:rsidR="00CE10BC" w:rsidRDefault="00326FAD">
            <w:pPr>
              <w:pStyle w:val="TableContents"/>
              <w:spacing w:line="360" w:lineRule="auto"/>
              <w:jc w:val="center"/>
            </w:pPr>
            <w:r>
              <w:rPr>
                <w:rStyle w:val="Strong"/>
                <w:rFonts w:ascii="Arial" w:hAnsi="Arial"/>
                <w:sz w:val="22"/>
                <w:szCs w:val="22"/>
              </w:rPr>
              <w:t>Communication</w:t>
            </w:r>
          </w:p>
        </w:tc>
        <w:tc>
          <w:tcPr>
            <w:tcW w:w="5963" w:type="dxa"/>
            <w:tcBorders>
              <w:left w:val="single" w:sz="4" w:space="0" w:color="000000"/>
              <w:bottom w:val="single" w:sz="4" w:space="0" w:color="000000"/>
              <w:right w:val="single" w:sz="4" w:space="0" w:color="000000"/>
            </w:tcBorders>
            <w:vAlign w:val="center"/>
          </w:tcPr>
          <w:p w14:paraId="0E41F9DC" w14:textId="77777777" w:rsidR="00CE10BC" w:rsidRDefault="00326FAD">
            <w:pPr>
              <w:pStyle w:val="TableContents"/>
              <w:spacing w:line="360" w:lineRule="auto"/>
              <w:rPr>
                <w:rFonts w:ascii="Arial" w:hAnsi="Arial"/>
                <w:sz w:val="22"/>
                <w:szCs w:val="22"/>
              </w:rPr>
            </w:pPr>
            <w:r>
              <w:rPr>
                <w:rFonts w:ascii="Arial" w:hAnsi="Arial"/>
                <w:sz w:val="22"/>
                <w:szCs w:val="22"/>
              </w:rPr>
              <w:t>• Poor multidisciplinary communication</w:t>
            </w:r>
          </w:p>
          <w:p w14:paraId="0E41F9DD" w14:textId="77777777" w:rsidR="00CE10BC" w:rsidRDefault="00326FAD">
            <w:pPr>
              <w:pStyle w:val="TableContents"/>
              <w:spacing w:line="360" w:lineRule="auto"/>
              <w:rPr>
                <w:rFonts w:ascii="Arial" w:hAnsi="Arial"/>
                <w:sz w:val="22"/>
                <w:szCs w:val="22"/>
              </w:rPr>
            </w:pPr>
            <w:r>
              <w:rPr>
                <w:rFonts w:ascii="Arial" w:hAnsi="Arial"/>
                <w:sz w:val="22"/>
                <w:szCs w:val="22"/>
              </w:rPr>
              <w:t>• Patient complaints ignored</w:t>
            </w:r>
          </w:p>
          <w:p w14:paraId="0E41F9DE" w14:textId="77777777" w:rsidR="00CE10BC" w:rsidRDefault="00326FAD">
            <w:pPr>
              <w:pStyle w:val="TableContents"/>
              <w:spacing w:line="360" w:lineRule="auto"/>
              <w:rPr>
                <w:rFonts w:ascii="Arial" w:hAnsi="Arial"/>
                <w:sz w:val="22"/>
                <w:szCs w:val="22"/>
              </w:rPr>
            </w:pPr>
            <w:r>
              <w:rPr>
                <w:rFonts w:ascii="Arial" w:hAnsi="Arial"/>
                <w:sz w:val="22"/>
                <w:szCs w:val="22"/>
              </w:rPr>
              <w:t>• Limited staff engagement</w:t>
            </w:r>
          </w:p>
        </w:tc>
      </w:tr>
      <w:tr w:rsidR="00CE10BC" w14:paraId="0E41F9E4" w14:textId="77777777">
        <w:tc>
          <w:tcPr>
            <w:tcW w:w="3675" w:type="dxa"/>
            <w:tcBorders>
              <w:left w:val="single" w:sz="4" w:space="0" w:color="000000"/>
              <w:bottom w:val="single" w:sz="4" w:space="0" w:color="000000"/>
            </w:tcBorders>
            <w:vAlign w:val="center"/>
          </w:tcPr>
          <w:p w14:paraId="0E41F9E0" w14:textId="77777777" w:rsidR="00CE10BC" w:rsidRDefault="00326FAD">
            <w:pPr>
              <w:pStyle w:val="TableContents"/>
              <w:spacing w:line="360" w:lineRule="auto"/>
              <w:jc w:val="center"/>
            </w:pPr>
            <w:r>
              <w:rPr>
                <w:rStyle w:val="Strong"/>
                <w:rFonts w:ascii="Arial" w:hAnsi="Arial"/>
                <w:sz w:val="22"/>
                <w:szCs w:val="22"/>
              </w:rPr>
              <w:t>Governance</w:t>
            </w:r>
          </w:p>
        </w:tc>
        <w:tc>
          <w:tcPr>
            <w:tcW w:w="5963" w:type="dxa"/>
            <w:tcBorders>
              <w:left w:val="single" w:sz="4" w:space="0" w:color="000000"/>
              <w:bottom w:val="single" w:sz="4" w:space="0" w:color="000000"/>
              <w:right w:val="single" w:sz="4" w:space="0" w:color="000000"/>
            </w:tcBorders>
            <w:vAlign w:val="center"/>
          </w:tcPr>
          <w:p w14:paraId="0E41F9E1" w14:textId="77777777" w:rsidR="00CE10BC" w:rsidRDefault="00326FAD">
            <w:pPr>
              <w:pStyle w:val="TableContents"/>
              <w:spacing w:line="360" w:lineRule="auto"/>
              <w:rPr>
                <w:rFonts w:ascii="Arial" w:hAnsi="Arial"/>
                <w:sz w:val="22"/>
                <w:szCs w:val="22"/>
              </w:rPr>
            </w:pPr>
            <w:r>
              <w:rPr>
                <w:rFonts w:ascii="Arial" w:hAnsi="Arial"/>
                <w:sz w:val="22"/>
                <w:szCs w:val="22"/>
              </w:rPr>
              <w:t>• Weak clinical governance</w:t>
            </w:r>
          </w:p>
          <w:p w14:paraId="0E41F9E2" w14:textId="77777777" w:rsidR="00CE10BC" w:rsidRDefault="00326FAD">
            <w:pPr>
              <w:pStyle w:val="TableContents"/>
              <w:spacing w:line="360" w:lineRule="auto"/>
              <w:rPr>
                <w:rFonts w:ascii="Arial" w:hAnsi="Arial"/>
                <w:sz w:val="22"/>
                <w:szCs w:val="22"/>
              </w:rPr>
            </w:pPr>
            <w:r>
              <w:rPr>
                <w:rFonts w:ascii="Arial" w:hAnsi="Arial"/>
                <w:sz w:val="22"/>
                <w:szCs w:val="22"/>
              </w:rPr>
              <w:t>• Poor performance monitoring</w:t>
            </w:r>
          </w:p>
          <w:p w14:paraId="0E41F9E3" w14:textId="77777777" w:rsidR="00CE10BC" w:rsidRDefault="00326FAD">
            <w:pPr>
              <w:pStyle w:val="TableContents"/>
              <w:spacing w:line="360" w:lineRule="auto"/>
              <w:rPr>
                <w:rFonts w:ascii="Arial" w:hAnsi="Arial"/>
                <w:sz w:val="22"/>
                <w:szCs w:val="22"/>
              </w:rPr>
            </w:pPr>
            <w:r>
              <w:rPr>
                <w:rFonts w:ascii="Arial" w:hAnsi="Arial"/>
                <w:sz w:val="22"/>
                <w:szCs w:val="22"/>
              </w:rPr>
              <w:t>• Failure to respond to warning signs</w:t>
            </w:r>
          </w:p>
        </w:tc>
      </w:tr>
      <w:tr w:rsidR="00CE10BC" w14:paraId="0E41F9E9" w14:textId="77777777">
        <w:tc>
          <w:tcPr>
            <w:tcW w:w="3675" w:type="dxa"/>
            <w:tcBorders>
              <w:left w:val="single" w:sz="4" w:space="0" w:color="000000"/>
              <w:bottom w:val="single" w:sz="4" w:space="0" w:color="000000"/>
            </w:tcBorders>
            <w:vAlign w:val="center"/>
          </w:tcPr>
          <w:p w14:paraId="0E41F9E5" w14:textId="77777777" w:rsidR="00CE10BC" w:rsidRDefault="00326FAD">
            <w:pPr>
              <w:pStyle w:val="TableContents"/>
              <w:spacing w:line="360" w:lineRule="auto"/>
              <w:jc w:val="center"/>
            </w:pPr>
            <w:r>
              <w:rPr>
                <w:rStyle w:val="Strong"/>
                <w:rFonts w:ascii="Arial" w:hAnsi="Arial"/>
                <w:sz w:val="22"/>
                <w:szCs w:val="22"/>
              </w:rPr>
              <w:t>Resources</w:t>
            </w:r>
          </w:p>
        </w:tc>
        <w:tc>
          <w:tcPr>
            <w:tcW w:w="5963" w:type="dxa"/>
            <w:tcBorders>
              <w:left w:val="single" w:sz="4" w:space="0" w:color="000000"/>
              <w:bottom w:val="single" w:sz="4" w:space="0" w:color="000000"/>
              <w:right w:val="single" w:sz="4" w:space="0" w:color="000000"/>
            </w:tcBorders>
            <w:vAlign w:val="center"/>
          </w:tcPr>
          <w:p w14:paraId="0E41F9E6" w14:textId="77777777" w:rsidR="00CE10BC" w:rsidRDefault="00326FAD">
            <w:pPr>
              <w:pStyle w:val="TableContents"/>
              <w:spacing w:line="360" w:lineRule="auto"/>
              <w:rPr>
                <w:rFonts w:ascii="Arial" w:hAnsi="Arial"/>
                <w:sz w:val="22"/>
                <w:szCs w:val="22"/>
              </w:rPr>
            </w:pPr>
            <w:r>
              <w:rPr>
                <w:rFonts w:ascii="Arial" w:hAnsi="Arial"/>
                <w:sz w:val="22"/>
                <w:szCs w:val="22"/>
              </w:rPr>
              <w:t>• Insufficient staffing levels</w:t>
            </w:r>
          </w:p>
          <w:p w14:paraId="0E41F9E7" w14:textId="77777777" w:rsidR="00CE10BC" w:rsidRDefault="00326FAD">
            <w:pPr>
              <w:pStyle w:val="TableContents"/>
              <w:spacing w:line="360" w:lineRule="auto"/>
              <w:rPr>
                <w:rFonts w:ascii="Arial" w:hAnsi="Arial"/>
                <w:sz w:val="22"/>
                <w:szCs w:val="22"/>
              </w:rPr>
            </w:pPr>
            <w:r>
              <w:rPr>
                <w:rFonts w:ascii="Arial" w:hAnsi="Arial"/>
                <w:sz w:val="22"/>
                <w:szCs w:val="22"/>
              </w:rPr>
              <w:t>• Limited equipment availability</w:t>
            </w:r>
          </w:p>
          <w:p w14:paraId="0E41F9E8" w14:textId="77777777" w:rsidR="00CE10BC" w:rsidRDefault="00326FAD">
            <w:pPr>
              <w:pStyle w:val="TableContents"/>
              <w:spacing w:line="360" w:lineRule="auto"/>
              <w:rPr>
                <w:rFonts w:ascii="Arial" w:hAnsi="Arial"/>
                <w:sz w:val="22"/>
                <w:szCs w:val="22"/>
              </w:rPr>
            </w:pPr>
            <w:r>
              <w:rPr>
                <w:rFonts w:ascii="Arial" w:hAnsi="Arial"/>
                <w:sz w:val="22"/>
                <w:szCs w:val="22"/>
              </w:rPr>
              <w:t>• High workload pressures</w:t>
            </w:r>
          </w:p>
        </w:tc>
      </w:tr>
      <w:tr w:rsidR="00CE10BC" w14:paraId="0E41F9EE" w14:textId="77777777">
        <w:tc>
          <w:tcPr>
            <w:tcW w:w="3675" w:type="dxa"/>
            <w:tcBorders>
              <w:left w:val="single" w:sz="4" w:space="0" w:color="000000"/>
              <w:bottom w:val="single" w:sz="4" w:space="0" w:color="000000"/>
            </w:tcBorders>
            <w:vAlign w:val="center"/>
          </w:tcPr>
          <w:p w14:paraId="0E41F9EA" w14:textId="77777777" w:rsidR="00CE10BC" w:rsidRDefault="00326FAD">
            <w:pPr>
              <w:pStyle w:val="TableContents"/>
              <w:spacing w:line="360" w:lineRule="auto"/>
              <w:jc w:val="center"/>
            </w:pPr>
            <w:r>
              <w:rPr>
                <w:rStyle w:val="Strong"/>
                <w:rFonts w:ascii="Arial" w:hAnsi="Arial"/>
                <w:sz w:val="22"/>
                <w:szCs w:val="22"/>
              </w:rPr>
              <w:t>Organisational Culture</w:t>
            </w:r>
          </w:p>
        </w:tc>
        <w:tc>
          <w:tcPr>
            <w:tcW w:w="5963" w:type="dxa"/>
            <w:tcBorders>
              <w:left w:val="single" w:sz="4" w:space="0" w:color="000000"/>
              <w:bottom w:val="single" w:sz="4" w:space="0" w:color="000000"/>
              <w:right w:val="single" w:sz="4" w:space="0" w:color="000000"/>
            </w:tcBorders>
            <w:vAlign w:val="center"/>
          </w:tcPr>
          <w:p w14:paraId="0E41F9EB" w14:textId="77777777" w:rsidR="00CE10BC" w:rsidRDefault="00326FAD">
            <w:pPr>
              <w:pStyle w:val="TableContents"/>
              <w:spacing w:line="360" w:lineRule="auto"/>
              <w:rPr>
                <w:rFonts w:ascii="Arial" w:hAnsi="Arial"/>
                <w:sz w:val="22"/>
                <w:szCs w:val="22"/>
              </w:rPr>
            </w:pPr>
            <w:r>
              <w:rPr>
                <w:rFonts w:ascii="Arial" w:hAnsi="Arial"/>
                <w:sz w:val="22"/>
                <w:szCs w:val="22"/>
              </w:rPr>
              <w:t>• Target-driven culture</w:t>
            </w:r>
          </w:p>
          <w:p w14:paraId="0E41F9EC" w14:textId="77777777" w:rsidR="00CE10BC" w:rsidRDefault="00326FAD">
            <w:pPr>
              <w:pStyle w:val="TableContents"/>
              <w:spacing w:line="360" w:lineRule="auto"/>
              <w:rPr>
                <w:rFonts w:ascii="Arial" w:hAnsi="Arial"/>
                <w:sz w:val="22"/>
                <w:szCs w:val="22"/>
              </w:rPr>
            </w:pPr>
            <w:r>
              <w:rPr>
                <w:rFonts w:ascii="Arial" w:hAnsi="Arial"/>
                <w:sz w:val="22"/>
                <w:szCs w:val="22"/>
              </w:rPr>
              <w:t>• Lack of openness and transparency</w:t>
            </w:r>
          </w:p>
          <w:p w14:paraId="0E41F9ED" w14:textId="77777777" w:rsidR="00CE10BC" w:rsidRDefault="00326FAD">
            <w:pPr>
              <w:pStyle w:val="TableContents"/>
              <w:spacing w:line="360" w:lineRule="auto"/>
              <w:rPr>
                <w:rFonts w:ascii="Arial" w:hAnsi="Arial"/>
                <w:sz w:val="22"/>
                <w:szCs w:val="22"/>
              </w:rPr>
            </w:pPr>
            <w:r>
              <w:rPr>
                <w:rFonts w:ascii="Arial" w:hAnsi="Arial"/>
                <w:sz w:val="22"/>
                <w:szCs w:val="22"/>
              </w:rPr>
              <w:t>• Fear of raising concerns</w:t>
            </w:r>
          </w:p>
        </w:tc>
      </w:tr>
    </w:tbl>
    <w:p w14:paraId="0E41F9EF" w14:textId="77777777" w:rsidR="00CE10BC" w:rsidRDefault="00CE10BC">
      <w:pPr>
        <w:pStyle w:val="BodyText"/>
        <w:spacing w:after="0" w:line="360" w:lineRule="auto"/>
        <w:jc w:val="center"/>
        <w:rPr>
          <w:rFonts w:ascii="Arial" w:hAnsi="Arial"/>
          <w:sz w:val="22"/>
          <w:szCs w:val="22"/>
        </w:rPr>
      </w:pPr>
    </w:p>
    <w:p w14:paraId="0E41F9F0" w14:textId="77777777" w:rsidR="00CE10BC" w:rsidRDefault="00326FAD">
      <w:pPr>
        <w:pStyle w:val="BodyText"/>
        <w:spacing w:after="0" w:line="360" w:lineRule="auto"/>
        <w:jc w:val="center"/>
        <w:rPr>
          <w:rFonts w:ascii="Arial" w:hAnsi="Arial"/>
          <w:i/>
          <w:iCs/>
          <w:sz w:val="20"/>
          <w:szCs w:val="20"/>
        </w:rPr>
      </w:pPr>
      <w:r>
        <w:rPr>
          <w:rFonts w:ascii="Arial" w:hAnsi="Arial"/>
          <w:i/>
          <w:iCs/>
          <w:sz w:val="20"/>
          <w:szCs w:val="20"/>
        </w:rPr>
        <w:t xml:space="preserve">Sources: Ishikawa (1986), Francis (2013), Berwick (2013) and NHS England (2022) </w:t>
      </w:r>
    </w:p>
    <w:p w14:paraId="0E41F9F1" w14:textId="77777777" w:rsidR="00CE10BC" w:rsidRDefault="00326FAD">
      <w:pPr>
        <w:spacing w:line="360" w:lineRule="auto"/>
        <w:jc w:val="both"/>
        <w:rPr>
          <w:sz w:val="22"/>
          <w:szCs w:val="22"/>
        </w:rPr>
      </w:pPr>
      <w:r>
        <w:rPr>
          <w:rFonts w:ascii="Arial" w:hAnsi="Arial"/>
          <w:sz w:val="22"/>
          <w:szCs w:val="22"/>
        </w:rPr>
        <w:t xml:space="preserve">                                                                   </w:t>
      </w:r>
    </w:p>
    <w:p w14:paraId="0E41F9F2" w14:textId="77777777" w:rsidR="00CE10BC" w:rsidRDefault="00326FAD">
      <w:pPr>
        <w:spacing w:line="360" w:lineRule="auto"/>
        <w:jc w:val="both"/>
        <w:rPr>
          <w:b/>
          <w:bCs/>
        </w:rPr>
      </w:pPr>
      <w:r>
        <w:rPr>
          <w:rFonts w:ascii="Arial" w:hAnsi="Arial"/>
          <w:b/>
          <w:bCs/>
          <w:sz w:val="22"/>
          <w:szCs w:val="22"/>
        </w:rPr>
        <w:tab/>
        <w:t>2.3 Five Whys Analysis</w:t>
      </w:r>
    </w:p>
    <w:p w14:paraId="0E41F9F3"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The "5 Whys" method is used to examine the root causes behind quality failures, by asking ‘why’ each problem happened, until the deeper organisational challenges are revealed. Instead of focusing on immediate clinical failures, this approach assists in highlighting weaknesses in organisational systems (Ohno, 1988; Zonsius and Milner, 2021).</w:t>
      </w:r>
    </w:p>
    <w:p w14:paraId="0E41F9F4"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In the Mid Staffordshire situation, the lack of proper patient care happened because healthcare workers were unable to respond to patients’ needs. This was mainly due to insufficient staffing levels. Staffing shortages continued because financial performance was considered more important compared to investing in the workforce. This focus reflected weaknesses in leadership and governance, where obtaining “Foundation Trust” status seemed more important than maintaining appropriate standards of care (Francis, 2013). Lastly, the repeated questions indicate an </w:t>
      </w:r>
      <w:r>
        <w:rPr>
          <w:rFonts w:ascii="Arial" w:hAnsi="Arial"/>
          <w:sz w:val="22"/>
          <w:szCs w:val="22"/>
        </w:rPr>
        <w:lastRenderedPageBreak/>
        <w:t>organisational culture which failed to position patients at the heart of the decision-making process.</w:t>
      </w:r>
    </w:p>
    <w:p w14:paraId="30E14804" w14:textId="6822BF8F" w:rsidR="00BD4372" w:rsidRDefault="00326FAD">
      <w:pPr>
        <w:pStyle w:val="BodyText"/>
        <w:spacing w:line="360" w:lineRule="auto"/>
        <w:jc w:val="both"/>
        <w:rPr>
          <w:rFonts w:ascii="Arial" w:hAnsi="Arial"/>
          <w:sz w:val="22"/>
          <w:szCs w:val="22"/>
        </w:rPr>
      </w:pPr>
      <w:r>
        <w:rPr>
          <w:rFonts w:ascii="Arial" w:hAnsi="Arial"/>
          <w:sz w:val="22"/>
          <w:szCs w:val="22"/>
        </w:rPr>
        <w:tab/>
        <w:t>Although the "5 Whys" method is a relatively basic tool, its effectiveness consists in encouraging organisations to explore beyond individual errors and identify systemic issues, which enable poor quality care to occur (NHS England, 2022, Serrat, 2017).</w:t>
      </w:r>
    </w:p>
    <w:p w14:paraId="0E41F9F7" w14:textId="77777777" w:rsidR="00CE10BC" w:rsidRDefault="00326FAD">
      <w:pPr>
        <w:pStyle w:val="BodyText"/>
        <w:spacing w:line="360" w:lineRule="auto"/>
        <w:jc w:val="center"/>
        <w:rPr>
          <w:rFonts w:ascii="Arial" w:hAnsi="Arial"/>
          <w:b/>
          <w:bCs/>
          <w:sz w:val="22"/>
          <w:szCs w:val="22"/>
        </w:rPr>
      </w:pPr>
      <w:r>
        <w:rPr>
          <w:rFonts w:ascii="Arial" w:hAnsi="Arial"/>
          <w:b/>
          <w:bCs/>
          <w:sz w:val="22"/>
          <w:szCs w:val="22"/>
        </w:rPr>
        <w:t xml:space="preserve">Image 1 – Five Whys Analysis </w:t>
      </w:r>
    </w:p>
    <w:p w14:paraId="0E41F9F8" w14:textId="77777777" w:rsidR="00CE10BC" w:rsidRDefault="00326FAD">
      <w:pPr>
        <w:pStyle w:val="BodyText"/>
        <w:spacing w:line="360" w:lineRule="auto"/>
        <w:jc w:val="both"/>
        <w:rPr>
          <w:rFonts w:ascii="Arial" w:hAnsi="Arial"/>
          <w:sz w:val="22"/>
          <w:szCs w:val="22"/>
        </w:rPr>
      </w:pPr>
      <w:r>
        <w:rPr>
          <w:rFonts w:ascii="Arial" w:hAnsi="Arial"/>
          <w:noProof/>
          <w:sz w:val="22"/>
          <w:szCs w:val="22"/>
        </w:rPr>
        <w:drawing>
          <wp:anchor distT="0" distB="0" distL="0" distR="0" simplePos="0" relativeHeight="3" behindDoc="0" locked="0" layoutInCell="0" allowOverlap="1" wp14:anchorId="0E41FABD" wp14:editId="0E41FABE">
            <wp:simplePos x="0" y="0"/>
            <wp:positionH relativeFrom="column">
              <wp:align>center</wp:align>
            </wp:positionH>
            <wp:positionV relativeFrom="paragraph">
              <wp:posOffset>635</wp:posOffset>
            </wp:positionV>
            <wp:extent cx="3219450" cy="3714750"/>
            <wp:effectExtent l="0" t="0" r="0" b="0"/>
            <wp:wrapSquare wrapText="largest"/>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9"/>
                    <a:stretch>
                      <a:fillRect/>
                    </a:stretch>
                  </pic:blipFill>
                  <pic:spPr bwMode="auto">
                    <a:xfrm>
                      <a:off x="0" y="0"/>
                      <a:ext cx="3219450" cy="3714750"/>
                    </a:xfrm>
                    <a:prstGeom prst="rect">
                      <a:avLst/>
                    </a:prstGeom>
                  </pic:spPr>
                </pic:pic>
              </a:graphicData>
            </a:graphic>
          </wp:anchor>
        </w:drawing>
      </w:r>
    </w:p>
    <w:p w14:paraId="0E41F9F9" w14:textId="77777777" w:rsidR="00CE10BC" w:rsidRDefault="00326FAD">
      <w:pPr>
        <w:spacing w:line="360" w:lineRule="auto"/>
        <w:jc w:val="both"/>
        <w:rPr>
          <w:sz w:val="22"/>
          <w:szCs w:val="22"/>
        </w:rPr>
      </w:pPr>
      <w:r>
        <w:rPr>
          <w:rFonts w:ascii="Arial" w:hAnsi="Arial"/>
          <w:sz w:val="22"/>
          <w:szCs w:val="22"/>
        </w:rPr>
        <w:t xml:space="preserve">                                                                                                   </w:t>
      </w:r>
    </w:p>
    <w:p w14:paraId="0E41F9FA" w14:textId="77777777" w:rsidR="00CE10BC" w:rsidRDefault="00CE10BC">
      <w:pPr>
        <w:spacing w:line="360" w:lineRule="auto"/>
        <w:jc w:val="both"/>
        <w:rPr>
          <w:sz w:val="22"/>
          <w:szCs w:val="22"/>
        </w:rPr>
      </w:pPr>
    </w:p>
    <w:p w14:paraId="0E41F9FB" w14:textId="77777777" w:rsidR="00CE10BC" w:rsidRDefault="00CE10BC">
      <w:pPr>
        <w:spacing w:line="360" w:lineRule="auto"/>
        <w:jc w:val="both"/>
        <w:rPr>
          <w:sz w:val="22"/>
          <w:szCs w:val="22"/>
        </w:rPr>
      </w:pPr>
    </w:p>
    <w:p w14:paraId="0E41F9FC" w14:textId="77777777" w:rsidR="00CE10BC" w:rsidRDefault="00CE10BC">
      <w:pPr>
        <w:spacing w:line="360" w:lineRule="auto"/>
        <w:jc w:val="both"/>
        <w:rPr>
          <w:sz w:val="22"/>
          <w:szCs w:val="22"/>
        </w:rPr>
      </w:pPr>
    </w:p>
    <w:p w14:paraId="0E41F9FD" w14:textId="77777777" w:rsidR="00CE10BC" w:rsidRDefault="00CE10BC">
      <w:pPr>
        <w:spacing w:line="360" w:lineRule="auto"/>
        <w:jc w:val="both"/>
        <w:rPr>
          <w:sz w:val="22"/>
          <w:szCs w:val="22"/>
        </w:rPr>
      </w:pPr>
    </w:p>
    <w:p w14:paraId="0E41F9FE" w14:textId="77777777" w:rsidR="00CE10BC" w:rsidRDefault="00CE10BC">
      <w:pPr>
        <w:spacing w:line="360" w:lineRule="auto"/>
        <w:jc w:val="both"/>
        <w:rPr>
          <w:sz w:val="22"/>
          <w:szCs w:val="22"/>
        </w:rPr>
      </w:pPr>
    </w:p>
    <w:p w14:paraId="0E41F9FF" w14:textId="77777777" w:rsidR="00CE10BC" w:rsidRDefault="00CE10BC">
      <w:pPr>
        <w:spacing w:line="360" w:lineRule="auto"/>
        <w:jc w:val="both"/>
        <w:rPr>
          <w:sz w:val="22"/>
          <w:szCs w:val="22"/>
        </w:rPr>
      </w:pPr>
    </w:p>
    <w:p w14:paraId="0E41FA00" w14:textId="77777777" w:rsidR="00CE10BC" w:rsidRDefault="00CE10BC">
      <w:pPr>
        <w:spacing w:line="360" w:lineRule="auto"/>
        <w:jc w:val="both"/>
        <w:rPr>
          <w:sz w:val="22"/>
          <w:szCs w:val="22"/>
        </w:rPr>
      </w:pPr>
    </w:p>
    <w:p w14:paraId="0E41FA01" w14:textId="77777777" w:rsidR="00CE10BC" w:rsidRDefault="00CE10BC">
      <w:pPr>
        <w:spacing w:line="360" w:lineRule="auto"/>
        <w:jc w:val="both"/>
        <w:rPr>
          <w:sz w:val="22"/>
          <w:szCs w:val="22"/>
        </w:rPr>
      </w:pPr>
    </w:p>
    <w:p w14:paraId="0E41FA02" w14:textId="77777777" w:rsidR="00CE10BC" w:rsidRDefault="00CE10BC">
      <w:pPr>
        <w:spacing w:line="360" w:lineRule="auto"/>
        <w:jc w:val="both"/>
        <w:rPr>
          <w:sz w:val="22"/>
          <w:szCs w:val="22"/>
        </w:rPr>
      </w:pPr>
    </w:p>
    <w:p w14:paraId="0E41FA03" w14:textId="77777777" w:rsidR="00CE10BC" w:rsidRDefault="00CE10BC">
      <w:pPr>
        <w:spacing w:line="360" w:lineRule="auto"/>
        <w:jc w:val="both"/>
        <w:rPr>
          <w:sz w:val="22"/>
          <w:szCs w:val="22"/>
        </w:rPr>
      </w:pPr>
    </w:p>
    <w:p w14:paraId="0E41FA04" w14:textId="77777777" w:rsidR="00CE10BC" w:rsidRDefault="00CE10BC">
      <w:pPr>
        <w:spacing w:line="360" w:lineRule="auto"/>
        <w:jc w:val="both"/>
        <w:rPr>
          <w:sz w:val="22"/>
          <w:szCs w:val="22"/>
        </w:rPr>
      </w:pPr>
    </w:p>
    <w:p w14:paraId="0E41FA05" w14:textId="77777777" w:rsidR="00CE10BC" w:rsidRDefault="00CE10BC">
      <w:pPr>
        <w:spacing w:line="360" w:lineRule="auto"/>
        <w:jc w:val="both"/>
        <w:rPr>
          <w:sz w:val="22"/>
          <w:szCs w:val="22"/>
        </w:rPr>
      </w:pPr>
    </w:p>
    <w:p w14:paraId="0E41FA06" w14:textId="77777777" w:rsidR="00CE10BC" w:rsidRDefault="00CE10BC">
      <w:pPr>
        <w:spacing w:line="360" w:lineRule="auto"/>
        <w:jc w:val="both"/>
        <w:rPr>
          <w:sz w:val="22"/>
          <w:szCs w:val="22"/>
        </w:rPr>
      </w:pPr>
    </w:p>
    <w:p w14:paraId="0E41FA07" w14:textId="77777777" w:rsidR="00CE10BC" w:rsidRDefault="00CE10BC">
      <w:pPr>
        <w:spacing w:line="360" w:lineRule="auto"/>
        <w:jc w:val="both"/>
        <w:rPr>
          <w:sz w:val="22"/>
          <w:szCs w:val="22"/>
        </w:rPr>
      </w:pPr>
    </w:p>
    <w:p w14:paraId="103FAB67" w14:textId="77777777" w:rsidR="00BD4372" w:rsidRDefault="00BD4372">
      <w:pPr>
        <w:spacing w:line="360" w:lineRule="auto"/>
        <w:jc w:val="both"/>
        <w:rPr>
          <w:sz w:val="22"/>
          <w:szCs w:val="22"/>
        </w:rPr>
      </w:pPr>
    </w:p>
    <w:p w14:paraId="0E41FA08"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2.4 PESTLE Analysis</w:t>
      </w:r>
    </w:p>
    <w:p w14:paraId="0E41FA09" w14:textId="77777777" w:rsidR="00CE10BC" w:rsidRDefault="00326FAD">
      <w:pPr>
        <w:spacing w:line="360" w:lineRule="auto"/>
        <w:jc w:val="both"/>
        <w:rPr>
          <w:rFonts w:ascii="Arial" w:hAnsi="Arial"/>
          <w:sz w:val="22"/>
          <w:szCs w:val="22"/>
        </w:rPr>
      </w:pPr>
      <w:r>
        <w:rPr>
          <w:rFonts w:ascii="Arial" w:hAnsi="Arial"/>
          <w:sz w:val="22"/>
          <w:szCs w:val="22"/>
        </w:rPr>
        <w:tab/>
        <w:t xml:space="preserve">The PESTLE analysis explains how factors outside the Trust have influenced the decision-making process internally. Politically, the struggle to achieve Foundation Trust status has created pressure to accomplish financial targets, frequently compromising the standards of care (Francis, 2013). Financial pressures have led to reductions in costs and resulted in inappropriate decisions regarding staff. From a social perspective, patients and family members expected compassion in care, but complaints were often addressed as occasional events, rather than as warnings (Francis, 2013). Technological deficiencies also had a significant impact, as fragmented information and inappropriate use of safety data compromised management's capability to recognise the decline in standards promptly (Abbas and Miller, 2025). From a legal perspective, the Trust has failed to meet its obligations to provide safe care, appropriate staffing levels and effective governance, standards reflected in CQC Regulations 12, 17 and 18 (CQC, 2025a; 2025b; 2025c). In terms of the environment, overstaffing, high workload and inadequate conditions undermined best practices. </w:t>
      </w:r>
      <w:r>
        <w:rPr>
          <w:rFonts w:ascii="Arial" w:hAnsi="Arial"/>
          <w:sz w:val="22"/>
          <w:szCs w:val="22"/>
        </w:rPr>
        <w:tab/>
        <w:t xml:space="preserve">The PESTLE analysis demonstrates that, whilst it does not indicate a clear connection </w:t>
      </w:r>
      <w:r>
        <w:rPr>
          <w:rFonts w:ascii="Arial" w:hAnsi="Arial"/>
          <w:sz w:val="22"/>
          <w:szCs w:val="22"/>
        </w:rPr>
        <w:lastRenderedPageBreak/>
        <w:t>between these factors and the crisis, it shows that the issue was not limited to a department level. Instead, it was shaped by wider political, regulatory and financial factors.</w:t>
      </w:r>
    </w:p>
    <w:p w14:paraId="0E41FA0A" w14:textId="77777777" w:rsidR="00CE10BC" w:rsidRDefault="00CE10BC">
      <w:pPr>
        <w:spacing w:line="360" w:lineRule="auto"/>
        <w:jc w:val="both"/>
        <w:rPr>
          <w:sz w:val="22"/>
          <w:szCs w:val="22"/>
        </w:rPr>
      </w:pPr>
    </w:p>
    <w:p w14:paraId="0E41FA0B" w14:textId="77777777" w:rsidR="00CE10BC" w:rsidRDefault="00326FAD">
      <w:pPr>
        <w:spacing w:line="360" w:lineRule="auto"/>
        <w:jc w:val="center"/>
        <w:rPr>
          <w:b/>
          <w:bCs/>
        </w:rPr>
      </w:pPr>
      <w:r>
        <w:rPr>
          <w:rFonts w:ascii="Arial" w:hAnsi="Arial"/>
          <w:b/>
          <w:bCs/>
          <w:sz w:val="22"/>
          <w:szCs w:val="22"/>
        </w:rPr>
        <w:t xml:space="preserve">Table 3 – PESTLE Analysis of Mid Staffordshire NHS Foundation Trust </w:t>
      </w:r>
    </w:p>
    <w:p w14:paraId="0E41FA0C" w14:textId="77777777" w:rsidR="00CE10BC" w:rsidRDefault="00CE10BC">
      <w:pPr>
        <w:spacing w:line="360" w:lineRule="auto"/>
        <w:jc w:val="both"/>
        <w:rPr>
          <w:sz w:val="22"/>
          <w:szCs w:val="22"/>
        </w:rPr>
      </w:pPr>
    </w:p>
    <w:tbl>
      <w:tblPr>
        <w:tblW w:w="9638" w:type="dxa"/>
        <w:tblInd w:w="-8" w:type="dxa"/>
        <w:tblLayout w:type="fixed"/>
        <w:tblCellMar>
          <w:top w:w="55" w:type="dxa"/>
          <w:left w:w="55" w:type="dxa"/>
          <w:bottom w:w="55" w:type="dxa"/>
          <w:right w:w="55" w:type="dxa"/>
        </w:tblCellMar>
        <w:tblLook w:val="0000" w:firstRow="0" w:lastRow="0" w:firstColumn="0" w:lastColumn="0" w:noHBand="0" w:noVBand="0"/>
      </w:tblPr>
      <w:tblGrid>
        <w:gridCol w:w="1813"/>
        <w:gridCol w:w="7825"/>
      </w:tblGrid>
      <w:tr w:rsidR="00CE10BC" w14:paraId="0E41FA0F" w14:textId="77777777">
        <w:trPr>
          <w:tblHeader/>
        </w:trPr>
        <w:tc>
          <w:tcPr>
            <w:tcW w:w="1813" w:type="dxa"/>
            <w:tcBorders>
              <w:top w:val="outset" w:sz="2" w:space="0" w:color="000000"/>
              <w:left w:val="outset" w:sz="2" w:space="0" w:color="000000"/>
              <w:bottom w:val="outset" w:sz="2" w:space="0" w:color="000000"/>
            </w:tcBorders>
            <w:shd w:val="clear" w:color="auto" w:fill="B4C7DC"/>
            <w:vAlign w:val="center"/>
          </w:tcPr>
          <w:p w14:paraId="0E41FA0D" w14:textId="77777777" w:rsidR="00CE10BC" w:rsidRDefault="00326FAD">
            <w:pPr>
              <w:pStyle w:val="TableHeading"/>
              <w:spacing w:line="360" w:lineRule="auto"/>
            </w:pPr>
            <w:r>
              <w:rPr>
                <w:rStyle w:val="Strong"/>
                <w:rFonts w:ascii="Arial" w:hAnsi="Arial"/>
                <w:b/>
                <w:sz w:val="22"/>
                <w:szCs w:val="22"/>
              </w:rPr>
              <w:t>Factor</w:t>
            </w:r>
          </w:p>
        </w:tc>
        <w:tc>
          <w:tcPr>
            <w:tcW w:w="7825" w:type="dxa"/>
            <w:tcBorders>
              <w:top w:val="outset" w:sz="2" w:space="0" w:color="000000"/>
              <w:left w:val="outset" w:sz="2" w:space="0" w:color="000000"/>
              <w:bottom w:val="outset" w:sz="2" w:space="0" w:color="000000"/>
              <w:right w:val="outset" w:sz="2" w:space="0" w:color="000000"/>
            </w:tcBorders>
            <w:shd w:val="clear" w:color="auto" w:fill="B4C7DC"/>
            <w:vAlign w:val="center"/>
          </w:tcPr>
          <w:p w14:paraId="0E41FA0E" w14:textId="77777777" w:rsidR="00CE10BC" w:rsidRDefault="00326FAD">
            <w:pPr>
              <w:pStyle w:val="TableHeading"/>
              <w:spacing w:line="360" w:lineRule="auto"/>
            </w:pPr>
            <w:r>
              <w:rPr>
                <w:rStyle w:val="Strong"/>
                <w:rFonts w:ascii="Arial" w:hAnsi="Arial"/>
                <w:b/>
                <w:sz w:val="22"/>
                <w:szCs w:val="22"/>
              </w:rPr>
              <w:t>Influence on service quality</w:t>
            </w:r>
          </w:p>
        </w:tc>
      </w:tr>
      <w:tr w:rsidR="00CE10BC" w14:paraId="0E41FA12" w14:textId="77777777">
        <w:tc>
          <w:tcPr>
            <w:tcW w:w="1813" w:type="dxa"/>
            <w:tcBorders>
              <w:left w:val="outset" w:sz="2" w:space="0" w:color="000000"/>
              <w:bottom w:val="outset" w:sz="2" w:space="0" w:color="000000"/>
            </w:tcBorders>
            <w:vAlign w:val="center"/>
          </w:tcPr>
          <w:p w14:paraId="0E41FA10" w14:textId="77777777" w:rsidR="00CE10BC" w:rsidRDefault="00326FAD">
            <w:pPr>
              <w:pStyle w:val="TableContents"/>
              <w:spacing w:line="360" w:lineRule="auto"/>
              <w:jc w:val="center"/>
            </w:pPr>
            <w:r>
              <w:rPr>
                <w:rStyle w:val="Strong"/>
                <w:rFonts w:ascii="Arial" w:hAnsi="Arial"/>
                <w:sz w:val="22"/>
                <w:szCs w:val="22"/>
              </w:rPr>
              <w:t>Political</w:t>
            </w:r>
          </w:p>
        </w:tc>
        <w:tc>
          <w:tcPr>
            <w:tcW w:w="7825" w:type="dxa"/>
            <w:tcBorders>
              <w:left w:val="outset" w:sz="2" w:space="0" w:color="000000"/>
              <w:bottom w:val="outset" w:sz="2" w:space="0" w:color="000000"/>
              <w:right w:val="outset" w:sz="2" w:space="0" w:color="000000"/>
            </w:tcBorders>
            <w:vAlign w:val="center"/>
          </w:tcPr>
          <w:p w14:paraId="0E41FA11" w14:textId="77777777" w:rsidR="00CE10BC" w:rsidRDefault="00326FAD">
            <w:pPr>
              <w:pStyle w:val="TableContents"/>
              <w:spacing w:line="360" w:lineRule="auto"/>
              <w:jc w:val="both"/>
            </w:pPr>
            <w:r>
              <w:rPr>
                <w:rFonts w:ascii="Arial" w:hAnsi="Arial"/>
                <w:sz w:val="22"/>
                <w:szCs w:val="22"/>
              </w:rPr>
              <w:t xml:space="preserve">Pressure to obtain Foundation Trust status encouraged the organisation to prioritise financial performance and national targets, sometimes ahead of patient safety and care quality (Francis, 2013; </w:t>
            </w:r>
            <w:r>
              <w:rPr>
                <w:rStyle w:val="Strong"/>
                <w:rFonts w:ascii="Arial" w:hAnsi="Arial"/>
                <w:b w:val="0"/>
                <w:bCs w:val="0"/>
                <w:sz w:val="22"/>
                <w:szCs w:val="22"/>
              </w:rPr>
              <w:t>NHS England, 2023</w:t>
            </w:r>
            <w:r>
              <w:rPr>
                <w:rFonts w:ascii="Arial" w:hAnsi="Arial"/>
                <w:sz w:val="22"/>
                <w:szCs w:val="22"/>
              </w:rPr>
              <w:t>).</w:t>
            </w:r>
          </w:p>
        </w:tc>
      </w:tr>
      <w:tr w:rsidR="00CE10BC" w14:paraId="0E41FA15" w14:textId="77777777">
        <w:tc>
          <w:tcPr>
            <w:tcW w:w="1813" w:type="dxa"/>
            <w:tcBorders>
              <w:left w:val="outset" w:sz="2" w:space="0" w:color="000000"/>
              <w:bottom w:val="outset" w:sz="2" w:space="0" w:color="000000"/>
            </w:tcBorders>
            <w:vAlign w:val="center"/>
          </w:tcPr>
          <w:p w14:paraId="0E41FA13" w14:textId="77777777" w:rsidR="00CE10BC" w:rsidRDefault="00326FAD">
            <w:pPr>
              <w:pStyle w:val="TableContents"/>
              <w:spacing w:line="360" w:lineRule="auto"/>
              <w:jc w:val="center"/>
            </w:pPr>
            <w:r>
              <w:rPr>
                <w:rStyle w:val="Strong"/>
                <w:rFonts w:ascii="Arial" w:hAnsi="Arial"/>
                <w:sz w:val="22"/>
                <w:szCs w:val="22"/>
              </w:rPr>
              <w:t>Economic</w:t>
            </w:r>
          </w:p>
        </w:tc>
        <w:tc>
          <w:tcPr>
            <w:tcW w:w="7825" w:type="dxa"/>
            <w:tcBorders>
              <w:left w:val="outset" w:sz="2" w:space="0" w:color="000000"/>
              <w:bottom w:val="outset" w:sz="2" w:space="0" w:color="000000"/>
              <w:right w:val="outset" w:sz="2" w:space="0" w:color="000000"/>
            </w:tcBorders>
            <w:vAlign w:val="center"/>
          </w:tcPr>
          <w:p w14:paraId="0E41FA14" w14:textId="77777777" w:rsidR="00CE10BC" w:rsidRDefault="00326FAD">
            <w:pPr>
              <w:pStyle w:val="TableContents"/>
              <w:spacing w:line="360" w:lineRule="auto"/>
              <w:jc w:val="both"/>
            </w:pPr>
            <w:r>
              <w:rPr>
                <w:rFonts w:ascii="Arial" w:hAnsi="Arial"/>
                <w:sz w:val="22"/>
                <w:szCs w:val="22"/>
              </w:rPr>
              <w:t xml:space="preserve">Cost-reduction measures and limited investment in the workforce contributed to low staffing levels, heavier workloads and reduced capacity to provide safe care (Francis, 2013; </w:t>
            </w:r>
            <w:r>
              <w:rPr>
                <w:rStyle w:val="Strong"/>
                <w:rFonts w:ascii="Arial" w:hAnsi="Arial"/>
                <w:b w:val="0"/>
                <w:bCs w:val="0"/>
                <w:sz w:val="22"/>
                <w:szCs w:val="22"/>
              </w:rPr>
              <w:t>The King's Fund, 2024</w:t>
            </w:r>
            <w:r>
              <w:rPr>
                <w:rFonts w:ascii="Arial" w:hAnsi="Arial"/>
                <w:sz w:val="22"/>
                <w:szCs w:val="22"/>
              </w:rPr>
              <w:t>).</w:t>
            </w:r>
          </w:p>
        </w:tc>
      </w:tr>
      <w:tr w:rsidR="00CE10BC" w14:paraId="0E41FA18" w14:textId="77777777">
        <w:tc>
          <w:tcPr>
            <w:tcW w:w="1813" w:type="dxa"/>
            <w:tcBorders>
              <w:left w:val="outset" w:sz="2" w:space="0" w:color="000000"/>
              <w:bottom w:val="outset" w:sz="2" w:space="0" w:color="000000"/>
            </w:tcBorders>
            <w:vAlign w:val="center"/>
          </w:tcPr>
          <w:p w14:paraId="0E41FA16" w14:textId="77777777" w:rsidR="00CE10BC" w:rsidRDefault="00326FAD">
            <w:pPr>
              <w:pStyle w:val="TableContents"/>
              <w:spacing w:line="360" w:lineRule="auto"/>
              <w:jc w:val="center"/>
            </w:pPr>
            <w:r>
              <w:rPr>
                <w:rStyle w:val="Strong"/>
                <w:rFonts w:ascii="Arial" w:hAnsi="Arial"/>
                <w:sz w:val="22"/>
                <w:szCs w:val="22"/>
              </w:rPr>
              <w:t>Social</w:t>
            </w:r>
          </w:p>
        </w:tc>
        <w:tc>
          <w:tcPr>
            <w:tcW w:w="7825" w:type="dxa"/>
            <w:tcBorders>
              <w:left w:val="outset" w:sz="2" w:space="0" w:color="000000"/>
              <w:bottom w:val="outset" w:sz="2" w:space="0" w:color="000000"/>
              <w:right w:val="outset" w:sz="2" w:space="0" w:color="000000"/>
            </w:tcBorders>
            <w:vAlign w:val="center"/>
          </w:tcPr>
          <w:p w14:paraId="0E41FA17" w14:textId="77777777" w:rsidR="00CE10BC" w:rsidRDefault="00326FAD">
            <w:pPr>
              <w:pStyle w:val="TableContents"/>
              <w:spacing w:line="360" w:lineRule="auto"/>
              <w:jc w:val="both"/>
              <w:rPr>
                <w:rFonts w:ascii="Arial" w:hAnsi="Arial"/>
                <w:sz w:val="22"/>
                <w:szCs w:val="22"/>
              </w:rPr>
            </w:pPr>
            <w:r>
              <w:rPr>
                <w:rFonts w:ascii="Arial" w:hAnsi="Arial"/>
                <w:sz w:val="22"/>
                <w:szCs w:val="22"/>
              </w:rPr>
              <w:t>Patients and relatives expected safe, dignified and compassionate treatment, yet their complaints and experiences were often ignored or treated as isolated cases rather than evidence of wider failure (Francis, 2013; CQC, 2023).</w:t>
            </w:r>
          </w:p>
        </w:tc>
      </w:tr>
      <w:tr w:rsidR="00CE10BC" w14:paraId="0E41FA1B" w14:textId="77777777">
        <w:tc>
          <w:tcPr>
            <w:tcW w:w="1813" w:type="dxa"/>
            <w:tcBorders>
              <w:left w:val="outset" w:sz="2" w:space="0" w:color="000000"/>
              <w:bottom w:val="outset" w:sz="2" w:space="0" w:color="000000"/>
            </w:tcBorders>
            <w:vAlign w:val="center"/>
          </w:tcPr>
          <w:p w14:paraId="0E41FA19" w14:textId="77777777" w:rsidR="00CE10BC" w:rsidRDefault="00326FAD">
            <w:pPr>
              <w:pStyle w:val="TableContents"/>
              <w:spacing w:line="360" w:lineRule="auto"/>
              <w:jc w:val="center"/>
            </w:pPr>
            <w:r>
              <w:rPr>
                <w:rStyle w:val="Strong"/>
                <w:rFonts w:ascii="Arial" w:hAnsi="Arial"/>
                <w:sz w:val="22"/>
                <w:szCs w:val="22"/>
              </w:rPr>
              <w:t>Technological</w:t>
            </w:r>
          </w:p>
        </w:tc>
        <w:tc>
          <w:tcPr>
            <w:tcW w:w="7825" w:type="dxa"/>
            <w:tcBorders>
              <w:left w:val="outset" w:sz="2" w:space="0" w:color="000000"/>
              <w:bottom w:val="outset" w:sz="2" w:space="0" w:color="000000"/>
              <w:right w:val="outset" w:sz="2" w:space="0" w:color="000000"/>
            </w:tcBorders>
            <w:vAlign w:val="center"/>
          </w:tcPr>
          <w:p w14:paraId="0E41FA1A" w14:textId="77777777" w:rsidR="00CE10BC" w:rsidRDefault="00326FAD">
            <w:pPr>
              <w:pStyle w:val="TableContents"/>
              <w:spacing w:line="360" w:lineRule="auto"/>
              <w:jc w:val="both"/>
              <w:rPr>
                <w:rFonts w:ascii="Arial" w:hAnsi="Arial"/>
                <w:sz w:val="22"/>
                <w:szCs w:val="22"/>
              </w:rPr>
            </w:pPr>
            <w:r>
              <w:rPr>
                <w:rFonts w:ascii="Arial" w:hAnsi="Arial"/>
                <w:sz w:val="22"/>
                <w:szCs w:val="22"/>
              </w:rPr>
              <w:t>Weak use of clinical information, incident-reporting systems and performance data made it harder for leaders to identify patterns of harm and respond to deteriorating care standards (Francis, 2013; NHS England, 2022).</w:t>
            </w:r>
          </w:p>
        </w:tc>
      </w:tr>
      <w:tr w:rsidR="00CE10BC" w14:paraId="0E41FA1E" w14:textId="77777777">
        <w:tc>
          <w:tcPr>
            <w:tcW w:w="1813" w:type="dxa"/>
            <w:tcBorders>
              <w:left w:val="outset" w:sz="2" w:space="0" w:color="000000"/>
              <w:bottom w:val="outset" w:sz="2" w:space="0" w:color="000000"/>
            </w:tcBorders>
            <w:vAlign w:val="center"/>
          </w:tcPr>
          <w:p w14:paraId="0E41FA1C" w14:textId="77777777" w:rsidR="00CE10BC" w:rsidRDefault="00326FAD">
            <w:pPr>
              <w:pStyle w:val="TableContents"/>
              <w:spacing w:line="360" w:lineRule="auto"/>
              <w:jc w:val="center"/>
            </w:pPr>
            <w:r>
              <w:rPr>
                <w:rStyle w:val="Strong"/>
                <w:rFonts w:ascii="Arial" w:hAnsi="Arial"/>
                <w:sz w:val="22"/>
                <w:szCs w:val="22"/>
              </w:rPr>
              <w:t>Legal</w:t>
            </w:r>
          </w:p>
        </w:tc>
        <w:tc>
          <w:tcPr>
            <w:tcW w:w="7825" w:type="dxa"/>
            <w:tcBorders>
              <w:left w:val="outset" w:sz="2" w:space="0" w:color="000000"/>
              <w:bottom w:val="outset" w:sz="2" w:space="0" w:color="000000"/>
              <w:right w:val="outset" w:sz="2" w:space="0" w:color="000000"/>
            </w:tcBorders>
            <w:vAlign w:val="center"/>
          </w:tcPr>
          <w:p w14:paraId="0E41FA1D" w14:textId="77777777" w:rsidR="00CE10BC" w:rsidRDefault="00326FAD">
            <w:pPr>
              <w:pStyle w:val="TableContents"/>
              <w:spacing w:line="360" w:lineRule="auto"/>
              <w:jc w:val="both"/>
              <w:rPr>
                <w:rFonts w:ascii="Arial" w:hAnsi="Arial"/>
                <w:sz w:val="22"/>
                <w:szCs w:val="22"/>
              </w:rPr>
            </w:pPr>
            <w:r>
              <w:rPr>
                <w:rFonts w:ascii="Arial" w:hAnsi="Arial"/>
                <w:sz w:val="22"/>
                <w:szCs w:val="22"/>
              </w:rPr>
              <w:t>Failures in safe care, staffing and governance conflicted with regulatory expectations reflected in Regulation 12 on safe care, Regulation 17 on good governance and Regulation 18 on staffing (CQC, 2025a; CQC, 2025b; CQC, 2025c).</w:t>
            </w:r>
          </w:p>
        </w:tc>
      </w:tr>
      <w:tr w:rsidR="00CE10BC" w14:paraId="0E41FA21" w14:textId="77777777">
        <w:tc>
          <w:tcPr>
            <w:tcW w:w="1813" w:type="dxa"/>
            <w:tcBorders>
              <w:left w:val="outset" w:sz="2" w:space="0" w:color="000000"/>
              <w:bottom w:val="outset" w:sz="2" w:space="0" w:color="000000"/>
            </w:tcBorders>
            <w:vAlign w:val="center"/>
          </w:tcPr>
          <w:p w14:paraId="0E41FA1F" w14:textId="77777777" w:rsidR="00CE10BC" w:rsidRDefault="00326FAD">
            <w:pPr>
              <w:pStyle w:val="TableContents"/>
              <w:spacing w:line="360" w:lineRule="auto"/>
              <w:jc w:val="center"/>
            </w:pPr>
            <w:r>
              <w:rPr>
                <w:rStyle w:val="Strong"/>
                <w:rFonts w:ascii="Arial" w:hAnsi="Arial"/>
                <w:sz w:val="22"/>
                <w:szCs w:val="22"/>
              </w:rPr>
              <w:t>Environmental</w:t>
            </w:r>
          </w:p>
        </w:tc>
        <w:tc>
          <w:tcPr>
            <w:tcW w:w="7825" w:type="dxa"/>
            <w:tcBorders>
              <w:left w:val="outset" w:sz="2" w:space="0" w:color="000000"/>
              <w:bottom w:val="outset" w:sz="2" w:space="0" w:color="000000"/>
              <w:right w:val="outset" w:sz="2" w:space="0" w:color="000000"/>
            </w:tcBorders>
            <w:vAlign w:val="center"/>
          </w:tcPr>
          <w:p w14:paraId="0E41FA20" w14:textId="77777777" w:rsidR="00CE10BC" w:rsidRDefault="00326FAD">
            <w:pPr>
              <w:pStyle w:val="TableContents"/>
              <w:spacing w:line="360" w:lineRule="auto"/>
              <w:jc w:val="both"/>
              <w:rPr>
                <w:rFonts w:ascii="Arial" w:hAnsi="Arial"/>
                <w:sz w:val="22"/>
                <w:szCs w:val="22"/>
              </w:rPr>
            </w:pPr>
            <w:r>
              <w:rPr>
                <w:rFonts w:ascii="Arial" w:hAnsi="Arial"/>
                <w:sz w:val="22"/>
                <w:szCs w:val="22"/>
              </w:rPr>
              <w:t>Overcrowded wards, high workloads and inapropriate care conditions increased pressure on staff and made it more difficult to maintain cleanliness, dignity and consistent patient monitoring (Francis, 2013; CQC, 2023).</w:t>
            </w:r>
          </w:p>
        </w:tc>
      </w:tr>
    </w:tbl>
    <w:p w14:paraId="0E41FA22" w14:textId="77777777" w:rsidR="00CE10BC" w:rsidRDefault="00CE10BC">
      <w:pPr>
        <w:spacing w:line="360" w:lineRule="auto"/>
        <w:jc w:val="both"/>
        <w:rPr>
          <w:sz w:val="22"/>
          <w:szCs w:val="22"/>
        </w:rPr>
      </w:pPr>
    </w:p>
    <w:p w14:paraId="0E41FA23"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2.5 Benchmarking</w:t>
      </w:r>
    </w:p>
    <w:p w14:paraId="5134CC09" w14:textId="77777777" w:rsidR="00611967" w:rsidRDefault="00326FAD">
      <w:pPr>
        <w:spacing w:line="360" w:lineRule="auto"/>
        <w:jc w:val="both"/>
        <w:rPr>
          <w:rFonts w:ascii="Arial" w:hAnsi="Arial"/>
          <w:sz w:val="22"/>
          <w:szCs w:val="22"/>
        </w:rPr>
      </w:pPr>
      <w:r>
        <w:rPr>
          <w:rFonts w:ascii="Arial" w:hAnsi="Arial"/>
          <w:sz w:val="22"/>
          <w:szCs w:val="22"/>
        </w:rPr>
        <w:tab/>
        <w:t xml:space="preserve">Benchmarking uses recognised standards to evaluate organisational performance in order to determine shortcomings in quality and guide service improvements (NHS England, 2023). Regarding the Mid Staffordshire case, the recent standards set by the NHS and the CQC reinforce the findings of Francis’s investigation, without replacing them. Current guiding principles demand an appropriate level of staffing, efficient governance, person-centred care and a positive safety environment (Francis, 2013; NHS England, 2023; CQC, 2025a; 2025b). In addition, NICE advocates that workforce capacity planning should be determined by patients’ needs, rather than financial pressures (NICE, 2014). This comparison transforms general concerns regarding quality to measurable </w:t>
      </w:r>
      <w:r>
        <w:rPr>
          <w:rFonts w:ascii="Arial" w:hAnsi="Arial"/>
          <w:sz w:val="22"/>
          <w:szCs w:val="22"/>
        </w:rPr>
        <w:lastRenderedPageBreak/>
        <w:t xml:space="preserve">indicators, such as staffing levels, complaint response rates, incident reporting and scores regarding </w:t>
      </w:r>
    </w:p>
    <w:p w14:paraId="0E41FA24" w14:textId="68243C93" w:rsidR="00CE10BC" w:rsidRDefault="00326FAD">
      <w:pPr>
        <w:spacing w:line="360" w:lineRule="auto"/>
        <w:jc w:val="both"/>
        <w:rPr>
          <w:sz w:val="22"/>
          <w:szCs w:val="22"/>
        </w:rPr>
      </w:pPr>
      <w:r>
        <w:rPr>
          <w:rFonts w:ascii="Arial" w:hAnsi="Arial"/>
          <w:sz w:val="22"/>
          <w:szCs w:val="22"/>
        </w:rPr>
        <w:t>patient experience (NHS England, 2023; CQC, 2025b). However, comparisons should be used with caution. Organisations may achieve performance targets, while safety issues remain unaddressed, and benchmarks may be influenced by variations in data quality, cases complexity and service pressures at a local level (The King’s Fund, 2024; NHS England, 2022). Thus, the comparative analysis should combine quantitative indicators and patient feedback, staff experiences, and the conclusions of external audits.</w:t>
      </w:r>
    </w:p>
    <w:p w14:paraId="0E41FA25" w14:textId="77777777" w:rsidR="00CE10BC" w:rsidRDefault="00CE10BC">
      <w:pPr>
        <w:spacing w:line="360" w:lineRule="auto"/>
        <w:jc w:val="both"/>
        <w:rPr>
          <w:sz w:val="22"/>
          <w:szCs w:val="22"/>
        </w:rPr>
      </w:pPr>
    </w:p>
    <w:p w14:paraId="07F575B9" w14:textId="7EF5B5C9" w:rsidR="005C007D" w:rsidRDefault="00326FAD">
      <w:pPr>
        <w:spacing w:line="360" w:lineRule="auto"/>
        <w:jc w:val="center"/>
        <w:rPr>
          <w:rFonts w:ascii="Arial" w:hAnsi="Arial"/>
          <w:b/>
          <w:bCs/>
          <w:sz w:val="22"/>
          <w:szCs w:val="22"/>
          <w:lang w:val="en-GB"/>
        </w:rPr>
      </w:pPr>
      <w:r>
        <w:rPr>
          <w:rFonts w:ascii="Arial" w:hAnsi="Arial"/>
          <w:b/>
          <w:bCs/>
          <w:sz w:val="22"/>
          <w:szCs w:val="22"/>
        </w:rPr>
        <w:t>Table 4 – Comparing the Mid Staffordshire with Existing Quality Standards</w:t>
      </w:r>
      <w:r w:rsidR="00BD4372">
        <w:rPr>
          <w:rFonts w:ascii="Arial" w:hAnsi="Arial"/>
          <w:b/>
          <w:bCs/>
          <w:sz w:val="22"/>
          <w:szCs w:val="22"/>
        </w:rPr>
        <w:t xml:space="preserve"> (Before - After)</w:t>
      </w:r>
    </w:p>
    <w:tbl>
      <w:tblPr>
        <w:tblpPr w:leftFromText="180" w:rightFromText="180" w:vertAnchor="text" w:horzAnchor="margin" w:tblpXSpec="center" w:tblpY="45"/>
        <w:tblW w:w="11057" w:type="dxa"/>
        <w:tblLayout w:type="fixed"/>
        <w:tblCellMar>
          <w:top w:w="28" w:type="dxa"/>
          <w:left w:w="28" w:type="dxa"/>
          <w:bottom w:w="28" w:type="dxa"/>
          <w:right w:w="28" w:type="dxa"/>
        </w:tblCellMar>
        <w:tblLook w:val="0000" w:firstRow="0" w:lastRow="0" w:firstColumn="0" w:lastColumn="0" w:noHBand="0" w:noVBand="0"/>
      </w:tblPr>
      <w:tblGrid>
        <w:gridCol w:w="1018"/>
        <w:gridCol w:w="2118"/>
        <w:gridCol w:w="2410"/>
        <w:gridCol w:w="2977"/>
        <w:gridCol w:w="2534"/>
      </w:tblGrid>
      <w:tr w:rsidR="005C007D" w:rsidRPr="005C007D" w14:paraId="4BA681E5" w14:textId="77777777" w:rsidTr="00C45C19">
        <w:trPr>
          <w:tblHeader/>
        </w:trPr>
        <w:tc>
          <w:tcPr>
            <w:tcW w:w="1018" w:type="dxa"/>
            <w:tcBorders>
              <w:top w:val="single" w:sz="4" w:space="0" w:color="000000"/>
              <w:left w:val="single" w:sz="4" w:space="0" w:color="000000"/>
              <w:bottom w:val="single" w:sz="4" w:space="0" w:color="000000"/>
              <w:right w:val="single" w:sz="4" w:space="0" w:color="000000"/>
            </w:tcBorders>
            <w:shd w:val="clear" w:color="auto" w:fill="B4C7DC"/>
            <w:vAlign w:val="center"/>
          </w:tcPr>
          <w:p w14:paraId="6EB1E2E4"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Quality area</w:t>
            </w:r>
          </w:p>
        </w:tc>
        <w:tc>
          <w:tcPr>
            <w:tcW w:w="2118" w:type="dxa"/>
            <w:tcBorders>
              <w:top w:val="single" w:sz="4" w:space="0" w:color="000000"/>
              <w:left w:val="single" w:sz="4" w:space="0" w:color="000000"/>
              <w:bottom w:val="single" w:sz="4" w:space="0" w:color="000000"/>
              <w:right w:val="single" w:sz="4" w:space="0" w:color="000000"/>
            </w:tcBorders>
            <w:shd w:val="clear" w:color="auto" w:fill="B4C7DC"/>
            <w:vAlign w:val="center"/>
          </w:tcPr>
          <w:p w14:paraId="395A36DF"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Mid Staffordshire failure</w:t>
            </w:r>
          </w:p>
        </w:tc>
        <w:tc>
          <w:tcPr>
            <w:tcW w:w="2410" w:type="dxa"/>
            <w:tcBorders>
              <w:top w:val="single" w:sz="4" w:space="0" w:color="000000"/>
              <w:left w:val="single" w:sz="4" w:space="0" w:color="000000"/>
              <w:bottom w:val="single" w:sz="4" w:space="0" w:color="000000"/>
              <w:right w:val="single" w:sz="4" w:space="0" w:color="000000"/>
            </w:tcBorders>
            <w:shd w:val="clear" w:color="auto" w:fill="B4C7DC"/>
            <w:vAlign w:val="center"/>
          </w:tcPr>
          <w:p w14:paraId="54F7CE2B"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Relevant benchmark</w:t>
            </w:r>
          </w:p>
        </w:tc>
        <w:tc>
          <w:tcPr>
            <w:tcW w:w="2977" w:type="dxa"/>
            <w:tcBorders>
              <w:top w:val="single" w:sz="4" w:space="0" w:color="000000"/>
              <w:left w:val="single" w:sz="4" w:space="0" w:color="000000"/>
              <w:bottom w:val="single" w:sz="4" w:space="0" w:color="000000"/>
              <w:right w:val="single" w:sz="4" w:space="0" w:color="000000"/>
            </w:tcBorders>
            <w:shd w:val="clear" w:color="auto" w:fill="B4C7DC"/>
            <w:vAlign w:val="center"/>
          </w:tcPr>
          <w:p w14:paraId="41AD3A90"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Suggested indicator</w:t>
            </w:r>
          </w:p>
        </w:tc>
        <w:tc>
          <w:tcPr>
            <w:tcW w:w="2534" w:type="dxa"/>
            <w:tcBorders>
              <w:top w:val="single" w:sz="4" w:space="0" w:color="000000"/>
              <w:left w:val="single" w:sz="4" w:space="0" w:color="000000"/>
              <w:bottom w:val="single" w:sz="4" w:space="0" w:color="000000"/>
              <w:right w:val="single" w:sz="4" w:space="0" w:color="000000"/>
            </w:tcBorders>
            <w:shd w:val="clear" w:color="auto" w:fill="B4C7DC"/>
            <w:vAlign w:val="center"/>
          </w:tcPr>
          <w:p w14:paraId="2DAC7237"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Benchmark After Changes</w:t>
            </w:r>
          </w:p>
        </w:tc>
      </w:tr>
      <w:tr w:rsidR="005C007D" w:rsidRPr="005C007D" w14:paraId="1DBF15E9" w14:textId="77777777" w:rsidTr="00C45C19">
        <w:tc>
          <w:tcPr>
            <w:tcW w:w="1018" w:type="dxa"/>
            <w:tcBorders>
              <w:top w:val="single" w:sz="4" w:space="0" w:color="000000"/>
              <w:left w:val="single" w:sz="4" w:space="0" w:color="000000"/>
              <w:bottom w:val="single" w:sz="4" w:space="0" w:color="000000"/>
              <w:right w:val="single" w:sz="4" w:space="0" w:color="000000"/>
            </w:tcBorders>
            <w:vAlign w:val="center"/>
          </w:tcPr>
          <w:p w14:paraId="4DD206D5"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Safe staffing</w:t>
            </w:r>
          </w:p>
        </w:tc>
        <w:tc>
          <w:tcPr>
            <w:tcW w:w="2118" w:type="dxa"/>
            <w:tcBorders>
              <w:top w:val="single" w:sz="4" w:space="0" w:color="000000"/>
              <w:left w:val="single" w:sz="4" w:space="0" w:color="000000"/>
              <w:bottom w:val="single" w:sz="4" w:space="0" w:color="000000"/>
              <w:right w:val="single" w:sz="4" w:space="0" w:color="000000"/>
            </w:tcBorders>
            <w:vAlign w:val="center"/>
          </w:tcPr>
          <w:p w14:paraId="0D5CEEA7"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Insufficient nursing staff and excessive workloads (The King's Fund, 2024; CQC, 2023)</w:t>
            </w:r>
          </w:p>
        </w:tc>
        <w:tc>
          <w:tcPr>
            <w:tcW w:w="2410" w:type="dxa"/>
            <w:tcBorders>
              <w:top w:val="single" w:sz="4" w:space="0" w:color="000000"/>
              <w:left w:val="single" w:sz="4" w:space="0" w:color="000000"/>
              <w:bottom w:val="single" w:sz="4" w:space="0" w:color="000000"/>
              <w:right w:val="single" w:sz="4" w:space="0" w:color="000000"/>
            </w:tcBorders>
            <w:vAlign w:val="center"/>
          </w:tcPr>
          <w:p w14:paraId="413C24E8"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NICE Safe Staffing Guideline (NICE, 2014); CQC Regulation 18 (CQC, 2025c)</w:t>
            </w:r>
          </w:p>
        </w:tc>
        <w:tc>
          <w:tcPr>
            <w:tcW w:w="2977" w:type="dxa"/>
            <w:tcBorders>
              <w:top w:val="single" w:sz="4" w:space="0" w:color="000000"/>
              <w:left w:val="single" w:sz="4" w:space="0" w:color="000000"/>
              <w:bottom w:val="single" w:sz="4" w:space="0" w:color="000000"/>
              <w:right w:val="single" w:sz="4" w:space="0" w:color="000000"/>
            </w:tcBorders>
            <w:vAlign w:val="center"/>
          </w:tcPr>
          <w:p w14:paraId="3B60A083"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Report on the relationship between staff and patients, the skills framework, vacant positions and their recruitment rates.</w:t>
            </w:r>
          </w:p>
        </w:tc>
        <w:tc>
          <w:tcPr>
            <w:tcW w:w="2534" w:type="dxa"/>
            <w:tcBorders>
              <w:top w:val="single" w:sz="4" w:space="0" w:color="000000"/>
              <w:left w:val="single" w:sz="4" w:space="0" w:color="000000"/>
              <w:bottom w:val="single" w:sz="4" w:space="0" w:color="000000"/>
              <w:right w:val="single" w:sz="4" w:space="0" w:color="000000"/>
            </w:tcBorders>
            <w:vAlign w:val="center"/>
          </w:tcPr>
          <w:p w14:paraId="04FA9F54"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NICE Safe Staffing Guideline (NICE, 2014); CQC Regulation 18 (CQC, 2025c)</w:t>
            </w:r>
          </w:p>
        </w:tc>
      </w:tr>
      <w:tr w:rsidR="005C007D" w:rsidRPr="005C007D" w14:paraId="2CA4FF6F" w14:textId="77777777" w:rsidTr="00C45C19">
        <w:tc>
          <w:tcPr>
            <w:tcW w:w="1018" w:type="dxa"/>
            <w:tcBorders>
              <w:top w:val="single" w:sz="4" w:space="0" w:color="000000"/>
              <w:left w:val="single" w:sz="4" w:space="0" w:color="000000"/>
              <w:bottom w:val="single" w:sz="4" w:space="0" w:color="000000"/>
              <w:right w:val="single" w:sz="4" w:space="0" w:color="000000"/>
            </w:tcBorders>
            <w:vAlign w:val="center"/>
          </w:tcPr>
          <w:p w14:paraId="46B84E8E"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Patient safety</w:t>
            </w:r>
          </w:p>
        </w:tc>
        <w:tc>
          <w:tcPr>
            <w:tcW w:w="2118" w:type="dxa"/>
            <w:tcBorders>
              <w:top w:val="single" w:sz="4" w:space="0" w:color="000000"/>
              <w:left w:val="single" w:sz="4" w:space="0" w:color="000000"/>
              <w:bottom w:val="single" w:sz="4" w:space="0" w:color="000000"/>
              <w:right w:val="single" w:sz="4" w:space="0" w:color="000000"/>
            </w:tcBorders>
            <w:vAlign w:val="center"/>
          </w:tcPr>
          <w:p w14:paraId="27AA7F4B"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Avoidable harm, delayed treatment and poor clinical care (CQC, 2023; NHS England, 2023)</w:t>
            </w:r>
          </w:p>
        </w:tc>
        <w:tc>
          <w:tcPr>
            <w:tcW w:w="2410" w:type="dxa"/>
            <w:tcBorders>
              <w:top w:val="single" w:sz="4" w:space="0" w:color="000000"/>
              <w:left w:val="single" w:sz="4" w:space="0" w:color="000000"/>
              <w:bottom w:val="single" w:sz="4" w:space="0" w:color="000000"/>
              <w:right w:val="single" w:sz="4" w:space="0" w:color="000000"/>
            </w:tcBorders>
            <w:vAlign w:val="center"/>
          </w:tcPr>
          <w:p w14:paraId="52E234B0"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Regulation 12 (CQC, 2025a); NHS Patient Safety Strategy (NHS England, 2023)</w:t>
            </w:r>
          </w:p>
        </w:tc>
        <w:tc>
          <w:tcPr>
            <w:tcW w:w="2977" w:type="dxa"/>
            <w:tcBorders>
              <w:top w:val="single" w:sz="4" w:space="0" w:color="000000"/>
              <w:left w:val="single" w:sz="4" w:space="0" w:color="000000"/>
              <w:bottom w:val="single" w:sz="4" w:space="0" w:color="000000"/>
              <w:right w:val="single" w:sz="4" w:space="0" w:color="000000"/>
            </w:tcBorders>
            <w:vAlign w:val="center"/>
          </w:tcPr>
          <w:p w14:paraId="4B0C38FA"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Falls, medication errors, wounds and incidents that have caused harm to patients.</w:t>
            </w:r>
          </w:p>
        </w:tc>
        <w:tc>
          <w:tcPr>
            <w:tcW w:w="2534" w:type="dxa"/>
            <w:tcBorders>
              <w:top w:val="single" w:sz="4" w:space="0" w:color="000000"/>
              <w:left w:val="single" w:sz="4" w:space="0" w:color="000000"/>
              <w:bottom w:val="single" w:sz="4" w:space="0" w:color="000000"/>
              <w:right w:val="single" w:sz="4" w:space="0" w:color="000000"/>
            </w:tcBorders>
            <w:vAlign w:val="center"/>
          </w:tcPr>
          <w:p w14:paraId="2EF29E05"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Regulation 12 (CQC, 2025a); NHS Patient Safety Strategy (NHS England, 2023)</w:t>
            </w:r>
          </w:p>
        </w:tc>
      </w:tr>
      <w:tr w:rsidR="005C007D" w:rsidRPr="005C007D" w14:paraId="46F8A914" w14:textId="77777777" w:rsidTr="00C45C19">
        <w:tc>
          <w:tcPr>
            <w:tcW w:w="1018" w:type="dxa"/>
            <w:tcBorders>
              <w:top w:val="single" w:sz="4" w:space="0" w:color="000000"/>
              <w:left w:val="single" w:sz="4" w:space="0" w:color="000000"/>
              <w:bottom w:val="single" w:sz="4" w:space="0" w:color="000000"/>
              <w:right w:val="single" w:sz="4" w:space="0" w:color="000000"/>
            </w:tcBorders>
            <w:vAlign w:val="center"/>
          </w:tcPr>
          <w:p w14:paraId="50E80217"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Governance</w:t>
            </w:r>
          </w:p>
        </w:tc>
        <w:tc>
          <w:tcPr>
            <w:tcW w:w="2118" w:type="dxa"/>
            <w:tcBorders>
              <w:top w:val="single" w:sz="4" w:space="0" w:color="000000"/>
              <w:left w:val="single" w:sz="4" w:space="0" w:color="000000"/>
              <w:bottom w:val="single" w:sz="4" w:space="0" w:color="000000"/>
              <w:right w:val="single" w:sz="4" w:space="0" w:color="000000"/>
            </w:tcBorders>
            <w:vAlign w:val="center"/>
          </w:tcPr>
          <w:p w14:paraId="6FA5121B"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Weak leadership, poor oversight and failure to respond to risks (The King's Fund, 2024; NHS England, 2022)</w:t>
            </w:r>
          </w:p>
        </w:tc>
        <w:tc>
          <w:tcPr>
            <w:tcW w:w="2410" w:type="dxa"/>
            <w:tcBorders>
              <w:top w:val="single" w:sz="4" w:space="0" w:color="000000"/>
              <w:left w:val="single" w:sz="4" w:space="0" w:color="000000"/>
              <w:bottom w:val="single" w:sz="4" w:space="0" w:color="000000"/>
              <w:right w:val="single" w:sz="4" w:space="0" w:color="000000"/>
            </w:tcBorders>
            <w:vAlign w:val="center"/>
          </w:tcPr>
          <w:p w14:paraId="2AB48946"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Regulation 17 (CQC, 2025b); NHS England Quality Governance Framework (NHS England, 2022)</w:t>
            </w:r>
          </w:p>
        </w:tc>
        <w:tc>
          <w:tcPr>
            <w:tcW w:w="2977" w:type="dxa"/>
            <w:tcBorders>
              <w:top w:val="single" w:sz="4" w:space="0" w:color="000000"/>
              <w:left w:val="single" w:sz="4" w:space="0" w:color="000000"/>
              <w:bottom w:val="single" w:sz="4" w:space="0" w:color="000000"/>
              <w:right w:val="single" w:sz="4" w:space="0" w:color="000000"/>
            </w:tcBorders>
            <w:vAlign w:val="center"/>
          </w:tcPr>
          <w:p w14:paraId="6B0318D2"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Clinical audits, incident reporting, developing action plans and discussing them with the Management Board.</w:t>
            </w:r>
          </w:p>
        </w:tc>
        <w:tc>
          <w:tcPr>
            <w:tcW w:w="2534" w:type="dxa"/>
            <w:tcBorders>
              <w:top w:val="single" w:sz="4" w:space="0" w:color="000000"/>
              <w:left w:val="single" w:sz="4" w:space="0" w:color="000000"/>
              <w:bottom w:val="single" w:sz="4" w:space="0" w:color="000000"/>
              <w:right w:val="single" w:sz="4" w:space="0" w:color="000000"/>
            </w:tcBorders>
            <w:vAlign w:val="center"/>
          </w:tcPr>
          <w:p w14:paraId="70DC1AAF"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Regulation 17 (CQC, 2025b); NHS England Quality Governance Framework (NHS England, 2022)</w:t>
            </w:r>
          </w:p>
        </w:tc>
      </w:tr>
      <w:tr w:rsidR="005C007D" w:rsidRPr="005C007D" w14:paraId="108D10DB" w14:textId="77777777" w:rsidTr="00C45C19">
        <w:tc>
          <w:tcPr>
            <w:tcW w:w="1018" w:type="dxa"/>
            <w:tcBorders>
              <w:top w:val="single" w:sz="4" w:space="0" w:color="000000"/>
              <w:left w:val="single" w:sz="4" w:space="0" w:color="000000"/>
              <w:bottom w:val="single" w:sz="4" w:space="0" w:color="000000"/>
              <w:right w:val="single" w:sz="4" w:space="0" w:color="000000"/>
            </w:tcBorders>
            <w:vAlign w:val="center"/>
          </w:tcPr>
          <w:p w14:paraId="4C7B47B2" w14:textId="77777777" w:rsidR="005C007D" w:rsidRPr="005C007D" w:rsidRDefault="005C007D" w:rsidP="005C007D">
            <w:pPr>
              <w:spacing w:line="360" w:lineRule="auto"/>
              <w:jc w:val="center"/>
              <w:rPr>
                <w:rFonts w:ascii="Arial" w:hAnsi="Arial"/>
                <w:b/>
                <w:bCs/>
                <w:sz w:val="22"/>
                <w:szCs w:val="22"/>
                <w:lang w:val="en-GB"/>
              </w:rPr>
            </w:pPr>
          </w:p>
          <w:p w14:paraId="307A52EE"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Patient experience</w:t>
            </w:r>
          </w:p>
        </w:tc>
        <w:tc>
          <w:tcPr>
            <w:tcW w:w="2118" w:type="dxa"/>
            <w:tcBorders>
              <w:top w:val="single" w:sz="4" w:space="0" w:color="000000"/>
              <w:left w:val="single" w:sz="4" w:space="0" w:color="000000"/>
              <w:bottom w:val="single" w:sz="4" w:space="0" w:color="000000"/>
              <w:right w:val="single" w:sz="4" w:space="0" w:color="000000"/>
            </w:tcBorders>
            <w:vAlign w:val="center"/>
          </w:tcPr>
          <w:p w14:paraId="5FCC3114"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Complaints and concerns were not effectively addressed (CQC, 2023; NHS England, 2021)</w:t>
            </w:r>
          </w:p>
        </w:tc>
        <w:tc>
          <w:tcPr>
            <w:tcW w:w="2410" w:type="dxa"/>
            <w:tcBorders>
              <w:top w:val="single" w:sz="4" w:space="0" w:color="000000"/>
              <w:left w:val="single" w:sz="4" w:space="0" w:color="000000"/>
              <w:bottom w:val="single" w:sz="4" w:space="0" w:color="000000"/>
              <w:right w:val="single" w:sz="4" w:space="0" w:color="000000"/>
            </w:tcBorders>
            <w:vAlign w:val="center"/>
          </w:tcPr>
          <w:p w14:paraId="3783A415"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Regulation 9 (CQC, 2025d); NHS England Patient Experience Framework (NHS England, 2021)</w:t>
            </w:r>
          </w:p>
        </w:tc>
        <w:tc>
          <w:tcPr>
            <w:tcW w:w="2977" w:type="dxa"/>
            <w:tcBorders>
              <w:top w:val="single" w:sz="4" w:space="0" w:color="000000"/>
              <w:left w:val="single" w:sz="4" w:space="0" w:color="000000"/>
              <w:bottom w:val="single" w:sz="4" w:space="0" w:color="000000"/>
              <w:right w:val="single" w:sz="4" w:space="0" w:color="000000"/>
            </w:tcBorders>
            <w:vAlign w:val="center"/>
          </w:tcPr>
          <w:p w14:paraId="503A8EF9"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Complaint response times, Friends and Family Test results, patient satisfaction and experience surveys.</w:t>
            </w:r>
          </w:p>
          <w:p w14:paraId="718BBC06" w14:textId="77777777" w:rsidR="005C007D" w:rsidRPr="005C007D" w:rsidRDefault="005C007D" w:rsidP="005C007D">
            <w:pPr>
              <w:spacing w:line="360" w:lineRule="auto"/>
              <w:jc w:val="center"/>
              <w:rPr>
                <w:rFonts w:ascii="Arial" w:hAnsi="Arial"/>
                <w:b/>
                <w:bCs/>
                <w:sz w:val="22"/>
                <w:szCs w:val="22"/>
                <w:lang w:val="en-GB"/>
              </w:rPr>
            </w:pPr>
          </w:p>
        </w:tc>
        <w:tc>
          <w:tcPr>
            <w:tcW w:w="2534" w:type="dxa"/>
            <w:tcBorders>
              <w:top w:val="single" w:sz="4" w:space="0" w:color="000000"/>
              <w:left w:val="single" w:sz="4" w:space="0" w:color="000000"/>
              <w:bottom w:val="single" w:sz="4" w:space="0" w:color="000000"/>
              <w:right w:val="single" w:sz="4" w:space="0" w:color="000000"/>
            </w:tcBorders>
            <w:vAlign w:val="center"/>
          </w:tcPr>
          <w:p w14:paraId="18B91CA8"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Regulation 9 (CQC, 2025d); NHS England Patient Experience Framework (NHS England, 2021)</w:t>
            </w:r>
          </w:p>
        </w:tc>
      </w:tr>
      <w:tr w:rsidR="005C007D" w:rsidRPr="005C007D" w14:paraId="5E00755D" w14:textId="77777777" w:rsidTr="00C45C19">
        <w:tc>
          <w:tcPr>
            <w:tcW w:w="1018" w:type="dxa"/>
            <w:tcBorders>
              <w:top w:val="single" w:sz="4" w:space="0" w:color="000000"/>
              <w:left w:val="single" w:sz="4" w:space="0" w:color="000000"/>
              <w:bottom w:val="single" w:sz="4" w:space="0" w:color="000000"/>
              <w:right w:val="single" w:sz="4" w:space="0" w:color="000000"/>
            </w:tcBorders>
            <w:vAlign w:val="center"/>
          </w:tcPr>
          <w:p w14:paraId="0ECC6167"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 xml:space="preserve">Safety </w:t>
            </w:r>
            <w:r w:rsidRPr="005C007D">
              <w:rPr>
                <w:rFonts w:ascii="Arial" w:hAnsi="Arial"/>
                <w:b/>
                <w:bCs/>
                <w:sz w:val="22"/>
                <w:szCs w:val="22"/>
                <w:lang w:val="en-GB"/>
              </w:rPr>
              <w:lastRenderedPageBreak/>
              <w:t>culture</w:t>
            </w:r>
          </w:p>
        </w:tc>
        <w:tc>
          <w:tcPr>
            <w:tcW w:w="2118" w:type="dxa"/>
            <w:tcBorders>
              <w:top w:val="single" w:sz="4" w:space="0" w:color="000000"/>
              <w:left w:val="single" w:sz="4" w:space="0" w:color="000000"/>
              <w:bottom w:val="single" w:sz="4" w:space="0" w:color="000000"/>
              <w:right w:val="single" w:sz="4" w:space="0" w:color="000000"/>
            </w:tcBorders>
            <w:vAlign w:val="center"/>
          </w:tcPr>
          <w:p w14:paraId="51C1569A"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lastRenderedPageBreak/>
              <w:t xml:space="preserve">Staff were reluctant </w:t>
            </w:r>
            <w:r w:rsidRPr="005C007D">
              <w:rPr>
                <w:rFonts w:ascii="Arial" w:hAnsi="Arial"/>
                <w:b/>
                <w:bCs/>
                <w:sz w:val="22"/>
                <w:szCs w:val="22"/>
                <w:lang w:val="en-GB"/>
              </w:rPr>
              <w:lastRenderedPageBreak/>
              <w:t>to raise concerns and organisational learning was limited (NHS England, 2023; The King's Fund, 2024)</w:t>
            </w:r>
          </w:p>
        </w:tc>
        <w:tc>
          <w:tcPr>
            <w:tcW w:w="2410" w:type="dxa"/>
            <w:tcBorders>
              <w:top w:val="single" w:sz="4" w:space="0" w:color="000000"/>
              <w:left w:val="single" w:sz="4" w:space="0" w:color="000000"/>
              <w:bottom w:val="single" w:sz="4" w:space="0" w:color="000000"/>
              <w:right w:val="single" w:sz="4" w:space="0" w:color="000000"/>
            </w:tcBorders>
            <w:vAlign w:val="center"/>
          </w:tcPr>
          <w:p w14:paraId="012435E7"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lastRenderedPageBreak/>
              <w:t xml:space="preserve">NHS Patient Safety </w:t>
            </w:r>
            <w:r w:rsidRPr="005C007D">
              <w:rPr>
                <w:rFonts w:ascii="Arial" w:hAnsi="Arial"/>
                <w:b/>
                <w:bCs/>
                <w:sz w:val="22"/>
                <w:szCs w:val="22"/>
                <w:lang w:val="en-GB"/>
              </w:rPr>
              <w:lastRenderedPageBreak/>
              <w:t>Strategy (NHS England, 2023); Freedom to Speak Up guidance (NHS England, 2022)</w:t>
            </w:r>
          </w:p>
        </w:tc>
        <w:tc>
          <w:tcPr>
            <w:tcW w:w="2977" w:type="dxa"/>
            <w:tcBorders>
              <w:top w:val="single" w:sz="4" w:space="0" w:color="000000"/>
              <w:left w:val="single" w:sz="4" w:space="0" w:color="000000"/>
              <w:bottom w:val="single" w:sz="4" w:space="0" w:color="000000"/>
              <w:right w:val="single" w:sz="4" w:space="0" w:color="000000"/>
            </w:tcBorders>
            <w:vAlign w:val="center"/>
          </w:tcPr>
          <w:p w14:paraId="65349E3B"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lastRenderedPageBreak/>
              <w:t xml:space="preserve">Staff Survey results, </w:t>
            </w:r>
            <w:r w:rsidRPr="005C007D">
              <w:rPr>
                <w:rFonts w:ascii="Arial" w:hAnsi="Arial"/>
                <w:b/>
                <w:bCs/>
                <w:sz w:val="22"/>
                <w:szCs w:val="22"/>
                <w:lang w:val="en-GB"/>
              </w:rPr>
              <w:lastRenderedPageBreak/>
              <w:t>Freedom to Speak Up data and incident-learning reviews.</w:t>
            </w:r>
          </w:p>
        </w:tc>
        <w:tc>
          <w:tcPr>
            <w:tcW w:w="2534" w:type="dxa"/>
            <w:tcBorders>
              <w:top w:val="single" w:sz="4" w:space="0" w:color="000000"/>
              <w:left w:val="single" w:sz="4" w:space="0" w:color="000000"/>
              <w:bottom w:val="single" w:sz="4" w:space="0" w:color="000000"/>
              <w:right w:val="single" w:sz="4" w:space="0" w:color="000000"/>
            </w:tcBorders>
            <w:vAlign w:val="center"/>
          </w:tcPr>
          <w:p w14:paraId="2EA729EF"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lastRenderedPageBreak/>
              <w:t xml:space="preserve">NHS Patient Safety </w:t>
            </w:r>
            <w:r w:rsidRPr="005C007D">
              <w:rPr>
                <w:rFonts w:ascii="Arial" w:hAnsi="Arial"/>
                <w:b/>
                <w:bCs/>
                <w:sz w:val="22"/>
                <w:szCs w:val="22"/>
                <w:lang w:val="en-GB"/>
              </w:rPr>
              <w:lastRenderedPageBreak/>
              <w:t>Strategy (NHS England, 2023); Freedom to Speak Up guidance (NHS England, 2022)</w:t>
            </w:r>
          </w:p>
        </w:tc>
      </w:tr>
      <w:tr w:rsidR="005C007D" w:rsidRPr="005C007D" w14:paraId="2879B9A2" w14:textId="77777777" w:rsidTr="00C45C19">
        <w:tc>
          <w:tcPr>
            <w:tcW w:w="1018" w:type="dxa"/>
            <w:tcBorders>
              <w:top w:val="single" w:sz="4" w:space="0" w:color="000000"/>
              <w:left w:val="single" w:sz="4" w:space="0" w:color="000000"/>
              <w:bottom w:val="single" w:sz="4" w:space="0" w:color="000000"/>
              <w:right w:val="single" w:sz="4" w:space="0" w:color="000000"/>
            </w:tcBorders>
            <w:vAlign w:val="center"/>
          </w:tcPr>
          <w:p w14:paraId="52A34BD2"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lastRenderedPageBreak/>
              <w:t>Leadership</w:t>
            </w:r>
          </w:p>
        </w:tc>
        <w:tc>
          <w:tcPr>
            <w:tcW w:w="2118" w:type="dxa"/>
            <w:tcBorders>
              <w:top w:val="single" w:sz="4" w:space="0" w:color="000000"/>
              <w:left w:val="single" w:sz="4" w:space="0" w:color="000000"/>
              <w:bottom w:val="single" w:sz="4" w:space="0" w:color="000000"/>
              <w:right w:val="single" w:sz="4" w:space="0" w:color="000000"/>
            </w:tcBorders>
            <w:vAlign w:val="center"/>
          </w:tcPr>
          <w:p w14:paraId="5DA0ABBA"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Financial priorities outweighed patient-centred care (The King's Fund, 2024; CQC, 2023)</w:t>
            </w:r>
          </w:p>
        </w:tc>
        <w:tc>
          <w:tcPr>
            <w:tcW w:w="2410" w:type="dxa"/>
            <w:tcBorders>
              <w:top w:val="single" w:sz="4" w:space="0" w:color="000000"/>
              <w:left w:val="single" w:sz="4" w:space="0" w:color="000000"/>
              <w:bottom w:val="single" w:sz="4" w:space="0" w:color="000000"/>
              <w:right w:val="single" w:sz="4" w:space="0" w:color="000000"/>
            </w:tcBorders>
            <w:vAlign w:val="center"/>
          </w:tcPr>
          <w:p w14:paraId="77E8E2BF"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Well-led Framework (CQC, 2023); The King's Fund (2017)</w:t>
            </w:r>
          </w:p>
        </w:tc>
        <w:tc>
          <w:tcPr>
            <w:tcW w:w="2977" w:type="dxa"/>
            <w:tcBorders>
              <w:top w:val="single" w:sz="4" w:space="0" w:color="000000"/>
              <w:left w:val="single" w:sz="4" w:space="0" w:color="000000"/>
              <w:bottom w:val="single" w:sz="4" w:space="0" w:color="000000"/>
              <w:right w:val="single" w:sz="4" w:space="0" w:color="000000"/>
            </w:tcBorders>
            <w:vAlign w:val="center"/>
          </w:tcPr>
          <w:p w14:paraId="3C4FB3F8"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Management audits, staff engagement ratings, governance assessments and improvement plans.</w:t>
            </w:r>
          </w:p>
        </w:tc>
        <w:tc>
          <w:tcPr>
            <w:tcW w:w="2534" w:type="dxa"/>
            <w:tcBorders>
              <w:top w:val="single" w:sz="4" w:space="0" w:color="000000"/>
              <w:left w:val="single" w:sz="4" w:space="0" w:color="000000"/>
              <w:bottom w:val="single" w:sz="4" w:space="0" w:color="000000"/>
              <w:right w:val="single" w:sz="4" w:space="0" w:color="000000"/>
            </w:tcBorders>
            <w:vAlign w:val="center"/>
          </w:tcPr>
          <w:p w14:paraId="58B8113A" w14:textId="77777777" w:rsidR="005C007D" w:rsidRPr="005C007D" w:rsidRDefault="005C007D" w:rsidP="005C007D">
            <w:pPr>
              <w:spacing w:line="360" w:lineRule="auto"/>
              <w:jc w:val="center"/>
              <w:rPr>
                <w:rFonts w:ascii="Arial" w:hAnsi="Arial"/>
                <w:b/>
                <w:bCs/>
                <w:sz w:val="22"/>
                <w:szCs w:val="22"/>
                <w:lang w:val="en-GB"/>
              </w:rPr>
            </w:pPr>
            <w:r w:rsidRPr="005C007D">
              <w:rPr>
                <w:rFonts w:ascii="Arial" w:hAnsi="Arial"/>
                <w:b/>
                <w:bCs/>
                <w:sz w:val="22"/>
                <w:szCs w:val="22"/>
                <w:lang w:val="en-GB"/>
              </w:rPr>
              <w:t>CQC Well-led Framework (CQC, 2023); The King's Fund (2017)</w:t>
            </w:r>
          </w:p>
        </w:tc>
      </w:tr>
    </w:tbl>
    <w:p w14:paraId="0E41FA27" w14:textId="77777777" w:rsidR="00CE10BC" w:rsidRPr="00F63E47" w:rsidRDefault="00CE10BC" w:rsidP="00F63E47">
      <w:pPr>
        <w:spacing w:line="360" w:lineRule="auto"/>
        <w:rPr>
          <w:rFonts w:ascii="Arial" w:hAnsi="Arial"/>
          <w:sz w:val="22"/>
          <w:szCs w:val="22"/>
          <w:lang w:val="en-GB"/>
        </w:rPr>
      </w:pPr>
    </w:p>
    <w:p w14:paraId="0E41FA4D" w14:textId="77777777" w:rsidR="00CE10BC" w:rsidRDefault="00CE10BC">
      <w:pPr>
        <w:spacing w:line="360" w:lineRule="auto"/>
        <w:jc w:val="both"/>
        <w:rPr>
          <w:sz w:val="22"/>
          <w:szCs w:val="22"/>
        </w:rPr>
      </w:pPr>
    </w:p>
    <w:p w14:paraId="0E41FA4E"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2.6 Critical Analysis</w:t>
      </w:r>
    </w:p>
    <w:p w14:paraId="0E41FA4F" w14:textId="77777777" w:rsidR="00CE10BC" w:rsidRDefault="00326FAD">
      <w:pPr>
        <w:spacing w:line="360" w:lineRule="auto"/>
        <w:jc w:val="both"/>
        <w:rPr>
          <w:sz w:val="22"/>
          <w:szCs w:val="22"/>
        </w:rPr>
      </w:pPr>
      <w:r>
        <w:rPr>
          <w:rFonts w:ascii="Arial" w:hAnsi="Arial"/>
          <w:sz w:val="22"/>
          <w:szCs w:val="22"/>
        </w:rPr>
        <w:tab/>
        <w:t xml:space="preserve">Together, the Donabedian, Fishbone, “Five Whys” and PESTLE analyses suggest that the issue is more a systemic weakness than a problem caused by a few individuals acting irresponsibly. Staff shortages were important, but these were associated with financial priorities, poor governance and a culture that encouraged the failure to address inadequate care (Francis, 2013; The King's Fund, 2024; NHS England, 2023). This is an important consideration. An increase in staff numbers without a change in leadership behaviour, procedures for addressing concerns and responsibility may improve the overall capacity, but the same problems may repeat themselves (West </w:t>
      </w:r>
      <w:r>
        <w:rPr>
          <w:rFonts w:ascii="Arial" w:hAnsi="Arial"/>
          <w:i/>
          <w:iCs/>
          <w:sz w:val="22"/>
          <w:szCs w:val="22"/>
        </w:rPr>
        <w:t>et al.</w:t>
      </w:r>
      <w:r>
        <w:rPr>
          <w:rFonts w:ascii="Arial" w:hAnsi="Arial"/>
          <w:sz w:val="22"/>
          <w:szCs w:val="22"/>
        </w:rPr>
        <w:t>, 2022; NHS England, 2023).</w:t>
      </w:r>
    </w:p>
    <w:p w14:paraId="4EDECC47" w14:textId="285423E8" w:rsidR="00BD4372" w:rsidRPr="00BD4372" w:rsidRDefault="00326FAD">
      <w:pPr>
        <w:spacing w:line="360" w:lineRule="auto"/>
        <w:jc w:val="both"/>
        <w:rPr>
          <w:sz w:val="22"/>
          <w:szCs w:val="22"/>
          <w:lang w:val="en-GB"/>
        </w:rPr>
      </w:pPr>
      <w:r>
        <w:rPr>
          <w:rFonts w:ascii="Arial" w:hAnsi="Arial"/>
          <w:sz w:val="22"/>
          <w:szCs w:val="22"/>
        </w:rPr>
        <w:tab/>
        <w:t xml:space="preserve">Each approach has its advantages and limitations. The Donabedian approach is useful in organising the evidence, but provides little guidance on how the change should be implemented (Ayanian and Markel, 2016; Taylor </w:t>
      </w:r>
      <w:r>
        <w:rPr>
          <w:rFonts w:ascii="Arial" w:hAnsi="Arial"/>
          <w:i/>
          <w:iCs/>
          <w:sz w:val="22"/>
          <w:szCs w:val="22"/>
        </w:rPr>
        <w:t>et al</w:t>
      </w:r>
      <w:r>
        <w:rPr>
          <w:rFonts w:ascii="Arial" w:hAnsi="Arial"/>
          <w:sz w:val="22"/>
          <w:szCs w:val="22"/>
        </w:rPr>
        <w:t xml:space="preserve">., 2023). The Fishbone and “Five Whys” methods are useful for revealing complex relationships, but may be influenced by the assumptions of the person carrying out the analysis (Serrat, 2017; Card, 2019). The PESTLE framework provides a more comprehensive perspective, even though it can become purely descriptive when factors are solely enumerated. Benchmarking provides additional standards and comparison elements, but the objectives may create a false level of confidence (Serat, 2017; </w:t>
      </w:r>
      <w:r>
        <w:rPr>
          <w:rStyle w:val="Strong"/>
          <w:rFonts w:ascii="Arial" w:hAnsi="Arial"/>
          <w:b w:val="0"/>
          <w:bCs w:val="0"/>
          <w:sz w:val="22"/>
          <w:szCs w:val="22"/>
        </w:rPr>
        <w:t>The King's Fund, 2024; NHS England, 2023</w:t>
      </w:r>
      <w:r>
        <w:rPr>
          <w:rFonts w:ascii="Arial" w:hAnsi="Arial"/>
          <w:sz w:val="22"/>
          <w:szCs w:val="22"/>
        </w:rPr>
        <w:t>). A more solid evaluation results from combining different tools and verifying the results using patient experience data, staff details, incident patterns, and an independent evaluation (NHS England, 2019; CQC, 2025).</w:t>
      </w:r>
    </w:p>
    <w:p w14:paraId="0E41FA57" w14:textId="77777777" w:rsidR="00CE10BC" w:rsidRDefault="00326FAD">
      <w:pPr>
        <w:spacing w:line="360" w:lineRule="auto"/>
        <w:jc w:val="center"/>
        <w:rPr>
          <w:b/>
          <w:bCs/>
        </w:rPr>
      </w:pPr>
      <w:r>
        <w:rPr>
          <w:rFonts w:ascii="Arial" w:hAnsi="Arial"/>
          <w:b/>
          <w:bCs/>
          <w:sz w:val="22"/>
          <w:szCs w:val="22"/>
        </w:rPr>
        <w:lastRenderedPageBreak/>
        <w:t>Image 2 – Interpretation of the Root Cause Analysis</w:t>
      </w:r>
    </w:p>
    <w:p w14:paraId="0E41FA58" w14:textId="77777777" w:rsidR="00CE10BC" w:rsidRDefault="00326FAD">
      <w:pPr>
        <w:spacing w:line="360" w:lineRule="auto"/>
        <w:jc w:val="both"/>
        <w:rPr>
          <w:sz w:val="22"/>
          <w:szCs w:val="22"/>
        </w:rPr>
      </w:pPr>
      <w:r>
        <w:rPr>
          <w:noProof/>
        </w:rPr>
        <w:drawing>
          <wp:anchor distT="0" distB="0" distL="0" distR="0" simplePos="0" relativeHeight="4" behindDoc="0" locked="0" layoutInCell="0" allowOverlap="1" wp14:anchorId="0E41FABF" wp14:editId="0E41FAC0">
            <wp:simplePos x="0" y="0"/>
            <wp:positionH relativeFrom="column">
              <wp:align>center</wp:align>
            </wp:positionH>
            <wp:positionV relativeFrom="paragraph">
              <wp:posOffset>635</wp:posOffset>
            </wp:positionV>
            <wp:extent cx="5318760" cy="5410835"/>
            <wp:effectExtent l="0" t="0" r="0" b="0"/>
            <wp:wrapSquare wrapText="largest"/>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10"/>
                    <a:stretch>
                      <a:fillRect/>
                    </a:stretch>
                  </pic:blipFill>
                  <pic:spPr bwMode="auto">
                    <a:xfrm>
                      <a:off x="0" y="0"/>
                      <a:ext cx="5318760" cy="5410835"/>
                    </a:xfrm>
                    <a:prstGeom prst="rect">
                      <a:avLst/>
                    </a:prstGeom>
                  </pic:spPr>
                </pic:pic>
              </a:graphicData>
            </a:graphic>
          </wp:anchor>
        </w:drawing>
      </w:r>
      <w:r>
        <w:rPr>
          <w:rFonts w:ascii="Arial" w:hAnsi="Arial"/>
          <w:sz w:val="22"/>
          <w:szCs w:val="22"/>
        </w:rPr>
        <w:t xml:space="preserve">     </w:t>
      </w:r>
    </w:p>
    <w:p w14:paraId="0E41FA59" w14:textId="77777777" w:rsidR="00CE10BC" w:rsidRDefault="00CE10BC">
      <w:pPr>
        <w:spacing w:line="360" w:lineRule="auto"/>
        <w:jc w:val="both"/>
        <w:rPr>
          <w:sz w:val="22"/>
          <w:szCs w:val="22"/>
        </w:rPr>
      </w:pPr>
    </w:p>
    <w:p w14:paraId="0E41FA5A" w14:textId="77777777" w:rsidR="00CE10BC" w:rsidRDefault="00CE10BC">
      <w:pPr>
        <w:spacing w:line="360" w:lineRule="auto"/>
        <w:jc w:val="both"/>
        <w:rPr>
          <w:sz w:val="22"/>
          <w:szCs w:val="22"/>
        </w:rPr>
      </w:pPr>
    </w:p>
    <w:p w14:paraId="0E41FA5B" w14:textId="77777777" w:rsidR="00CE10BC" w:rsidRDefault="00326FAD">
      <w:pPr>
        <w:spacing w:line="360" w:lineRule="auto"/>
        <w:jc w:val="both"/>
        <w:rPr>
          <w:sz w:val="22"/>
          <w:szCs w:val="22"/>
        </w:rPr>
      </w:pPr>
      <w:r>
        <w:rPr>
          <w:rFonts w:ascii="Arial" w:hAnsi="Arial"/>
          <w:sz w:val="22"/>
          <w:szCs w:val="22"/>
        </w:rPr>
        <w:t xml:space="preserve">                                                                               </w:t>
      </w:r>
    </w:p>
    <w:p w14:paraId="0E41FA5C" w14:textId="77777777" w:rsidR="00CE10BC" w:rsidRDefault="00CE10BC">
      <w:pPr>
        <w:spacing w:line="360" w:lineRule="auto"/>
        <w:jc w:val="both"/>
        <w:rPr>
          <w:sz w:val="22"/>
          <w:szCs w:val="22"/>
        </w:rPr>
      </w:pPr>
    </w:p>
    <w:p w14:paraId="0E41FA5D" w14:textId="77777777" w:rsidR="00CE10BC" w:rsidRDefault="00CE10BC">
      <w:pPr>
        <w:spacing w:line="360" w:lineRule="auto"/>
        <w:jc w:val="both"/>
        <w:rPr>
          <w:sz w:val="22"/>
          <w:szCs w:val="22"/>
        </w:rPr>
      </w:pPr>
    </w:p>
    <w:p w14:paraId="0E41FA5E" w14:textId="77777777" w:rsidR="00CE10BC" w:rsidRDefault="00CE10BC">
      <w:pPr>
        <w:spacing w:line="360" w:lineRule="auto"/>
        <w:jc w:val="both"/>
        <w:rPr>
          <w:sz w:val="22"/>
          <w:szCs w:val="22"/>
        </w:rPr>
      </w:pPr>
    </w:p>
    <w:p w14:paraId="0E41FA5F" w14:textId="77777777" w:rsidR="00CE10BC" w:rsidRDefault="00CE10BC">
      <w:pPr>
        <w:spacing w:line="360" w:lineRule="auto"/>
        <w:jc w:val="both"/>
        <w:rPr>
          <w:sz w:val="22"/>
          <w:szCs w:val="22"/>
        </w:rPr>
      </w:pPr>
    </w:p>
    <w:p w14:paraId="0E41FA60" w14:textId="77777777" w:rsidR="00CE10BC" w:rsidRDefault="00CE10BC">
      <w:pPr>
        <w:spacing w:line="360" w:lineRule="auto"/>
        <w:jc w:val="both"/>
        <w:rPr>
          <w:sz w:val="22"/>
          <w:szCs w:val="22"/>
        </w:rPr>
      </w:pPr>
    </w:p>
    <w:p w14:paraId="0E41FA61" w14:textId="77777777" w:rsidR="00CE10BC" w:rsidRDefault="00CE10BC">
      <w:pPr>
        <w:spacing w:line="360" w:lineRule="auto"/>
        <w:jc w:val="both"/>
        <w:rPr>
          <w:sz w:val="22"/>
          <w:szCs w:val="22"/>
        </w:rPr>
      </w:pPr>
    </w:p>
    <w:p w14:paraId="0E41FA62" w14:textId="77777777" w:rsidR="00CE10BC" w:rsidRDefault="00CE10BC">
      <w:pPr>
        <w:spacing w:line="360" w:lineRule="auto"/>
        <w:jc w:val="both"/>
        <w:rPr>
          <w:sz w:val="22"/>
          <w:szCs w:val="22"/>
        </w:rPr>
      </w:pPr>
    </w:p>
    <w:p w14:paraId="0E41FA63" w14:textId="77777777" w:rsidR="00CE10BC" w:rsidRDefault="00CE10BC">
      <w:pPr>
        <w:spacing w:line="360" w:lineRule="auto"/>
        <w:jc w:val="both"/>
        <w:rPr>
          <w:sz w:val="22"/>
          <w:szCs w:val="22"/>
        </w:rPr>
      </w:pPr>
    </w:p>
    <w:p w14:paraId="0E41FA64" w14:textId="77777777" w:rsidR="00CE10BC" w:rsidRDefault="00CE10BC">
      <w:pPr>
        <w:spacing w:line="360" w:lineRule="auto"/>
        <w:jc w:val="both"/>
        <w:rPr>
          <w:sz w:val="22"/>
          <w:szCs w:val="22"/>
        </w:rPr>
      </w:pPr>
    </w:p>
    <w:p w14:paraId="0E41FA65" w14:textId="77777777" w:rsidR="00CE10BC" w:rsidRDefault="00CE10BC">
      <w:pPr>
        <w:spacing w:line="360" w:lineRule="auto"/>
        <w:jc w:val="both"/>
        <w:rPr>
          <w:sz w:val="22"/>
          <w:szCs w:val="22"/>
        </w:rPr>
      </w:pPr>
    </w:p>
    <w:p w14:paraId="0E41FA66" w14:textId="77777777" w:rsidR="00CE10BC" w:rsidRDefault="00CE10BC">
      <w:pPr>
        <w:spacing w:line="360" w:lineRule="auto"/>
        <w:jc w:val="both"/>
        <w:rPr>
          <w:sz w:val="22"/>
          <w:szCs w:val="22"/>
        </w:rPr>
      </w:pPr>
    </w:p>
    <w:p w14:paraId="0E41FA67" w14:textId="77777777" w:rsidR="00CE10BC" w:rsidRDefault="00CE10BC">
      <w:pPr>
        <w:spacing w:line="360" w:lineRule="auto"/>
        <w:jc w:val="both"/>
        <w:rPr>
          <w:sz w:val="22"/>
          <w:szCs w:val="22"/>
        </w:rPr>
      </w:pPr>
    </w:p>
    <w:p w14:paraId="0E41FA68" w14:textId="77777777" w:rsidR="00CE10BC" w:rsidRDefault="00CE10BC">
      <w:pPr>
        <w:spacing w:line="360" w:lineRule="auto"/>
        <w:jc w:val="both"/>
        <w:rPr>
          <w:sz w:val="22"/>
          <w:szCs w:val="22"/>
        </w:rPr>
      </w:pPr>
    </w:p>
    <w:p w14:paraId="0E41FA69" w14:textId="77777777" w:rsidR="00CE10BC" w:rsidRDefault="00CE10BC">
      <w:pPr>
        <w:spacing w:line="360" w:lineRule="auto"/>
        <w:jc w:val="both"/>
        <w:rPr>
          <w:sz w:val="22"/>
          <w:szCs w:val="22"/>
        </w:rPr>
      </w:pPr>
    </w:p>
    <w:p w14:paraId="0E41FA6A" w14:textId="77777777" w:rsidR="00CE10BC" w:rsidRDefault="00CE10BC">
      <w:pPr>
        <w:spacing w:line="360" w:lineRule="auto"/>
        <w:jc w:val="both"/>
        <w:rPr>
          <w:sz w:val="22"/>
          <w:szCs w:val="22"/>
        </w:rPr>
      </w:pPr>
    </w:p>
    <w:p w14:paraId="0E41FA6B" w14:textId="77777777" w:rsidR="00CE10BC" w:rsidRDefault="00CE10BC">
      <w:pPr>
        <w:spacing w:line="360" w:lineRule="auto"/>
        <w:jc w:val="both"/>
        <w:rPr>
          <w:sz w:val="22"/>
          <w:szCs w:val="22"/>
        </w:rPr>
      </w:pPr>
    </w:p>
    <w:p w14:paraId="0E41FA6C" w14:textId="77777777" w:rsidR="00CE10BC" w:rsidRDefault="00CE10BC">
      <w:pPr>
        <w:spacing w:line="360" w:lineRule="auto"/>
        <w:jc w:val="both"/>
        <w:rPr>
          <w:sz w:val="22"/>
          <w:szCs w:val="22"/>
        </w:rPr>
      </w:pPr>
    </w:p>
    <w:p w14:paraId="0E41FA6D" w14:textId="77777777" w:rsidR="00CE10BC" w:rsidRDefault="00CE10BC">
      <w:pPr>
        <w:spacing w:line="360" w:lineRule="auto"/>
        <w:jc w:val="both"/>
        <w:rPr>
          <w:sz w:val="22"/>
          <w:szCs w:val="22"/>
        </w:rPr>
      </w:pPr>
    </w:p>
    <w:p w14:paraId="0E41FA6E" w14:textId="77777777" w:rsidR="00CE10BC" w:rsidRDefault="00CE10BC">
      <w:pPr>
        <w:spacing w:line="360" w:lineRule="auto"/>
        <w:jc w:val="both"/>
        <w:rPr>
          <w:sz w:val="22"/>
          <w:szCs w:val="22"/>
        </w:rPr>
      </w:pPr>
    </w:p>
    <w:p w14:paraId="0E41FA6F" w14:textId="77777777" w:rsidR="00CE10BC" w:rsidRDefault="00326FAD">
      <w:pPr>
        <w:spacing w:line="360" w:lineRule="auto"/>
        <w:jc w:val="both"/>
        <w:rPr>
          <w:b/>
          <w:bCs/>
        </w:rPr>
      </w:pPr>
      <w:r>
        <w:rPr>
          <w:rFonts w:ascii="Arial" w:hAnsi="Arial"/>
          <w:b/>
          <w:bCs/>
          <w:sz w:val="22"/>
          <w:szCs w:val="22"/>
        </w:rPr>
        <w:t>3. Recommendations</w:t>
      </w:r>
    </w:p>
    <w:p w14:paraId="0E41FA70" w14:textId="77777777" w:rsidR="00CE10BC" w:rsidRDefault="00CE10BC">
      <w:pPr>
        <w:spacing w:line="360" w:lineRule="auto"/>
        <w:jc w:val="both"/>
        <w:rPr>
          <w:sz w:val="22"/>
          <w:szCs w:val="22"/>
        </w:rPr>
      </w:pPr>
    </w:p>
    <w:p w14:paraId="0E41FA71" w14:textId="77777777" w:rsidR="00CE10BC" w:rsidRDefault="00326FAD">
      <w:pPr>
        <w:spacing w:line="360" w:lineRule="auto"/>
        <w:jc w:val="both"/>
        <w:rPr>
          <w:sz w:val="22"/>
          <w:szCs w:val="22"/>
        </w:rPr>
      </w:pPr>
      <w:r>
        <w:rPr>
          <w:rFonts w:ascii="Arial" w:hAnsi="Arial"/>
          <w:sz w:val="22"/>
          <w:szCs w:val="22"/>
        </w:rPr>
        <w:tab/>
        <w:t xml:space="preserve"> The recommendations outlined below are designed as an integrated program to improve services, not as a set of separate measures. In order to support sustainable change, the recommended implementation strategies integrates recognised quality improvement methodologies, such as the Plan-Do-Study-Act (PDSA) cycle, the Plan-Do-Check-Act (PDCA) cycle, and the Lean and Six Sigma methodologies.</w:t>
      </w:r>
    </w:p>
    <w:p w14:paraId="0E41FA72"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3.1 Strengthen Leadership and Clinical Governance</w:t>
      </w:r>
    </w:p>
    <w:p w14:paraId="0E41FA73" w14:textId="77777777" w:rsidR="00CE10BC" w:rsidRDefault="00326FAD">
      <w:pPr>
        <w:spacing w:line="360" w:lineRule="auto"/>
        <w:jc w:val="both"/>
        <w:rPr>
          <w:sz w:val="22"/>
          <w:szCs w:val="22"/>
        </w:rPr>
      </w:pPr>
      <w:r>
        <w:rPr>
          <w:rFonts w:ascii="Arial" w:hAnsi="Arial"/>
          <w:sz w:val="22"/>
          <w:szCs w:val="22"/>
        </w:rPr>
        <w:tab/>
        <w:t xml:space="preserve">The findings suggest that organisational priorities have concentrated heavily on financial performance, while paying considerably less attention to patient safety than was required (Francis, 2013; NHS England, 2023). To prevent similar shortcomings, future improvements must strengthen clinical leadership and governance, to ensure that high-quality care remains embedded in every decision. As West </w:t>
      </w:r>
      <w:r>
        <w:rPr>
          <w:rFonts w:ascii="Arial" w:hAnsi="Arial"/>
          <w:i/>
          <w:iCs/>
          <w:sz w:val="22"/>
          <w:szCs w:val="22"/>
        </w:rPr>
        <w:t>et al.</w:t>
      </w:r>
      <w:r>
        <w:rPr>
          <w:rFonts w:ascii="Arial" w:hAnsi="Arial"/>
          <w:sz w:val="22"/>
          <w:szCs w:val="22"/>
        </w:rPr>
        <w:t xml:space="preserve"> (2022) suggest, visible leadership supports early identification of issues </w:t>
      </w:r>
      <w:r>
        <w:rPr>
          <w:rFonts w:ascii="Arial" w:hAnsi="Arial"/>
          <w:sz w:val="22"/>
          <w:szCs w:val="22"/>
        </w:rPr>
        <w:lastRenderedPageBreak/>
        <w:t>before they progress. Leadership training needs to focus more on empathetic and inclusive management, while promoting psychological safety. When staff feel properly supported, they are more likely to report incidents, offer suggestions for improvement and participate in the organisational learning process, than to remain silent because they fear personal blame (NHS England, 2022).</w:t>
      </w:r>
    </w:p>
    <w:p w14:paraId="0E41FA74" w14:textId="77777777" w:rsidR="00CE10BC" w:rsidRDefault="00326FAD">
      <w:pPr>
        <w:spacing w:line="360" w:lineRule="auto"/>
        <w:jc w:val="both"/>
        <w:rPr>
          <w:sz w:val="22"/>
          <w:szCs w:val="22"/>
        </w:rPr>
      </w:pPr>
      <w:r>
        <w:rPr>
          <w:rFonts w:ascii="Arial" w:hAnsi="Arial"/>
          <w:sz w:val="22"/>
          <w:szCs w:val="22"/>
        </w:rPr>
        <w:tab/>
        <w:t xml:space="preserve">The PDSA (Plan-Do-Study-Act) cycle offers a practical approach to introducing these changes. Leadership initiatives should be first tested in selected clinical departments before implementing them on a larger scale, an approach recommended by Taylor </w:t>
      </w:r>
      <w:r>
        <w:rPr>
          <w:rFonts w:ascii="Arial" w:hAnsi="Arial"/>
          <w:i/>
          <w:iCs/>
          <w:sz w:val="22"/>
          <w:szCs w:val="22"/>
        </w:rPr>
        <w:t>et al.</w:t>
      </w:r>
      <w:r>
        <w:rPr>
          <w:rFonts w:ascii="Arial" w:hAnsi="Arial"/>
          <w:sz w:val="22"/>
          <w:szCs w:val="22"/>
        </w:rPr>
        <w:t xml:space="preserve"> (2014) and recommended by NHS England (2022). Staff feedback, governance audits and data on patient experience should be analysed before extending the program across the entire organisation, which allows for changes to be adjusted, supporting ongoing organisational learning at the same time (Health Foundation, 2021; CQC, 2023; NHS England, 2023).</w:t>
      </w:r>
    </w:p>
    <w:p w14:paraId="0E41FA75" w14:textId="77777777" w:rsidR="00CE10BC" w:rsidRDefault="00326FAD">
      <w:pPr>
        <w:pStyle w:val="BodyText"/>
        <w:spacing w:after="0" w:line="360" w:lineRule="auto"/>
        <w:jc w:val="both"/>
      </w:pPr>
      <w:r>
        <w:rPr>
          <w:rFonts w:ascii="Arial" w:hAnsi="Arial"/>
          <w:sz w:val="22"/>
          <w:szCs w:val="22"/>
        </w:rPr>
        <w:tab/>
      </w:r>
      <w:r>
        <w:rPr>
          <w:rFonts w:ascii="Arial" w:hAnsi="Arial"/>
          <w:b/>
          <w:bCs/>
          <w:sz w:val="22"/>
          <w:szCs w:val="22"/>
        </w:rPr>
        <w:t>3.2 Improving Workforce Management and Staff Training</w:t>
      </w:r>
    </w:p>
    <w:p w14:paraId="0E41FA76"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Staff shortages played a significant role in compromising care standards at Mid Staffordshire. However, a simple increase in staff levels will not prevent similar failures, if staffing decisions remain focused on financial objectives, without proper consideration to patient needs. Workforce planning needs to be based, however, on clinical complexity, patient demand and the patient’s condition, using widely recognised NHS workforce planning tools (NICE, 2014; NHS England, 2023). While ensuring appropriate staffing levels, additional investment is required in areas such as professional development, mentoring, and professional collaboration. These measures will improve clinical expertise, increase staff trust and support staff retention, which will reduce the probability of burnout and high staff turnovers (The King’s Fund, 2024).</w:t>
      </w:r>
    </w:p>
    <w:p w14:paraId="0E41FA77" w14:textId="77777777" w:rsidR="00CE10BC" w:rsidRDefault="00326FAD">
      <w:pPr>
        <w:pStyle w:val="BodyText"/>
        <w:spacing w:after="0" w:line="360" w:lineRule="auto"/>
        <w:jc w:val="both"/>
      </w:pPr>
      <w:r>
        <w:rPr>
          <w:rFonts w:ascii="Arial" w:hAnsi="Arial"/>
          <w:sz w:val="22"/>
          <w:szCs w:val="22"/>
        </w:rPr>
        <w:tab/>
        <w:t xml:space="preserve">The PDCA (Plan-Do-Check-Act) framework provides a useful approach in monitoring workforce development results over time. Key performance measures for staffing, patient experiences, and staff well-being should be monitored regularly, which allows staff planning to be adjusted where necessary, without remaining rigid when service demand changes (Taylor </w:t>
      </w:r>
      <w:r>
        <w:rPr>
          <w:rFonts w:ascii="Arial" w:hAnsi="Arial"/>
          <w:i/>
          <w:iCs/>
          <w:sz w:val="22"/>
          <w:szCs w:val="22"/>
        </w:rPr>
        <w:t>et al</w:t>
      </w:r>
      <w:r>
        <w:rPr>
          <w:rFonts w:ascii="Arial" w:hAnsi="Arial"/>
          <w:sz w:val="22"/>
          <w:szCs w:val="22"/>
        </w:rPr>
        <w:t xml:space="preserve">., 2014; NHS England, 2023). Staffing planning should not be approached as a matter that can be addressed solely and then ignored. </w:t>
      </w:r>
      <w:r>
        <w:rPr>
          <w:rStyle w:val="Strong"/>
          <w:rFonts w:ascii="Arial" w:hAnsi="Arial"/>
          <w:b w:val="0"/>
          <w:bCs w:val="0"/>
          <w:sz w:val="22"/>
          <w:szCs w:val="22"/>
        </w:rPr>
        <w:t>Regular monitoring allows organisations to continually adapt their workforce plans, in line with patient demand, service pressures and staff capacity, thereby helping to provide safe and effective service delivery (The King’s Fund, 2024; CQC, 2023).</w:t>
      </w:r>
    </w:p>
    <w:p w14:paraId="0E41FA78"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3.3 Strengthen Patient Safety and Organisational Learning</w:t>
      </w:r>
    </w:p>
    <w:p w14:paraId="0E41FA79"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“Fishbone” and “Five Whys” approaches highlighted areas for improvement in communication, incident reporting and organisational learning. Sustainable improvement requires a stronger culture of patient safety, where problems are early identified, addressed openly and then used to encourage ongoing learning, without placing blame on individuals (NHS England, 2022; CQC, 2023; The King’s Fund, 2024). Reporting systems should be easy to use, sustained by timely feedback and interdisciplinary learning sessions, which will encourage reflection on negative events, </w:t>
      </w:r>
      <w:r>
        <w:rPr>
          <w:rFonts w:ascii="Arial" w:hAnsi="Arial"/>
          <w:sz w:val="22"/>
          <w:szCs w:val="22"/>
        </w:rPr>
        <w:lastRenderedPageBreak/>
        <w:t>but also on incidents that were prevented from developing further (NHS England, 2022).</w:t>
      </w:r>
    </w:p>
    <w:p w14:paraId="0E41FA7A"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Lean Methodology can facilitate these improvements by revealing avoidable delays, repeated work and inefficient clinical procedures that can increase patient harm (Radnor </w:t>
      </w:r>
      <w:r>
        <w:rPr>
          <w:rFonts w:ascii="Arial" w:hAnsi="Arial"/>
          <w:i/>
          <w:iCs/>
          <w:sz w:val="22"/>
          <w:szCs w:val="22"/>
        </w:rPr>
        <w:t>et al.</w:t>
      </w:r>
      <w:r>
        <w:rPr>
          <w:rFonts w:ascii="Arial" w:hAnsi="Arial"/>
          <w:sz w:val="22"/>
          <w:szCs w:val="22"/>
        </w:rPr>
        <w:t>, 2012; NHS England, 2023). By mapping patient experiences, healthcare teams can reduce activities with less value, while improving communication when patients are admitted, between shifts and when planning their discharge. The objective is not necessarily to accelerate services. Any process design should, above all, improve patient safety, trust and the overall healthcare experience (Institute for Healthcare Improvement, 2023; NHS England, 2023).</w:t>
      </w:r>
    </w:p>
    <w:p w14:paraId="0E41FA7B" w14:textId="77777777" w:rsidR="00CE10BC" w:rsidRDefault="00326FAD">
      <w:pPr>
        <w:spacing w:line="360" w:lineRule="auto"/>
        <w:jc w:val="both"/>
        <w:rPr>
          <w:sz w:val="22"/>
          <w:szCs w:val="22"/>
        </w:rPr>
      </w:pPr>
      <w:r>
        <w:rPr>
          <w:rFonts w:ascii="Arial" w:hAnsi="Arial"/>
          <w:sz w:val="22"/>
          <w:szCs w:val="22"/>
        </w:rPr>
        <w:tab/>
      </w:r>
      <w:r>
        <w:rPr>
          <w:rFonts w:ascii="Arial" w:hAnsi="Arial"/>
          <w:b/>
          <w:bCs/>
          <w:sz w:val="22"/>
          <w:szCs w:val="22"/>
        </w:rPr>
        <w:t>3.4 Improving Quality by Continuous Monitoring</w:t>
      </w:r>
    </w:p>
    <w:p w14:paraId="0E41FA7C"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This research revealed significant disparities in the quality of healthcare across departments, exposing gaps in performance monitoring and clinical governance (Francis, 2013). A practical approach to reduce this variation is by using the Six Sigma method, which applies the DMAIC framework – Define, Measure, Analyse, Improve and Control, in order to identify repeated quality issues, apply evidence-based improvements and monitor if these changes remain effective over time (Antony </w:t>
      </w:r>
      <w:r>
        <w:rPr>
          <w:rFonts w:ascii="Arial" w:hAnsi="Arial"/>
          <w:i/>
          <w:iCs/>
          <w:sz w:val="22"/>
          <w:szCs w:val="22"/>
        </w:rPr>
        <w:t>et al</w:t>
      </w:r>
      <w:r>
        <w:rPr>
          <w:rFonts w:ascii="Arial" w:hAnsi="Arial"/>
          <w:sz w:val="22"/>
          <w:szCs w:val="22"/>
        </w:rPr>
        <w:t>., 2019). NHS England (2023) also highlights the importance of continuous monitoring to support service improvement.</w:t>
      </w:r>
    </w:p>
    <w:p w14:paraId="0E41FA7D"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Clinical quality dashboards should regularly monitor medication errors, patient incidents, infections, response times to complaints, staff fluctuations and patient experiences. By analysing these indicators regularly, clinical staff and managers can identify risks as they arise before patient safety is compromised (CQC, 2025). According to the Institute for Healthcare Improvement (2023), ongoing measurement also allows the distinction between sustainable improvements and short-term results.</w:t>
      </w:r>
    </w:p>
    <w:p w14:paraId="0E41FA7E"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Quality improvement, though, depends on a wide range of interventions. Leadership, workforce management, governance, organisational culture and measuring performance impact each other, as discussed by West </w:t>
      </w:r>
      <w:r>
        <w:rPr>
          <w:rFonts w:ascii="Arial" w:hAnsi="Arial"/>
          <w:i/>
          <w:iCs/>
          <w:sz w:val="22"/>
          <w:szCs w:val="22"/>
        </w:rPr>
        <w:t>et al.</w:t>
      </w:r>
      <w:r>
        <w:rPr>
          <w:rFonts w:ascii="Arial" w:hAnsi="Arial"/>
          <w:sz w:val="22"/>
          <w:szCs w:val="22"/>
        </w:rPr>
        <w:t xml:space="preserve"> (2022) and The King’s Fund (2017). Sustainable improvement will only be realised if these areas are addressed together and maintained using the ongoing implementation of PDSA, PDCA, Lean and Six Sigma methodologies (NHS England, 2023; CQC, 2025).</w:t>
      </w:r>
    </w:p>
    <w:p w14:paraId="0E41FA7F" w14:textId="77777777" w:rsidR="00CE10BC" w:rsidRDefault="00CE10BC">
      <w:pPr>
        <w:pStyle w:val="BodyText"/>
        <w:spacing w:after="0" w:line="360" w:lineRule="auto"/>
        <w:jc w:val="both"/>
      </w:pPr>
    </w:p>
    <w:p w14:paraId="0E41FA80" w14:textId="77777777" w:rsidR="00CE10BC" w:rsidRDefault="00326FAD">
      <w:pPr>
        <w:pStyle w:val="BodyText"/>
        <w:spacing w:after="0" w:line="360" w:lineRule="auto"/>
        <w:jc w:val="both"/>
        <w:rPr>
          <w:rFonts w:ascii="Arial" w:hAnsi="Arial"/>
          <w:b/>
          <w:bCs/>
          <w:sz w:val="22"/>
          <w:szCs w:val="22"/>
        </w:rPr>
      </w:pPr>
      <w:r>
        <w:rPr>
          <w:rFonts w:ascii="Arial" w:hAnsi="Arial"/>
          <w:b/>
          <w:bCs/>
          <w:sz w:val="22"/>
          <w:szCs w:val="22"/>
        </w:rPr>
        <w:t>4. Conclusion</w:t>
      </w:r>
    </w:p>
    <w:p w14:paraId="0E41FA81" w14:textId="77777777" w:rsidR="00CE10BC" w:rsidRDefault="00CE10BC">
      <w:pPr>
        <w:pStyle w:val="BodyText"/>
        <w:spacing w:after="0" w:line="360" w:lineRule="auto"/>
        <w:jc w:val="both"/>
      </w:pPr>
    </w:p>
    <w:p w14:paraId="0E41FA82"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This report has critically examined the quality failures at Mid Staffordshire NHS Foundation Trust, and has demonstrated that these have resulted from interacting weaknesses in management, governance, staff processes, organisational culture and quality measurement, and not from occasional clinical errors. Applying the Donabedian model, “Fishbone” analysis, “Five Whys” method, PESTLE analysis and benchmarking, provided a deeper understanding of the direct causes of inadequate care, but also of the wider organisational circumstances that contributed to these </w:t>
      </w:r>
      <w:r>
        <w:rPr>
          <w:rFonts w:ascii="Arial" w:hAnsi="Arial"/>
          <w:sz w:val="22"/>
          <w:szCs w:val="22"/>
        </w:rPr>
        <w:lastRenderedPageBreak/>
        <w:t>failures. Overall, the findings showed that improvements in patient safety depend on an approach that addresses the healthcare system overall, with an emphasis extending beyond individual performance (Francis, 2013; NHS England, 2023).</w:t>
      </w:r>
    </w:p>
    <w:p w14:paraId="0E41FA83"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The recommendations were developed based on the root cause analysis and suggested practical measures to improve leadership, workforce planning, patient safety, and ongoing performance monitoring. Integrating recognised quality improvement methodologies, such as PDSA, PDCA, Lean and Six Sigma, illustrates how evidence-based interventions can be introduced, assessed and improved over time. Instead of implementing stand-alone initiatives, these approaches promote continuous learning, shared responsibility, and regular evaluation of clinical performance (Taylor </w:t>
      </w:r>
      <w:r>
        <w:rPr>
          <w:rFonts w:ascii="Arial" w:hAnsi="Arial"/>
          <w:i/>
          <w:iCs/>
          <w:sz w:val="22"/>
          <w:szCs w:val="22"/>
        </w:rPr>
        <w:t>et al.</w:t>
      </w:r>
      <w:r>
        <w:rPr>
          <w:rFonts w:ascii="Arial" w:hAnsi="Arial"/>
          <w:sz w:val="22"/>
          <w:szCs w:val="22"/>
        </w:rPr>
        <w:t>, 2014; The King’s Fund, 2024).</w:t>
      </w:r>
    </w:p>
    <w:p w14:paraId="0E41FA84" w14:textId="77777777" w:rsidR="00CE10BC" w:rsidRDefault="00326FAD">
      <w:pPr>
        <w:pStyle w:val="BodyText"/>
        <w:spacing w:after="0" w:line="360" w:lineRule="auto"/>
        <w:jc w:val="both"/>
        <w:rPr>
          <w:rFonts w:ascii="Arial" w:hAnsi="Arial"/>
          <w:sz w:val="22"/>
          <w:szCs w:val="22"/>
        </w:rPr>
      </w:pPr>
      <w:r>
        <w:rPr>
          <w:rFonts w:ascii="Arial" w:hAnsi="Arial"/>
          <w:sz w:val="22"/>
          <w:szCs w:val="22"/>
        </w:rPr>
        <w:tab/>
        <w:t xml:space="preserve">While the Mid Staffordshire case remains one of the most notable failures in patient safety in NHS history, its lessons remain influential in the contemporary efforts to improve the healthcare system. Organisations that encourage transparent leadership, support staff in expressing their concerns and use quality metrics proactively, are more likely to identify risks before they impact patient care (West </w:t>
      </w:r>
      <w:r>
        <w:rPr>
          <w:rFonts w:ascii="Arial" w:hAnsi="Arial"/>
          <w:i/>
          <w:iCs/>
          <w:sz w:val="22"/>
          <w:szCs w:val="22"/>
        </w:rPr>
        <w:t>et al</w:t>
      </w:r>
      <w:r>
        <w:rPr>
          <w:rFonts w:ascii="Arial" w:hAnsi="Arial"/>
          <w:sz w:val="22"/>
          <w:szCs w:val="22"/>
        </w:rPr>
        <w:t>., 2022; CQC, 2025). Ultimately, maintaining a safe, effective and patient-centred healthcare system requires a sustained organisational commitment, strong clinical governance and a mindset in which quality improvement is an integrated part of daily practice, and not just a reaction to organisational failures.</w:t>
      </w:r>
    </w:p>
    <w:p w14:paraId="0E41FA85" w14:textId="77777777" w:rsidR="00CE10BC" w:rsidRDefault="00CE10BC">
      <w:pPr>
        <w:spacing w:line="360" w:lineRule="auto"/>
        <w:jc w:val="both"/>
        <w:rPr>
          <w:rFonts w:ascii="Arial" w:hAnsi="Arial"/>
          <w:sz w:val="22"/>
          <w:szCs w:val="22"/>
        </w:rPr>
      </w:pPr>
    </w:p>
    <w:p w14:paraId="0E41FA86" w14:textId="77777777" w:rsidR="00CE10BC" w:rsidRDefault="00CE10BC">
      <w:pPr>
        <w:spacing w:line="360" w:lineRule="auto"/>
        <w:jc w:val="both"/>
        <w:rPr>
          <w:sz w:val="22"/>
          <w:szCs w:val="22"/>
        </w:rPr>
      </w:pPr>
    </w:p>
    <w:p w14:paraId="0E41FA87" w14:textId="77777777" w:rsidR="00CE10BC" w:rsidRDefault="00326FAD">
      <w:pPr>
        <w:spacing w:line="360" w:lineRule="auto"/>
        <w:jc w:val="both"/>
        <w:rPr>
          <w:sz w:val="22"/>
          <w:szCs w:val="22"/>
        </w:rPr>
      </w:pPr>
      <w:r>
        <w:rPr>
          <w:rFonts w:ascii="Arial" w:hAnsi="Arial"/>
          <w:sz w:val="22"/>
          <w:szCs w:val="22"/>
        </w:rPr>
        <w:t xml:space="preserve">                                          </w:t>
      </w:r>
    </w:p>
    <w:p w14:paraId="0E41FA88" w14:textId="77777777" w:rsidR="00CE10BC" w:rsidRDefault="00CE10BC">
      <w:pPr>
        <w:spacing w:line="360" w:lineRule="auto"/>
        <w:jc w:val="both"/>
        <w:rPr>
          <w:sz w:val="22"/>
          <w:szCs w:val="22"/>
        </w:rPr>
      </w:pPr>
    </w:p>
    <w:p w14:paraId="0E41FA89" w14:textId="77777777" w:rsidR="00CE10BC" w:rsidRDefault="00CE10BC">
      <w:pPr>
        <w:spacing w:line="360" w:lineRule="auto"/>
        <w:jc w:val="both"/>
        <w:rPr>
          <w:sz w:val="22"/>
          <w:szCs w:val="22"/>
        </w:rPr>
      </w:pPr>
    </w:p>
    <w:p w14:paraId="0E41FA8A" w14:textId="77777777" w:rsidR="00CE10BC" w:rsidRDefault="00CE10BC">
      <w:pPr>
        <w:spacing w:line="360" w:lineRule="auto"/>
        <w:jc w:val="both"/>
        <w:rPr>
          <w:sz w:val="22"/>
          <w:szCs w:val="22"/>
        </w:rPr>
      </w:pPr>
    </w:p>
    <w:p w14:paraId="0E41FA8B" w14:textId="77777777" w:rsidR="00CE10BC" w:rsidRDefault="00CE10BC">
      <w:pPr>
        <w:spacing w:line="360" w:lineRule="auto"/>
        <w:jc w:val="both"/>
        <w:rPr>
          <w:sz w:val="22"/>
          <w:szCs w:val="22"/>
        </w:rPr>
      </w:pPr>
    </w:p>
    <w:p w14:paraId="0E41FA8C" w14:textId="77777777" w:rsidR="00CE10BC" w:rsidRDefault="00CE10BC">
      <w:pPr>
        <w:spacing w:line="360" w:lineRule="auto"/>
        <w:jc w:val="both"/>
        <w:rPr>
          <w:sz w:val="22"/>
          <w:szCs w:val="22"/>
        </w:rPr>
      </w:pPr>
    </w:p>
    <w:p w14:paraId="0E41FA8D" w14:textId="77777777" w:rsidR="00CE10BC" w:rsidRDefault="00CE10BC">
      <w:pPr>
        <w:spacing w:line="360" w:lineRule="auto"/>
        <w:jc w:val="both"/>
        <w:rPr>
          <w:sz w:val="22"/>
          <w:szCs w:val="22"/>
        </w:rPr>
      </w:pPr>
    </w:p>
    <w:p w14:paraId="0E41FA8E" w14:textId="77777777" w:rsidR="00CE10BC" w:rsidRDefault="00CE10BC">
      <w:pPr>
        <w:spacing w:line="360" w:lineRule="auto"/>
        <w:jc w:val="both"/>
        <w:rPr>
          <w:sz w:val="22"/>
          <w:szCs w:val="22"/>
        </w:rPr>
      </w:pPr>
    </w:p>
    <w:p w14:paraId="0E41FA8F" w14:textId="77777777" w:rsidR="00CE10BC" w:rsidRDefault="00CE10BC">
      <w:pPr>
        <w:spacing w:line="360" w:lineRule="auto"/>
        <w:jc w:val="both"/>
        <w:rPr>
          <w:sz w:val="22"/>
          <w:szCs w:val="22"/>
        </w:rPr>
      </w:pPr>
    </w:p>
    <w:p w14:paraId="0E41FA90" w14:textId="77777777" w:rsidR="00CE10BC" w:rsidRDefault="00CE10BC">
      <w:pPr>
        <w:spacing w:line="360" w:lineRule="auto"/>
        <w:jc w:val="both"/>
        <w:rPr>
          <w:sz w:val="22"/>
          <w:szCs w:val="22"/>
        </w:rPr>
      </w:pPr>
    </w:p>
    <w:p w14:paraId="0E41FA91" w14:textId="77777777" w:rsidR="00CE10BC" w:rsidRDefault="00CE10BC">
      <w:pPr>
        <w:spacing w:line="360" w:lineRule="auto"/>
        <w:jc w:val="both"/>
        <w:rPr>
          <w:sz w:val="22"/>
          <w:szCs w:val="22"/>
        </w:rPr>
      </w:pPr>
    </w:p>
    <w:p w14:paraId="0E41FA92" w14:textId="77777777" w:rsidR="00CE10BC" w:rsidRDefault="00CE10BC">
      <w:pPr>
        <w:spacing w:line="360" w:lineRule="auto"/>
        <w:jc w:val="both"/>
        <w:rPr>
          <w:sz w:val="22"/>
          <w:szCs w:val="22"/>
          <w:lang w:val="en-GB"/>
        </w:rPr>
      </w:pPr>
    </w:p>
    <w:p w14:paraId="4A699EFC" w14:textId="77777777" w:rsidR="006316CC" w:rsidRDefault="006316CC">
      <w:pPr>
        <w:spacing w:line="360" w:lineRule="auto"/>
        <w:jc w:val="both"/>
        <w:rPr>
          <w:sz w:val="22"/>
          <w:szCs w:val="22"/>
          <w:lang w:val="en-GB"/>
        </w:rPr>
      </w:pPr>
    </w:p>
    <w:p w14:paraId="0E41FA94" w14:textId="77777777" w:rsidR="00CE10BC" w:rsidRDefault="00CE10BC">
      <w:pPr>
        <w:spacing w:line="360" w:lineRule="auto"/>
        <w:jc w:val="both"/>
        <w:rPr>
          <w:sz w:val="22"/>
          <w:szCs w:val="22"/>
          <w:lang w:val="en-GB"/>
        </w:rPr>
      </w:pPr>
    </w:p>
    <w:p w14:paraId="7C789FC9" w14:textId="77777777" w:rsidR="00BD4372" w:rsidRDefault="00BD4372">
      <w:pPr>
        <w:spacing w:line="360" w:lineRule="auto"/>
        <w:jc w:val="both"/>
        <w:rPr>
          <w:sz w:val="22"/>
          <w:szCs w:val="22"/>
          <w:lang w:val="en-GB"/>
        </w:rPr>
      </w:pPr>
    </w:p>
    <w:p w14:paraId="4B76DF2D" w14:textId="77777777" w:rsidR="00BD4372" w:rsidRDefault="00BD4372">
      <w:pPr>
        <w:spacing w:line="360" w:lineRule="auto"/>
        <w:jc w:val="both"/>
        <w:rPr>
          <w:sz w:val="22"/>
          <w:szCs w:val="22"/>
          <w:lang w:val="en-GB"/>
        </w:rPr>
      </w:pPr>
    </w:p>
    <w:p w14:paraId="3CC5FD1A" w14:textId="77777777" w:rsidR="00BD4372" w:rsidRPr="00624851" w:rsidRDefault="00BD4372">
      <w:pPr>
        <w:spacing w:line="360" w:lineRule="auto"/>
        <w:jc w:val="both"/>
        <w:rPr>
          <w:sz w:val="22"/>
          <w:szCs w:val="22"/>
          <w:lang w:val="en-GB"/>
        </w:rPr>
      </w:pPr>
    </w:p>
    <w:p w14:paraId="0E41FA95" w14:textId="42F7CE85" w:rsidR="00CE10BC" w:rsidRDefault="00326FAD" w:rsidP="00BD4372">
      <w:pPr>
        <w:spacing w:line="360" w:lineRule="auto"/>
        <w:jc w:val="center"/>
      </w:pPr>
      <w:r>
        <w:rPr>
          <w:rFonts w:ascii="Arial" w:hAnsi="Arial"/>
          <w:b/>
          <w:bCs/>
          <w:sz w:val="22"/>
          <w:szCs w:val="22"/>
        </w:rPr>
        <w:lastRenderedPageBreak/>
        <w:t>References:</w:t>
      </w:r>
    </w:p>
    <w:p w14:paraId="0E41FA96" w14:textId="77777777" w:rsidR="00CE10BC" w:rsidRDefault="00CE10BC">
      <w:pPr>
        <w:spacing w:line="360" w:lineRule="auto"/>
        <w:jc w:val="both"/>
        <w:rPr>
          <w:sz w:val="22"/>
          <w:szCs w:val="22"/>
        </w:rPr>
      </w:pPr>
    </w:p>
    <w:p w14:paraId="0E41FA97" w14:textId="053D7FA2" w:rsidR="00CE10BC" w:rsidRDefault="00326FAD">
      <w:pPr>
        <w:spacing w:line="360" w:lineRule="auto"/>
        <w:jc w:val="both"/>
      </w:pPr>
      <w:r>
        <w:rPr>
          <w:rFonts w:ascii="Arial" w:hAnsi="Arial"/>
          <w:color w:val="000000"/>
          <w:sz w:val="22"/>
          <w:szCs w:val="22"/>
        </w:rPr>
        <w:tab/>
        <w:t xml:space="preserve">Abbas, R. and Miller, T. (2025) Exploring communication inefficiencies in disaster response: Perspectives of emergency managers and health professionals, </w:t>
      </w:r>
      <w:r>
        <w:rPr>
          <w:rStyle w:val="Emphasis"/>
          <w:rFonts w:ascii="Arial" w:hAnsi="Arial"/>
          <w:color w:val="000000"/>
          <w:sz w:val="22"/>
          <w:szCs w:val="22"/>
        </w:rPr>
        <w:t>International Journal of Disaster Risk Reduction</w:t>
      </w:r>
      <w:r>
        <w:rPr>
          <w:rFonts w:ascii="Arial" w:hAnsi="Arial"/>
          <w:color w:val="000000"/>
          <w:sz w:val="22"/>
          <w:szCs w:val="22"/>
        </w:rPr>
        <w:t xml:space="preserve">, </w:t>
      </w:r>
      <w:r>
        <w:rPr>
          <w:rStyle w:val="Strong"/>
          <w:rFonts w:ascii="Arial" w:hAnsi="Arial"/>
          <w:b w:val="0"/>
          <w:bCs w:val="0"/>
          <w:color w:val="000000"/>
          <w:sz w:val="22"/>
          <w:szCs w:val="22"/>
        </w:rPr>
        <w:t>120</w:t>
      </w:r>
      <w:r>
        <w:rPr>
          <w:rFonts w:ascii="Arial" w:hAnsi="Arial"/>
          <w:color w:val="000000"/>
          <w:sz w:val="22"/>
          <w:szCs w:val="22"/>
        </w:rPr>
        <w:t xml:space="preserve">, p. 105393. Available at: </w:t>
      </w:r>
      <w:hyperlink r:id="rId11" w:tgtFrame="_new">
        <w:r w:rsidRPr="00BD4372">
          <w:rPr>
            <w:rStyle w:val="Hyperlink"/>
            <w:rFonts w:ascii="Arial" w:hAnsi="Arial"/>
            <w:color w:val="215E99" w:themeColor="text2" w:themeTint="BF"/>
            <w:sz w:val="22"/>
            <w:szCs w:val="22"/>
          </w:rPr>
          <w:t>https://www.sciencedirect.com/science/article/pii/S2212420925002171</w:t>
        </w:r>
      </w:hyperlink>
      <w:r>
        <w:rPr>
          <w:rFonts w:ascii="Arial" w:hAnsi="Arial"/>
          <w:color w:val="000000"/>
          <w:sz w:val="22"/>
          <w:szCs w:val="22"/>
        </w:rPr>
        <w:t xml:space="preserve"> (Accessed: 2</w:t>
      </w:r>
      <w:r w:rsidR="001F0CEE">
        <w:rPr>
          <w:rFonts w:ascii="Arial" w:hAnsi="Arial"/>
          <w:color w:val="000000"/>
          <w:sz w:val="22"/>
          <w:szCs w:val="22"/>
        </w:rPr>
        <w:t>9</w:t>
      </w:r>
      <w:r>
        <w:rPr>
          <w:rFonts w:ascii="Arial" w:hAnsi="Arial"/>
          <w:color w:val="000000"/>
          <w:sz w:val="22"/>
          <w:szCs w:val="22"/>
        </w:rPr>
        <w:t xml:space="preserve"> July 2026)</w:t>
      </w:r>
    </w:p>
    <w:p w14:paraId="0E41FA98" w14:textId="030BADB1" w:rsidR="00CE10BC" w:rsidRDefault="00326FAD">
      <w:pPr>
        <w:pStyle w:val="BodyText"/>
        <w:spacing w:after="0" w:line="360" w:lineRule="auto"/>
        <w:jc w:val="both"/>
      </w:pPr>
      <w:r>
        <w:rPr>
          <w:rFonts w:ascii="Arial" w:hAnsi="Arial"/>
          <w:sz w:val="22"/>
          <w:szCs w:val="22"/>
        </w:rPr>
        <w:tab/>
        <w:t xml:space="preserve">Antony, J., Sony, M., Dempsey, M., Brennan, A. and Farrington, T. (2019) </w:t>
      </w:r>
      <w:r>
        <w:rPr>
          <w:rStyle w:val="Emphasis"/>
          <w:rFonts w:ascii="Arial" w:hAnsi="Arial"/>
          <w:sz w:val="22"/>
          <w:szCs w:val="22"/>
        </w:rPr>
        <w:t>Lean Six Sigma for Higher Education Institutions: Challenges, Barriers, Success Factors, Tools, Techniques and Leadership Issues</w:t>
      </w:r>
      <w:r>
        <w:rPr>
          <w:rFonts w:ascii="Arial" w:hAnsi="Arial"/>
          <w:sz w:val="22"/>
          <w:szCs w:val="22"/>
        </w:rPr>
        <w:t>. Boca Raton, FL: CRC Press</w:t>
      </w:r>
      <w:r w:rsidR="005A693D">
        <w:rPr>
          <w:rFonts w:ascii="Arial" w:hAnsi="Arial"/>
          <w:sz w:val="22"/>
          <w:szCs w:val="22"/>
        </w:rPr>
        <w:t>. (Accessed: 29 July 2026)</w:t>
      </w:r>
      <w:r w:rsidR="001E44D6">
        <w:rPr>
          <w:rFonts w:ascii="Arial" w:hAnsi="Arial"/>
          <w:sz w:val="22"/>
          <w:szCs w:val="22"/>
        </w:rPr>
        <w:t xml:space="preserve">   </w:t>
      </w:r>
    </w:p>
    <w:p w14:paraId="0E41FA99" w14:textId="2BC5FAE5" w:rsidR="00CE10BC" w:rsidRDefault="00326FAD">
      <w:pPr>
        <w:pStyle w:val="BodyText"/>
        <w:spacing w:after="0" w:line="360" w:lineRule="auto"/>
        <w:jc w:val="both"/>
      </w:pPr>
      <w:r>
        <w:rPr>
          <w:rFonts w:ascii="Arial" w:hAnsi="Arial"/>
          <w:sz w:val="22"/>
          <w:szCs w:val="22"/>
        </w:rPr>
        <w:tab/>
        <w:t xml:space="preserve">Ayanian, J.Z. and Markel, H. (2016) Donabedian's lasting framework for health care quality, </w:t>
      </w:r>
      <w:r>
        <w:rPr>
          <w:rStyle w:val="Emphasis"/>
          <w:rFonts w:ascii="Arial" w:hAnsi="Arial"/>
          <w:sz w:val="22"/>
          <w:szCs w:val="22"/>
        </w:rPr>
        <w:t>New England Journal of Medicine</w:t>
      </w:r>
      <w:r>
        <w:rPr>
          <w:rFonts w:ascii="Arial" w:hAnsi="Arial"/>
          <w:sz w:val="22"/>
          <w:szCs w:val="22"/>
        </w:rPr>
        <w:t xml:space="preserve">, </w:t>
      </w:r>
      <w:r>
        <w:rPr>
          <w:rStyle w:val="Strong"/>
          <w:rFonts w:ascii="Arial" w:hAnsi="Arial"/>
          <w:b w:val="0"/>
          <w:bCs w:val="0"/>
          <w:sz w:val="22"/>
          <w:szCs w:val="22"/>
        </w:rPr>
        <w:t>375</w:t>
      </w:r>
      <w:r>
        <w:rPr>
          <w:rFonts w:ascii="Arial" w:hAnsi="Arial"/>
          <w:sz w:val="22"/>
          <w:szCs w:val="22"/>
        </w:rPr>
        <w:t xml:space="preserve">(3), pp. 205-207. Available at: </w:t>
      </w:r>
      <w:hyperlink r:id="rId12">
        <w:r>
          <w:rPr>
            <w:rStyle w:val="Hyperlink"/>
            <w:rFonts w:ascii="Arial" w:hAnsi="Arial"/>
            <w:sz w:val="22"/>
            <w:szCs w:val="22"/>
          </w:rPr>
          <w:t>https://www.nejm.org/doi/abs/10.1056/nejmp1605101</w:t>
        </w:r>
      </w:hyperlink>
      <w:r>
        <w:rPr>
          <w:rFonts w:ascii="Arial" w:hAnsi="Arial"/>
          <w:sz w:val="22"/>
          <w:szCs w:val="22"/>
        </w:rPr>
        <w:t xml:space="preserve"> </w:t>
      </w:r>
      <w:r>
        <w:rPr>
          <w:rFonts w:ascii="Arial" w:hAnsi="Arial"/>
          <w:color w:val="000000"/>
          <w:sz w:val="22"/>
          <w:szCs w:val="22"/>
        </w:rPr>
        <w:t>(Accessed: 2</w:t>
      </w:r>
      <w:r w:rsidR="001F0CEE">
        <w:rPr>
          <w:rFonts w:ascii="Arial" w:hAnsi="Arial"/>
          <w:color w:val="000000"/>
          <w:sz w:val="22"/>
          <w:szCs w:val="22"/>
        </w:rPr>
        <w:t>9</w:t>
      </w:r>
      <w:r>
        <w:rPr>
          <w:rFonts w:ascii="Arial" w:hAnsi="Arial"/>
          <w:color w:val="000000"/>
          <w:sz w:val="22"/>
          <w:szCs w:val="22"/>
        </w:rPr>
        <w:t xml:space="preserve"> July 2026)</w:t>
      </w:r>
    </w:p>
    <w:p w14:paraId="0E41FA9A" w14:textId="25D36936" w:rsidR="00CE10BC" w:rsidRDefault="00326FAD">
      <w:pPr>
        <w:pStyle w:val="BodyText"/>
        <w:spacing w:after="0" w:line="360" w:lineRule="auto"/>
        <w:jc w:val="both"/>
      </w:pPr>
      <w:r>
        <w:rPr>
          <w:rFonts w:ascii="Arial" w:hAnsi="Arial"/>
          <w:sz w:val="22"/>
          <w:szCs w:val="22"/>
        </w:rPr>
        <w:tab/>
        <w:t xml:space="preserve">Berwick, D.M. (2013) </w:t>
      </w:r>
      <w:r>
        <w:rPr>
          <w:rStyle w:val="Emphasis"/>
          <w:rFonts w:ascii="Arial" w:hAnsi="Arial"/>
          <w:sz w:val="22"/>
          <w:szCs w:val="22"/>
        </w:rPr>
        <w:t>A Promise to Learn – A Commitment to Act: Improving the Safety of Patients in England</w:t>
      </w:r>
      <w:r>
        <w:rPr>
          <w:rFonts w:ascii="Arial" w:hAnsi="Arial"/>
          <w:sz w:val="22"/>
          <w:szCs w:val="22"/>
        </w:rPr>
        <w:t xml:space="preserve">. London: Department of Health. Available at: </w:t>
      </w:r>
      <w:hyperlink r:id="rId13">
        <w:r>
          <w:rPr>
            <w:rStyle w:val="Hyperlink"/>
            <w:rFonts w:ascii="Arial" w:hAnsi="Arial"/>
            <w:sz w:val="22"/>
            <w:szCs w:val="22"/>
          </w:rPr>
          <w:t>https://assets.publishing.service.gov.uk/media/5a7b3e22ed915d4147620d46/berwick-report.pdf</w:t>
        </w:r>
      </w:hyperlink>
      <w:r>
        <w:rPr>
          <w:rFonts w:ascii="Arial" w:hAnsi="Arial"/>
          <w:sz w:val="22"/>
          <w:szCs w:val="22"/>
        </w:rPr>
        <w:t xml:space="preserve"> </w:t>
      </w:r>
      <w:r>
        <w:rPr>
          <w:rFonts w:ascii="Arial" w:hAnsi="Arial"/>
          <w:color w:val="000000"/>
          <w:sz w:val="22"/>
          <w:szCs w:val="22"/>
        </w:rPr>
        <w:t xml:space="preserve">(Accessed: </w:t>
      </w:r>
      <w:r w:rsidR="001F0CEE">
        <w:rPr>
          <w:rFonts w:ascii="Arial" w:hAnsi="Arial"/>
          <w:color w:val="000000"/>
          <w:sz w:val="22"/>
          <w:szCs w:val="22"/>
        </w:rPr>
        <w:t>27</w:t>
      </w:r>
      <w:r>
        <w:rPr>
          <w:rFonts w:ascii="Arial" w:hAnsi="Arial"/>
          <w:color w:val="000000"/>
          <w:sz w:val="22"/>
          <w:szCs w:val="22"/>
        </w:rPr>
        <w:t xml:space="preserve"> July 2026)                                                                       </w:t>
      </w:r>
    </w:p>
    <w:p w14:paraId="0E41FA9B" w14:textId="77777777" w:rsidR="00CE10BC" w:rsidRDefault="00326FAD">
      <w:pPr>
        <w:pStyle w:val="BodyText"/>
        <w:spacing w:after="6" w:line="360" w:lineRule="auto"/>
        <w:jc w:val="both"/>
      </w:pPr>
      <w:r>
        <w:rPr>
          <w:rFonts w:ascii="Arial" w:hAnsi="Arial"/>
          <w:sz w:val="22"/>
          <w:szCs w:val="22"/>
        </w:rPr>
        <w:tab/>
        <w:t xml:space="preserve">Burnes, B. (2020) </w:t>
      </w:r>
      <w:r>
        <w:rPr>
          <w:rStyle w:val="Emphasis"/>
          <w:rFonts w:ascii="Arial" w:hAnsi="Arial"/>
          <w:sz w:val="22"/>
          <w:szCs w:val="22"/>
        </w:rPr>
        <w:t>Managing Change</w:t>
      </w:r>
      <w:r>
        <w:rPr>
          <w:rFonts w:ascii="Arial" w:hAnsi="Arial"/>
          <w:sz w:val="22"/>
          <w:szCs w:val="22"/>
        </w:rPr>
        <w:t>. 8th edn. Harlow: Pearson, pp. 291–320</w:t>
      </w:r>
    </w:p>
    <w:p w14:paraId="0E41FA9C" w14:textId="77777777" w:rsidR="00CE10BC" w:rsidRDefault="00326FAD">
      <w:pPr>
        <w:pStyle w:val="BodyText"/>
        <w:spacing w:after="0" w:line="360" w:lineRule="auto"/>
        <w:jc w:val="both"/>
      </w:pPr>
      <w:r>
        <w:rPr>
          <w:rFonts w:ascii="Arial" w:hAnsi="Arial"/>
          <w:sz w:val="22"/>
          <w:szCs w:val="22"/>
        </w:rPr>
        <w:tab/>
        <w:t xml:space="preserve">Card, A.J. (2019)  The problem with "5 Whys", </w:t>
      </w:r>
      <w:r>
        <w:rPr>
          <w:rStyle w:val="Emphasis"/>
          <w:rFonts w:ascii="Arial" w:hAnsi="Arial"/>
          <w:sz w:val="22"/>
          <w:szCs w:val="22"/>
        </w:rPr>
        <w:t>BMJ Quality &amp; Safety</w:t>
      </w:r>
      <w:r>
        <w:rPr>
          <w:rFonts w:ascii="Arial" w:hAnsi="Arial"/>
          <w:sz w:val="22"/>
          <w:szCs w:val="22"/>
        </w:rPr>
        <w:t xml:space="preserve">, </w:t>
      </w:r>
      <w:r>
        <w:rPr>
          <w:rStyle w:val="Strong"/>
          <w:rFonts w:ascii="Arial" w:hAnsi="Arial"/>
          <w:b w:val="0"/>
          <w:bCs w:val="0"/>
          <w:sz w:val="22"/>
          <w:szCs w:val="22"/>
        </w:rPr>
        <w:t>28</w:t>
      </w:r>
      <w:r>
        <w:rPr>
          <w:rFonts w:ascii="Arial" w:hAnsi="Arial"/>
          <w:sz w:val="22"/>
          <w:szCs w:val="22"/>
        </w:rPr>
        <w:t>(8), pp. 671-677</w:t>
      </w:r>
    </w:p>
    <w:p w14:paraId="0E41FA9D" w14:textId="767C648C" w:rsidR="00CE10BC" w:rsidRDefault="00326FAD">
      <w:pPr>
        <w:pStyle w:val="BodyText"/>
        <w:spacing w:after="0" w:line="360" w:lineRule="auto"/>
        <w:jc w:val="both"/>
      </w:pPr>
      <w:r>
        <w:rPr>
          <w:rFonts w:ascii="Arial" w:hAnsi="Arial"/>
          <w:sz w:val="22"/>
          <w:szCs w:val="22"/>
        </w:rPr>
        <w:tab/>
        <w:t xml:space="preserve">CIPD (2025) </w:t>
      </w:r>
      <w:r>
        <w:rPr>
          <w:rStyle w:val="Emphasis"/>
          <w:rFonts w:ascii="Arial" w:hAnsi="Arial"/>
          <w:sz w:val="22"/>
          <w:szCs w:val="22"/>
        </w:rPr>
        <w:t>PESTLE analysis</w:t>
      </w:r>
      <w:r>
        <w:rPr>
          <w:rFonts w:ascii="Arial" w:hAnsi="Arial"/>
          <w:sz w:val="22"/>
          <w:szCs w:val="22"/>
        </w:rPr>
        <w:t xml:space="preserve">. Available at: </w:t>
      </w:r>
      <w:hyperlink r:id="rId14" w:tgtFrame="_new">
        <w:r>
          <w:rPr>
            <w:rStyle w:val="Hyperlink"/>
            <w:rFonts w:ascii="Arial" w:hAnsi="Arial"/>
            <w:sz w:val="22"/>
            <w:szCs w:val="22"/>
          </w:rPr>
          <w:t>https://www.cipd.org/en/knowledge/factsheets/pestle-analysis-factsheet/</w:t>
        </w:r>
      </w:hyperlink>
      <w:r>
        <w:rPr>
          <w:rFonts w:ascii="Arial" w:hAnsi="Arial"/>
          <w:sz w:val="22"/>
          <w:szCs w:val="22"/>
        </w:rPr>
        <w:t xml:space="preserve"> (Accessed: </w:t>
      </w:r>
      <w:r w:rsidR="001F0CEE">
        <w:rPr>
          <w:rFonts w:ascii="Arial" w:hAnsi="Arial"/>
          <w:sz w:val="22"/>
          <w:szCs w:val="22"/>
        </w:rPr>
        <w:t>2</w:t>
      </w:r>
      <w:r>
        <w:rPr>
          <w:rFonts w:ascii="Arial" w:hAnsi="Arial"/>
          <w:sz w:val="22"/>
          <w:szCs w:val="22"/>
        </w:rPr>
        <w:t>5 July 2026)</w:t>
      </w:r>
    </w:p>
    <w:p w14:paraId="0E41FA9E" w14:textId="570F500C" w:rsidR="00CE10BC" w:rsidRDefault="00326FAD">
      <w:pPr>
        <w:pStyle w:val="BodyText"/>
        <w:spacing w:after="0" w:line="360" w:lineRule="auto"/>
        <w:jc w:val="both"/>
      </w:pPr>
      <w:r>
        <w:rPr>
          <w:rFonts w:ascii="Arial" w:hAnsi="Arial"/>
          <w:sz w:val="22"/>
          <w:szCs w:val="22"/>
        </w:rPr>
        <w:tab/>
        <w:t xml:space="preserve">Care Quality Commission (CQC) (2023) </w:t>
      </w:r>
      <w:r>
        <w:rPr>
          <w:rStyle w:val="Emphasis"/>
          <w:rFonts w:ascii="Arial" w:hAnsi="Arial"/>
          <w:sz w:val="22"/>
          <w:szCs w:val="22"/>
        </w:rPr>
        <w:t>Single assessment framework</w:t>
      </w:r>
      <w:r>
        <w:rPr>
          <w:rFonts w:ascii="Arial" w:hAnsi="Arial"/>
          <w:sz w:val="22"/>
          <w:szCs w:val="22"/>
        </w:rPr>
        <w:t xml:space="preserve">. Available at: </w:t>
      </w:r>
      <w:hyperlink r:id="rId15">
        <w:r>
          <w:rPr>
            <w:rStyle w:val="Hyperlink"/>
            <w:rFonts w:ascii="Arial" w:hAnsi="Arial"/>
            <w:sz w:val="22"/>
            <w:szCs w:val="22"/>
          </w:rPr>
          <w:t>https://www.cqc.org.uk/guidance-regulation/providers/assessment/assessment-framework</w:t>
        </w:r>
      </w:hyperlink>
      <w:r>
        <w:rPr>
          <w:rFonts w:ascii="Arial" w:hAnsi="Arial"/>
          <w:sz w:val="22"/>
          <w:szCs w:val="22"/>
        </w:rPr>
        <w:t xml:space="preserve">   (Accessed: </w:t>
      </w:r>
      <w:r w:rsidR="001F0CEE">
        <w:rPr>
          <w:rFonts w:ascii="Arial" w:hAnsi="Arial"/>
          <w:sz w:val="22"/>
          <w:szCs w:val="22"/>
        </w:rPr>
        <w:t>27</w:t>
      </w:r>
      <w:r>
        <w:rPr>
          <w:rFonts w:ascii="Arial" w:hAnsi="Arial"/>
          <w:sz w:val="22"/>
          <w:szCs w:val="22"/>
        </w:rPr>
        <w:t xml:space="preserve"> July 2026)</w:t>
      </w:r>
    </w:p>
    <w:p w14:paraId="0E41FA9F" w14:textId="35F045AD" w:rsidR="00CE10BC" w:rsidRDefault="00326FAD">
      <w:pPr>
        <w:pStyle w:val="BodyText"/>
        <w:spacing w:after="0" w:line="360" w:lineRule="auto"/>
        <w:jc w:val="both"/>
      </w:pPr>
      <w:r>
        <w:rPr>
          <w:rFonts w:ascii="Arial" w:hAnsi="Arial"/>
          <w:sz w:val="22"/>
          <w:szCs w:val="22"/>
        </w:rPr>
        <w:tab/>
        <w:t xml:space="preserve">Care Quality Commission (CQC) (2025a) </w:t>
      </w:r>
      <w:r>
        <w:rPr>
          <w:rStyle w:val="Emphasis"/>
          <w:rFonts w:ascii="Arial" w:hAnsi="Arial"/>
          <w:sz w:val="22"/>
          <w:szCs w:val="22"/>
        </w:rPr>
        <w:t>Regulation 12: Safe care and treatment</w:t>
      </w:r>
      <w:r>
        <w:rPr>
          <w:rFonts w:ascii="Arial" w:hAnsi="Arial"/>
          <w:sz w:val="22"/>
          <w:szCs w:val="22"/>
        </w:rPr>
        <w:t xml:space="preserve">. Available at: </w:t>
      </w:r>
      <w:hyperlink r:id="rId16" w:tgtFrame="_new">
        <w:r>
          <w:rPr>
            <w:rStyle w:val="Hyperlink"/>
            <w:rFonts w:ascii="Arial" w:hAnsi="Arial"/>
            <w:sz w:val="22"/>
            <w:szCs w:val="22"/>
          </w:rPr>
          <w:t>https://www.cqc.org.uk/guidance-providers/regulations-enforcement/regulation-12-safe-care-treatment</w:t>
        </w:r>
      </w:hyperlink>
      <w:r>
        <w:rPr>
          <w:rFonts w:ascii="Arial" w:hAnsi="Arial"/>
          <w:sz w:val="22"/>
          <w:szCs w:val="22"/>
        </w:rPr>
        <w:t xml:space="preserve"> (Accessed: 2</w:t>
      </w:r>
      <w:r w:rsidR="001F0CEE">
        <w:rPr>
          <w:rFonts w:ascii="Arial" w:hAnsi="Arial"/>
          <w:sz w:val="22"/>
          <w:szCs w:val="22"/>
        </w:rPr>
        <w:t>7</w:t>
      </w:r>
      <w:r>
        <w:rPr>
          <w:rFonts w:ascii="Arial" w:hAnsi="Arial"/>
          <w:sz w:val="22"/>
          <w:szCs w:val="22"/>
        </w:rPr>
        <w:t xml:space="preserve"> July 2026)</w:t>
      </w:r>
    </w:p>
    <w:p w14:paraId="0E41FAA0" w14:textId="316C4DDF" w:rsidR="00CE10BC" w:rsidRDefault="00326FAD">
      <w:pPr>
        <w:pStyle w:val="BodyText"/>
        <w:spacing w:after="0" w:line="360" w:lineRule="auto"/>
        <w:jc w:val="both"/>
      </w:pPr>
      <w:r>
        <w:rPr>
          <w:rFonts w:ascii="Arial" w:hAnsi="Arial"/>
          <w:sz w:val="22"/>
          <w:szCs w:val="22"/>
        </w:rPr>
        <w:tab/>
        <w:t xml:space="preserve">Care Quality Commission (CQC) (2025b) </w:t>
      </w:r>
      <w:r>
        <w:rPr>
          <w:rStyle w:val="Emphasis"/>
          <w:rFonts w:ascii="Arial" w:hAnsi="Arial"/>
          <w:sz w:val="22"/>
          <w:szCs w:val="22"/>
        </w:rPr>
        <w:t>Regulation 17: Good governance</w:t>
      </w:r>
      <w:r>
        <w:rPr>
          <w:rFonts w:ascii="Arial" w:hAnsi="Arial"/>
          <w:sz w:val="22"/>
          <w:szCs w:val="22"/>
        </w:rPr>
        <w:t xml:space="preserve">. Available at: </w:t>
      </w:r>
      <w:hyperlink r:id="rId17" w:tgtFrame="_new">
        <w:r>
          <w:rPr>
            <w:rStyle w:val="Hyperlink"/>
            <w:rFonts w:ascii="Arial" w:hAnsi="Arial"/>
            <w:sz w:val="22"/>
            <w:szCs w:val="22"/>
          </w:rPr>
          <w:t>https://www.cqc.org.uk/guidance-providers/regulations-enforcement/regulation-17-good-governance</w:t>
        </w:r>
      </w:hyperlink>
      <w:r>
        <w:rPr>
          <w:rFonts w:ascii="Arial" w:hAnsi="Arial"/>
          <w:sz w:val="22"/>
          <w:szCs w:val="22"/>
        </w:rPr>
        <w:t xml:space="preserve"> (Accessed: 2</w:t>
      </w:r>
      <w:r w:rsidR="001F0CEE">
        <w:rPr>
          <w:rFonts w:ascii="Arial" w:hAnsi="Arial"/>
          <w:sz w:val="22"/>
          <w:szCs w:val="22"/>
        </w:rPr>
        <w:t>7</w:t>
      </w:r>
      <w:r>
        <w:rPr>
          <w:rFonts w:ascii="Arial" w:hAnsi="Arial"/>
          <w:sz w:val="22"/>
          <w:szCs w:val="22"/>
        </w:rPr>
        <w:t xml:space="preserve"> July 2026)</w:t>
      </w:r>
    </w:p>
    <w:p w14:paraId="0E41FAA1" w14:textId="4218EBD3" w:rsidR="00CE10BC" w:rsidRDefault="00326FAD">
      <w:pPr>
        <w:pStyle w:val="BodyText"/>
        <w:spacing w:after="0" w:line="360" w:lineRule="auto"/>
        <w:jc w:val="both"/>
      </w:pPr>
      <w:r>
        <w:rPr>
          <w:rFonts w:ascii="Arial" w:hAnsi="Arial"/>
          <w:sz w:val="22"/>
          <w:szCs w:val="22"/>
        </w:rPr>
        <w:tab/>
        <w:t xml:space="preserve">Care Quality Commission (CQC) (2025c) </w:t>
      </w:r>
      <w:r>
        <w:rPr>
          <w:rStyle w:val="Emphasis"/>
          <w:rFonts w:ascii="Arial" w:hAnsi="Arial"/>
          <w:sz w:val="22"/>
          <w:szCs w:val="22"/>
        </w:rPr>
        <w:t>Regulation 18: Staffing</w:t>
      </w:r>
      <w:r>
        <w:rPr>
          <w:rFonts w:ascii="Arial" w:hAnsi="Arial"/>
          <w:sz w:val="22"/>
          <w:szCs w:val="22"/>
        </w:rPr>
        <w:t xml:space="preserve">. Available at: </w:t>
      </w:r>
      <w:hyperlink r:id="rId18" w:tgtFrame="_new">
        <w:r>
          <w:rPr>
            <w:rStyle w:val="Hyperlink"/>
            <w:rFonts w:ascii="Arial" w:hAnsi="Arial"/>
            <w:sz w:val="22"/>
            <w:szCs w:val="22"/>
          </w:rPr>
          <w:t>https://www.cqc.org.uk/guidance-providers/regulations-enforcement/regulation-18-staffing</w:t>
        </w:r>
      </w:hyperlink>
      <w:r>
        <w:rPr>
          <w:rFonts w:ascii="Arial" w:hAnsi="Arial"/>
          <w:sz w:val="22"/>
          <w:szCs w:val="22"/>
        </w:rPr>
        <w:t xml:space="preserve"> (Accessed: 2</w:t>
      </w:r>
      <w:r w:rsidR="001F0CEE">
        <w:rPr>
          <w:rFonts w:ascii="Arial" w:hAnsi="Arial"/>
          <w:sz w:val="22"/>
          <w:szCs w:val="22"/>
        </w:rPr>
        <w:t>7</w:t>
      </w:r>
      <w:r>
        <w:rPr>
          <w:rFonts w:ascii="Arial" w:hAnsi="Arial"/>
          <w:sz w:val="22"/>
          <w:szCs w:val="22"/>
        </w:rPr>
        <w:t xml:space="preserve"> July 2026)                                                             </w:t>
      </w:r>
    </w:p>
    <w:p w14:paraId="0E41FAA2" w14:textId="5B4E4436" w:rsidR="00CE10BC" w:rsidRDefault="00326FAD">
      <w:pPr>
        <w:pStyle w:val="BodyText"/>
        <w:spacing w:line="360" w:lineRule="auto"/>
        <w:jc w:val="both"/>
        <w:rPr>
          <w:rFonts w:ascii="Arial" w:hAnsi="Arial"/>
          <w:sz w:val="22"/>
          <w:szCs w:val="22"/>
        </w:rPr>
      </w:pPr>
      <w:r>
        <w:rPr>
          <w:rFonts w:ascii="Arial" w:hAnsi="Arial"/>
          <w:sz w:val="22"/>
          <w:szCs w:val="22"/>
        </w:rPr>
        <w:tab/>
        <w:t xml:space="preserve">Care Quality Commission (CQC) (2025d) </w:t>
      </w:r>
      <w:r>
        <w:rPr>
          <w:rStyle w:val="Emphasis"/>
          <w:rFonts w:ascii="Arial" w:hAnsi="Arial"/>
          <w:sz w:val="22"/>
          <w:szCs w:val="22"/>
        </w:rPr>
        <w:t>Regulation 9: Person-centred care</w:t>
      </w:r>
      <w:r>
        <w:rPr>
          <w:rFonts w:ascii="Arial" w:hAnsi="Arial"/>
          <w:sz w:val="22"/>
          <w:szCs w:val="22"/>
        </w:rPr>
        <w:t xml:space="preserve">. Available at: </w:t>
      </w:r>
      <w:hyperlink r:id="rId19" w:tgtFrame="_new">
        <w:r>
          <w:rPr>
            <w:rStyle w:val="Hyperlink"/>
            <w:rFonts w:ascii="Arial" w:hAnsi="Arial"/>
            <w:sz w:val="22"/>
            <w:szCs w:val="22"/>
          </w:rPr>
          <w:t>https://www.cqc.org.uk/guidance-providers/regulations-enforcement/regulation-9-person-centred-care</w:t>
        </w:r>
      </w:hyperlink>
      <w:r>
        <w:rPr>
          <w:rFonts w:ascii="Arial" w:hAnsi="Arial"/>
          <w:sz w:val="22"/>
          <w:szCs w:val="22"/>
        </w:rPr>
        <w:t xml:space="preserve"> (Accessed: 2</w:t>
      </w:r>
      <w:r w:rsidR="001F0CEE">
        <w:rPr>
          <w:rFonts w:ascii="Arial" w:hAnsi="Arial"/>
          <w:sz w:val="22"/>
          <w:szCs w:val="22"/>
        </w:rPr>
        <w:t>7</w:t>
      </w:r>
      <w:r>
        <w:rPr>
          <w:rFonts w:ascii="Arial" w:hAnsi="Arial"/>
          <w:sz w:val="22"/>
          <w:szCs w:val="22"/>
        </w:rPr>
        <w:t xml:space="preserve"> July 2026)</w:t>
      </w:r>
    </w:p>
    <w:p w14:paraId="11550CF2" w14:textId="77777777" w:rsidR="005A693D" w:rsidRDefault="005A693D">
      <w:pPr>
        <w:pStyle w:val="BodyText"/>
        <w:spacing w:line="360" w:lineRule="auto"/>
        <w:jc w:val="both"/>
      </w:pPr>
    </w:p>
    <w:p w14:paraId="0E41FAA3" w14:textId="0E9BD2EE" w:rsidR="00CE10BC" w:rsidRDefault="00326FAD">
      <w:pPr>
        <w:pStyle w:val="BodyText"/>
        <w:spacing w:after="0" w:line="360" w:lineRule="auto"/>
        <w:jc w:val="both"/>
      </w:pPr>
      <w:r>
        <w:rPr>
          <w:rFonts w:ascii="Arial" w:hAnsi="Arial"/>
          <w:sz w:val="22"/>
          <w:szCs w:val="22"/>
        </w:rPr>
        <w:lastRenderedPageBreak/>
        <w:tab/>
        <w:t xml:space="preserve">Donabedian, A. (1988) The quality of care: How can it be assessed?, </w:t>
      </w:r>
      <w:r>
        <w:rPr>
          <w:rStyle w:val="Emphasis"/>
          <w:rFonts w:ascii="Arial" w:hAnsi="Arial"/>
          <w:sz w:val="22"/>
          <w:szCs w:val="22"/>
        </w:rPr>
        <w:t>Journal of the American Medical Association</w:t>
      </w:r>
      <w:r>
        <w:rPr>
          <w:rFonts w:ascii="Arial" w:hAnsi="Arial"/>
          <w:sz w:val="22"/>
          <w:szCs w:val="22"/>
        </w:rPr>
        <w:t xml:space="preserve">, </w:t>
      </w:r>
      <w:r>
        <w:rPr>
          <w:rStyle w:val="Strong"/>
          <w:rFonts w:ascii="Arial" w:hAnsi="Arial"/>
          <w:b w:val="0"/>
          <w:bCs w:val="0"/>
          <w:sz w:val="22"/>
          <w:szCs w:val="22"/>
        </w:rPr>
        <w:t>260</w:t>
      </w:r>
      <w:r>
        <w:rPr>
          <w:rFonts w:ascii="Arial" w:hAnsi="Arial"/>
          <w:sz w:val="22"/>
          <w:szCs w:val="22"/>
        </w:rPr>
        <w:t xml:space="preserve">(12), pp. 1743-1748. Available at: </w:t>
      </w:r>
      <w:hyperlink r:id="rId20">
        <w:r>
          <w:rPr>
            <w:rStyle w:val="Hyperlink"/>
            <w:rFonts w:ascii="Arial" w:hAnsi="Arial"/>
            <w:sz w:val="22"/>
            <w:szCs w:val="22"/>
          </w:rPr>
          <w:t>https://jamanetwork.com/journals/jama/article-abstract/374139</w:t>
        </w:r>
      </w:hyperlink>
      <w:r>
        <w:rPr>
          <w:rFonts w:ascii="Arial" w:hAnsi="Arial"/>
          <w:sz w:val="22"/>
          <w:szCs w:val="22"/>
        </w:rPr>
        <w:t xml:space="preserve"> (Accessed: 2</w:t>
      </w:r>
      <w:r w:rsidR="001F0CEE">
        <w:rPr>
          <w:rFonts w:ascii="Arial" w:hAnsi="Arial"/>
          <w:sz w:val="22"/>
          <w:szCs w:val="22"/>
        </w:rPr>
        <w:t>7</w:t>
      </w:r>
      <w:r>
        <w:rPr>
          <w:rFonts w:ascii="Arial" w:hAnsi="Arial"/>
          <w:sz w:val="22"/>
          <w:szCs w:val="22"/>
        </w:rPr>
        <w:t xml:space="preserve"> July 2026)</w:t>
      </w:r>
    </w:p>
    <w:p w14:paraId="0E41FAA4" w14:textId="30A35681" w:rsidR="00CE10BC" w:rsidRDefault="00326FAD">
      <w:pPr>
        <w:pStyle w:val="BodyText"/>
        <w:spacing w:after="0" w:line="360" w:lineRule="auto"/>
        <w:jc w:val="both"/>
      </w:pPr>
      <w:r>
        <w:rPr>
          <w:rFonts w:ascii="Arial" w:hAnsi="Arial"/>
          <w:sz w:val="22"/>
          <w:szCs w:val="22"/>
        </w:rPr>
        <w:tab/>
        <w:t xml:space="preserve">Francis, R. (2013) </w:t>
      </w:r>
      <w:r>
        <w:rPr>
          <w:rStyle w:val="Emphasis"/>
          <w:rFonts w:ascii="Arial" w:hAnsi="Arial"/>
          <w:sz w:val="22"/>
          <w:szCs w:val="22"/>
        </w:rPr>
        <w:t>Report of the Mid Staffordshire NHS Foundation Trust Public Inquiry</w:t>
      </w:r>
      <w:r>
        <w:rPr>
          <w:rFonts w:ascii="Arial" w:hAnsi="Arial"/>
          <w:sz w:val="22"/>
          <w:szCs w:val="22"/>
        </w:rPr>
        <w:t xml:space="preserve">. London: The Stationery Office. Available at: </w:t>
      </w:r>
      <w:hyperlink r:id="rId21">
        <w:r>
          <w:rPr>
            <w:rStyle w:val="Hyperlink"/>
            <w:rFonts w:ascii="Arial" w:hAnsi="Arial"/>
            <w:sz w:val="22"/>
            <w:szCs w:val="22"/>
          </w:rPr>
          <w:t>https://assets.publishing.service.gov.uk/media/547c4a4de5274a429000001d/0947.pdf</w:t>
        </w:r>
      </w:hyperlink>
      <w:r>
        <w:rPr>
          <w:rFonts w:ascii="Arial" w:hAnsi="Arial"/>
          <w:sz w:val="22"/>
          <w:szCs w:val="22"/>
        </w:rPr>
        <w:t xml:space="preserve"> </w:t>
      </w:r>
      <w:r w:rsidR="005A693D">
        <w:rPr>
          <w:rFonts w:ascii="Arial" w:hAnsi="Arial"/>
          <w:sz w:val="22"/>
          <w:szCs w:val="22"/>
        </w:rPr>
        <w:t>(Accessed: (27.07.2026)</w:t>
      </w:r>
    </w:p>
    <w:p w14:paraId="0E41FAA5" w14:textId="6B40AAAE" w:rsidR="00CE10BC" w:rsidRDefault="00326FAD">
      <w:pPr>
        <w:pStyle w:val="BodyText"/>
        <w:spacing w:after="0" w:line="360" w:lineRule="auto"/>
        <w:jc w:val="both"/>
      </w:pPr>
      <w:r>
        <w:rPr>
          <w:rFonts w:ascii="Arial" w:hAnsi="Arial"/>
          <w:sz w:val="22"/>
          <w:szCs w:val="22"/>
        </w:rPr>
        <w:tab/>
        <w:t xml:space="preserve">Health Foundation (2021) </w:t>
      </w:r>
      <w:r>
        <w:rPr>
          <w:rStyle w:val="Emphasis"/>
          <w:rFonts w:ascii="Arial" w:hAnsi="Arial"/>
          <w:sz w:val="22"/>
          <w:szCs w:val="22"/>
        </w:rPr>
        <w:t>Quality Improvement Made Simple: What Everyone Should Know About Health Care Quality Improvement</w:t>
      </w:r>
      <w:r>
        <w:rPr>
          <w:rFonts w:ascii="Arial" w:hAnsi="Arial"/>
          <w:sz w:val="22"/>
          <w:szCs w:val="22"/>
        </w:rPr>
        <w:t xml:space="preserve">. London: The Health Foundation. Available at: </w:t>
      </w:r>
      <w:hyperlink r:id="rId22" w:tgtFrame="_new">
        <w:r>
          <w:rPr>
            <w:rStyle w:val="Hyperlink"/>
            <w:rFonts w:ascii="Arial" w:hAnsi="Arial"/>
            <w:sz w:val="22"/>
            <w:szCs w:val="22"/>
          </w:rPr>
          <w:t>https://www.health.org.uk/publications/quality-improvement-made-simple</w:t>
        </w:r>
      </w:hyperlink>
      <w:r>
        <w:rPr>
          <w:rFonts w:ascii="Arial" w:hAnsi="Arial"/>
          <w:sz w:val="22"/>
          <w:szCs w:val="22"/>
        </w:rPr>
        <w:t xml:space="preserve"> (Accessed: 2</w:t>
      </w:r>
      <w:r w:rsidR="001F0CEE">
        <w:rPr>
          <w:rFonts w:ascii="Arial" w:hAnsi="Arial"/>
          <w:sz w:val="22"/>
          <w:szCs w:val="22"/>
        </w:rPr>
        <w:t>7</w:t>
      </w:r>
      <w:r>
        <w:rPr>
          <w:rFonts w:ascii="Arial" w:hAnsi="Arial"/>
          <w:sz w:val="22"/>
          <w:szCs w:val="22"/>
        </w:rPr>
        <w:t xml:space="preserve"> July 2026)</w:t>
      </w:r>
    </w:p>
    <w:p w14:paraId="0E41FAA6" w14:textId="36E183BE" w:rsidR="00CE10BC" w:rsidRDefault="00326FAD">
      <w:pPr>
        <w:pStyle w:val="BodyText"/>
        <w:spacing w:after="0" w:line="360" w:lineRule="auto"/>
        <w:jc w:val="both"/>
      </w:pPr>
      <w:r>
        <w:rPr>
          <w:rFonts w:ascii="Arial" w:hAnsi="Arial"/>
          <w:sz w:val="22"/>
          <w:szCs w:val="22"/>
        </w:rPr>
        <w:tab/>
        <w:t xml:space="preserve">Institute for Healthcare Improvement (2023) </w:t>
      </w:r>
      <w:r>
        <w:rPr>
          <w:rStyle w:val="Emphasis"/>
          <w:rFonts w:ascii="Arial" w:hAnsi="Arial"/>
          <w:sz w:val="22"/>
          <w:szCs w:val="22"/>
        </w:rPr>
        <w:t>Science of Improvement: How to Improve</w:t>
      </w:r>
      <w:r>
        <w:rPr>
          <w:rFonts w:ascii="Arial" w:hAnsi="Arial"/>
          <w:sz w:val="22"/>
          <w:szCs w:val="22"/>
        </w:rPr>
        <w:t xml:space="preserve">. Available at: </w:t>
      </w:r>
      <w:hyperlink r:id="rId23">
        <w:r>
          <w:rPr>
            <w:rStyle w:val="Hyperlink"/>
            <w:rFonts w:ascii="Arial" w:hAnsi="Arial"/>
            <w:sz w:val="22"/>
            <w:szCs w:val="22"/>
          </w:rPr>
          <w:t>https://www.ihi.org/resources/Pages/HowtoImprove/default.aspx</w:t>
        </w:r>
      </w:hyperlink>
      <w:r>
        <w:rPr>
          <w:rFonts w:ascii="Arial" w:hAnsi="Arial"/>
          <w:sz w:val="22"/>
          <w:szCs w:val="22"/>
        </w:rPr>
        <w:t xml:space="preserve"> (Accessed: 2</w:t>
      </w:r>
      <w:r w:rsidR="001F0CEE">
        <w:rPr>
          <w:rFonts w:ascii="Arial" w:hAnsi="Arial"/>
          <w:sz w:val="22"/>
          <w:szCs w:val="22"/>
        </w:rPr>
        <w:t>7</w:t>
      </w:r>
      <w:r>
        <w:rPr>
          <w:rFonts w:ascii="Arial" w:hAnsi="Arial"/>
          <w:sz w:val="22"/>
          <w:szCs w:val="22"/>
        </w:rPr>
        <w:t xml:space="preserve"> July 2026)</w:t>
      </w:r>
    </w:p>
    <w:p w14:paraId="0E41FAA7" w14:textId="77777777" w:rsidR="00CE10BC" w:rsidRDefault="00326FAD">
      <w:pPr>
        <w:pStyle w:val="BodyText"/>
        <w:spacing w:after="0" w:line="360" w:lineRule="auto"/>
        <w:jc w:val="both"/>
      </w:pPr>
      <w:r>
        <w:rPr>
          <w:rFonts w:ascii="Arial" w:hAnsi="Arial"/>
          <w:sz w:val="22"/>
          <w:szCs w:val="22"/>
        </w:rPr>
        <w:tab/>
        <w:t xml:space="preserve">Ishikawa, K. (1986) </w:t>
      </w:r>
      <w:r>
        <w:rPr>
          <w:rStyle w:val="Emphasis"/>
          <w:rFonts w:ascii="Arial" w:hAnsi="Arial"/>
          <w:sz w:val="22"/>
          <w:szCs w:val="22"/>
        </w:rPr>
        <w:t>Guide to Quality Control</w:t>
      </w:r>
      <w:r>
        <w:rPr>
          <w:rFonts w:ascii="Arial" w:hAnsi="Arial"/>
          <w:sz w:val="22"/>
          <w:szCs w:val="22"/>
        </w:rPr>
        <w:t xml:space="preserve">. 2nd rev. edn. Tokyo: Asian Productivity Organization, </w:t>
      </w:r>
      <w:r>
        <w:rPr>
          <w:rStyle w:val="Strong"/>
          <w:rFonts w:ascii="Arial" w:hAnsi="Arial"/>
          <w:b w:val="0"/>
          <w:bCs w:val="0"/>
          <w:sz w:val="22"/>
          <w:szCs w:val="22"/>
        </w:rPr>
        <w:t>pp. 25-49</w:t>
      </w:r>
    </w:p>
    <w:p w14:paraId="0E41FAA8" w14:textId="3A3327ED" w:rsidR="00CE10BC" w:rsidRDefault="00326FAD">
      <w:pPr>
        <w:pStyle w:val="BodyText"/>
        <w:spacing w:after="0" w:line="360" w:lineRule="auto"/>
        <w:jc w:val="both"/>
      </w:pPr>
      <w:r>
        <w:rPr>
          <w:rFonts w:ascii="Arial" w:hAnsi="Arial"/>
          <w:sz w:val="22"/>
          <w:szCs w:val="22"/>
        </w:rPr>
        <w:tab/>
        <w:t xml:space="preserve">MindTools (2024) </w:t>
      </w:r>
      <w:r>
        <w:rPr>
          <w:rStyle w:val="Emphasis"/>
          <w:rFonts w:ascii="Arial" w:hAnsi="Arial"/>
          <w:sz w:val="22"/>
          <w:szCs w:val="22"/>
        </w:rPr>
        <w:t>PESTLE Analysis</w:t>
      </w:r>
      <w:r>
        <w:rPr>
          <w:rFonts w:ascii="Arial" w:hAnsi="Arial"/>
          <w:sz w:val="22"/>
          <w:szCs w:val="22"/>
        </w:rPr>
        <w:t xml:space="preserve">. Available at: </w:t>
      </w:r>
      <w:hyperlink r:id="rId24">
        <w:r>
          <w:rPr>
            <w:rStyle w:val="Hyperlink"/>
            <w:rFonts w:ascii="Arial" w:hAnsi="Arial"/>
            <w:sz w:val="22"/>
            <w:szCs w:val="22"/>
          </w:rPr>
          <w:t>https://www.mindtools.com/aqgrefw/personal-pest-analysis/</w:t>
        </w:r>
      </w:hyperlink>
      <w:r>
        <w:rPr>
          <w:rFonts w:ascii="Arial" w:hAnsi="Arial"/>
          <w:sz w:val="22"/>
          <w:szCs w:val="22"/>
        </w:rPr>
        <w:t xml:space="preserve"> (Accessed: </w:t>
      </w:r>
      <w:r w:rsidR="001F0CEE">
        <w:rPr>
          <w:rFonts w:ascii="Arial" w:hAnsi="Arial"/>
          <w:sz w:val="22"/>
          <w:szCs w:val="22"/>
        </w:rPr>
        <w:t>28</w:t>
      </w:r>
      <w:r>
        <w:rPr>
          <w:rFonts w:ascii="Arial" w:hAnsi="Arial"/>
          <w:sz w:val="22"/>
          <w:szCs w:val="22"/>
        </w:rPr>
        <w:t xml:space="preserve"> July 2026)</w:t>
      </w:r>
    </w:p>
    <w:p w14:paraId="0E41FAA9" w14:textId="77777777" w:rsidR="00CE10BC" w:rsidRDefault="00326FAD">
      <w:pPr>
        <w:pStyle w:val="BodyText"/>
        <w:spacing w:after="6" w:line="360" w:lineRule="auto"/>
        <w:jc w:val="both"/>
      </w:pPr>
      <w:r>
        <w:rPr>
          <w:rFonts w:ascii="Arial" w:hAnsi="Arial"/>
          <w:sz w:val="22"/>
          <w:szCs w:val="22"/>
        </w:rPr>
        <w:tab/>
        <w:t xml:space="preserve">Nash, D.B., Joshi, M.S., Ransom, E.R. and Ransom, S.B. (eds.) (2019) </w:t>
      </w:r>
      <w:r>
        <w:rPr>
          <w:rStyle w:val="Emphasis"/>
          <w:rFonts w:ascii="Arial" w:hAnsi="Arial"/>
          <w:sz w:val="22"/>
          <w:szCs w:val="22"/>
        </w:rPr>
        <w:t>The Healthcare Quality Book: Vision, Strategy, and Tools</w:t>
      </w:r>
      <w:r>
        <w:rPr>
          <w:rFonts w:ascii="Arial" w:hAnsi="Arial"/>
          <w:sz w:val="22"/>
          <w:szCs w:val="22"/>
        </w:rPr>
        <w:t>. 4th edn. Chicago, IL: Health Administration Press, pp. 89-204, pp. 230-384</w:t>
      </w:r>
    </w:p>
    <w:p w14:paraId="0E41FAAA" w14:textId="43A4AEC9" w:rsidR="00CE10BC" w:rsidRDefault="00326FAD">
      <w:pPr>
        <w:pStyle w:val="BodyText"/>
        <w:spacing w:after="0" w:line="360" w:lineRule="auto"/>
        <w:jc w:val="both"/>
      </w:pPr>
      <w:r>
        <w:rPr>
          <w:rFonts w:ascii="Arial" w:hAnsi="Arial"/>
          <w:sz w:val="22"/>
          <w:szCs w:val="22"/>
        </w:rPr>
        <w:tab/>
        <w:t xml:space="preserve">NHS England (2019) </w:t>
      </w:r>
      <w:r>
        <w:rPr>
          <w:rStyle w:val="Emphasis"/>
          <w:rFonts w:ascii="Arial" w:hAnsi="Arial"/>
          <w:sz w:val="22"/>
          <w:szCs w:val="22"/>
        </w:rPr>
        <w:t>The NHS Patient Safety Strategy: Safer Culture, Safer Systems, Safer Patients</w:t>
      </w:r>
      <w:r>
        <w:rPr>
          <w:rFonts w:ascii="Arial" w:hAnsi="Arial"/>
          <w:sz w:val="22"/>
          <w:szCs w:val="22"/>
        </w:rPr>
        <w:t xml:space="preserve">. Available at: </w:t>
      </w:r>
      <w:hyperlink r:id="rId25" w:tgtFrame="_new">
        <w:r>
          <w:rPr>
            <w:rStyle w:val="Hyperlink"/>
            <w:rFonts w:ascii="Arial" w:hAnsi="Arial"/>
            <w:sz w:val="22"/>
            <w:szCs w:val="22"/>
          </w:rPr>
          <w:t>https://www.england.nhs.uk/patient-safety/the-nhs-patient-safety-strategy/</w:t>
        </w:r>
      </w:hyperlink>
      <w:r>
        <w:rPr>
          <w:rFonts w:ascii="Arial" w:hAnsi="Arial"/>
          <w:sz w:val="22"/>
          <w:szCs w:val="22"/>
        </w:rPr>
        <w:t xml:space="preserve"> (Accessed: </w:t>
      </w:r>
      <w:r w:rsidR="001F0CEE">
        <w:rPr>
          <w:rFonts w:ascii="Arial" w:hAnsi="Arial"/>
          <w:sz w:val="22"/>
          <w:szCs w:val="22"/>
        </w:rPr>
        <w:t>29</w:t>
      </w:r>
      <w:r>
        <w:rPr>
          <w:rFonts w:ascii="Arial" w:hAnsi="Arial"/>
          <w:sz w:val="22"/>
          <w:szCs w:val="22"/>
        </w:rPr>
        <w:t xml:space="preserve"> July 2026)</w:t>
      </w:r>
    </w:p>
    <w:p w14:paraId="0E41FAAB" w14:textId="4051A70C" w:rsidR="00CE10BC" w:rsidRDefault="00326FAD">
      <w:pPr>
        <w:pStyle w:val="BodyText"/>
        <w:spacing w:after="0" w:line="360" w:lineRule="auto"/>
        <w:jc w:val="both"/>
      </w:pPr>
      <w:r>
        <w:rPr>
          <w:rFonts w:ascii="Arial" w:hAnsi="Arial"/>
          <w:sz w:val="22"/>
          <w:szCs w:val="22"/>
        </w:rPr>
        <w:tab/>
        <w:t xml:space="preserve">NHS England (2021) </w:t>
      </w:r>
      <w:r>
        <w:rPr>
          <w:rStyle w:val="Emphasis"/>
          <w:rFonts w:ascii="Arial" w:hAnsi="Arial"/>
          <w:sz w:val="22"/>
          <w:szCs w:val="22"/>
        </w:rPr>
        <w:t>NHS Patient Experience Framework</w:t>
      </w:r>
      <w:r>
        <w:rPr>
          <w:rFonts w:ascii="Arial" w:hAnsi="Arial"/>
          <w:sz w:val="22"/>
          <w:szCs w:val="22"/>
        </w:rPr>
        <w:t xml:space="preserve">. Available at: </w:t>
      </w:r>
      <w:hyperlink r:id="rId26">
        <w:r>
          <w:rPr>
            <w:rStyle w:val="Hyperlink"/>
            <w:rFonts w:ascii="Arial" w:hAnsi="Arial"/>
            <w:sz w:val="22"/>
            <w:szCs w:val="22"/>
          </w:rPr>
          <w:t>https://www.england.nhs.uk/wp-content/uploads/2021/04/nhsi-patient-experience-improvement-framework.pdf</w:t>
        </w:r>
      </w:hyperlink>
      <w:r>
        <w:rPr>
          <w:rFonts w:ascii="Arial" w:hAnsi="Arial"/>
          <w:sz w:val="22"/>
          <w:szCs w:val="22"/>
        </w:rPr>
        <w:t xml:space="preserve"> (Accessed: </w:t>
      </w:r>
      <w:r w:rsidR="00A74D82">
        <w:rPr>
          <w:rFonts w:ascii="Arial" w:hAnsi="Arial"/>
          <w:sz w:val="22"/>
          <w:szCs w:val="22"/>
        </w:rPr>
        <w:t>29</w:t>
      </w:r>
      <w:r>
        <w:rPr>
          <w:rFonts w:ascii="Arial" w:hAnsi="Arial"/>
          <w:sz w:val="22"/>
          <w:szCs w:val="22"/>
        </w:rPr>
        <w:t xml:space="preserve"> July 2026)</w:t>
      </w:r>
    </w:p>
    <w:p w14:paraId="0E41FAAC" w14:textId="11F06893" w:rsidR="00CE10BC" w:rsidRDefault="00326FAD">
      <w:pPr>
        <w:pStyle w:val="BodyText"/>
        <w:spacing w:after="0" w:line="360" w:lineRule="auto"/>
        <w:jc w:val="both"/>
      </w:pPr>
      <w:r>
        <w:rPr>
          <w:rFonts w:ascii="Arial" w:hAnsi="Arial"/>
          <w:sz w:val="22"/>
          <w:szCs w:val="22"/>
        </w:rPr>
        <w:tab/>
        <w:t xml:space="preserve">NHS England (2022) </w:t>
      </w:r>
      <w:r>
        <w:rPr>
          <w:rStyle w:val="Emphasis"/>
          <w:rFonts w:ascii="Arial" w:hAnsi="Arial"/>
          <w:sz w:val="22"/>
          <w:szCs w:val="22"/>
        </w:rPr>
        <w:t>Quality and Outcomes Framework guidance for 2022/23</w:t>
      </w:r>
      <w:r>
        <w:rPr>
          <w:rFonts w:ascii="Arial" w:hAnsi="Arial"/>
          <w:sz w:val="22"/>
          <w:szCs w:val="22"/>
        </w:rPr>
        <w:t xml:space="preserve">. Available at: </w:t>
      </w:r>
      <w:hyperlink r:id="rId27">
        <w:r>
          <w:rPr>
            <w:rStyle w:val="Hyperlink"/>
            <w:rFonts w:ascii="Arial" w:hAnsi="Arial"/>
            <w:sz w:val="22"/>
            <w:szCs w:val="22"/>
          </w:rPr>
          <w:t>https://www.england.nhs.uk/wp-content/uploads/2022/03/PRN00027-qof-guidance-for-22-23-v2.pdf</w:t>
        </w:r>
      </w:hyperlink>
      <w:r>
        <w:rPr>
          <w:rFonts w:ascii="Arial" w:hAnsi="Arial"/>
          <w:sz w:val="22"/>
          <w:szCs w:val="22"/>
        </w:rPr>
        <w:t xml:space="preserve"> (Accessed: </w:t>
      </w:r>
      <w:r w:rsidR="00A74D82">
        <w:rPr>
          <w:rFonts w:ascii="Arial" w:hAnsi="Arial"/>
          <w:sz w:val="22"/>
          <w:szCs w:val="22"/>
        </w:rPr>
        <w:t>29</w:t>
      </w:r>
      <w:r>
        <w:rPr>
          <w:rFonts w:ascii="Arial" w:hAnsi="Arial"/>
          <w:sz w:val="22"/>
          <w:szCs w:val="22"/>
        </w:rPr>
        <w:t xml:space="preserve"> July 2026)                                                           </w:t>
      </w:r>
    </w:p>
    <w:p w14:paraId="0E41FAAD" w14:textId="77777777" w:rsidR="00CE10BC" w:rsidRDefault="00326FAD">
      <w:pPr>
        <w:pStyle w:val="BodyText"/>
        <w:spacing w:after="0" w:line="360" w:lineRule="auto"/>
        <w:jc w:val="both"/>
      </w:pPr>
      <w:r>
        <w:rPr>
          <w:rFonts w:ascii="Arial" w:hAnsi="Arial"/>
          <w:sz w:val="22"/>
          <w:szCs w:val="22"/>
        </w:rPr>
        <w:tab/>
        <w:t xml:space="preserve">NHS England (2023) </w:t>
      </w:r>
      <w:r>
        <w:rPr>
          <w:rStyle w:val="Emphasis"/>
          <w:rFonts w:ascii="Arial" w:hAnsi="Arial"/>
          <w:sz w:val="22"/>
          <w:szCs w:val="22"/>
        </w:rPr>
        <w:t>NHS Patient Safety Strategy</w:t>
      </w:r>
      <w:r>
        <w:rPr>
          <w:rFonts w:ascii="Arial" w:hAnsi="Arial"/>
          <w:sz w:val="22"/>
          <w:szCs w:val="22"/>
        </w:rPr>
        <w:t xml:space="preserve">. Available at: </w:t>
      </w:r>
      <w:hyperlink r:id="rId28" w:tgtFrame="_new">
        <w:r>
          <w:rPr>
            <w:rStyle w:val="Hyperlink"/>
            <w:rFonts w:ascii="Arial" w:hAnsi="Arial"/>
            <w:sz w:val="22"/>
            <w:szCs w:val="22"/>
          </w:rPr>
          <w:t>https://www.england.nhs.uk/patient-safety/</w:t>
        </w:r>
      </w:hyperlink>
      <w:r>
        <w:rPr>
          <w:rFonts w:ascii="Arial" w:hAnsi="Arial"/>
          <w:sz w:val="22"/>
          <w:szCs w:val="22"/>
        </w:rPr>
        <w:t xml:space="preserve"> (Accessed: 20 July 2026)</w:t>
      </w:r>
    </w:p>
    <w:p w14:paraId="0E41FAAE" w14:textId="24A8C109" w:rsidR="00CE10BC" w:rsidRDefault="00326FAD">
      <w:pPr>
        <w:pStyle w:val="BodyText"/>
        <w:spacing w:after="0" w:line="360" w:lineRule="auto"/>
        <w:jc w:val="both"/>
      </w:pPr>
      <w:r>
        <w:rPr>
          <w:rFonts w:ascii="Arial" w:hAnsi="Arial"/>
          <w:sz w:val="22"/>
          <w:szCs w:val="22"/>
        </w:rPr>
        <w:tab/>
        <w:t xml:space="preserve">National Institute for Health and Care Excellence (NICE) (2014) </w:t>
      </w:r>
      <w:r>
        <w:rPr>
          <w:rStyle w:val="Emphasis"/>
          <w:rFonts w:ascii="Arial" w:hAnsi="Arial"/>
          <w:sz w:val="22"/>
          <w:szCs w:val="22"/>
        </w:rPr>
        <w:t>Safe Staffing for Nursing in Adult Inpatient Wards in Acute Hospitals (SG1).</w:t>
      </w:r>
      <w:r>
        <w:rPr>
          <w:rFonts w:ascii="Arial" w:hAnsi="Arial"/>
          <w:sz w:val="22"/>
          <w:szCs w:val="22"/>
        </w:rPr>
        <w:t xml:space="preserve"> London: NICE. Available at: </w:t>
      </w:r>
      <w:hyperlink r:id="rId29" w:tgtFrame="_new">
        <w:r>
          <w:rPr>
            <w:rStyle w:val="Hyperlink"/>
            <w:rFonts w:ascii="Arial" w:hAnsi="Arial"/>
            <w:sz w:val="22"/>
            <w:szCs w:val="22"/>
          </w:rPr>
          <w:t>https://www.nice.org.uk/guidance/sg1</w:t>
        </w:r>
      </w:hyperlink>
      <w:r>
        <w:rPr>
          <w:rFonts w:ascii="Arial" w:hAnsi="Arial"/>
          <w:sz w:val="22"/>
          <w:szCs w:val="22"/>
        </w:rPr>
        <w:t xml:space="preserve"> (Accessed: </w:t>
      </w:r>
      <w:r w:rsidR="00A74D82">
        <w:rPr>
          <w:rFonts w:ascii="Arial" w:hAnsi="Arial"/>
          <w:sz w:val="22"/>
          <w:szCs w:val="22"/>
        </w:rPr>
        <w:t>29</w:t>
      </w:r>
      <w:r>
        <w:rPr>
          <w:rFonts w:ascii="Arial" w:hAnsi="Arial"/>
          <w:sz w:val="22"/>
          <w:szCs w:val="22"/>
        </w:rPr>
        <w:t xml:space="preserve"> July 2026)</w:t>
      </w:r>
    </w:p>
    <w:p w14:paraId="0E41FAAF" w14:textId="5058E72F" w:rsidR="00CE10BC" w:rsidRDefault="00326FAD">
      <w:pPr>
        <w:pStyle w:val="BodyText"/>
        <w:spacing w:line="360" w:lineRule="auto"/>
        <w:jc w:val="both"/>
      </w:pPr>
      <w:r>
        <w:rPr>
          <w:rFonts w:ascii="Arial" w:hAnsi="Arial"/>
          <w:sz w:val="22"/>
          <w:szCs w:val="22"/>
        </w:rPr>
        <w:tab/>
        <w:t xml:space="preserve">National Institute for Health and Care Excellence (NICE) (2023) </w:t>
      </w:r>
      <w:r>
        <w:rPr>
          <w:rStyle w:val="Emphasis"/>
          <w:rFonts w:ascii="Arial" w:hAnsi="Arial"/>
          <w:sz w:val="22"/>
          <w:szCs w:val="22"/>
        </w:rPr>
        <w:t>Quality Standard QS2: Stroke in Adults.</w:t>
      </w:r>
      <w:r>
        <w:rPr>
          <w:rFonts w:ascii="Arial" w:hAnsi="Arial"/>
          <w:sz w:val="22"/>
          <w:szCs w:val="22"/>
        </w:rPr>
        <w:t xml:space="preserve"> London: NICE. Available at: </w:t>
      </w:r>
      <w:hyperlink r:id="rId30" w:tgtFrame="_new">
        <w:r>
          <w:rPr>
            <w:rStyle w:val="Hyperlink"/>
            <w:rFonts w:ascii="Arial" w:hAnsi="Arial"/>
            <w:sz w:val="22"/>
            <w:szCs w:val="22"/>
          </w:rPr>
          <w:t>https://www.nice.org.uk/guidance/qs2</w:t>
        </w:r>
      </w:hyperlink>
      <w:r>
        <w:rPr>
          <w:rFonts w:ascii="Arial" w:hAnsi="Arial"/>
          <w:sz w:val="22"/>
          <w:szCs w:val="22"/>
        </w:rPr>
        <w:t xml:space="preserve"> (Accessed: </w:t>
      </w:r>
      <w:r w:rsidR="00A74D82">
        <w:rPr>
          <w:rFonts w:ascii="Arial" w:hAnsi="Arial"/>
          <w:sz w:val="22"/>
          <w:szCs w:val="22"/>
        </w:rPr>
        <w:t>29</w:t>
      </w:r>
      <w:r>
        <w:rPr>
          <w:rFonts w:ascii="Arial" w:hAnsi="Arial"/>
          <w:sz w:val="22"/>
          <w:szCs w:val="22"/>
        </w:rPr>
        <w:t xml:space="preserve"> July 2026)</w:t>
      </w:r>
    </w:p>
    <w:p w14:paraId="0E41FAB0" w14:textId="77777777" w:rsidR="00CE10BC" w:rsidRDefault="00326FAD">
      <w:pPr>
        <w:pStyle w:val="BodyText"/>
        <w:spacing w:after="0" w:line="360" w:lineRule="auto"/>
        <w:jc w:val="both"/>
      </w:pPr>
      <w:r>
        <w:rPr>
          <w:rFonts w:ascii="Arial" w:hAnsi="Arial"/>
          <w:sz w:val="22"/>
          <w:szCs w:val="22"/>
        </w:rPr>
        <w:lastRenderedPageBreak/>
        <w:tab/>
        <w:t xml:space="preserve">Ohno, T. (1988) </w:t>
      </w:r>
      <w:r>
        <w:rPr>
          <w:rStyle w:val="Emphasis"/>
          <w:rFonts w:ascii="Arial" w:hAnsi="Arial"/>
          <w:sz w:val="22"/>
          <w:szCs w:val="22"/>
        </w:rPr>
        <w:t>Toyota Production System: Beyond Large-Scale Production</w:t>
      </w:r>
      <w:r>
        <w:rPr>
          <w:rFonts w:ascii="Arial" w:hAnsi="Arial"/>
          <w:sz w:val="22"/>
          <w:szCs w:val="22"/>
        </w:rPr>
        <w:t xml:space="preserve">. Portland, OR: Productivity Press, </w:t>
      </w:r>
      <w:r>
        <w:rPr>
          <w:rStyle w:val="Strong"/>
          <w:rFonts w:ascii="Arial" w:hAnsi="Arial"/>
          <w:b w:val="0"/>
          <w:bCs w:val="0"/>
          <w:sz w:val="22"/>
          <w:szCs w:val="22"/>
        </w:rPr>
        <w:t>pp. 17–31</w:t>
      </w:r>
    </w:p>
    <w:p w14:paraId="0E41FAB1" w14:textId="3BE047D6" w:rsidR="00CE10BC" w:rsidRDefault="00326FAD">
      <w:pPr>
        <w:pStyle w:val="BodyText"/>
        <w:spacing w:after="0" w:line="360" w:lineRule="auto"/>
        <w:jc w:val="both"/>
      </w:pPr>
      <w:r>
        <w:rPr>
          <w:rFonts w:ascii="Arial" w:hAnsi="Arial"/>
          <w:sz w:val="22"/>
          <w:szCs w:val="22"/>
        </w:rPr>
        <w:tab/>
        <w:t xml:space="preserve">Serrat, O. (2017) The Five Whys Technique. Available at: </w:t>
      </w:r>
      <w:hyperlink r:id="rId31">
        <w:r>
          <w:rPr>
            <w:rStyle w:val="Hyperlink"/>
            <w:rFonts w:ascii="Arial" w:hAnsi="Arial"/>
            <w:sz w:val="22"/>
            <w:szCs w:val="22"/>
          </w:rPr>
          <w:t>https://www.researchgate.net/publication/318013490_The_Five_Whys_Technique</w:t>
        </w:r>
      </w:hyperlink>
      <w:r>
        <w:rPr>
          <w:rFonts w:ascii="Arial" w:hAnsi="Arial"/>
          <w:sz w:val="22"/>
          <w:szCs w:val="22"/>
        </w:rPr>
        <w:t xml:space="preserve"> (Accessed: </w:t>
      </w:r>
      <w:r w:rsidR="00A74D82">
        <w:rPr>
          <w:rFonts w:ascii="Arial" w:hAnsi="Arial"/>
          <w:sz w:val="22"/>
          <w:szCs w:val="22"/>
        </w:rPr>
        <w:t>30</w:t>
      </w:r>
      <w:r>
        <w:rPr>
          <w:rFonts w:ascii="Arial" w:hAnsi="Arial"/>
          <w:sz w:val="22"/>
          <w:szCs w:val="22"/>
        </w:rPr>
        <w:t xml:space="preserve"> July 2026)</w:t>
      </w:r>
    </w:p>
    <w:p w14:paraId="0E41FAB2" w14:textId="26CF13E2" w:rsidR="00CE10BC" w:rsidRDefault="00326FAD">
      <w:pPr>
        <w:pStyle w:val="BodyText"/>
        <w:spacing w:after="0" w:line="360" w:lineRule="auto"/>
        <w:jc w:val="both"/>
      </w:pPr>
      <w:r>
        <w:rPr>
          <w:rFonts w:ascii="Arial" w:hAnsi="Arial"/>
          <w:sz w:val="22"/>
          <w:szCs w:val="22"/>
        </w:rPr>
        <w:tab/>
        <w:t xml:space="preserve">Radnor, Z.J., Holweg, M. and Waring, J. (2012) Lean in healthcare: The unfilled promise?, </w:t>
      </w:r>
      <w:r>
        <w:rPr>
          <w:rStyle w:val="Emphasis"/>
          <w:rFonts w:ascii="Arial" w:hAnsi="Arial"/>
          <w:sz w:val="22"/>
          <w:szCs w:val="22"/>
        </w:rPr>
        <w:t>Social Science &amp; Medicine</w:t>
      </w:r>
      <w:r>
        <w:rPr>
          <w:rFonts w:ascii="Arial" w:hAnsi="Arial"/>
          <w:sz w:val="22"/>
          <w:szCs w:val="22"/>
        </w:rPr>
        <w:t xml:space="preserve">, </w:t>
      </w:r>
      <w:r>
        <w:rPr>
          <w:rStyle w:val="Strong"/>
          <w:rFonts w:ascii="Arial" w:hAnsi="Arial"/>
          <w:b w:val="0"/>
          <w:bCs w:val="0"/>
          <w:sz w:val="22"/>
          <w:szCs w:val="22"/>
        </w:rPr>
        <w:t>74</w:t>
      </w:r>
      <w:r>
        <w:rPr>
          <w:rFonts w:ascii="Arial" w:hAnsi="Arial"/>
          <w:sz w:val="22"/>
          <w:szCs w:val="22"/>
        </w:rPr>
        <w:t xml:space="preserve">(3), pp. 364–371. Available at: </w:t>
      </w:r>
      <w:hyperlink r:id="rId32">
        <w:r>
          <w:rPr>
            <w:rStyle w:val="Hyperlink"/>
            <w:rFonts w:ascii="Arial" w:hAnsi="Arial"/>
            <w:sz w:val="22"/>
            <w:szCs w:val="22"/>
          </w:rPr>
          <w:t>https://www.sciencedirect.com/science/article/pii/S0277953611000979</w:t>
        </w:r>
      </w:hyperlink>
      <w:r>
        <w:rPr>
          <w:rFonts w:ascii="Arial" w:hAnsi="Arial"/>
          <w:sz w:val="22"/>
          <w:szCs w:val="22"/>
        </w:rPr>
        <w:t xml:space="preserve"> (Accessed: 2</w:t>
      </w:r>
      <w:r w:rsidR="00200A05">
        <w:rPr>
          <w:rFonts w:ascii="Arial" w:hAnsi="Arial"/>
          <w:sz w:val="22"/>
          <w:szCs w:val="22"/>
        </w:rPr>
        <w:t>7</w:t>
      </w:r>
      <w:r>
        <w:rPr>
          <w:rFonts w:ascii="Arial" w:hAnsi="Arial"/>
          <w:sz w:val="22"/>
          <w:szCs w:val="22"/>
        </w:rPr>
        <w:t xml:space="preserve"> July 2026)</w:t>
      </w:r>
    </w:p>
    <w:p w14:paraId="0E41FAB3" w14:textId="1CBF6D2D" w:rsidR="00CE10BC" w:rsidRDefault="00326FAD">
      <w:pPr>
        <w:pStyle w:val="BodyText"/>
        <w:spacing w:line="360" w:lineRule="auto"/>
        <w:jc w:val="both"/>
      </w:pPr>
      <w:r>
        <w:rPr>
          <w:rFonts w:ascii="Arial" w:hAnsi="Arial"/>
          <w:sz w:val="22"/>
          <w:szCs w:val="22"/>
        </w:rPr>
        <w:tab/>
        <w:t xml:space="preserve">Reason, J. (2000) Human error: Models and management, </w:t>
      </w:r>
      <w:r>
        <w:rPr>
          <w:rStyle w:val="Emphasis"/>
          <w:rFonts w:ascii="Arial" w:hAnsi="Arial"/>
          <w:sz w:val="22"/>
          <w:szCs w:val="22"/>
        </w:rPr>
        <w:t>BMJ</w:t>
      </w:r>
      <w:r>
        <w:rPr>
          <w:rFonts w:ascii="Arial" w:hAnsi="Arial"/>
          <w:sz w:val="22"/>
          <w:szCs w:val="22"/>
        </w:rPr>
        <w:t xml:space="preserve">, </w:t>
      </w:r>
      <w:r>
        <w:rPr>
          <w:rStyle w:val="Strong"/>
          <w:rFonts w:ascii="Arial" w:hAnsi="Arial"/>
          <w:b w:val="0"/>
          <w:bCs w:val="0"/>
          <w:sz w:val="22"/>
          <w:szCs w:val="22"/>
        </w:rPr>
        <w:t>320</w:t>
      </w:r>
      <w:r>
        <w:rPr>
          <w:rFonts w:ascii="Arial" w:hAnsi="Arial"/>
          <w:sz w:val="22"/>
          <w:szCs w:val="22"/>
        </w:rPr>
        <w:t xml:space="preserve">(7237), pp. 768–770. Available at: </w:t>
      </w:r>
      <w:hyperlink r:id="rId33">
        <w:r>
          <w:rPr>
            <w:rStyle w:val="Hyperlink"/>
            <w:rFonts w:ascii="Arial" w:hAnsi="Arial"/>
            <w:sz w:val="22"/>
            <w:szCs w:val="22"/>
          </w:rPr>
          <w:t>https://www.bmj.com/content/320/7237/768</w:t>
        </w:r>
      </w:hyperlink>
      <w:r>
        <w:rPr>
          <w:rFonts w:ascii="Arial" w:hAnsi="Arial"/>
          <w:sz w:val="22"/>
          <w:szCs w:val="22"/>
        </w:rPr>
        <w:t xml:space="preserve"> (Accessed: </w:t>
      </w:r>
      <w:r w:rsidR="00A74D82">
        <w:rPr>
          <w:rFonts w:ascii="Arial" w:hAnsi="Arial"/>
          <w:sz w:val="22"/>
          <w:szCs w:val="22"/>
        </w:rPr>
        <w:t xml:space="preserve">30 </w:t>
      </w:r>
      <w:r>
        <w:rPr>
          <w:rFonts w:ascii="Arial" w:hAnsi="Arial"/>
          <w:sz w:val="22"/>
          <w:szCs w:val="22"/>
        </w:rPr>
        <w:t>July 2026)</w:t>
      </w:r>
    </w:p>
    <w:p w14:paraId="0E41FAB4" w14:textId="085AD657" w:rsidR="00CE10BC" w:rsidRDefault="00326FAD">
      <w:pPr>
        <w:pStyle w:val="BodyText"/>
        <w:spacing w:after="0" w:line="360" w:lineRule="auto"/>
        <w:jc w:val="both"/>
      </w:pPr>
      <w:r>
        <w:rPr>
          <w:rFonts w:ascii="Arial" w:hAnsi="Arial"/>
          <w:sz w:val="22"/>
          <w:szCs w:val="22"/>
        </w:rPr>
        <w:tab/>
        <w:t xml:space="preserve">Taylor, M.J., McNicholas, C., Nicolay, C., Darzi, A., Bell, D. and Reed, J.E. (2014) Systematic review of the application of the Plan-Do-Study-Act method to improve quality in healthcare, </w:t>
      </w:r>
      <w:r>
        <w:rPr>
          <w:rStyle w:val="Emphasis"/>
          <w:rFonts w:ascii="Arial" w:hAnsi="Arial"/>
          <w:sz w:val="22"/>
          <w:szCs w:val="22"/>
        </w:rPr>
        <w:t>BMJ Quality &amp; Safety</w:t>
      </w:r>
      <w:r>
        <w:rPr>
          <w:rFonts w:ascii="Arial" w:hAnsi="Arial"/>
          <w:sz w:val="22"/>
          <w:szCs w:val="22"/>
        </w:rPr>
        <w:t xml:space="preserve">, </w:t>
      </w:r>
      <w:r>
        <w:rPr>
          <w:rStyle w:val="Strong"/>
          <w:rFonts w:ascii="Arial" w:hAnsi="Arial"/>
          <w:b w:val="0"/>
          <w:bCs w:val="0"/>
          <w:sz w:val="22"/>
          <w:szCs w:val="22"/>
        </w:rPr>
        <w:t>23</w:t>
      </w:r>
      <w:r>
        <w:rPr>
          <w:rFonts w:ascii="Arial" w:hAnsi="Arial"/>
          <w:sz w:val="22"/>
          <w:szCs w:val="22"/>
        </w:rPr>
        <w:t xml:space="preserve">(4), pp. 290–298. Available at: </w:t>
      </w:r>
      <w:hyperlink r:id="rId34">
        <w:r>
          <w:rPr>
            <w:rStyle w:val="Hyperlink"/>
            <w:rFonts w:ascii="Arial" w:hAnsi="Arial"/>
            <w:sz w:val="22"/>
            <w:szCs w:val="22"/>
          </w:rPr>
          <w:t>https://qualitysafety.bmj.com/content/23/4/290</w:t>
        </w:r>
      </w:hyperlink>
      <w:r>
        <w:rPr>
          <w:rFonts w:ascii="Arial" w:hAnsi="Arial"/>
          <w:sz w:val="22"/>
          <w:szCs w:val="22"/>
        </w:rPr>
        <w:t xml:space="preserve"> (Accessed: 1 </w:t>
      </w:r>
      <w:r w:rsidR="00A74D82">
        <w:rPr>
          <w:rFonts w:ascii="Arial" w:hAnsi="Arial"/>
          <w:sz w:val="22"/>
          <w:szCs w:val="22"/>
        </w:rPr>
        <w:t>Aug</w:t>
      </w:r>
      <w:r>
        <w:rPr>
          <w:rFonts w:ascii="Arial" w:hAnsi="Arial"/>
          <w:sz w:val="22"/>
          <w:szCs w:val="22"/>
        </w:rPr>
        <w:t xml:space="preserve"> 2026)</w:t>
      </w:r>
    </w:p>
    <w:p w14:paraId="0E41FAB5" w14:textId="77777777" w:rsidR="00CE10BC" w:rsidRDefault="00326FAD">
      <w:pPr>
        <w:pStyle w:val="BodyText"/>
        <w:spacing w:after="0" w:line="360" w:lineRule="auto"/>
        <w:jc w:val="both"/>
      </w:pPr>
      <w:r>
        <w:rPr>
          <w:rFonts w:ascii="Arial" w:hAnsi="Arial"/>
          <w:sz w:val="22"/>
          <w:szCs w:val="22"/>
        </w:rPr>
        <w:tab/>
        <w:t xml:space="preserve">Taylor, S.L., Dy, S.M., Foy, R., Hempel, S., McDonald, K.M., Øvretveit, J., Pronovost, P.J., Rubenstein, L.V., Wachter, R.M. and Shekelle, P.G. (2023) What context features might be important determinants of the effectiveness of patient safety practice interventions?, </w:t>
      </w:r>
      <w:r>
        <w:rPr>
          <w:rStyle w:val="Emphasis"/>
          <w:rFonts w:ascii="Arial" w:hAnsi="Arial"/>
          <w:sz w:val="22"/>
          <w:szCs w:val="22"/>
        </w:rPr>
        <w:t>BMJ Quality &amp; Safety</w:t>
      </w:r>
      <w:r>
        <w:rPr>
          <w:rFonts w:ascii="Arial" w:hAnsi="Arial"/>
          <w:sz w:val="22"/>
          <w:szCs w:val="22"/>
        </w:rPr>
        <w:t xml:space="preserve">, </w:t>
      </w:r>
      <w:r>
        <w:rPr>
          <w:rStyle w:val="Strong"/>
          <w:rFonts w:ascii="Arial" w:hAnsi="Arial"/>
          <w:b w:val="0"/>
          <w:bCs w:val="0"/>
          <w:sz w:val="22"/>
          <w:szCs w:val="22"/>
        </w:rPr>
        <w:t>32</w:t>
      </w:r>
      <w:r>
        <w:rPr>
          <w:rFonts w:ascii="Arial" w:hAnsi="Arial"/>
          <w:sz w:val="22"/>
          <w:szCs w:val="22"/>
        </w:rPr>
        <w:t>(2), pp. 101–111</w:t>
      </w:r>
    </w:p>
    <w:p w14:paraId="0E41FAB6" w14:textId="5A5D3EAA" w:rsidR="00CE10BC" w:rsidRDefault="00326FAD">
      <w:pPr>
        <w:pStyle w:val="BodyText"/>
        <w:spacing w:after="0" w:line="360" w:lineRule="auto"/>
        <w:jc w:val="both"/>
      </w:pPr>
      <w:r>
        <w:rPr>
          <w:rFonts w:ascii="Arial" w:hAnsi="Arial"/>
          <w:sz w:val="22"/>
          <w:szCs w:val="22"/>
        </w:rPr>
        <w:tab/>
        <w:t xml:space="preserve">The King's Fund (2017) </w:t>
      </w:r>
      <w:r>
        <w:rPr>
          <w:rFonts w:ascii="Arial" w:hAnsi="Arial"/>
          <w:i/>
          <w:iCs/>
          <w:sz w:val="22"/>
          <w:szCs w:val="22"/>
        </w:rPr>
        <w:t xml:space="preserve">Embedding a culture of </w:t>
      </w:r>
      <w:r>
        <w:rPr>
          <w:rStyle w:val="Emphasis"/>
          <w:rFonts w:ascii="Arial" w:hAnsi="Arial"/>
          <w:sz w:val="22"/>
          <w:szCs w:val="22"/>
        </w:rPr>
        <w:t>quality improvement.</w:t>
      </w:r>
      <w:r>
        <w:rPr>
          <w:rFonts w:ascii="Arial" w:hAnsi="Arial"/>
          <w:i/>
          <w:iCs/>
          <w:sz w:val="22"/>
          <w:szCs w:val="22"/>
        </w:rPr>
        <w:t xml:space="preserve"> </w:t>
      </w:r>
      <w:r>
        <w:rPr>
          <w:rFonts w:ascii="Arial" w:hAnsi="Arial"/>
          <w:sz w:val="22"/>
          <w:szCs w:val="22"/>
        </w:rPr>
        <w:t xml:space="preserve">Available at: </w:t>
      </w:r>
      <w:hyperlink r:id="rId35">
        <w:r>
          <w:rPr>
            <w:rStyle w:val="Hyperlink"/>
            <w:rFonts w:ascii="Arial" w:hAnsi="Arial"/>
            <w:sz w:val="22"/>
            <w:szCs w:val="22"/>
          </w:rPr>
          <w:t>https://assets.kingsfund.org.uk/f/256914/x/9fa0215ed8/embedding_culture_quality_improvement_2017.pdf</w:t>
        </w:r>
      </w:hyperlink>
      <w:r>
        <w:rPr>
          <w:rFonts w:ascii="Arial" w:hAnsi="Arial"/>
          <w:sz w:val="22"/>
          <w:szCs w:val="22"/>
        </w:rPr>
        <w:t xml:space="preserve">  (Accessed: 2 </w:t>
      </w:r>
      <w:r w:rsidR="00A74D82">
        <w:rPr>
          <w:rFonts w:ascii="Arial" w:hAnsi="Arial"/>
          <w:sz w:val="22"/>
          <w:szCs w:val="22"/>
        </w:rPr>
        <w:t>Aug</w:t>
      </w:r>
      <w:r>
        <w:rPr>
          <w:rFonts w:ascii="Arial" w:hAnsi="Arial"/>
          <w:sz w:val="22"/>
          <w:szCs w:val="22"/>
        </w:rPr>
        <w:t xml:space="preserve"> 2026)</w:t>
      </w:r>
    </w:p>
    <w:p w14:paraId="0E41FAB7" w14:textId="6439820A" w:rsidR="00CE10BC" w:rsidRDefault="00326FAD">
      <w:pPr>
        <w:pStyle w:val="BodyText"/>
        <w:spacing w:line="360" w:lineRule="auto"/>
        <w:jc w:val="both"/>
      </w:pPr>
      <w:r>
        <w:rPr>
          <w:rFonts w:ascii="Arial" w:hAnsi="Arial"/>
          <w:sz w:val="22"/>
          <w:szCs w:val="22"/>
        </w:rPr>
        <w:tab/>
        <w:t xml:space="preserve">West, M., Armit, K., Loewenthal, L., Eckert, R., West, T. and Lee, A. (2017) </w:t>
      </w:r>
      <w:r>
        <w:rPr>
          <w:rStyle w:val="Emphasis"/>
          <w:rFonts w:ascii="Arial" w:hAnsi="Arial"/>
          <w:sz w:val="22"/>
          <w:szCs w:val="22"/>
        </w:rPr>
        <w:t>Leadership and Leadership Development in Healthcare: The Evidence Base</w:t>
      </w:r>
      <w:r>
        <w:rPr>
          <w:rFonts w:ascii="Arial" w:hAnsi="Arial"/>
          <w:sz w:val="22"/>
          <w:szCs w:val="22"/>
        </w:rPr>
        <w:t xml:space="preserve">. London: The King's Fund, </w:t>
      </w:r>
      <w:r>
        <w:rPr>
          <w:rStyle w:val="Strong"/>
          <w:rFonts w:ascii="Arial" w:hAnsi="Arial"/>
          <w:b w:val="0"/>
          <w:bCs w:val="0"/>
          <w:sz w:val="22"/>
          <w:szCs w:val="22"/>
        </w:rPr>
        <w:t>pp. 9–36</w:t>
      </w:r>
      <w:r>
        <w:rPr>
          <w:rFonts w:ascii="Arial" w:hAnsi="Arial"/>
          <w:sz w:val="22"/>
          <w:szCs w:val="22"/>
        </w:rPr>
        <w:t xml:space="preserve">. Available at: </w:t>
      </w:r>
      <w:hyperlink r:id="rId36">
        <w:r>
          <w:rPr>
            <w:rStyle w:val="Hyperlink"/>
            <w:rFonts w:ascii="Arial" w:hAnsi="Arial"/>
            <w:sz w:val="22"/>
            <w:szCs w:val="22"/>
          </w:rPr>
          <w:t>https://www.kingsfund.org.uk/publications/leadership-and-leadership-development-health-care</w:t>
        </w:r>
      </w:hyperlink>
      <w:r>
        <w:rPr>
          <w:rFonts w:ascii="Arial" w:hAnsi="Arial"/>
          <w:sz w:val="22"/>
          <w:szCs w:val="22"/>
        </w:rPr>
        <w:t xml:space="preserve"> (Accessed: </w:t>
      </w:r>
      <w:r w:rsidR="00A74D82">
        <w:rPr>
          <w:rFonts w:ascii="Arial" w:hAnsi="Arial"/>
          <w:sz w:val="22"/>
          <w:szCs w:val="22"/>
        </w:rPr>
        <w:t>30</w:t>
      </w:r>
      <w:r>
        <w:rPr>
          <w:rFonts w:ascii="Arial" w:hAnsi="Arial"/>
          <w:sz w:val="22"/>
          <w:szCs w:val="22"/>
        </w:rPr>
        <w:t xml:space="preserve"> July 2026)</w:t>
      </w:r>
    </w:p>
    <w:p w14:paraId="0E41FAB8" w14:textId="36BD42D5" w:rsidR="00CE10BC" w:rsidRDefault="00326FAD">
      <w:pPr>
        <w:pStyle w:val="BodyText"/>
        <w:spacing w:after="0" w:line="360" w:lineRule="auto"/>
        <w:jc w:val="both"/>
      </w:pPr>
      <w:r>
        <w:rPr>
          <w:rFonts w:ascii="Arial" w:hAnsi="Arial"/>
          <w:sz w:val="22"/>
          <w:szCs w:val="22"/>
        </w:rPr>
        <w:tab/>
        <w:t xml:space="preserve">West, M., Bailey, S. and Williams, E. (2022) </w:t>
      </w:r>
      <w:r>
        <w:rPr>
          <w:rStyle w:val="Emphasis"/>
          <w:rFonts w:ascii="Arial" w:hAnsi="Arial"/>
          <w:sz w:val="22"/>
          <w:szCs w:val="22"/>
        </w:rPr>
        <w:t>The Courage of Compassion: Supporting Nurses and Midwives to Deliver High-Quality Care</w:t>
      </w:r>
      <w:r>
        <w:rPr>
          <w:rFonts w:ascii="Arial" w:hAnsi="Arial"/>
          <w:sz w:val="22"/>
          <w:szCs w:val="22"/>
        </w:rPr>
        <w:t xml:space="preserve">. London: The King's Fund, </w:t>
      </w:r>
      <w:r>
        <w:rPr>
          <w:rStyle w:val="Strong"/>
          <w:rFonts w:ascii="Arial" w:hAnsi="Arial"/>
          <w:b w:val="0"/>
          <w:bCs w:val="0"/>
          <w:sz w:val="22"/>
          <w:szCs w:val="22"/>
        </w:rPr>
        <w:t>pp. 15–42</w:t>
      </w:r>
      <w:r>
        <w:rPr>
          <w:rFonts w:ascii="Arial" w:hAnsi="Arial"/>
          <w:sz w:val="22"/>
          <w:szCs w:val="22"/>
        </w:rPr>
        <w:t xml:space="preserve">. Available at: </w:t>
      </w:r>
      <w:hyperlink r:id="rId37">
        <w:r>
          <w:rPr>
            <w:rStyle w:val="Hyperlink"/>
            <w:rFonts w:ascii="Arial" w:hAnsi="Arial"/>
            <w:sz w:val="22"/>
            <w:szCs w:val="22"/>
          </w:rPr>
          <w:t>https://www.kingsfund.org.uk/publications/courage-compassion-supporting-nurses-midwives</w:t>
        </w:r>
      </w:hyperlink>
      <w:r>
        <w:rPr>
          <w:rFonts w:ascii="Arial" w:hAnsi="Arial"/>
          <w:sz w:val="22"/>
          <w:szCs w:val="22"/>
        </w:rPr>
        <w:t xml:space="preserve"> (Accessed: </w:t>
      </w:r>
      <w:r w:rsidR="00A74D82">
        <w:rPr>
          <w:rFonts w:ascii="Arial" w:hAnsi="Arial"/>
          <w:sz w:val="22"/>
          <w:szCs w:val="22"/>
        </w:rPr>
        <w:t>3</w:t>
      </w:r>
      <w:r>
        <w:rPr>
          <w:rFonts w:ascii="Arial" w:hAnsi="Arial"/>
          <w:sz w:val="22"/>
          <w:szCs w:val="22"/>
        </w:rPr>
        <w:t>0 July 2026)</w:t>
      </w:r>
    </w:p>
    <w:p w14:paraId="0E41FAB9" w14:textId="13314A47" w:rsidR="00CE10BC" w:rsidRDefault="00326FAD">
      <w:pPr>
        <w:pStyle w:val="BodyText"/>
        <w:spacing w:after="0" w:line="360" w:lineRule="auto"/>
        <w:jc w:val="both"/>
      </w:pPr>
      <w:r>
        <w:rPr>
          <w:rFonts w:ascii="Arial" w:hAnsi="Arial"/>
          <w:sz w:val="22"/>
          <w:szCs w:val="22"/>
        </w:rPr>
        <w:tab/>
        <w:t xml:space="preserve">World Health Organization (WHO) (2021) </w:t>
      </w:r>
      <w:r>
        <w:rPr>
          <w:rStyle w:val="Emphasis"/>
          <w:rFonts w:ascii="Arial" w:hAnsi="Arial"/>
          <w:sz w:val="22"/>
          <w:szCs w:val="22"/>
        </w:rPr>
        <w:t>Global Patient Safety Action Plan 2021–2030: Towards Eliminating Avoidable Harm in Health Care</w:t>
      </w:r>
      <w:r>
        <w:rPr>
          <w:rFonts w:ascii="Arial" w:hAnsi="Arial"/>
          <w:sz w:val="22"/>
          <w:szCs w:val="22"/>
        </w:rPr>
        <w:t xml:space="preserve">. Geneva: World Health Organization. Available at: </w:t>
      </w:r>
      <w:hyperlink r:id="rId38" w:tgtFrame="_new">
        <w:r>
          <w:rPr>
            <w:rStyle w:val="Hyperlink"/>
            <w:rFonts w:ascii="Arial" w:hAnsi="Arial"/>
            <w:sz w:val="22"/>
            <w:szCs w:val="22"/>
          </w:rPr>
          <w:t>https://www.who.int/publications/i/item/9789240032705</w:t>
        </w:r>
      </w:hyperlink>
      <w:r>
        <w:rPr>
          <w:rFonts w:ascii="Arial" w:hAnsi="Arial"/>
          <w:sz w:val="22"/>
          <w:szCs w:val="22"/>
        </w:rPr>
        <w:t xml:space="preserve"> (Accessed: </w:t>
      </w:r>
      <w:r w:rsidR="00A74D82">
        <w:rPr>
          <w:rFonts w:ascii="Arial" w:hAnsi="Arial"/>
          <w:sz w:val="22"/>
          <w:szCs w:val="22"/>
        </w:rPr>
        <w:t>3</w:t>
      </w:r>
      <w:r>
        <w:rPr>
          <w:rFonts w:ascii="Arial" w:hAnsi="Arial"/>
          <w:sz w:val="22"/>
          <w:szCs w:val="22"/>
        </w:rPr>
        <w:t>0 July 2026)</w:t>
      </w:r>
    </w:p>
    <w:p w14:paraId="0E41FABA" w14:textId="77777777" w:rsidR="00CE10BC" w:rsidRDefault="00326FAD">
      <w:pPr>
        <w:pStyle w:val="BodyText"/>
        <w:spacing w:line="360" w:lineRule="auto"/>
        <w:jc w:val="both"/>
        <w:rPr>
          <w:rFonts w:ascii="Arial" w:hAnsi="Arial"/>
          <w:sz w:val="22"/>
          <w:szCs w:val="22"/>
        </w:rPr>
      </w:pPr>
      <w:r>
        <w:rPr>
          <w:rFonts w:ascii="Arial" w:hAnsi="Arial"/>
          <w:sz w:val="22"/>
          <w:szCs w:val="22"/>
        </w:rPr>
        <w:tab/>
        <w:t xml:space="preserve">Zonsius, M. and Milner, J. (2021) Applying the Five Whys technique to improve healthcare quality: A practical review', </w:t>
      </w:r>
      <w:r>
        <w:rPr>
          <w:rStyle w:val="Emphasis"/>
          <w:rFonts w:ascii="Arial" w:hAnsi="Arial"/>
          <w:sz w:val="22"/>
          <w:szCs w:val="22"/>
        </w:rPr>
        <w:t>Journal of Healthcare Quality</w:t>
      </w:r>
      <w:r>
        <w:rPr>
          <w:rFonts w:ascii="Arial" w:hAnsi="Arial"/>
          <w:sz w:val="22"/>
          <w:szCs w:val="22"/>
        </w:rPr>
        <w:t xml:space="preserve">, </w:t>
      </w:r>
      <w:r>
        <w:rPr>
          <w:rStyle w:val="Strong"/>
          <w:rFonts w:ascii="Arial" w:hAnsi="Arial"/>
          <w:b w:val="0"/>
          <w:bCs w:val="0"/>
          <w:sz w:val="22"/>
          <w:szCs w:val="22"/>
        </w:rPr>
        <w:t>43</w:t>
      </w:r>
      <w:r>
        <w:rPr>
          <w:rFonts w:ascii="Arial" w:hAnsi="Arial"/>
          <w:sz w:val="22"/>
          <w:szCs w:val="22"/>
        </w:rPr>
        <w:t>(5), pp. 285–293</w:t>
      </w:r>
    </w:p>
    <w:p w14:paraId="1054AF8B" w14:textId="77777777" w:rsidR="005A693D" w:rsidRDefault="005A693D">
      <w:pPr>
        <w:pStyle w:val="BodyText"/>
        <w:spacing w:line="360" w:lineRule="auto"/>
        <w:jc w:val="both"/>
        <w:rPr>
          <w:rFonts w:ascii="Arial" w:hAnsi="Arial"/>
          <w:sz w:val="22"/>
          <w:szCs w:val="22"/>
        </w:rPr>
      </w:pPr>
    </w:p>
    <w:p w14:paraId="4587BFB9" w14:textId="77777777" w:rsidR="005A693D" w:rsidRDefault="005A693D">
      <w:pPr>
        <w:pStyle w:val="BodyText"/>
        <w:spacing w:line="360" w:lineRule="auto"/>
        <w:jc w:val="both"/>
      </w:pPr>
    </w:p>
    <w:sectPr w:rsidR="005A693D">
      <w:footerReference w:type="default" r:id="rId39"/>
      <w:pgSz w:w="11906" w:h="16838"/>
      <w:pgMar w:top="1134" w:right="1134" w:bottom="1693" w:left="1134" w:header="0" w:footer="1134" w:gutter="0"/>
      <w:cols w:space="720"/>
      <w:formProt w:val="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3C8DF" w14:textId="77777777" w:rsidR="003911F3" w:rsidRDefault="003911F3">
      <w:r>
        <w:separator/>
      </w:r>
    </w:p>
  </w:endnote>
  <w:endnote w:type="continuationSeparator" w:id="0">
    <w:p w14:paraId="15B19DA4" w14:textId="77777777" w:rsidR="003911F3" w:rsidRDefault="003911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ndale Sans UI">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swiss"/>
    <w:pitch w:val="variable"/>
  </w:font>
  <w:font w:name="MS UI Gothic">
    <w:panose1 w:val="020B0600070205080204"/>
    <w:charset w:val="80"/>
    <w:family w:val="swiss"/>
    <w:pitch w:val="variable"/>
    <w:sig w:usb0="E00002FF" w:usb1="6AC7FDFB" w:usb2="08000012" w:usb3="00000000" w:csb0="0002009F" w:csb1="00000000"/>
  </w:font>
  <w:font w:name="OpenSymbol">
    <w:altName w:val="Cambria"/>
    <w:charset w:val="00"/>
    <w:family w:val="roman"/>
    <w:pitch w:val="variable"/>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1FAC1" w14:textId="77777777" w:rsidR="00CE10BC" w:rsidRDefault="00326FAD">
    <w:pPr>
      <w:pStyle w:val="Footer"/>
      <w:rPr>
        <w:rFonts w:ascii="Arial" w:hAnsi="Arial"/>
      </w:rPr>
    </w:pPr>
    <w:r>
      <w:rPr>
        <w:rFonts w:ascii="Arial" w:hAnsi="Arial"/>
      </w:rPr>
      <w:tab/>
    </w:r>
    <w:r>
      <w:rPr>
        <w:rFonts w:ascii="Arial" w:hAnsi="Arial"/>
        <w:sz w:val="22"/>
        <w:szCs w:val="22"/>
      </w:rPr>
      <w:fldChar w:fldCharType="begin"/>
    </w:r>
    <w:r>
      <w:rPr>
        <w:rFonts w:ascii="Arial" w:hAnsi="Arial"/>
        <w:sz w:val="22"/>
        <w:szCs w:val="22"/>
      </w:rPr>
      <w:instrText xml:space="preserve"> PAGE </w:instrText>
    </w:r>
    <w:r>
      <w:rPr>
        <w:rFonts w:ascii="Arial" w:hAnsi="Arial"/>
        <w:sz w:val="22"/>
        <w:szCs w:val="22"/>
      </w:rPr>
      <w:fldChar w:fldCharType="separate"/>
    </w:r>
    <w:r>
      <w:rPr>
        <w:rFonts w:ascii="Arial" w:hAnsi="Arial"/>
        <w:sz w:val="22"/>
        <w:szCs w:val="22"/>
      </w:rPr>
      <w:t>12</w:t>
    </w:r>
    <w:r>
      <w:rPr>
        <w:rFonts w:ascii="Arial" w:hAnsi="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59436" w14:textId="77777777" w:rsidR="003911F3" w:rsidRDefault="003911F3">
      <w:r>
        <w:separator/>
      </w:r>
    </w:p>
  </w:footnote>
  <w:footnote w:type="continuationSeparator" w:id="0">
    <w:p w14:paraId="656B3630" w14:textId="77777777" w:rsidR="003911F3" w:rsidRDefault="003911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0363D"/>
    <w:multiLevelType w:val="multilevel"/>
    <w:tmpl w:val="F540542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140774F2"/>
    <w:multiLevelType w:val="multilevel"/>
    <w:tmpl w:val="2A3219AE"/>
    <w:lvl w:ilvl="0">
      <w:start w:val="1"/>
      <w:numFmt w:val="none"/>
      <w:pStyle w:val="Heading1"/>
      <w:suff w:val="nothing"/>
      <w:lvlText w:val="%1"/>
      <w:lvlJc w:val="left"/>
      <w:pPr>
        <w:tabs>
          <w:tab w:val="num" w:pos="0"/>
        </w:tabs>
        <w:ind w:left="432" w:hanging="432"/>
      </w:pPr>
    </w:lvl>
    <w:lvl w:ilvl="1">
      <w:start w:val="1"/>
      <w:numFmt w:val="none"/>
      <w:pStyle w:val="Heading2"/>
      <w:suff w:val="nothing"/>
      <w:lvlText w:val="%2"/>
      <w:lvlJc w:val="left"/>
      <w:pPr>
        <w:tabs>
          <w:tab w:val="num" w:pos="0"/>
        </w:tabs>
        <w:ind w:left="576" w:hanging="576"/>
      </w:pPr>
    </w:lvl>
    <w:lvl w:ilvl="2">
      <w:start w:val="1"/>
      <w:numFmt w:val="none"/>
      <w:pStyle w:val="Heading3"/>
      <w:suff w:val="nothing"/>
      <w:lvlText w:val="%3"/>
      <w:lvlJc w:val="left"/>
      <w:pPr>
        <w:tabs>
          <w:tab w:val="num" w:pos="0"/>
        </w:tabs>
        <w:ind w:left="720" w:hanging="720"/>
      </w:pPr>
    </w:lvl>
    <w:lvl w:ilvl="3">
      <w:start w:val="1"/>
      <w:numFmt w:val="none"/>
      <w:suff w:val="nothing"/>
      <w:lvlText w:val="%4"/>
      <w:lvlJc w:val="left"/>
      <w:pPr>
        <w:tabs>
          <w:tab w:val="num" w:pos="0"/>
        </w:tabs>
        <w:ind w:left="864" w:hanging="864"/>
      </w:pPr>
    </w:lvl>
    <w:lvl w:ilvl="4">
      <w:start w:val="1"/>
      <w:numFmt w:val="none"/>
      <w:pStyle w:val="Heading5"/>
      <w:suff w:val="nothing"/>
      <w:lvlText w:val="%5"/>
      <w:lvlJc w:val="left"/>
      <w:pPr>
        <w:tabs>
          <w:tab w:val="num" w:pos="0"/>
        </w:tabs>
        <w:ind w:left="1008" w:hanging="1008"/>
      </w:pPr>
    </w:lvl>
    <w:lvl w:ilvl="5">
      <w:start w:val="1"/>
      <w:numFmt w:val="none"/>
      <w:pStyle w:val="Heading6"/>
      <w:suff w:val="nothing"/>
      <w:lvlText w:val="%6"/>
      <w:lvlJc w:val="left"/>
      <w:pPr>
        <w:tabs>
          <w:tab w:val="num" w:pos="0"/>
        </w:tabs>
        <w:ind w:left="1152" w:hanging="1152"/>
      </w:pPr>
    </w:lvl>
    <w:lvl w:ilvl="6">
      <w:start w:val="1"/>
      <w:numFmt w:val="none"/>
      <w:pStyle w:val="Heading7"/>
      <w:suff w:val="nothing"/>
      <w:lvlText w:val="%7"/>
      <w:lvlJc w:val="left"/>
      <w:pPr>
        <w:tabs>
          <w:tab w:val="num" w:pos="0"/>
        </w:tabs>
        <w:ind w:left="1296" w:hanging="1296"/>
      </w:pPr>
    </w:lvl>
    <w:lvl w:ilvl="7">
      <w:start w:val="1"/>
      <w:numFmt w:val="none"/>
      <w:pStyle w:val="Heading8"/>
      <w:suff w:val="nothing"/>
      <w:lvlText w:val="%8"/>
      <w:lvlJc w:val="left"/>
      <w:pPr>
        <w:tabs>
          <w:tab w:val="num" w:pos="0"/>
        </w:tabs>
        <w:ind w:left="1440" w:hanging="1440"/>
      </w:pPr>
    </w:lvl>
    <w:lvl w:ilvl="8">
      <w:start w:val="1"/>
      <w:numFmt w:val="none"/>
      <w:pStyle w:val="Heading9"/>
      <w:suff w:val="nothing"/>
      <w:lvlText w:val="%9"/>
      <w:lvlJc w:val="left"/>
      <w:pPr>
        <w:tabs>
          <w:tab w:val="num" w:pos="0"/>
        </w:tabs>
        <w:ind w:left="1584" w:hanging="1584"/>
      </w:pPr>
    </w:lvl>
  </w:abstractNum>
  <w:num w:numId="1" w16cid:durableId="2027094028">
    <w:abstractNumId w:val="1"/>
  </w:num>
  <w:num w:numId="2" w16cid:durableId="340622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06"/>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10BC"/>
    <w:rsid w:val="001E44D6"/>
    <w:rsid w:val="001F0CEE"/>
    <w:rsid w:val="00200A05"/>
    <w:rsid w:val="0025647E"/>
    <w:rsid w:val="00326FAD"/>
    <w:rsid w:val="003911F3"/>
    <w:rsid w:val="004E4EC8"/>
    <w:rsid w:val="005A693D"/>
    <w:rsid w:val="005C007D"/>
    <w:rsid w:val="00611967"/>
    <w:rsid w:val="00624851"/>
    <w:rsid w:val="006316CC"/>
    <w:rsid w:val="007C5980"/>
    <w:rsid w:val="008F135F"/>
    <w:rsid w:val="00900518"/>
    <w:rsid w:val="00A55CA1"/>
    <w:rsid w:val="00A74D82"/>
    <w:rsid w:val="00A858C1"/>
    <w:rsid w:val="00B16F9A"/>
    <w:rsid w:val="00B54327"/>
    <w:rsid w:val="00BB74B1"/>
    <w:rsid w:val="00BD4372"/>
    <w:rsid w:val="00C234A1"/>
    <w:rsid w:val="00CE10BC"/>
    <w:rsid w:val="00E75965"/>
    <w:rsid w:val="00ED48A7"/>
    <w:rsid w:val="00F00C80"/>
    <w:rsid w:val="00F63E47"/>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1F957"/>
  <w15:docId w15:val="{4FB30996-1C5F-4CD9-9E16-ECAB0F4C2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ndale Sans UI" w:hAnsi="Times New Roman" w:cs="Tahoma"/>
        <w:kern w:val="2"/>
        <w:sz w:val="24"/>
        <w:szCs w:val="24"/>
        <w:lang w:val="de-DE" w:eastAsia="ja-JP" w:bidi="fa-IR"/>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Heading"/>
    <w:next w:val="BodyText"/>
    <w:uiPriority w:val="9"/>
    <w:qFormat/>
    <w:pPr>
      <w:numPr>
        <w:numId w:val="1"/>
      </w:numPr>
      <w:outlineLvl w:val="0"/>
    </w:pPr>
    <w:rPr>
      <w:b/>
      <w:bCs/>
      <w:sz w:val="36"/>
      <w:szCs w:val="36"/>
    </w:rPr>
  </w:style>
  <w:style w:type="paragraph" w:styleId="Heading2">
    <w:name w:val="heading 2"/>
    <w:basedOn w:val="Heading"/>
    <w:next w:val="BodyText"/>
    <w:uiPriority w:val="9"/>
    <w:semiHidden/>
    <w:unhideWhenUsed/>
    <w:qFormat/>
    <w:pPr>
      <w:numPr>
        <w:ilvl w:val="1"/>
        <w:numId w:val="1"/>
      </w:numPr>
      <w:spacing w:before="200"/>
      <w:outlineLvl w:val="1"/>
    </w:pPr>
    <w:rPr>
      <w:b/>
      <w:bCs/>
      <w:sz w:val="32"/>
      <w:szCs w:val="32"/>
    </w:rPr>
  </w:style>
  <w:style w:type="paragraph" w:styleId="Heading3">
    <w:name w:val="heading 3"/>
    <w:basedOn w:val="Heading"/>
    <w:next w:val="BodyText"/>
    <w:uiPriority w:val="9"/>
    <w:semiHidden/>
    <w:unhideWhenUsed/>
    <w:qFormat/>
    <w:pPr>
      <w:numPr>
        <w:ilvl w:val="2"/>
        <w:numId w:val="1"/>
      </w:numPr>
      <w:spacing w:before="140"/>
      <w:outlineLvl w:val="2"/>
    </w:pPr>
    <w:rPr>
      <w:b/>
      <w:bCs/>
    </w:rPr>
  </w:style>
  <w:style w:type="paragraph" w:styleId="Heading4">
    <w:name w:val="heading 4"/>
    <w:basedOn w:val="Heading"/>
    <w:next w:val="BodyText"/>
    <w:uiPriority w:val="9"/>
    <w:semiHidden/>
    <w:unhideWhenUsed/>
    <w:qFormat/>
    <w:pPr>
      <w:spacing w:before="120"/>
      <w:outlineLvl w:val="3"/>
    </w:pPr>
    <w:rPr>
      <w:rFonts w:ascii="Liberation Serif" w:eastAsia="MS UI Gothic" w:hAnsi="Liberation Serif"/>
      <w:b/>
      <w:bCs/>
      <w:sz w:val="24"/>
      <w:szCs w:val="24"/>
    </w:rPr>
  </w:style>
  <w:style w:type="paragraph" w:styleId="Heading5">
    <w:name w:val="heading 5"/>
    <w:basedOn w:val="Heading"/>
    <w:next w:val="BodyText"/>
    <w:uiPriority w:val="9"/>
    <w:semiHidden/>
    <w:unhideWhenUsed/>
    <w:qFormat/>
    <w:pPr>
      <w:numPr>
        <w:ilvl w:val="4"/>
        <w:numId w:val="1"/>
      </w:numPr>
      <w:spacing w:before="120" w:after="60"/>
      <w:outlineLvl w:val="4"/>
    </w:pPr>
    <w:rPr>
      <w:b/>
      <w:bCs/>
      <w:sz w:val="24"/>
      <w:szCs w:val="24"/>
    </w:rPr>
  </w:style>
  <w:style w:type="paragraph" w:styleId="Heading6">
    <w:name w:val="heading 6"/>
    <w:basedOn w:val="Heading"/>
    <w:next w:val="BodyText"/>
    <w:uiPriority w:val="9"/>
    <w:semiHidden/>
    <w:unhideWhenUsed/>
    <w:qFormat/>
    <w:pPr>
      <w:numPr>
        <w:ilvl w:val="5"/>
        <w:numId w:val="1"/>
      </w:numPr>
      <w:spacing w:before="60" w:after="60"/>
      <w:outlineLvl w:val="5"/>
    </w:pPr>
    <w:rPr>
      <w:b/>
      <w:bCs/>
      <w:i/>
      <w:iCs/>
      <w:sz w:val="24"/>
      <w:szCs w:val="24"/>
    </w:rPr>
  </w:style>
  <w:style w:type="paragraph" w:styleId="Heading7">
    <w:name w:val="heading 7"/>
    <w:basedOn w:val="Heading"/>
    <w:next w:val="BodyText"/>
    <w:qFormat/>
    <w:pPr>
      <w:numPr>
        <w:ilvl w:val="6"/>
        <w:numId w:val="1"/>
      </w:numPr>
      <w:spacing w:before="60" w:after="60"/>
      <w:outlineLvl w:val="6"/>
    </w:pPr>
    <w:rPr>
      <w:b/>
      <w:bCs/>
      <w:sz w:val="20"/>
      <w:szCs w:val="20"/>
    </w:rPr>
  </w:style>
  <w:style w:type="paragraph" w:styleId="Heading8">
    <w:name w:val="heading 8"/>
    <w:basedOn w:val="Heading"/>
    <w:next w:val="BodyText"/>
    <w:qFormat/>
    <w:pPr>
      <w:numPr>
        <w:ilvl w:val="7"/>
        <w:numId w:val="1"/>
      </w:numPr>
      <w:spacing w:before="60" w:after="60"/>
      <w:outlineLvl w:val="7"/>
    </w:pPr>
    <w:rPr>
      <w:b/>
      <w:bCs/>
      <w:i/>
      <w:iCs/>
      <w:sz w:val="20"/>
      <w:szCs w:val="20"/>
    </w:rPr>
  </w:style>
  <w:style w:type="paragraph" w:styleId="Heading9">
    <w:name w:val="heading 9"/>
    <w:basedOn w:val="Heading"/>
    <w:next w:val="BodyText"/>
    <w:qFormat/>
    <w:pPr>
      <w:numPr>
        <w:ilvl w:val="8"/>
        <w:numId w:val="1"/>
      </w:numPr>
      <w:spacing w:before="60" w:after="60"/>
      <w:outlineLvl w:val="8"/>
    </w:pPr>
    <w:rPr>
      <w:b/>
      <w:bCs/>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qFormat/>
    <w:rPr>
      <w:b/>
      <w:bCs/>
    </w:rPr>
  </w:style>
  <w:style w:type="character" w:styleId="Emphasis">
    <w:name w:val="Emphasis"/>
    <w:qFormat/>
    <w:rPr>
      <w:i/>
      <w:iCs/>
    </w:rPr>
  </w:style>
  <w:style w:type="character" w:customStyle="1" w:styleId="NumberingSymbols">
    <w:name w:val="Numbering Symbols"/>
    <w:qFormat/>
  </w:style>
  <w:style w:type="character" w:styleId="Hyperlink">
    <w:name w:val="Hyperlink"/>
    <w:rPr>
      <w:color w:val="000080"/>
      <w:u w:val="single"/>
    </w:rPr>
  </w:style>
  <w:style w:type="character" w:styleId="FollowedHyperlink">
    <w:name w:val="FollowedHyperlink"/>
    <w:rPr>
      <w:color w:val="800000"/>
      <w:u w:val="single"/>
    </w:rPr>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Arial" w:hAnsi="Arial"/>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HeaderandFooter">
    <w:name w:val="Header and Footer"/>
    <w:basedOn w:val="Normal"/>
    <w:qFormat/>
    <w:pPr>
      <w:suppressLineNumbers/>
      <w:tabs>
        <w:tab w:val="center" w:pos="4818"/>
        <w:tab w:val="right" w:pos="9637"/>
      </w:tabs>
    </w:pPr>
  </w:style>
  <w:style w:type="paragraph" w:styleId="Footer">
    <w:name w:val="footer"/>
    <w:basedOn w:val="HeaderandFooter"/>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paragraph" w:customStyle="1" w:styleId="Heading10">
    <w:name w:val="Heading 10"/>
    <w:basedOn w:val="Heading"/>
    <w:next w:val="BodyText"/>
    <w:qFormat/>
    <w:pPr>
      <w:tabs>
        <w:tab w:val="num" w:pos="0"/>
      </w:tabs>
      <w:spacing w:before="60" w:after="60"/>
      <w:ind w:left="1584" w:hanging="1584"/>
      <w:outlineLvl w:val="8"/>
    </w:pPr>
    <w:rPr>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b3e22ed915d4147620d46/berwick-report.pdf" TargetMode="External"/><Relationship Id="rId18" Type="http://schemas.openxmlformats.org/officeDocument/2006/relationships/hyperlink" Target="https://www.cqc.org.uk/guidance-providers/regulations-enforcement/regulation-18-staffing" TargetMode="External"/><Relationship Id="rId26" Type="http://schemas.openxmlformats.org/officeDocument/2006/relationships/hyperlink" Target="https://www.england.nhs.uk/wp-content/uploads/2021/04/nhsi-patient-experience-improvement-framework.pdf" TargetMode="External"/><Relationship Id="rId39" Type="http://schemas.openxmlformats.org/officeDocument/2006/relationships/footer" Target="footer1.xml"/><Relationship Id="rId21" Type="http://schemas.openxmlformats.org/officeDocument/2006/relationships/hyperlink" Target="https://assets.publishing.service.gov.uk/media/547c4a4de5274a429000001d/0947.pdf" TargetMode="External"/><Relationship Id="rId34" Type="http://schemas.openxmlformats.org/officeDocument/2006/relationships/hyperlink" Target="https://qualitysafety.bmj.com/content/23/4/29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qc.org.uk/guidance-providers/regulations-enforcement/regulation-12-safe-care-treatment" TargetMode="External"/><Relationship Id="rId20" Type="http://schemas.openxmlformats.org/officeDocument/2006/relationships/hyperlink" Target="https://jamanetwork.com/journals/jama/article-abstract/374139" TargetMode="External"/><Relationship Id="rId29" Type="http://schemas.openxmlformats.org/officeDocument/2006/relationships/hyperlink" Target="https://www.nice.org.uk/guidance/sg1?utm_source=chatgpt.co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2212420925002171" TargetMode="External"/><Relationship Id="rId24" Type="http://schemas.openxmlformats.org/officeDocument/2006/relationships/hyperlink" Target="https://www.mindtools.com/aqgrefw/personal-pest-analysis/" TargetMode="External"/><Relationship Id="rId32" Type="http://schemas.openxmlformats.org/officeDocument/2006/relationships/hyperlink" Target="https://www.sciencedirect.com/science/article/pii/S0277953611000979" TargetMode="External"/><Relationship Id="rId37" Type="http://schemas.openxmlformats.org/officeDocument/2006/relationships/hyperlink" Target="https://www.kingsfund.org.uk/publications/courage-compassion-supporting-nurses-midwive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qc.org.uk/guidance-regulation/providers/assessment/assessment-framework" TargetMode="External"/><Relationship Id="rId23" Type="http://schemas.openxmlformats.org/officeDocument/2006/relationships/hyperlink" Target="https://www.ihi.org/resources/Pages/HowtoImprove/default.aspx" TargetMode="External"/><Relationship Id="rId28" Type="http://schemas.openxmlformats.org/officeDocument/2006/relationships/hyperlink" Target="https://www.england.nhs.uk/patient-safety/?utm_source=chatgpt.com" TargetMode="External"/><Relationship Id="rId36" Type="http://schemas.openxmlformats.org/officeDocument/2006/relationships/hyperlink" Target="https://www.kingsfund.org.uk/publications/leadership-and-leadership-development-health-care" TargetMode="External"/><Relationship Id="rId10" Type="http://schemas.openxmlformats.org/officeDocument/2006/relationships/image" Target="media/image4.png"/><Relationship Id="rId19" Type="http://schemas.openxmlformats.org/officeDocument/2006/relationships/hyperlink" Target="https://www.cqc.org.uk/guidance-providers/regulations-enforcement/regulation-9-person-centred-care" TargetMode="External"/><Relationship Id="rId31" Type="http://schemas.openxmlformats.org/officeDocument/2006/relationships/hyperlink" Target="https://www.researchgate.net/publication/318013490_The_Five_Whys_Techniqu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org/en/knowledge/factsheets/pestle-analysis-factsheet/" TargetMode="External"/><Relationship Id="rId22" Type="http://schemas.openxmlformats.org/officeDocument/2006/relationships/hyperlink" Target="https://www.health.org.uk/publications/quality-improvement-made-simple" TargetMode="External"/><Relationship Id="rId27" Type="http://schemas.openxmlformats.org/officeDocument/2006/relationships/hyperlink" Target="https://www.england.nhs.uk/wp-content/uploads/2022/03/PRN00027-qof-guidance-for-22-23-v2.pdf" TargetMode="External"/><Relationship Id="rId30" Type="http://schemas.openxmlformats.org/officeDocument/2006/relationships/hyperlink" Target="https://www.nice.org.uk/guidance/qs2" TargetMode="External"/><Relationship Id="rId35" Type="http://schemas.openxmlformats.org/officeDocument/2006/relationships/hyperlink" Target="https://assets.kingsfund.org.uk/f/256914/x/9fa0215ed8/embedding_culture_quality_improvement_2017.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nejm.org/doi/abs/10.1056/nejmp1605101" TargetMode="External"/><Relationship Id="rId17" Type="http://schemas.openxmlformats.org/officeDocument/2006/relationships/hyperlink" Target="https://www.cqc.org.uk/guidance-providers/regulations-enforcement/regulation-17-good-governance" TargetMode="External"/><Relationship Id="rId25" Type="http://schemas.openxmlformats.org/officeDocument/2006/relationships/hyperlink" Target="https://www.england.nhs.uk/patient-safety/the-nhs-patient-safety-strategy/?utm_source=chatgpt.com" TargetMode="External"/><Relationship Id="rId33" Type="http://schemas.openxmlformats.org/officeDocument/2006/relationships/hyperlink" Target="https://www.bmj.com/content/320/7237/768" TargetMode="External"/><Relationship Id="rId38" Type="http://schemas.openxmlformats.org/officeDocument/2006/relationships/hyperlink" Target="https://www.who.int/publications/i/item/9789240032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6430</TotalTime>
  <Pages>19</Pages>
  <Words>6734</Words>
  <Characters>38384</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Simona Dinu</cp:lastModifiedBy>
  <cp:revision>48</cp:revision>
  <dcterms:created xsi:type="dcterms:W3CDTF">2009-04-16T11:32:00Z</dcterms:created>
  <dcterms:modified xsi:type="dcterms:W3CDTF">2026-08-04T06:52:00Z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fo 1">
    <vt:lpwstr/>
  </property>
  <property fmtid="{D5CDD505-2E9C-101B-9397-08002B2CF9AE}" pid="3" name="Info 2">
    <vt:lpwstr/>
  </property>
  <property fmtid="{D5CDD505-2E9C-101B-9397-08002B2CF9AE}" pid="4" name="Info 3">
    <vt:lpwstr/>
  </property>
  <property fmtid="{D5CDD505-2E9C-101B-9397-08002B2CF9AE}" pid="5" name="Info 4">
    <vt:lpwstr/>
  </property>
</Properties>
</file>