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08A8" w14:textId="79902489" w:rsidR="00D74A59" w:rsidRPr="00D33F9E" w:rsidRDefault="00D74A59" w:rsidP="00D74A59">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Arguments about the difference between child and adult education have existed for years. Pedagogy served for a long time in guiding educational practice in which there was no difference between child and adult education (Chan, 2010). It was not until the 1970’s that Malcolm Knowles developed a concept known as andragogy to address the separate needs of the adult learner (Cox, 2013). Even though andragogy was verbalised at the end of the nineteenth century, it did not gain academic interest until the second half of the twentieth century and has now been adopted within</w:t>
      </w:r>
      <w:r w:rsidR="00697C32" w:rsidRPr="00D33F9E">
        <w:rPr>
          <w:rFonts w:ascii="Times New Roman" w:hAnsi="Times New Roman" w:cs="Times New Roman"/>
          <w:color w:val="000000" w:themeColor="text1"/>
          <w:sz w:val="24"/>
          <w:szCs w:val="24"/>
        </w:rPr>
        <w:t xml:space="preserve"> Adult</w:t>
      </w:r>
      <w:r w:rsidRPr="00D33F9E">
        <w:rPr>
          <w:rFonts w:ascii="Times New Roman" w:hAnsi="Times New Roman" w:cs="Times New Roman"/>
          <w:color w:val="000000" w:themeColor="text1"/>
          <w:sz w:val="24"/>
          <w:szCs w:val="24"/>
        </w:rPr>
        <w:t xml:space="preserve"> education (</w:t>
      </w:r>
      <w:r w:rsidR="00697C32" w:rsidRPr="00D33F9E">
        <w:rPr>
          <w:rFonts w:ascii="Times New Roman" w:hAnsi="Times New Roman" w:cs="Times New Roman"/>
          <w:color w:val="000000" w:themeColor="text1"/>
          <w:sz w:val="24"/>
          <w:szCs w:val="24"/>
        </w:rPr>
        <w:t>Bolt</w:t>
      </w:r>
      <w:r w:rsidR="00BC365B" w:rsidRPr="00D33F9E">
        <w:rPr>
          <w:rFonts w:ascii="Times New Roman" w:hAnsi="Times New Roman" w:cs="Times New Roman"/>
          <w:color w:val="000000" w:themeColor="text1"/>
          <w:sz w:val="24"/>
          <w:szCs w:val="24"/>
        </w:rPr>
        <w:t>o</w:t>
      </w:r>
      <w:r w:rsidR="00697C32" w:rsidRPr="00D33F9E">
        <w:rPr>
          <w:rFonts w:ascii="Times New Roman" w:hAnsi="Times New Roman" w:cs="Times New Roman"/>
          <w:color w:val="000000" w:themeColor="text1"/>
          <w:sz w:val="24"/>
          <w:szCs w:val="24"/>
        </w:rPr>
        <w:t>n,</w:t>
      </w:r>
      <w:r w:rsidR="00697C32" w:rsidRPr="00D33F9E">
        <w:rPr>
          <w:rFonts w:ascii="Times New Roman" w:hAnsi="Times New Roman" w:cs="Times New Roman"/>
          <w:color w:val="000000" w:themeColor="text1"/>
          <w:sz w:val="24"/>
          <w:szCs w:val="24"/>
        </w:rPr>
        <w:t xml:space="preserve"> </w:t>
      </w:r>
      <w:r w:rsidR="00697C32" w:rsidRPr="00D33F9E">
        <w:rPr>
          <w:rFonts w:ascii="Times New Roman" w:hAnsi="Times New Roman" w:cs="Times New Roman"/>
          <w:color w:val="000000" w:themeColor="text1"/>
          <w:sz w:val="24"/>
          <w:szCs w:val="24"/>
        </w:rPr>
        <w:t>2006</w:t>
      </w:r>
      <w:r w:rsidR="00697C32" w:rsidRPr="00D33F9E">
        <w:rPr>
          <w:rFonts w:ascii="Times New Roman" w:hAnsi="Times New Roman" w:cs="Times New Roman"/>
          <w:color w:val="000000" w:themeColor="text1"/>
          <w:sz w:val="24"/>
          <w:szCs w:val="24"/>
        </w:rPr>
        <w:t xml:space="preserve"> and </w:t>
      </w:r>
      <w:proofErr w:type="spellStart"/>
      <w:r w:rsidRPr="00D33F9E">
        <w:rPr>
          <w:rFonts w:ascii="Times New Roman" w:hAnsi="Times New Roman" w:cs="Times New Roman"/>
          <w:color w:val="000000" w:themeColor="text1"/>
          <w:sz w:val="24"/>
          <w:szCs w:val="24"/>
        </w:rPr>
        <w:t>Draganov</w:t>
      </w:r>
      <w:proofErr w:type="spellEnd"/>
      <w:r w:rsidRPr="00D33F9E">
        <w:rPr>
          <w:rFonts w:ascii="Times New Roman" w:hAnsi="Times New Roman" w:cs="Times New Roman"/>
          <w:color w:val="000000" w:themeColor="text1"/>
          <w:sz w:val="24"/>
          <w:szCs w:val="24"/>
        </w:rPr>
        <w:t xml:space="preserve"> et al, 2013). </w:t>
      </w:r>
    </w:p>
    <w:p w14:paraId="37EFF22B" w14:textId="08733A82" w:rsidR="00D74A59" w:rsidRPr="00D33F9E" w:rsidRDefault="00D74A59" w:rsidP="00D74A59">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Knowles (1990) described andragogy as “the art and science of helping adults learn” diverging from pedagogy which is</w:t>
      </w:r>
      <w:r w:rsidR="00436DF3" w:rsidRPr="00D33F9E">
        <w:rPr>
          <w:rFonts w:ascii="Times New Roman" w:hAnsi="Times New Roman" w:cs="Times New Roman"/>
          <w:color w:val="000000" w:themeColor="text1"/>
          <w:sz w:val="24"/>
          <w:szCs w:val="24"/>
        </w:rPr>
        <w:t xml:space="preserve"> now</w:t>
      </w:r>
      <w:r w:rsidRPr="00D33F9E">
        <w:rPr>
          <w:rFonts w:ascii="Times New Roman" w:hAnsi="Times New Roman" w:cs="Times New Roman"/>
          <w:color w:val="000000" w:themeColor="text1"/>
          <w:sz w:val="24"/>
          <w:szCs w:val="24"/>
        </w:rPr>
        <w:t xml:space="preserve"> known as the art and science of teaching children. Knowles definition indicates that teaching </w:t>
      </w:r>
      <w:r w:rsidR="005857CB" w:rsidRPr="00D33F9E">
        <w:rPr>
          <w:rFonts w:ascii="Times New Roman" w:hAnsi="Times New Roman" w:cs="Times New Roman"/>
          <w:color w:val="000000" w:themeColor="text1"/>
          <w:sz w:val="24"/>
          <w:szCs w:val="24"/>
        </w:rPr>
        <w:t>practices</w:t>
      </w:r>
      <w:r w:rsidRPr="00D33F9E">
        <w:rPr>
          <w:rFonts w:ascii="Times New Roman" w:hAnsi="Times New Roman" w:cs="Times New Roman"/>
          <w:color w:val="000000" w:themeColor="text1"/>
          <w:sz w:val="24"/>
          <w:szCs w:val="24"/>
        </w:rPr>
        <w:t xml:space="preserve"> must develop the skill of learning (Nguyen et al, 2016).  This was also suggested by Albert Einstein “I never teach my pupils. I only attempt to provide the conditions in which they can learn.” (</w:t>
      </w:r>
      <w:r w:rsidR="005857CB" w:rsidRPr="00D33F9E">
        <w:rPr>
          <w:rFonts w:ascii="Times New Roman" w:hAnsi="Times New Roman" w:cs="Times New Roman"/>
          <w:color w:val="000000" w:themeColor="text1"/>
          <w:sz w:val="24"/>
          <w:szCs w:val="24"/>
        </w:rPr>
        <w:t>Pew</w:t>
      </w:r>
      <w:r w:rsidRPr="00D33F9E">
        <w:rPr>
          <w:rFonts w:ascii="Times New Roman" w:hAnsi="Times New Roman" w:cs="Times New Roman"/>
          <w:color w:val="000000" w:themeColor="text1"/>
          <w:sz w:val="24"/>
          <w:szCs w:val="24"/>
        </w:rPr>
        <w:t>, 2007).</w:t>
      </w:r>
      <w:r w:rsidR="000C0E07"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color w:val="000000" w:themeColor="text1"/>
          <w:sz w:val="24"/>
          <w:szCs w:val="24"/>
        </w:rPr>
        <w:t>Knowles model is built upon six assumptions; the adult learners desire to take charge of their learning, their need to know, use of experience in learning, readiness to learn, orientation to learning and internal motivation (</w:t>
      </w:r>
      <w:r w:rsidR="00697C32" w:rsidRPr="00D33F9E">
        <w:rPr>
          <w:rFonts w:ascii="Times New Roman" w:hAnsi="Times New Roman" w:cs="Times New Roman"/>
          <w:color w:val="000000" w:themeColor="text1"/>
          <w:sz w:val="24"/>
          <w:szCs w:val="24"/>
        </w:rPr>
        <w:t>Cox,2013</w:t>
      </w:r>
      <w:r w:rsidR="00697C32" w:rsidRPr="00D33F9E">
        <w:rPr>
          <w:rFonts w:ascii="Times New Roman" w:hAnsi="Times New Roman" w:cs="Times New Roman"/>
          <w:color w:val="000000" w:themeColor="text1"/>
          <w:sz w:val="24"/>
          <w:szCs w:val="24"/>
        </w:rPr>
        <w:t xml:space="preserve"> and </w:t>
      </w:r>
      <w:r w:rsidRPr="00D33F9E">
        <w:rPr>
          <w:rFonts w:ascii="Times New Roman" w:hAnsi="Times New Roman" w:cs="Times New Roman"/>
          <w:color w:val="000000" w:themeColor="text1"/>
          <w:sz w:val="24"/>
          <w:szCs w:val="24"/>
        </w:rPr>
        <w:t>Knowles, 1980). He suggests that as individuals develop and mature, they become independent learners; they gather a wealth of life experiences that become a source</w:t>
      </w:r>
      <w:r w:rsidR="00697C32" w:rsidRPr="00D33F9E">
        <w:rPr>
          <w:rFonts w:ascii="Times New Roman" w:hAnsi="Times New Roman" w:cs="Times New Roman"/>
          <w:color w:val="000000" w:themeColor="text1"/>
          <w:sz w:val="24"/>
          <w:szCs w:val="24"/>
        </w:rPr>
        <w:t xml:space="preserve"> for </w:t>
      </w:r>
      <w:r w:rsidRPr="00D33F9E">
        <w:rPr>
          <w:rFonts w:ascii="Times New Roman" w:hAnsi="Times New Roman" w:cs="Times New Roman"/>
          <w:color w:val="000000" w:themeColor="text1"/>
          <w:sz w:val="24"/>
          <w:szCs w:val="24"/>
        </w:rPr>
        <w:t>learning; their readiness to learn is closely related to what they believe they need to know in relation to social roles; they learn for immediate application of knowledge and consequently their orientation shifts from one of subject centeredness to one of problem-centredness, and</w:t>
      </w:r>
      <w:r w:rsidR="001C6A30" w:rsidRPr="00D33F9E">
        <w:rPr>
          <w:rFonts w:ascii="Times New Roman" w:hAnsi="Times New Roman" w:cs="Times New Roman"/>
          <w:color w:val="000000" w:themeColor="text1"/>
          <w:sz w:val="24"/>
          <w:szCs w:val="24"/>
        </w:rPr>
        <w:t xml:space="preserve"> finally</w:t>
      </w:r>
      <w:r w:rsidRPr="00D33F9E">
        <w:rPr>
          <w:rFonts w:ascii="Times New Roman" w:hAnsi="Times New Roman" w:cs="Times New Roman"/>
          <w:color w:val="000000" w:themeColor="text1"/>
          <w:sz w:val="24"/>
          <w:szCs w:val="24"/>
        </w:rPr>
        <w:t xml:space="preserve"> adults are more motivated by internal</w:t>
      </w:r>
      <w:r w:rsidR="000C0E07" w:rsidRPr="00D33F9E">
        <w:rPr>
          <w:rFonts w:ascii="Times New Roman" w:hAnsi="Times New Roman" w:cs="Times New Roman"/>
          <w:color w:val="000000" w:themeColor="text1"/>
          <w:sz w:val="24"/>
          <w:szCs w:val="24"/>
        </w:rPr>
        <w:t xml:space="preserve"> rather</w:t>
      </w:r>
      <w:r w:rsidRPr="00D33F9E">
        <w:rPr>
          <w:rFonts w:ascii="Times New Roman" w:hAnsi="Times New Roman" w:cs="Times New Roman"/>
          <w:color w:val="000000" w:themeColor="text1"/>
          <w:sz w:val="24"/>
          <w:szCs w:val="24"/>
        </w:rPr>
        <w:t xml:space="preserve"> than external factors (</w:t>
      </w:r>
      <w:r w:rsidR="00697C32" w:rsidRPr="00D33F9E">
        <w:rPr>
          <w:rFonts w:ascii="Times New Roman" w:hAnsi="Times New Roman" w:cs="Times New Roman"/>
          <w:color w:val="000000" w:themeColor="text1"/>
          <w:sz w:val="24"/>
          <w:szCs w:val="24"/>
        </w:rPr>
        <w:t>Cox, 2013</w:t>
      </w:r>
      <w:r w:rsidR="00697C32" w:rsidRPr="00D33F9E">
        <w:rPr>
          <w:rFonts w:ascii="Times New Roman" w:hAnsi="Times New Roman" w:cs="Times New Roman"/>
          <w:color w:val="000000" w:themeColor="text1"/>
          <w:sz w:val="24"/>
          <w:szCs w:val="24"/>
        </w:rPr>
        <w:t>,</w:t>
      </w:r>
      <w:r w:rsidRPr="00D33F9E">
        <w:rPr>
          <w:rFonts w:ascii="Times New Roman" w:hAnsi="Times New Roman" w:cs="Times New Roman"/>
          <w:color w:val="000000" w:themeColor="text1"/>
          <w:sz w:val="24"/>
          <w:szCs w:val="24"/>
        </w:rPr>
        <w:t>Sharifi et al, 2017</w:t>
      </w:r>
      <w:r w:rsidR="00A6283C" w:rsidRPr="00D33F9E">
        <w:rPr>
          <w:rFonts w:ascii="Times New Roman" w:hAnsi="Times New Roman" w:cs="Times New Roman"/>
          <w:color w:val="000000" w:themeColor="text1"/>
          <w:sz w:val="24"/>
          <w:szCs w:val="24"/>
        </w:rPr>
        <w:t>; T</w:t>
      </w:r>
      <w:r w:rsidRPr="00D33F9E">
        <w:rPr>
          <w:rFonts w:ascii="Times New Roman" w:hAnsi="Times New Roman" w:cs="Times New Roman"/>
          <w:color w:val="000000" w:themeColor="text1"/>
          <w:sz w:val="24"/>
          <w:szCs w:val="24"/>
        </w:rPr>
        <w:t>aylor</w:t>
      </w:r>
      <w:r w:rsidR="00A6283C" w:rsidRPr="00D33F9E">
        <w:rPr>
          <w:rFonts w:ascii="Times New Roman" w:hAnsi="Times New Roman" w:cs="Times New Roman"/>
          <w:color w:val="000000" w:themeColor="text1"/>
          <w:sz w:val="24"/>
          <w:szCs w:val="24"/>
        </w:rPr>
        <w:t xml:space="preserve"> and </w:t>
      </w:r>
      <w:proofErr w:type="spellStart"/>
      <w:r w:rsidR="00A6283C" w:rsidRPr="00D33F9E">
        <w:rPr>
          <w:rFonts w:ascii="Times New Roman" w:hAnsi="Times New Roman" w:cs="Times New Roman"/>
          <w:color w:val="000000" w:themeColor="text1"/>
          <w:sz w:val="24"/>
          <w:szCs w:val="24"/>
        </w:rPr>
        <w:t>Kroth</w:t>
      </w:r>
      <w:proofErr w:type="spellEnd"/>
      <w:r w:rsidRPr="00D33F9E">
        <w:rPr>
          <w:rFonts w:ascii="Times New Roman" w:hAnsi="Times New Roman" w:cs="Times New Roman"/>
          <w:color w:val="000000" w:themeColor="text1"/>
          <w:sz w:val="24"/>
          <w:szCs w:val="24"/>
        </w:rPr>
        <w:t xml:space="preserve">, 2009). These assumptions characterize the notion of autonomy, which ultimately allows adult learners to plan their own learning and make choices to suit their needs. </w:t>
      </w:r>
    </w:p>
    <w:p w14:paraId="1564ED4E" w14:textId="6D757EBC" w:rsidR="003D3A5D" w:rsidRPr="00D33F9E" w:rsidRDefault="00D74A59" w:rsidP="00365BC1">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So how do teachers apply andragogical principles in the classroom? Teachers tailor instruction to meet students interests by involving them in the planning of learning objectives, activities and allowing students to use their own creative abilities to solve real-world problems</w:t>
      </w:r>
      <w:r w:rsidR="006C6652" w:rsidRPr="00D33F9E">
        <w:rPr>
          <w:rFonts w:ascii="Times New Roman" w:hAnsi="Times New Roman" w:cs="Times New Roman"/>
          <w:color w:val="000000" w:themeColor="text1"/>
          <w:sz w:val="24"/>
          <w:szCs w:val="24"/>
        </w:rPr>
        <w:t xml:space="preserve"> (Birzer,2004</w:t>
      </w:r>
      <w:r w:rsidRPr="00D33F9E">
        <w:rPr>
          <w:rFonts w:ascii="Times New Roman" w:eastAsia="Times New Roman" w:hAnsi="Times New Roman" w:cs="Times New Roman"/>
          <w:color w:val="000000" w:themeColor="text1"/>
          <w:sz w:val="24"/>
          <w:szCs w:val="24"/>
          <w:lang w:eastAsia="en-GB"/>
        </w:rPr>
        <w:t>, 2004</w:t>
      </w:r>
      <w:r w:rsidR="006C6652" w:rsidRPr="00D33F9E">
        <w:rPr>
          <w:rFonts w:ascii="Times New Roman" w:eastAsia="Times New Roman" w:hAnsi="Times New Roman" w:cs="Times New Roman"/>
          <w:color w:val="000000" w:themeColor="text1"/>
          <w:sz w:val="24"/>
          <w:szCs w:val="24"/>
          <w:lang w:eastAsia="en-GB"/>
        </w:rPr>
        <w:t xml:space="preserve">, </w:t>
      </w:r>
      <w:r w:rsidRPr="00D33F9E">
        <w:rPr>
          <w:rFonts w:ascii="Times New Roman" w:hAnsi="Times New Roman" w:cs="Times New Roman"/>
          <w:color w:val="000000" w:themeColor="text1"/>
          <w:sz w:val="24"/>
          <w:szCs w:val="24"/>
        </w:rPr>
        <w:t>Chan, 2010</w:t>
      </w:r>
      <w:r w:rsidR="00747514" w:rsidRPr="00D33F9E">
        <w:rPr>
          <w:rFonts w:ascii="Times New Roman" w:hAnsi="Times New Roman" w:cs="Times New Roman"/>
          <w:color w:val="000000" w:themeColor="text1"/>
          <w:sz w:val="24"/>
          <w:szCs w:val="24"/>
        </w:rPr>
        <w:t xml:space="preserve"> and</w:t>
      </w:r>
      <w:r w:rsidR="00466A59" w:rsidRPr="00D33F9E">
        <w:rPr>
          <w:rFonts w:ascii="Times New Roman" w:hAnsi="Times New Roman" w:cs="Times New Roman"/>
          <w:color w:val="000000" w:themeColor="text1"/>
          <w:sz w:val="24"/>
          <w:szCs w:val="24"/>
        </w:rPr>
        <w:t xml:space="preserve"> </w:t>
      </w:r>
      <w:r w:rsidR="00747514" w:rsidRPr="00D33F9E">
        <w:rPr>
          <w:rFonts w:ascii="Times New Roman" w:hAnsi="Times New Roman" w:cs="Times New Roman"/>
          <w:color w:val="000000" w:themeColor="text1"/>
          <w:sz w:val="24"/>
          <w:szCs w:val="24"/>
          <w:shd w:val="clear" w:color="auto" w:fill="FFFFFF"/>
        </w:rPr>
        <w:t>Edwards</w:t>
      </w:r>
      <w:r w:rsidR="00466A59" w:rsidRPr="00D33F9E">
        <w:rPr>
          <w:rFonts w:ascii="Times New Roman" w:hAnsi="Times New Roman" w:cs="Times New Roman"/>
          <w:color w:val="000000" w:themeColor="text1"/>
          <w:sz w:val="24"/>
          <w:szCs w:val="24"/>
          <w:shd w:val="clear" w:color="auto" w:fill="FFFFFF"/>
        </w:rPr>
        <w:t xml:space="preserve"> et al, 2013). </w:t>
      </w:r>
      <w:r w:rsidRPr="00D33F9E">
        <w:rPr>
          <w:rFonts w:ascii="Times New Roman" w:hAnsi="Times New Roman" w:cs="Times New Roman"/>
          <w:color w:val="000000" w:themeColor="text1"/>
          <w:sz w:val="24"/>
          <w:szCs w:val="24"/>
        </w:rPr>
        <w:t>As a result, communication is improved and trust is promoted between teacher and student as they work in partnership to design instructional content (Chan, 2010).</w:t>
      </w:r>
      <w:r w:rsidR="00697C32" w:rsidRPr="00D33F9E">
        <w:rPr>
          <w:rFonts w:ascii="Times New Roman" w:hAnsi="Times New Roman" w:cs="Times New Roman"/>
          <w:color w:val="000000" w:themeColor="text1"/>
          <w:sz w:val="24"/>
          <w:szCs w:val="24"/>
        </w:rPr>
        <w:t xml:space="preserve"> </w:t>
      </w:r>
      <w:r w:rsidR="005F2E98" w:rsidRPr="00D33F9E">
        <w:rPr>
          <w:rFonts w:ascii="Times New Roman" w:hAnsi="Times New Roman" w:cs="Times New Roman"/>
          <w:color w:val="000000" w:themeColor="text1"/>
          <w:sz w:val="24"/>
          <w:szCs w:val="24"/>
        </w:rPr>
        <w:t>An andragogical learning environment</w:t>
      </w:r>
      <w:r w:rsidR="00F67AB6" w:rsidRPr="00D33F9E">
        <w:rPr>
          <w:rFonts w:ascii="Times New Roman" w:hAnsi="Times New Roman" w:cs="Times New Roman"/>
          <w:color w:val="000000" w:themeColor="text1"/>
          <w:sz w:val="24"/>
          <w:szCs w:val="24"/>
        </w:rPr>
        <w:t xml:space="preserve"> includes activities such as </w:t>
      </w:r>
      <w:r w:rsidRPr="00D33F9E">
        <w:rPr>
          <w:rFonts w:ascii="Times New Roman" w:hAnsi="Times New Roman" w:cs="Times New Roman"/>
          <w:color w:val="000000" w:themeColor="text1"/>
          <w:sz w:val="24"/>
          <w:szCs w:val="24"/>
        </w:rPr>
        <w:t xml:space="preserve">inductive games, debriefing experiences, relevant discussion, art-based learning and E-portfolios. </w:t>
      </w:r>
      <w:r w:rsidR="00454F8E" w:rsidRPr="00D33F9E">
        <w:rPr>
          <w:rFonts w:ascii="Times New Roman" w:hAnsi="Times New Roman" w:cs="Times New Roman"/>
          <w:color w:val="000000" w:themeColor="text1"/>
          <w:sz w:val="24"/>
          <w:szCs w:val="24"/>
        </w:rPr>
        <w:t xml:space="preserve">These </w:t>
      </w:r>
      <w:r w:rsidR="004C07CF" w:rsidRPr="00D33F9E">
        <w:rPr>
          <w:rFonts w:ascii="Times New Roman" w:hAnsi="Times New Roman" w:cs="Times New Roman"/>
          <w:color w:val="000000" w:themeColor="text1"/>
          <w:sz w:val="24"/>
          <w:szCs w:val="24"/>
        </w:rPr>
        <w:t xml:space="preserve">learning experiences meet </w:t>
      </w:r>
      <w:r w:rsidRPr="00D33F9E">
        <w:rPr>
          <w:rFonts w:ascii="Times New Roman" w:hAnsi="Times New Roman" w:cs="Times New Roman"/>
          <w:color w:val="000000" w:themeColor="text1"/>
          <w:sz w:val="24"/>
          <w:szCs w:val="24"/>
        </w:rPr>
        <w:t>the diverse needs and expectations of students</w:t>
      </w:r>
      <w:r w:rsidR="00341C77" w:rsidRPr="00D33F9E">
        <w:rPr>
          <w:rFonts w:ascii="Times New Roman" w:hAnsi="Times New Roman" w:cs="Times New Roman"/>
          <w:color w:val="000000" w:themeColor="text1"/>
          <w:sz w:val="24"/>
          <w:szCs w:val="24"/>
        </w:rPr>
        <w:t xml:space="preserve"> and </w:t>
      </w:r>
      <w:r w:rsidR="00697C32" w:rsidRPr="00D33F9E">
        <w:rPr>
          <w:rFonts w:ascii="Times New Roman" w:hAnsi="Times New Roman" w:cs="Times New Roman"/>
          <w:color w:val="000000" w:themeColor="text1"/>
          <w:sz w:val="24"/>
          <w:szCs w:val="24"/>
        </w:rPr>
        <w:t>allow them to</w:t>
      </w:r>
      <w:r w:rsidRPr="00D33F9E">
        <w:rPr>
          <w:rFonts w:ascii="Times New Roman" w:hAnsi="Times New Roman" w:cs="Times New Roman"/>
          <w:color w:val="000000" w:themeColor="text1"/>
          <w:sz w:val="24"/>
          <w:szCs w:val="24"/>
        </w:rPr>
        <w:t xml:space="preserve"> draw</w:t>
      </w:r>
      <w:r w:rsidR="00697C32" w:rsidRPr="00D33F9E">
        <w:rPr>
          <w:rFonts w:ascii="Times New Roman" w:hAnsi="Times New Roman" w:cs="Times New Roman"/>
          <w:color w:val="000000" w:themeColor="text1"/>
          <w:sz w:val="24"/>
          <w:szCs w:val="24"/>
        </w:rPr>
        <w:t xml:space="preserve"> on </w:t>
      </w:r>
      <w:r w:rsidRPr="00D33F9E">
        <w:rPr>
          <w:rFonts w:ascii="Times New Roman" w:hAnsi="Times New Roman" w:cs="Times New Roman"/>
          <w:color w:val="000000" w:themeColor="text1"/>
          <w:sz w:val="24"/>
          <w:szCs w:val="24"/>
        </w:rPr>
        <w:t>past experiences to deepen their personal understanding</w:t>
      </w:r>
      <w:r w:rsidR="00697C32"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color w:val="000000" w:themeColor="text1"/>
          <w:sz w:val="24"/>
          <w:szCs w:val="24"/>
        </w:rPr>
        <w:t>and</w:t>
      </w:r>
      <w:r w:rsidR="00697C32"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color w:val="000000" w:themeColor="text1"/>
          <w:sz w:val="24"/>
          <w:szCs w:val="24"/>
        </w:rPr>
        <w:t xml:space="preserve">foster the skill of learning through the facilitation of critical thinking, creativity and exploration (Nguyen et al 2016 </w:t>
      </w:r>
      <w:r w:rsidRPr="00D33F9E">
        <w:rPr>
          <w:rFonts w:ascii="Times New Roman" w:eastAsia="Times New Roman" w:hAnsi="Times New Roman" w:cs="Times New Roman"/>
          <w:color w:val="000000" w:themeColor="text1"/>
          <w:sz w:val="24"/>
          <w:szCs w:val="24"/>
          <w:lang w:eastAsia="en-GB"/>
        </w:rPr>
        <w:t>and Sharifi et al, 2017</w:t>
      </w:r>
      <w:r w:rsidRPr="00D33F9E">
        <w:rPr>
          <w:rFonts w:ascii="Times New Roman" w:hAnsi="Times New Roman" w:cs="Times New Roman"/>
          <w:color w:val="000000" w:themeColor="text1"/>
          <w:sz w:val="24"/>
          <w:szCs w:val="24"/>
        </w:rPr>
        <w:t>).</w:t>
      </w:r>
      <w:r w:rsidR="000C0E07" w:rsidRPr="00D33F9E">
        <w:rPr>
          <w:rFonts w:ascii="Times New Roman" w:hAnsi="Times New Roman" w:cs="Times New Roman"/>
          <w:color w:val="000000" w:themeColor="text1"/>
          <w:sz w:val="24"/>
          <w:szCs w:val="24"/>
        </w:rPr>
        <w:t xml:space="preserve"> </w:t>
      </w:r>
      <w:r w:rsidR="009B1B15" w:rsidRPr="00D33F9E">
        <w:rPr>
          <w:rFonts w:ascii="Times New Roman" w:hAnsi="Times New Roman" w:cs="Times New Roman"/>
          <w:color w:val="000000" w:themeColor="text1"/>
          <w:sz w:val="24"/>
          <w:szCs w:val="24"/>
        </w:rPr>
        <w:t>Additionally, a</w:t>
      </w:r>
      <w:r w:rsidR="009B1B15" w:rsidRPr="00D33F9E">
        <w:rPr>
          <w:rFonts w:ascii="Times New Roman" w:hAnsi="Times New Roman" w:cs="Times New Roman"/>
          <w:color w:val="000000" w:themeColor="text1"/>
          <w:sz w:val="24"/>
          <w:szCs w:val="24"/>
        </w:rPr>
        <w:t>ctivities involve both theory and practice highlighting its value beyond the classroom</w:t>
      </w:r>
      <w:r w:rsidR="009B1B15" w:rsidRPr="00D33F9E">
        <w:rPr>
          <w:rFonts w:ascii="Times New Roman" w:hAnsi="Times New Roman" w:cs="Times New Roman"/>
          <w:color w:val="000000" w:themeColor="text1"/>
          <w:sz w:val="24"/>
          <w:szCs w:val="24"/>
        </w:rPr>
        <w:t xml:space="preserve"> and</w:t>
      </w:r>
      <w:r w:rsidR="009B1B15" w:rsidRPr="00D33F9E">
        <w:rPr>
          <w:rFonts w:ascii="Times New Roman" w:hAnsi="Times New Roman" w:cs="Times New Roman"/>
          <w:color w:val="000000" w:themeColor="text1"/>
          <w:sz w:val="24"/>
          <w:szCs w:val="24"/>
        </w:rPr>
        <w:t xml:space="preserve"> </w:t>
      </w:r>
      <w:r w:rsidR="00AD62FE" w:rsidRPr="00D33F9E">
        <w:rPr>
          <w:rFonts w:ascii="Times New Roman" w:hAnsi="Times New Roman" w:cs="Times New Roman"/>
          <w:color w:val="000000" w:themeColor="text1"/>
          <w:sz w:val="24"/>
          <w:szCs w:val="24"/>
        </w:rPr>
        <w:t xml:space="preserve">as a result </w:t>
      </w:r>
      <w:r w:rsidR="009B1B15" w:rsidRPr="00D33F9E">
        <w:rPr>
          <w:rFonts w:ascii="Times New Roman" w:hAnsi="Times New Roman" w:cs="Times New Roman"/>
          <w:color w:val="000000" w:themeColor="text1"/>
          <w:sz w:val="24"/>
          <w:szCs w:val="24"/>
        </w:rPr>
        <w:t>encourag</w:t>
      </w:r>
      <w:r w:rsidR="00DD015F">
        <w:rPr>
          <w:rFonts w:ascii="Times New Roman" w:hAnsi="Times New Roman" w:cs="Times New Roman"/>
          <w:color w:val="000000" w:themeColor="text1"/>
          <w:sz w:val="24"/>
          <w:szCs w:val="24"/>
        </w:rPr>
        <w:t xml:space="preserve">e </w:t>
      </w:r>
      <w:r w:rsidR="009B1B15" w:rsidRPr="00D33F9E">
        <w:rPr>
          <w:rFonts w:ascii="Times New Roman" w:hAnsi="Times New Roman" w:cs="Times New Roman"/>
          <w:color w:val="000000" w:themeColor="text1"/>
          <w:sz w:val="24"/>
          <w:szCs w:val="24"/>
        </w:rPr>
        <w:t>student’s intrinsic motivation to learn (</w:t>
      </w:r>
      <w:r w:rsidR="009B1B15" w:rsidRPr="00D33F9E">
        <w:rPr>
          <w:rFonts w:ascii="Times New Roman" w:hAnsi="Times New Roman" w:cs="Times New Roman"/>
          <w:color w:val="000000" w:themeColor="text1"/>
          <w:sz w:val="24"/>
          <w:szCs w:val="24"/>
          <w:shd w:val="clear" w:color="auto" w:fill="FFFFFF"/>
        </w:rPr>
        <w:t>Nguyen et al, 2016 and</w:t>
      </w:r>
      <w:r w:rsidR="00212BA0" w:rsidRPr="00D33F9E">
        <w:rPr>
          <w:rFonts w:ascii="Times New Roman" w:hAnsi="Times New Roman" w:cs="Times New Roman"/>
          <w:color w:val="000000" w:themeColor="text1"/>
          <w:sz w:val="24"/>
          <w:szCs w:val="24"/>
          <w:shd w:val="clear" w:color="auto" w:fill="FFFFFF"/>
        </w:rPr>
        <w:t xml:space="preserve"> Pew</w:t>
      </w:r>
      <w:r w:rsidR="009B1B15" w:rsidRPr="00D33F9E">
        <w:rPr>
          <w:rFonts w:ascii="Times New Roman" w:hAnsi="Times New Roman" w:cs="Times New Roman"/>
          <w:color w:val="000000" w:themeColor="text1"/>
          <w:sz w:val="24"/>
          <w:szCs w:val="24"/>
          <w:shd w:val="clear" w:color="auto" w:fill="FFFFFF"/>
        </w:rPr>
        <w:t>, 2007</w:t>
      </w:r>
      <w:r w:rsidR="009B1B15" w:rsidRPr="00D33F9E">
        <w:rPr>
          <w:rFonts w:ascii="Times New Roman" w:hAnsi="Times New Roman" w:cs="Times New Roman"/>
          <w:color w:val="000000" w:themeColor="text1"/>
          <w:sz w:val="24"/>
          <w:szCs w:val="24"/>
        </w:rPr>
        <w:t>).</w:t>
      </w:r>
      <w:r w:rsidR="00FE323D" w:rsidRPr="00D33F9E">
        <w:rPr>
          <w:rFonts w:ascii="Times New Roman" w:hAnsi="Times New Roman" w:cs="Times New Roman"/>
          <w:color w:val="000000" w:themeColor="text1"/>
          <w:sz w:val="24"/>
          <w:szCs w:val="24"/>
        </w:rPr>
        <w:t xml:space="preserve"> The</w:t>
      </w:r>
      <w:r w:rsidR="00157CE0" w:rsidRPr="00D33F9E">
        <w:rPr>
          <w:rFonts w:ascii="Times New Roman" w:hAnsi="Times New Roman" w:cs="Times New Roman"/>
          <w:color w:val="000000" w:themeColor="text1"/>
          <w:sz w:val="24"/>
          <w:szCs w:val="24"/>
        </w:rPr>
        <w:t xml:space="preserve"> </w:t>
      </w:r>
      <w:r w:rsidR="00FE323D" w:rsidRPr="00D33F9E">
        <w:rPr>
          <w:rFonts w:ascii="Times New Roman" w:hAnsi="Times New Roman" w:cs="Times New Roman"/>
          <w:color w:val="000000" w:themeColor="text1"/>
          <w:sz w:val="24"/>
          <w:szCs w:val="24"/>
        </w:rPr>
        <w:t>t</w:t>
      </w:r>
      <w:r w:rsidR="00157CE0" w:rsidRPr="00D33F9E">
        <w:rPr>
          <w:rFonts w:ascii="Times New Roman" w:hAnsi="Times New Roman" w:cs="Times New Roman"/>
          <w:color w:val="000000" w:themeColor="text1"/>
          <w:sz w:val="24"/>
          <w:szCs w:val="24"/>
        </w:rPr>
        <w:t>eacher</w:t>
      </w:r>
      <w:r w:rsidR="00FE323D" w:rsidRPr="00D33F9E">
        <w:rPr>
          <w:rFonts w:ascii="Times New Roman" w:hAnsi="Times New Roman" w:cs="Times New Roman"/>
          <w:color w:val="000000" w:themeColor="text1"/>
          <w:sz w:val="24"/>
          <w:szCs w:val="24"/>
        </w:rPr>
        <w:t xml:space="preserve"> adopts a </w:t>
      </w:r>
      <w:r w:rsidR="009C774E" w:rsidRPr="00D33F9E">
        <w:rPr>
          <w:rFonts w:ascii="Times New Roman" w:hAnsi="Times New Roman" w:cs="Times New Roman"/>
          <w:color w:val="000000" w:themeColor="text1"/>
          <w:sz w:val="24"/>
          <w:szCs w:val="24"/>
        </w:rPr>
        <w:t>Socratic</w:t>
      </w:r>
      <w:r w:rsidR="003D3A5D" w:rsidRPr="00D33F9E">
        <w:rPr>
          <w:rFonts w:ascii="Times New Roman" w:hAnsi="Times New Roman" w:cs="Times New Roman"/>
          <w:color w:val="000000" w:themeColor="text1"/>
          <w:sz w:val="24"/>
          <w:szCs w:val="24"/>
        </w:rPr>
        <w:t xml:space="preserve"> approach where a sequence of planned questions </w:t>
      </w:r>
      <w:proofErr w:type="gramStart"/>
      <w:r w:rsidR="00DB0D94" w:rsidRPr="00D33F9E">
        <w:rPr>
          <w:rFonts w:ascii="Times New Roman" w:hAnsi="Times New Roman" w:cs="Times New Roman"/>
          <w:color w:val="000000" w:themeColor="text1"/>
          <w:sz w:val="24"/>
          <w:szCs w:val="24"/>
        </w:rPr>
        <w:t>are</w:t>
      </w:r>
      <w:proofErr w:type="gramEnd"/>
      <w:r w:rsidR="00DB0D94" w:rsidRPr="00D33F9E">
        <w:rPr>
          <w:rFonts w:ascii="Times New Roman" w:hAnsi="Times New Roman" w:cs="Times New Roman"/>
          <w:color w:val="000000" w:themeColor="text1"/>
          <w:sz w:val="24"/>
          <w:szCs w:val="24"/>
        </w:rPr>
        <w:t xml:space="preserve"> </w:t>
      </w:r>
      <w:r w:rsidR="003D3A5D" w:rsidRPr="00D33F9E">
        <w:rPr>
          <w:rFonts w:ascii="Times New Roman" w:hAnsi="Times New Roman" w:cs="Times New Roman"/>
          <w:color w:val="000000" w:themeColor="text1"/>
          <w:sz w:val="24"/>
          <w:szCs w:val="24"/>
        </w:rPr>
        <w:t>asked with intentions to encourage insight, contemplation and creative participation</w:t>
      </w:r>
      <w:r w:rsidR="002B6C74" w:rsidRPr="00D33F9E">
        <w:rPr>
          <w:rFonts w:ascii="Times New Roman" w:hAnsi="Times New Roman" w:cs="Times New Roman"/>
          <w:color w:val="000000" w:themeColor="text1"/>
          <w:sz w:val="24"/>
          <w:szCs w:val="24"/>
        </w:rPr>
        <w:t xml:space="preserve"> </w:t>
      </w:r>
      <w:r w:rsidR="003D3A5D" w:rsidRPr="00D33F9E">
        <w:rPr>
          <w:rFonts w:ascii="Times New Roman" w:hAnsi="Times New Roman" w:cs="Times New Roman"/>
          <w:color w:val="000000" w:themeColor="text1"/>
          <w:sz w:val="24"/>
          <w:szCs w:val="24"/>
        </w:rPr>
        <w:t xml:space="preserve">(Neary, 2002). </w:t>
      </w:r>
    </w:p>
    <w:p w14:paraId="6CB63A80" w14:textId="77777777" w:rsidR="003D3A5D" w:rsidRPr="00D33F9E" w:rsidRDefault="003D3A5D" w:rsidP="00365BC1">
      <w:pPr>
        <w:rPr>
          <w:rFonts w:ascii="Times New Roman" w:hAnsi="Times New Roman" w:cs="Times New Roman"/>
          <w:color w:val="000000" w:themeColor="text1"/>
          <w:sz w:val="24"/>
          <w:szCs w:val="24"/>
        </w:rPr>
      </w:pPr>
    </w:p>
    <w:p w14:paraId="6495421A" w14:textId="77777777" w:rsidR="003D3A5D" w:rsidRPr="00D33F9E" w:rsidRDefault="003D3A5D" w:rsidP="00365BC1">
      <w:pPr>
        <w:rPr>
          <w:rFonts w:ascii="Times New Roman" w:hAnsi="Times New Roman" w:cs="Times New Roman"/>
          <w:color w:val="000000" w:themeColor="text1"/>
          <w:sz w:val="24"/>
          <w:szCs w:val="24"/>
        </w:rPr>
      </w:pPr>
    </w:p>
    <w:p w14:paraId="082EC758" w14:textId="77777777" w:rsidR="009C774E" w:rsidRPr="00D33F9E" w:rsidRDefault="009C774E" w:rsidP="00D74A59">
      <w:pPr>
        <w:rPr>
          <w:rFonts w:ascii="Times New Roman" w:hAnsi="Times New Roman" w:cs="Times New Roman"/>
          <w:color w:val="000000" w:themeColor="text1"/>
          <w:sz w:val="24"/>
          <w:szCs w:val="24"/>
        </w:rPr>
      </w:pPr>
    </w:p>
    <w:p w14:paraId="4765E6E1" w14:textId="17324327" w:rsidR="00D74A59" w:rsidRPr="00D33F9E" w:rsidRDefault="00D74A59" w:rsidP="00D74A59">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lastRenderedPageBreak/>
        <w:t xml:space="preserve">Although andragogy is an influential approach within post education it is not always adopted by teachers. </w:t>
      </w:r>
      <w:r w:rsidR="00365BC1" w:rsidRPr="00D33F9E">
        <w:rPr>
          <w:rFonts w:ascii="Times New Roman" w:hAnsi="Times New Roman" w:cs="Times New Roman"/>
          <w:color w:val="000000" w:themeColor="text1"/>
          <w:sz w:val="24"/>
          <w:szCs w:val="24"/>
        </w:rPr>
        <w:t xml:space="preserve">Teachers may retract from employing </w:t>
      </w:r>
      <w:r w:rsidR="009B1B15" w:rsidRPr="00D33F9E">
        <w:rPr>
          <w:rFonts w:ascii="Times New Roman" w:hAnsi="Times New Roman" w:cs="Times New Roman"/>
          <w:color w:val="000000" w:themeColor="text1"/>
          <w:sz w:val="24"/>
          <w:szCs w:val="24"/>
        </w:rPr>
        <w:t>this approach</w:t>
      </w:r>
      <w:r w:rsidR="00365BC1" w:rsidRPr="00D33F9E">
        <w:rPr>
          <w:rFonts w:ascii="Times New Roman" w:hAnsi="Times New Roman" w:cs="Times New Roman"/>
          <w:color w:val="000000" w:themeColor="text1"/>
          <w:sz w:val="24"/>
          <w:szCs w:val="24"/>
        </w:rPr>
        <w:t xml:space="preserve"> as they feel threatened by</w:t>
      </w:r>
      <w:r w:rsidR="00EB0EFA" w:rsidRPr="00D33F9E">
        <w:rPr>
          <w:rFonts w:ascii="Times New Roman" w:hAnsi="Times New Roman" w:cs="Times New Roman"/>
          <w:color w:val="000000" w:themeColor="text1"/>
          <w:sz w:val="24"/>
          <w:szCs w:val="24"/>
        </w:rPr>
        <w:t xml:space="preserve"> their lack of control and their inability to</w:t>
      </w:r>
      <w:r w:rsidR="008971D4" w:rsidRPr="00D33F9E">
        <w:rPr>
          <w:rFonts w:ascii="Times New Roman" w:hAnsi="Times New Roman" w:cs="Times New Roman"/>
          <w:color w:val="000000" w:themeColor="text1"/>
          <w:sz w:val="24"/>
          <w:szCs w:val="24"/>
        </w:rPr>
        <w:t xml:space="preserve"> predict student responses</w:t>
      </w:r>
      <w:r w:rsidR="00365BC1" w:rsidRPr="00D33F9E">
        <w:rPr>
          <w:rFonts w:ascii="Times New Roman" w:hAnsi="Times New Roman" w:cs="Times New Roman"/>
          <w:color w:val="000000" w:themeColor="text1"/>
          <w:sz w:val="24"/>
          <w:szCs w:val="24"/>
        </w:rPr>
        <w:t xml:space="preserve"> </w:t>
      </w:r>
      <w:r w:rsidR="008971D4" w:rsidRPr="00D33F9E">
        <w:rPr>
          <w:rFonts w:ascii="Times New Roman" w:hAnsi="Times New Roman" w:cs="Times New Roman"/>
          <w:color w:val="000000" w:themeColor="text1"/>
          <w:sz w:val="24"/>
          <w:szCs w:val="24"/>
          <w:shd w:val="clear" w:color="auto" w:fill="FFFFFF"/>
        </w:rPr>
        <w:t>(</w:t>
      </w:r>
      <w:r w:rsidR="00365BC1" w:rsidRPr="00D33F9E">
        <w:rPr>
          <w:rFonts w:ascii="Times New Roman" w:hAnsi="Times New Roman" w:cs="Times New Roman"/>
          <w:color w:val="000000" w:themeColor="text1"/>
          <w:sz w:val="24"/>
          <w:szCs w:val="24"/>
          <w:shd w:val="clear" w:color="auto" w:fill="FFFFFF"/>
        </w:rPr>
        <w:t xml:space="preserve">Neary, 2002). Furthermore, these approaches are costly </w:t>
      </w:r>
      <w:r w:rsidR="003D3A5D" w:rsidRPr="00D33F9E">
        <w:rPr>
          <w:rFonts w:ascii="Times New Roman" w:hAnsi="Times New Roman" w:cs="Times New Roman"/>
          <w:color w:val="000000" w:themeColor="text1"/>
          <w:sz w:val="24"/>
          <w:szCs w:val="24"/>
          <w:shd w:val="clear" w:color="auto" w:fill="FFFFFF"/>
        </w:rPr>
        <w:t xml:space="preserve">in </w:t>
      </w:r>
      <w:r w:rsidR="006A4E54" w:rsidRPr="00D33F9E">
        <w:rPr>
          <w:rFonts w:ascii="Times New Roman" w:hAnsi="Times New Roman" w:cs="Times New Roman"/>
          <w:color w:val="000000" w:themeColor="text1"/>
          <w:sz w:val="24"/>
          <w:szCs w:val="24"/>
          <w:shd w:val="clear" w:color="auto" w:fill="FFFFFF"/>
        </w:rPr>
        <w:t>terms</w:t>
      </w:r>
      <w:r w:rsidR="003D3A5D" w:rsidRPr="00D33F9E">
        <w:rPr>
          <w:rFonts w:ascii="Times New Roman" w:hAnsi="Times New Roman" w:cs="Times New Roman"/>
          <w:color w:val="000000" w:themeColor="text1"/>
          <w:sz w:val="24"/>
          <w:szCs w:val="24"/>
          <w:shd w:val="clear" w:color="auto" w:fill="FFFFFF"/>
        </w:rPr>
        <w:t xml:space="preserve"> </w:t>
      </w:r>
      <w:r w:rsidR="00365BC1" w:rsidRPr="00D33F9E">
        <w:rPr>
          <w:rFonts w:ascii="Times New Roman" w:hAnsi="Times New Roman" w:cs="Times New Roman"/>
          <w:color w:val="000000" w:themeColor="text1"/>
          <w:sz w:val="24"/>
          <w:szCs w:val="24"/>
          <w:shd w:val="clear" w:color="auto" w:fill="FFFFFF"/>
        </w:rPr>
        <w:t xml:space="preserve">of staff, equipment and resources and can be difficult to adopt when teaching </w:t>
      </w:r>
      <w:r w:rsidR="00DB0D94" w:rsidRPr="00D33F9E">
        <w:rPr>
          <w:rFonts w:ascii="Times New Roman" w:hAnsi="Times New Roman" w:cs="Times New Roman"/>
          <w:color w:val="000000" w:themeColor="text1"/>
          <w:sz w:val="24"/>
          <w:szCs w:val="24"/>
          <w:shd w:val="clear" w:color="auto" w:fill="FFFFFF"/>
        </w:rPr>
        <w:t xml:space="preserve">large </w:t>
      </w:r>
      <w:r w:rsidR="009E7990" w:rsidRPr="00D33F9E">
        <w:rPr>
          <w:rFonts w:ascii="Times New Roman" w:hAnsi="Times New Roman" w:cs="Times New Roman"/>
          <w:color w:val="000000" w:themeColor="text1"/>
          <w:sz w:val="24"/>
          <w:szCs w:val="24"/>
          <w:shd w:val="clear" w:color="auto" w:fill="FFFFFF"/>
        </w:rPr>
        <w:t>classes.</w:t>
      </w:r>
      <w:r w:rsidR="003D3A5D" w:rsidRPr="00D33F9E">
        <w:rPr>
          <w:rFonts w:ascii="Times New Roman" w:hAnsi="Times New Roman" w:cs="Times New Roman"/>
          <w:color w:val="000000" w:themeColor="text1"/>
          <w:sz w:val="24"/>
          <w:szCs w:val="24"/>
        </w:rPr>
        <w:t xml:space="preserve"> </w:t>
      </w:r>
      <w:r w:rsidR="00AD584E" w:rsidRPr="00D33F9E">
        <w:rPr>
          <w:rFonts w:ascii="Times New Roman" w:hAnsi="Times New Roman" w:cs="Times New Roman"/>
          <w:color w:val="000000" w:themeColor="text1"/>
          <w:sz w:val="24"/>
          <w:szCs w:val="24"/>
        </w:rPr>
        <w:t xml:space="preserve">It appears that teachers who have been exposed to this approach and have many years of experience working with adults </w:t>
      </w:r>
      <w:r w:rsidR="00BA1B2F" w:rsidRPr="00D33F9E">
        <w:rPr>
          <w:rFonts w:ascii="Times New Roman" w:hAnsi="Times New Roman" w:cs="Times New Roman"/>
          <w:color w:val="000000" w:themeColor="text1"/>
          <w:sz w:val="24"/>
          <w:szCs w:val="24"/>
        </w:rPr>
        <w:t xml:space="preserve">feel </w:t>
      </w:r>
      <w:r w:rsidRPr="00D33F9E">
        <w:rPr>
          <w:rFonts w:ascii="Times New Roman" w:hAnsi="Times New Roman" w:cs="Times New Roman"/>
          <w:color w:val="000000" w:themeColor="text1"/>
          <w:sz w:val="24"/>
          <w:szCs w:val="24"/>
        </w:rPr>
        <w:t xml:space="preserve">they can naturally interact with learners in the same way they would expect (Cox, 2013). </w:t>
      </w:r>
      <w:r w:rsidR="006A4E54" w:rsidRPr="00D33F9E">
        <w:rPr>
          <w:rFonts w:ascii="Times New Roman" w:hAnsi="Times New Roman" w:cs="Times New Roman"/>
          <w:color w:val="000000" w:themeColor="text1"/>
          <w:sz w:val="24"/>
          <w:szCs w:val="24"/>
        </w:rPr>
        <w:t xml:space="preserve">More research is needed </w:t>
      </w:r>
      <w:r w:rsidRPr="00D33F9E">
        <w:rPr>
          <w:rFonts w:ascii="Times New Roman" w:hAnsi="Times New Roman" w:cs="Times New Roman"/>
          <w:color w:val="000000" w:themeColor="text1"/>
          <w:sz w:val="24"/>
          <w:szCs w:val="24"/>
        </w:rPr>
        <w:t xml:space="preserve">to determine whether experience and exposure to andragogical styles influences ones teaching paradigm. </w:t>
      </w:r>
    </w:p>
    <w:p w14:paraId="22F6B9B4" w14:textId="77777777" w:rsidR="005B5BF3" w:rsidRDefault="00D74A59" w:rsidP="00D74A59">
      <w:pPr>
        <w:rPr>
          <w:rFonts w:ascii="Times New Roman" w:hAnsi="Times New Roman" w:cs="Times New Roman"/>
          <w:color w:val="000000" w:themeColor="text1"/>
          <w:sz w:val="24"/>
          <w:szCs w:val="24"/>
          <w:shd w:val="clear" w:color="auto" w:fill="FFFFFF"/>
        </w:rPr>
      </w:pPr>
      <w:r w:rsidRPr="00D33F9E">
        <w:rPr>
          <w:rFonts w:ascii="Times New Roman" w:hAnsi="Times New Roman" w:cs="Times New Roman"/>
          <w:color w:val="000000" w:themeColor="text1"/>
          <w:sz w:val="24"/>
          <w:szCs w:val="24"/>
        </w:rPr>
        <w:t>Although andragogy has played an important role in adult education, there are many criticisms to this approach. In reflection of Knowles assumptions, it has been suggested that adult learning is different from children’s and as a result different educational theories and teaching approaches must be implemented</w:t>
      </w:r>
      <w:r w:rsidR="005A2C59" w:rsidRPr="00D33F9E">
        <w:rPr>
          <w:rFonts w:ascii="Times New Roman" w:hAnsi="Times New Roman" w:cs="Times New Roman"/>
          <w:color w:val="000000" w:themeColor="text1"/>
          <w:sz w:val="24"/>
          <w:szCs w:val="24"/>
        </w:rPr>
        <w:t xml:space="preserve"> (</w:t>
      </w:r>
      <w:r w:rsidR="00B83E74" w:rsidRPr="00D33F9E">
        <w:rPr>
          <w:rFonts w:ascii="Times New Roman" w:hAnsi="Times New Roman" w:cs="Times New Roman"/>
          <w:color w:val="000000" w:themeColor="text1"/>
          <w:sz w:val="24"/>
          <w:szCs w:val="24"/>
          <w:shd w:val="clear" w:color="auto" w:fill="FFFFFF"/>
        </w:rPr>
        <w:t>Edwards et al, 2013</w:t>
      </w:r>
      <w:r w:rsidR="00B83E74" w:rsidRPr="00D33F9E">
        <w:rPr>
          <w:rFonts w:ascii="Times New Roman" w:hAnsi="Times New Roman" w:cs="Times New Roman"/>
          <w:color w:val="000000" w:themeColor="text1"/>
          <w:sz w:val="24"/>
          <w:szCs w:val="24"/>
          <w:shd w:val="clear" w:color="auto" w:fill="FFFFFF"/>
        </w:rPr>
        <w:t xml:space="preserve"> and </w:t>
      </w:r>
      <w:r w:rsidR="005A2C59" w:rsidRPr="00D33F9E">
        <w:rPr>
          <w:rFonts w:ascii="Times New Roman" w:hAnsi="Times New Roman" w:cs="Times New Roman"/>
          <w:color w:val="000000" w:themeColor="text1"/>
          <w:sz w:val="24"/>
          <w:szCs w:val="24"/>
        </w:rPr>
        <w:t>Neary, 2002</w:t>
      </w:r>
      <w:r w:rsidR="00B83E74" w:rsidRPr="00D33F9E">
        <w:rPr>
          <w:rFonts w:ascii="Times New Roman" w:hAnsi="Times New Roman" w:cs="Times New Roman"/>
          <w:color w:val="000000" w:themeColor="text1"/>
          <w:sz w:val="24"/>
          <w:szCs w:val="24"/>
        </w:rPr>
        <w:t xml:space="preserve">). </w:t>
      </w:r>
      <w:r w:rsidR="005A2C59" w:rsidRPr="00D33F9E">
        <w:rPr>
          <w:rFonts w:ascii="Times New Roman" w:hAnsi="Times New Roman" w:cs="Times New Roman"/>
          <w:color w:val="000000" w:themeColor="text1"/>
          <w:sz w:val="24"/>
          <w:szCs w:val="24"/>
          <w:shd w:val="clear" w:color="auto" w:fill="FFFFFF"/>
        </w:rPr>
        <w:t xml:space="preserve"> </w:t>
      </w:r>
      <w:proofErr w:type="spellStart"/>
      <w:r w:rsidR="005A2C59" w:rsidRPr="00D33F9E">
        <w:rPr>
          <w:rFonts w:ascii="Times New Roman" w:hAnsi="Times New Roman" w:cs="Times New Roman"/>
          <w:color w:val="000000" w:themeColor="text1"/>
          <w:sz w:val="24"/>
          <w:szCs w:val="24"/>
          <w:shd w:val="clear" w:color="auto" w:fill="FFFFFF"/>
        </w:rPr>
        <w:t>Darbyshire</w:t>
      </w:r>
      <w:proofErr w:type="spellEnd"/>
      <w:r w:rsidR="005A2C59" w:rsidRPr="00D33F9E">
        <w:rPr>
          <w:rFonts w:ascii="Times New Roman" w:hAnsi="Times New Roman" w:cs="Times New Roman"/>
          <w:color w:val="000000" w:themeColor="text1"/>
          <w:sz w:val="24"/>
          <w:szCs w:val="24"/>
          <w:shd w:val="clear" w:color="auto" w:fill="FFFFFF"/>
        </w:rPr>
        <w:t xml:space="preserve"> (1993) states there is no or little evidence to support these assumptions. He argues that </w:t>
      </w:r>
      <w:r w:rsidR="00357F5E" w:rsidRPr="00D33F9E">
        <w:rPr>
          <w:rFonts w:ascii="Times New Roman" w:hAnsi="Times New Roman" w:cs="Times New Roman"/>
          <w:color w:val="000000" w:themeColor="text1"/>
          <w:sz w:val="24"/>
          <w:szCs w:val="24"/>
          <w:shd w:val="clear" w:color="auto" w:fill="FFFFFF"/>
        </w:rPr>
        <w:t>grouping all adults as independent and self-directed in their learning is an obscene interpretation of human learning.</w:t>
      </w:r>
      <w:r w:rsidR="006C2C66" w:rsidRPr="00D33F9E">
        <w:rPr>
          <w:rFonts w:ascii="Times New Roman" w:hAnsi="Times New Roman" w:cs="Times New Roman"/>
          <w:color w:val="000000" w:themeColor="text1"/>
          <w:sz w:val="24"/>
          <w:szCs w:val="24"/>
          <w:shd w:val="clear" w:color="auto" w:fill="FFFFFF"/>
        </w:rPr>
        <w:t xml:space="preserve"> It appears some adults favour more </w:t>
      </w:r>
      <w:r w:rsidR="00090792" w:rsidRPr="00D33F9E">
        <w:rPr>
          <w:rFonts w:ascii="Times New Roman" w:hAnsi="Times New Roman" w:cs="Times New Roman"/>
          <w:color w:val="000000" w:themeColor="text1"/>
          <w:sz w:val="24"/>
          <w:szCs w:val="24"/>
          <w:shd w:val="clear" w:color="auto" w:fill="FFFFFF"/>
        </w:rPr>
        <w:t>didactic approaches and children in specific situations have richer experiences than adults hold</w:t>
      </w:r>
      <w:r w:rsidR="00357F5E" w:rsidRPr="00D33F9E">
        <w:rPr>
          <w:rFonts w:ascii="Times New Roman" w:hAnsi="Times New Roman" w:cs="Times New Roman"/>
          <w:color w:val="000000" w:themeColor="text1"/>
          <w:sz w:val="24"/>
          <w:szCs w:val="24"/>
          <w:shd w:val="clear" w:color="auto" w:fill="FFFFFF"/>
        </w:rPr>
        <w:t xml:space="preserve"> </w:t>
      </w:r>
      <w:r w:rsidRPr="00D33F9E">
        <w:rPr>
          <w:rFonts w:ascii="Times New Roman" w:hAnsi="Times New Roman" w:cs="Times New Roman"/>
          <w:color w:val="000000" w:themeColor="text1"/>
          <w:sz w:val="24"/>
          <w:szCs w:val="24"/>
          <w:shd w:val="clear" w:color="auto" w:fill="FFFFFF"/>
        </w:rPr>
        <w:t>(</w:t>
      </w:r>
      <w:r w:rsidR="00FE2C3C" w:rsidRPr="00D33F9E">
        <w:rPr>
          <w:rFonts w:ascii="Times New Roman" w:hAnsi="Times New Roman" w:cs="Times New Roman"/>
          <w:color w:val="000000" w:themeColor="text1"/>
          <w:sz w:val="24"/>
          <w:szCs w:val="24"/>
          <w:shd w:val="clear" w:color="auto" w:fill="FFFFFF"/>
        </w:rPr>
        <w:t>Merriam, 2001</w:t>
      </w:r>
      <w:r w:rsidR="007A2111" w:rsidRPr="00D33F9E">
        <w:rPr>
          <w:rFonts w:ascii="Times New Roman" w:hAnsi="Times New Roman" w:cs="Times New Roman"/>
          <w:color w:val="000000" w:themeColor="text1"/>
          <w:sz w:val="24"/>
          <w:szCs w:val="24"/>
          <w:shd w:val="clear" w:color="auto" w:fill="FFFFFF"/>
        </w:rPr>
        <w:t xml:space="preserve"> and </w:t>
      </w:r>
      <w:r w:rsidRPr="00D33F9E">
        <w:rPr>
          <w:rFonts w:ascii="Times New Roman" w:hAnsi="Times New Roman" w:cs="Times New Roman"/>
          <w:color w:val="000000" w:themeColor="text1"/>
          <w:sz w:val="24"/>
          <w:szCs w:val="24"/>
          <w:shd w:val="clear" w:color="auto" w:fill="FFFFFF"/>
        </w:rPr>
        <w:t>Nguyen et al</w:t>
      </w:r>
      <w:r w:rsidR="00FE2C3C" w:rsidRPr="00D33F9E">
        <w:rPr>
          <w:rFonts w:ascii="Times New Roman" w:hAnsi="Times New Roman" w:cs="Times New Roman"/>
          <w:color w:val="000000" w:themeColor="text1"/>
          <w:sz w:val="24"/>
          <w:szCs w:val="24"/>
          <w:shd w:val="clear" w:color="auto" w:fill="FFFFFF"/>
        </w:rPr>
        <w:t xml:space="preserve"> 2016</w:t>
      </w:r>
      <w:r w:rsidRPr="00D33F9E">
        <w:rPr>
          <w:rFonts w:ascii="Times New Roman" w:hAnsi="Times New Roman" w:cs="Times New Roman"/>
          <w:color w:val="000000" w:themeColor="text1"/>
          <w:sz w:val="24"/>
          <w:szCs w:val="24"/>
          <w:shd w:val="clear" w:color="auto" w:fill="FFFFFF"/>
        </w:rPr>
        <w:t>).</w:t>
      </w:r>
      <w:r w:rsidR="00357F5E" w:rsidRPr="00D33F9E">
        <w:rPr>
          <w:rFonts w:ascii="Times New Roman" w:hAnsi="Times New Roman" w:cs="Times New Roman"/>
          <w:color w:val="000000" w:themeColor="text1"/>
          <w:sz w:val="24"/>
          <w:szCs w:val="24"/>
          <w:shd w:val="clear" w:color="auto" w:fill="FFFFFF"/>
        </w:rPr>
        <w:t xml:space="preserve"> </w:t>
      </w:r>
      <w:r w:rsidR="001B1DC5" w:rsidRPr="00D33F9E">
        <w:rPr>
          <w:rFonts w:ascii="Times New Roman" w:hAnsi="Times New Roman" w:cs="Times New Roman"/>
          <w:color w:val="000000" w:themeColor="text1"/>
          <w:sz w:val="24"/>
          <w:szCs w:val="24"/>
          <w:shd w:val="clear" w:color="auto" w:fill="FFFFFF"/>
        </w:rPr>
        <w:t xml:space="preserve">As indicated by Chan (2010) </w:t>
      </w:r>
      <w:r w:rsidR="00151AB2" w:rsidRPr="00D33F9E">
        <w:rPr>
          <w:rFonts w:ascii="Times New Roman" w:hAnsi="Times New Roman" w:cs="Times New Roman"/>
          <w:color w:val="000000" w:themeColor="text1"/>
          <w:sz w:val="24"/>
          <w:szCs w:val="24"/>
          <w:shd w:val="clear" w:color="auto" w:fill="FFFFFF"/>
        </w:rPr>
        <w:t xml:space="preserve">active learning is more effective than passive learning regardless of age, </w:t>
      </w:r>
      <w:r w:rsidR="00D27F08" w:rsidRPr="00D33F9E">
        <w:rPr>
          <w:rFonts w:ascii="Times New Roman" w:hAnsi="Times New Roman" w:cs="Times New Roman"/>
          <w:color w:val="000000" w:themeColor="text1"/>
          <w:sz w:val="24"/>
          <w:szCs w:val="24"/>
          <w:shd w:val="clear" w:color="auto" w:fill="FFFFFF"/>
        </w:rPr>
        <w:t>meaning</w:t>
      </w:r>
      <w:r w:rsidR="00151AB2" w:rsidRPr="00D33F9E">
        <w:rPr>
          <w:rFonts w:ascii="Times New Roman" w:hAnsi="Times New Roman" w:cs="Times New Roman"/>
          <w:color w:val="000000" w:themeColor="text1"/>
          <w:sz w:val="24"/>
          <w:szCs w:val="24"/>
          <w:shd w:val="clear" w:color="auto" w:fill="FFFFFF"/>
        </w:rPr>
        <w:t xml:space="preserve"> </w:t>
      </w:r>
      <w:r w:rsidR="002B6249" w:rsidRPr="00D33F9E">
        <w:rPr>
          <w:rFonts w:ascii="Times New Roman" w:hAnsi="Times New Roman" w:cs="Times New Roman"/>
          <w:color w:val="000000" w:themeColor="text1"/>
          <w:sz w:val="24"/>
          <w:szCs w:val="24"/>
          <w:shd w:val="clear" w:color="auto" w:fill="FFFFFF"/>
        </w:rPr>
        <w:t>t</w:t>
      </w:r>
      <w:r w:rsidR="00997813" w:rsidRPr="00D33F9E">
        <w:rPr>
          <w:rFonts w:ascii="Times New Roman" w:hAnsi="Times New Roman" w:cs="Times New Roman"/>
          <w:color w:val="000000" w:themeColor="text1"/>
          <w:sz w:val="24"/>
          <w:szCs w:val="24"/>
          <w:shd w:val="clear" w:color="auto" w:fill="FFFFFF"/>
        </w:rPr>
        <w:t>he andragogical approach</w:t>
      </w:r>
      <w:r w:rsidR="002B6249" w:rsidRPr="00D33F9E">
        <w:rPr>
          <w:rFonts w:ascii="Times New Roman" w:hAnsi="Times New Roman" w:cs="Times New Roman"/>
          <w:color w:val="000000" w:themeColor="text1"/>
          <w:sz w:val="24"/>
          <w:szCs w:val="24"/>
          <w:shd w:val="clear" w:color="auto" w:fill="FFFFFF"/>
        </w:rPr>
        <w:t xml:space="preserve"> can</w:t>
      </w:r>
      <w:r w:rsidR="00997813" w:rsidRPr="00D33F9E">
        <w:rPr>
          <w:rFonts w:ascii="Times New Roman" w:hAnsi="Times New Roman" w:cs="Times New Roman"/>
          <w:color w:val="000000" w:themeColor="text1"/>
          <w:sz w:val="24"/>
          <w:szCs w:val="24"/>
          <w:shd w:val="clear" w:color="auto" w:fill="FFFFFF"/>
        </w:rPr>
        <w:t xml:space="preserve"> be applied in the teaching of children and adults</w:t>
      </w:r>
      <w:r w:rsidR="00770C63" w:rsidRPr="00D33F9E">
        <w:rPr>
          <w:rFonts w:ascii="Times New Roman" w:hAnsi="Times New Roman" w:cs="Times New Roman"/>
          <w:color w:val="000000" w:themeColor="text1"/>
          <w:sz w:val="24"/>
          <w:szCs w:val="24"/>
          <w:shd w:val="clear" w:color="auto" w:fill="FFFFFF"/>
        </w:rPr>
        <w:t xml:space="preserve">. </w:t>
      </w:r>
      <w:bookmarkStart w:id="0" w:name="_Hlk10041942"/>
    </w:p>
    <w:p w14:paraId="2B570FFE" w14:textId="4DB48FA0" w:rsidR="00D74A59" w:rsidRPr="00D33F9E" w:rsidRDefault="008E2825" w:rsidP="00D74A59">
      <w:pPr>
        <w:rPr>
          <w:rFonts w:ascii="Times New Roman" w:hAnsi="Times New Roman" w:cs="Times New Roman"/>
          <w:color w:val="000000" w:themeColor="text1"/>
          <w:sz w:val="24"/>
          <w:szCs w:val="24"/>
          <w:shd w:val="clear" w:color="auto" w:fill="FFFFFF"/>
        </w:rPr>
      </w:pPr>
      <w:bookmarkStart w:id="1" w:name="_GoBack"/>
      <w:bookmarkEnd w:id="1"/>
      <w:r w:rsidRPr="00D33F9E">
        <w:rPr>
          <w:rFonts w:ascii="Times New Roman" w:hAnsi="Times New Roman" w:cs="Times New Roman"/>
          <w:color w:val="000000" w:themeColor="text1"/>
          <w:sz w:val="24"/>
          <w:szCs w:val="24"/>
          <w:shd w:val="clear" w:color="auto" w:fill="FFFFFF"/>
        </w:rPr>
        <w:t>Learner readiness is a</w:t>
      </w:r>
      <w:r w:rsidR="00D8559A" w:rsidRPr="00D33F9E">
        <w:rPr>
          <w:rFonts w:ascii="Times New Roman" w:hAnsi="Times New Roman" w:cs="Times New Roman"/>
          <w:color w:val="000000" w:themeColor="text1"/>
          <w:sz w:val="24"/>
          <w:szCs w:val="24"/>
          <w:shd w:val="clear" w:color="auto" w:fill="FFFFFF"/>
        </w:rPr>
        <w:t>n</w:t>
      </w:r>
      <w:r w:rsidR="002432CB">
        <w:rPr>
          <w:rFonts w:ascii="Times New Roman" w:hAnsi="Times New Roman" w:cs="Times New Roman"/>
          <w:color w:val="000000" w:themeColor="text1"/>
          <w:sz w:val="24"/>
          <w:szCs w:val="24"/>
          <w:shd w:val="clear" w:color="auto" w:fill="FFFFFF"/>
        </w:rPr>
        <w:t xml:space="preserve"> important</w:t>
      </w:r>
      <w:r w:rsidRPr="00D33F9E">
        <w:rPr>
          <w:rFonts w:ascii="Times New Roman" w:hAnsi="Times New Roman" w:cs="Times New Roman"/>
          <w:color w:val="000000" w:themeColor="text1"/>
          <w:sz w:val="24"/>
          <w:szCs w:val="24"/>
          <w:shd w:val="clear" w:color="auto" w:fill="FFFFFF"/>
        </w:rPr>
        <w:t xml:space="preserve"> influential factor</w:t>
      </w:r>
      <w:r w:rsidR="00E81B5B" w:rsidRPr="00D33F9E">
        <w:rPr>
          <w:rFonts w:ascii="Times New Roman" w:hAnsi="Times New Roman" w:cs="Times New Roman"/>
          <w:color w:val="000000" w:themeColor="text1"/>
          <w:sz w:val="24"/>
          <w:szCs w:val="24"/>
          <w:shd w:val="clear" w:color="auto" w:fill="FFFFFF"/>
        </w:rPr>
        <w:t xml:space="preserve">, as some adults may need to </w:t>
      </w:r>
      <w:r w:rsidR="002B6249" w:rsidRPr="00D33F9E">
        <w:rPr>
          <w:rFonts w:ascii="Times New Roman" w:hAnsi="Times New Roman" w:cs="Times New Roman"/>
          <w:color w:val="000000" w:themeColor="text1"/>
          <w:sz w:val="24"/>
          <w:szCs w:val="24"/>
          <w:shd w:val="clear" w:color="auto" w:fill="FFFFFF"/>
        </w:rPr>
        <w:t>go</w:t>
      </w:r>
      <w:r w:rsidR="00357F5E" w:rsidRPr="00D33F9E">
        <w:rPr>
          <w:rFonts w:ascii="Times New Roman" w:hAnsi="Times New Roman" w:cs="Times New Roman"/>
          <w:color w:val="000000" w:themeColor="text1"/>
          <w:sz w:val="24"/>
          <w:szCs w:val="24"/>
          <w:shd w:val="clear" w:color="auto" w:fill="FFFFFF"/>
        </w:rPr>
        <w:t xml:space="preserve"> through a process of re-orientation to learning </w:t>
      </w:r>
      <w:r w:rsidR="00E81B5B" w:rsidRPr="00D33F9E">
        <w:rPr>
          <w:rFonts w:ascii="Times New Roman" w:hAnsi="Times New Roman" w:cs="Times New Roman"/>
          <w:color w:val="000000" w:themeColor="text1"/>
          <w:sz w:val="24"/>
          <w:szCs w:val="24"/>
          <w:shd w:val="clear" w:color="auto" w:fill="FFFFFF"/>
        </w:rPr>
        <w:t>in order to feel more comfortable</w:t>
      </w:r>
      <w:r w:rsidR="00AE3C5B" w:rsidRPr="00D33F9E">
        <w:rPr>
          <w:rFonts w:ascii="Times New Roman" w:hAnsi="Times New Roman" w:cs="Times New Roman"/>
          <w:color w:val="000000" w:themeColor="text1"/>
          <w:sz w:val="24"/>
          <w:szCs w:val="24"/>
          <w:shd w:val="clear" w:color="auto" w:fill="FFFFFF"/>
        </w:rPr>
        <w:t xml:space="preserve"> adopting this style (</w:t>
      </w:r>
      <w:r w:rsidR="001E0EC0" w:rsidRPr="00D33F9E">
        <w:rPr>
          <w:rFonts w:ascii="Times New Roman" w:hAnsi="Times New Roman" w:cs="Times New Roman"/>
          <w:color w:val="000000" w:themeColor="text1"/>
          <w:sz w:val="24"/>
          <w:szCs w:val="24"/>
          <w:shd w:val="clear" w:color="auto" w:fill="FFFFFF"/>
        </w:rPr>
        <w:t>Hao, 2016</w:t>
      </w:r>
      <w:r w:rsidR="00D8559A" w:rsidRPr="00D33F9E">
        <w:rPr>
          <w:rFonts w:ascii="Times New Roman" w:hAnsi="Times New Roman" w:cs="Times New Roman"/>
          <w:color w:val="000000" w:themeColor="text1"/>
          <w:sz w:val="24"/>
          <w:szCs w:val="24"/>
          <w:shd w:val="clear" w:color="auto" w:fill="FFFFFF"/>
        </w:rPr>
        <w:t xml:space="preserve"> and </w:t>
      </w:r>
      <w:r w:rsidR="002B6249" w:rsidRPr="00D33F9E">
        <w:rPr>
          <w:rFonts w:ascii="Times New Roman" w:hAnsi="Times New Roman" w:cs="Times New Roman"/>
          <w:color w:val="000000" w:themeColor="text1"/>
          <w:sz w:val="24"/>
          <w:szCs w:val="24"/>
          <w:shd w:val="clear" w:color="auto" w:fill="FFFFFF"/>
        </w:rPr>
        <w:t xml:space="preserve">Ralph, 2002). Teachers can encourage this re-orientation by promoting a learning environment that </w:t>
      </w:r>
      <w:r w:rsidR="009B1B15" w:rsidRPr="00D33F9E">
        <w:rPr>
          <w:rFonts w:ascii="Times New Roman" w:hAnsi="Times New Roman" w:cs="Times New Roman"/>
          <w:color w:val="000000" w:themeColor="text1"/>
          <w:sz w:val="24"/>
          <w:szCs w:val="24"/>
          <w:shd w:val="clear" w:color="auto" w:fill="FFFFFF"/>
        </w:rPr>
        <w:t>causes</w:t>
      </w:r>
      <w:r w:rsidR="002B6249" w:rsidRPr="00D33F9E">
        <w:rPr>
          <w:rFonts w:ascii="Times New Roman" w:hAnsi="Times New Roman" w:cs="Times New Roman"/>
          <w:color w:val="000000" w:themeColor="text1"/>
          <w:sz w:val="24"/>
          <w:szCs w:val="24"/>
          <w:shd w:val="clear" w:color="auto" w:fill="FFFFFF"/>
        </w:rPr>
        <w:t xml:space="preserve"> adults to be </w:t>
      </w:r>
      <w:r w:rsidR="00327713" w:rsidRPr="00D33F9E">
        <w:rPr>
          <w:rFonts w:ascii="Times New Roman" w:hAnsi="Times New Roman" w:cs="Times New Roman"/>
          <w:color w:val="000000" w:themeColor="text1"/>
          <w:sz w:val="24"/>
          <w:szCs w:val="24"/>
          <w:shd w:val="clear" w:color="auto" w:fill="FFFFFF"/>
        </w:rPr>
        <w:t>feel accepted, respected and supported, in which there is a freedom of expression without fear of</w:t>
      </w:r>
      <w:r w:rsidR="002B6249" w:rsidRPr="00D33F9E">
        <w:rPr>
          <w:rFonts w:ascii="Times New Roman" w:hAnsi="Times New Roman" w:cs="Times New Roman"/>
          <w:color w:val="000000" w:themeColor="text1"/>
          <w:sz w:val="24"/>
          <w:szCs w:val="24"/>
          <w:shd w:val="clear" w:color="auto" w:fill="FFFFFF"/>
        </w:rPr>
        <w:t xml:space="preserve"> punishment (</w:t>
      </w:r>
      <w:r w:rsidR="007B2D29" w:rsidRPr="00D33F9E">
        <w:rPr>
          <w:rFonts w:ascii="Times New Roman" w:hAnsi="Times New Roman" w:cs="Times New Roman"/>
          <w:color w:val="000000" w:themeColor="text1"/>
          <w:sz w:val="24"/>
          <w:szCs w:val="24"/>
          <w:shd w:val="clear" w:color="auto" w:fill="FFFFFF"/>
        </w:rPr>
        <w:t>Edwards et al</w:t>
      </w:r>
      <w:r w:rsidR="002B6249" w:rsidRPr="00D33F9E">
        <w:rPr>
          <w:rFonts w:ascii="Times New Roman" w:hAnsi="Times New Roman" w:cs="Times New Roman"/>
          <w:color w:val="000000" w:themeColor="text1"/>
          <w:sz w:val="24"/>
          <w:szCs w:val="24"/>
          <w:shd w:val="clear" w:color="auto" w:fill="FFFFFF"/>
        </w:rPr>
        <w:t>, 2013</w:t>
      </w:r>
      <w:r w:rsidR="004E6842" w:rsidRPr="00D33F9E">
        <w:rPr>
          <w:rFonts w:ascii="Times New Roman" w:hAnsi="Times New Roman" w:cs="Times New Roman"/>
          <w:color w:val="000000" w:themeColor="text1"/>
          <w:sz w:val="24"/>
          <w:szCs w:val="24"/>
          <w:shd w:val="clear" w:color="auto" w:fill="FFFFFF"/>
        </w:rPr>
        <w:t>)</w:t>
      </w:r>
      <w:r w:rsidR="002B6249" w:rsidRPr="00D33F9E">
        <w:rPr>
          <w:rFonts w:ascii="Times New Roman" w:hAnsi="Times New Roman" w:cs="Times New Roman"/>
          <w:color w:val="000000" w:themeColor="text1"/>
          <w:sz w:val="24"/>
          <w:szCs w:val="24"/>
          <w:shd w:val="clear" w:color="auto" w:fill="FFFFFF"/>
        </w:rPr>
        <w:t>.</w:t>
      </w:r>
      <w:r w:rsidR="0009764E" w:rsidRPr="00D33F9E">
        <w:rPr>
          <w:rFonts w:ascii="Times New Roman" w:hAnsi="Times New Roman" w:cs="Times New Roman"/>
          <w:color w:val="000000" w:themeColor="text1"/>
          <w:sz w:val="24"/>
          <w:szCs w:val="24"/>
          <w:shd w:val="clear" w:color="auto" w:fill="FFFFFF"/>
        </w:rPr>
        <w:t xml:space="preserve"> </w:t>
      </w:r>
      <w:r w:rsidR="004E6842" w:rsidRPr="00D33F9E">
        <w:rPr>
          <w:rFonts w:ascii="Times New Roman" w:hAnsi="Times New Roman" w:cs="Times New Roman"/>
          <w:color w:val="000000" w:themeColor="text1"/>
          <w:sz w:val="24"/>
          <w:szCs w:val="24"/>
          <w:shd w:val="clear" w:color="auto" w:fill="FFFFFF"/>
        </w:rPr>
        <w:t xml:space="preserve">Other situational factors which may influence its implementation include </w:t>
      </w:r>
      <w:r w:rsidR="00F81ECC" w:rsidRPr="00D33F9E">
        <w:rPr>
          <w:rFonts w:ascii="Times New Roman" w:hAnsi="Times New Roman" w:cs="Times New Roman"/>
          <w:color w:val="000000" w:themeColor="text1"/>
          <w:sz w:val="24"/>
          <w:szCs w:val="24"/>
          <w:shd w:val="clear" w:color="auto" w:fill="FFFFFF"/>
        </w:rPr>
        <w:t>learners’</w:t>
      </w:r>
      <w:r w:rsidR="0047719D" w:rsidRPr="00D33F9E">
        <w:rPr>
          <w:rFonts w:ascii="Times New Roman" w:hAnsi="Times New Roman" w:cs="Times New Roman"/>
          <w:color w:val="000000" w:themeColor="text1"/>
          <w:sz w:val="24"/>
          <w:szCs w:val="24"/>
          <w:shd w:val="clear" w:color="auto" w:fill="FFFFFF"/>
        </w:rPr>
        <w:t xml:space="preserve"> prior</w:t>
      </w:r>
      <w:r w:rsidR="0009764E" w:rsidRPr="00D33F9E">
        <w:rPr>
          <w:rFonts w:ascii="Times New Roman" w:hAnsi="Times New Roman" w:cs="Times New Roman"/>
          <w:color w:val="000000" w:themeColor="text1"/>
          <w:sz w:val="24"/>
          <w:szCs w:val="24"/>
          <w:shd w:val="clear" w:color="auto" w:fill="FFFFFF"/>
        </w:rPr>
        <w:t xml:space="preserve"> experiences and knowledge of content, the presence or absence of institutional constraints and</w:t>
      </w:r>
      <w:r w:rsidR="0021439D" w:rsidRPr="00D33F9E">
        <w:rPr>
          <w:rFonts w:ascii="Times New Roman" w:hAnsi="Times New Roman" w:cs="Times New Roman"/>
          <w:color w:val="000000" w:themeColor="text1"/>
          <w:sz w:val="24"/>
          <w:szCs w:val="24"/>
          <w:shd w:val="clear" w:color="auto" w:fill="FFFFFF"/>
        </w:rPr>
        <w:t xml:space="preserve"> the</w:t>
      </w:r>
      <w:r w:rsidR="0009764E" w:rsidRPr="00D33F9E">
        <w:rPr>
          <w:rFonts w:ascii="Times New Roman" w:hAnsi="Times New Roman" w:cs="Times New Roman"/>
          <w:color w:val="000000" w:themeColor="text1"/>
          <w:sz w:val="24"/>
          <w:szCs w:val="24"/>
          <w:shd w:val="clear" w:color="auto" w:fill="FFFFFF"/>
        </w:rPr>
        <w:t xml:space="preserve"> goals of the course (Rachal</w:t>
      </w:r>
      <w:r w:rsidR="0021439D" w:rsidRPr="00D33F9E">
        <w:rPr>
          <w:rFonts w:ascii="Times New Roman" w:hAnsi="Times New Roman" w:cs="Times New Roman"/>
          <w:color w:val="000000" w:themeColor="text1"/>
          <w:sz w:val="24"/>
          <w:szCs w:val="24"/>
          <w:shd w:val="clear" w:color="auto" w:fill="FFFFFF"/>
        </w:rPr>
        <w:t xml:space="preserve">, </w:t>
      </w:r>
      <w:r w:rsidR="0009764E" w:rsidRPr="00D33F9E">
        <w:rPr>
          <w:rFonts w:ascii="Times New Roman" w:hAnsi="Times New Roman" w:cs="Times New Roman"/>
          <w:color w:val="000000" w:themeColor="text1"/>
          <w:sz w:val="24"/>
          <w:szCs w:val="24"/>
          <w:shd w:val="clear" w:color="auto" w:fill="FFFFFF"/>
        </w:rPr>
        <w:t xml:space="preserve">2002). </w:t>
      </w:r>
      <w:bookmarkEnd w:id="0"/>
      <w:r w:rsidR="00997813" w:rsidRPr="00D33F9E">
        <w:rPr>
          <w:rFonts w:ascii="Times New Roman" w:hAnsi="Times New Roman" w:cs="Times New Roman"/>
          <w:color w:val="000000" w:themeColor="text1"/>
          <w:sz w:val="24"/>
          <w:szCs w:val="24"/>
          <w:shd w:val="clear" w:color="auto" w:fill="FFFFFF"/>
        </w:rPr>
        <w:t xml:space="preserve">As indicated by </w:t>
      </w:r>
      <w:proofErr w:type="spellStart"/>
      <w:r w:rsidR="00997813" w:rsidRPr="00D33F9E">
        <w:rPr>
          <w:rFonts w:ascii="Times New Roman" w:hAnsi="Times New Roman" w:cs="Times New Roman"/>
          <w:color w:val="000000" w:themeColor="text1"/>
          <w:sz w:val="24"/>
          <w:szCs w:val="24"/>
          <w:shd w:val="clear" w:color="auto" w:fill="FFFFFF"/>
        </w:rPr>
        <w:t>Draganov</w:t>
      </w:r>
      <w:proofErr w:type="spellEnd"/>
      <w:r w:rsidR="00997813" w:rsidRPr="00D33F9E">
        <w:rPr>
          <w:rFonts w:ascii="Times New Roman" w:hAnsi="Times New Roman" w:cs="Times New Roman"/>
          <w:color w:val="000000" w:themeColor="text1"/>
          <w:sz w:val="24"/>
          <w:szCs w:val="24"/>
          <w:shd w:val="clear" w:color="auto" w:fill="FFFFFF"/>
        </w:rPr>
        <w:t xml:space="preserve"> et al (2013) </w:t>
      </w:r>
      <w:bookmarkStart w:id="2" w:name="_Hlk10042780"/>
      <w:r w:rsidR="00997813" w:rsidRPr="00D33F9E">
        <w:rPr>
          <w:rFonts w:ascii="Times New Roman" w:hAnsi="Times New Roman" w:cs="Times New Roman"/>
          <w:color w:val="000000" w:themeColor="text1"/>
          <w:sz w:val="24"/>
          <w:szCs w:val="24"/>
          <w:shd w:val="clear" w:color="auto" w:fill="FFFFFF"/>
        </w:rPr>
        <w:t xml:space="preserve">Knowles set of principles need to be used appropriately to contribute to adult learners’ success and encourage improvement in post education and professional training. </w:t>
      </w:r>
      <w:bookmarkEnd w:id="2"/>
      <w:r w:rsidR="00D74A59" w:rsidRPr="00D33F9E">
        <w:rPr>
          <w:rFonts w:ascii="Times New Roman" w:hAnsi="Times New Roman" w:cs="Times New Roman"/>
          <w:color w:val="000000" w:themeColor="text1"/>
          <w:sz w:val="24"/>
          <w:szCs w:val="24"/>
          <w:shd w:val="clear" w:color="auto" w:fill="FFFFFF"/>
        </w:rPr>
        <w:t>Knowles (1979) did try to review the differences between andragogy and pedagogy when he claimed that some pedagogical assumptions are realistic for adults and some andragogical assumptions are representative for children in some situations. This gives a strong impression that andragogy is not an educational approach or philosophy but a collection of teaching techniques that can be used with students of any age in situations that are appropriate (</w:t>
      </w:r>
      <w:proofErr w:type="spellStart"/>
      <w:r w:rsidR="00D74A59" w:rsidRPr="00D33F9E">
        <w:rPr>
          <w:rFonts w:ascii="Times New Roman" w:hAnsi="Times New Roman" w:cs="Times New Roman"/>
          <w:color w:val="000000" w:themeColor="text1"/>
          <w:sz w:val="24"/>
          <w:szCs w:val="24"/>
          <w:shd w:val="clear" w:color="auto" w:fill="FFFFFF"/>
        </w:rPr>
        <w:t>Darbyshire</w:t>
      </w:r>
      <w:proofErr w:type="spellEnd"/>
      <w:r w:rsidR="00D74A59" w:rsidRPr="00D33F9E">
        <w:rPr>
          <w:rFonts w:ascii="Times New Roman" w:hAnsi="Times New Roman" w:cs="Times New Roman"/>
          <w:color w:val="000000" w:themeColor="text1"/>
          <w:sz w:val="24"/>
          <w:szCs w:val="24"/>
          <w:shd w:val="clear" w:color="auto" w:fill="FFFFFF"/>
        </w:rPr>
        <w:t>, 1993). There is obviously a lack of understanding amongst researchers of the concept andragogy, rendering each of their examinations rather meaningless (</w:t>
      </w:r>
      <w:proofErr w:type="spellStart"/>
      <w:r w:rsidR="00D74A59" w:rsidRPr="00D33F9E">
        <w:rPr>
          <w:rFonts w:ascii="Times New Roman" w:hAnsi="Times New Roman" w:cs="Times New Roman"/>
          <w:color w:val="000000" w:themeColor="text1"/>
          <w:sz w:val="24"/>
          <w:szCs w:val="24"/>
          <w:shd w:val="clear" w:color="auto" w:fill="FFFFFF"/>
        </w:rPr>
        <w:t>Henschke</w:t>
      </w:r>
      <w:proofErr w:type="spellEnd"/>
      <w:r w:rsidR="00D74A59" w:rsidRPr="00D33F9E">
        <w:rPr>
          <w:rFonts w:ascii="Times New Roman" w:hAnsi="Times New Roman" w:cs="Times New Roman"/>
          <w:color w:val="000000" w:themeColor="text1"/>
          <w:sz w:val="24"/>
          <w:szCs w:val="24"/>
          <w:shd w:val="clear" w:color="auto" w:fill="FFFFFF"/>
        </w:rPr>
        <w:t xml:space="preserve">, 2011). This may call for a more uniform definition of andragogy that recognises the background of instructional situations. A general criticism of andragogy is that it does not possess the characteristics of a science because the subjective evidence far outweighs the experimental evidence within the literature (Merriam et al, 2007 and Rachal, 2002). Measurable data would further strengthen the theory and allow andragogy to influence practice within the future (Taylor and </w:t>
      </w:r>
      <w:proofErr w:type="spellStart"/>
      <w:r w:rsidR="00D74A59" w:rsidRPr="00D33F9E">
        <w:rPr>
          <w:rFonts w:ascii="Times New Roman" w:hAnsi="Times New Roman" w:cs="Times New Roman"/>
          <w:color w:val="000000" w:themeColor="text1"/>
          <w:sz w:val="24"/>
          <w:szCs w:val="24"/>
          <w:shd w:val="clear" w:color="auto" w:fill="FFFFFF"/>
        </w:rPr>
        <w:t>Kroth</w:t>
      </w:r>
      <w:proofErr w:type="spellEnd"/>
      <w:r w:rsidR="00D74A59" w:rsidRPr="00D33F9E">
        <w:rPr>
          <w:rFonts w:ascii="Times New Roman" w:hAnsi="Times New Roman" w:cs="Times New Roman"/>
          <w:color w:val="000000" w:themeColor="text1"/>
          <w:sz w:val="24"/>
          <w:szCs w:val="24"/>
          <w:shd w:val="clear" w:color="auto" w:fill="FFFFFF"/>
        </w:rPr>
        <w:t xml:space="preserve">, 2009).  This can be problematic for researchers, as the only way to measure andragogy effectiveness is through </w:t>
      </w:r>
      <w:r w:rsidR="00834045" w:rsidRPr="00D33F9E">
        <w:rPr>
          <w:rFonts w:ascii="Times New Roman" w:hAnsi="Times New Roman" w:cs="Times New Roman"/>
          <w:color w:val="000000" w:themeColor="text1"/>
          <w:sz w:val="24"/>
          <w:szCs w:val="24"/>
          <w:shd w:val="clear" w:color="auto" w:fill="FFFFFF"/>
        </w:rPr>
        <w:t>students’</w:t>
      </w:r>
      <w:r w:rsidR="00D74A59" w:rsidRPr="00D33F9E">
        <w:rPr>
          <w:rFonts w:ascii="Times New Roman" w:hAnsi="Times New Roman" w:cs="Times New Roman"/>
          <w:color w:val="000000" w:themeColor="text1"/>
          <w:sz w:val="24"/>
          <w:szCs w:val="24"/>
          <w:shd w:val="clear" w:color="auto" w:fill="FFFFFF"/>
        </w:rPr>
        <w:t xml:space="preserve"> grades, which is offensive to the ideology of andragogy (Rachal, </w:t>
      </w:r>
      <w:r w:rsidR="005F1042" w:rsidRPr="00D33F9E">
        <w:rPr>
          <w:rFonts w:ascii="Times New Roman" w:hAnsi="Times New Roman" w:cs="Times New Roman"/>
          <w:color w:val="000000" w:themeColor="text1"/>
          <w:sz w:val="24"/>
          <w:szCs w:val="24"/>
          <w:shd w:val="clear" w:color="auto" w:fill="FFFFFF"/>
        </w:rPr>
        <w:t>2002; Taylor</w:t>
      </w:r>
      <w:r w:rsidR="00803D70" w:rsidRPr="00D33F9E">
        <w:rPr>
          <w:rFonts w:ascii="Times New Roman" w:hAnsi="Times New Roman" w:cs="Times New Roman"/>
          <w:color w:val="000000" w:themeColor="text1"/>
          <w:sz w:val="24"/>
          <w:szCs w:val="24"/>
          <w:shd w:val="clear" w:color="auto" w:fill="FFFFFF"/>
        </w:rPr>
        <w:t xml:space="preserve"> and</w:t>
      </w:r>
      <w:r w:rsidR="00D74A59" w:rsidRPr="00D33F9E">
        <w:rPr>
          <w:rFonts w:ascii="Times New Roman" w:hAnsi="Times New Roman" w:cs="Times New Roman"/>
          <w:color w:val="000000" w:themeColor="text1"/>
          <w:sz w:val="24"/>
          <w:szCs w:val="24"/>
          <w:shd w:val="clear" w:color="auto" w:fill="FFFFFF"/>
        </w:rPr>
        <w:t xml:space="preserve"> </w:t>
      </w:r>
      <w:proofErr w:type="spellStart"/>
      <w:r w:rsidR="00D74A59" w:rsidRPr="00D33F9E">
        <w:rPr>
          <w:rFonts w:ascii="Times New Roman" w:hAnsi="Times New Roman" w:cs="Times New Roman"/>
          <w:color w:val="000000" w:themeColor="text1"/>
          <w:sz w:val="24"/>
          <w:szCs w:val="24"/>
          <w:shd w:val="clear" w:color="auto" w:fill="FFFFFF"/>
        </w:rPr>
        <w:t>Kroth</w:t>
      </w:r>
      <w:proofErr w:type="spellEnd"/>
      <w:r w:rsidR="00803D70" w:rsidRPr="00D33F9E">
        <w:rPr>
          <w:rFonts w:ascii="Times New Roman" w:hAnsi="Times New Roman" w:cs="Times New Roman"/>
          <w:color w:val="000000" w:themeColor="text1"/>
          <w:sz w:val="24"/>
          <w:szCs w:val="24"/>
          <w:shd w:val="clear" w:color="auto" w:fill="FFFFFF"/>
        </w:rPr>
        <w:t>, 2009</w:t>
      </w:r>
      <w:r w:rsidR="00D74A59" w:rsidRPr="00D33F9E">
        <w:rPr>
          <w:rFonts w:ascii="Times New Roman" w:hAnsi="Times New Roman" w:cs="Times New Roman"/>
          <w:color w:val="000000" w:themeColor="text1"/>
          <w:sz w:val="24"/>
          <w:szCs w:val="24"/>
          <w:shd w:val="clear" w:color="auto" w:fill="FFFFFF"/>
        </w:rPr>
        <w:t xml:space="preserve">). </w:t>
      </w:r>
    </w:p>
    <w:p w14:paraId="0EBBA7E8" w14:textId="5025169E" w:rsidR="004E6842" w:rsidRPr="00D33F9E" w:rsidRDefault="004E6842" w:rsidP="00D74A59">
      <w:pPr>
        <w:rPr>
          <w:rFonts w:ascii="Times New Roman" w:hAnsi="Times New Roman" w:cs="Times New Roman"/>
          <w:color w:val="000000" w:themeColor="text1"/>
          <w:sz w:val="24"/>
          <w:szCs w:val="24"/>
          <w:shd w:val="clear" w:color="auto" w:fill="FFFFFF"/>
        </w:rPr>
      </w:pPr>
    </w:p>
    <w:p w14:paraId="39E1931A" w14:textId="02E01FCB" w:rsidR="004E6842" w:rsidRDefault="004E6842" w:rsidP="00D74A59">
      <w:pPr>
        <w:rPr>
          <w:rFonts w:ascii="Times New Roman" w:hAnsi="Times New Roman" w:cs="Times New Roman"/>
          <w:color w:val="000000" w:themeColor="text1"/>
          <w:sz w:val="24"/>
          <w:szCs w:val="24"/>
          <w:shd w:val="clear" w:color="auto" w:fill="FFFFFF"/>
        </w:rPr>
      </w:pPr>
      <w:r w:rsidRPr="00D33F9E">
        <w:rPr>
          <w:rFonts w:ascii="Times New Roman" w:hAnsi="Times New Roman" w:cs="Times New Roman"/>
          <w:color w:val="000000" w:themeColor="text1"/>
          <w:sz w:val="24"/>
          <w:szCs w:val="24"/>
          <w:shd w:val="clear" w:color="auto" w:fill="FFFFFF"/>
        </w:rPr>
        <w:t>To conclude,</w:t>
      </w:r>
      <w:r w:rsidR="009E1B3F" w:rsidRPr="00D33F9E">
        <w:rPr>
          <w:rFonts w:ascii="Times New Roman" w:hAnsi="Times New Roman" w:cs="Times New Roman"/>
          <w:color w:val="000000" w:themeColor="text1"/>
          <w:sz w:val="24"/>
          <w:szCs w:val="24"/>
          <w:shd w:val="clear" w:color="auto" w:fill="FFFFFF"/>
        </w:rPr>
        <w:t xml:space="preserve"> the ideology of</w:t>
      </w:r>
      <w:r w:rsidRPr="00D33F9E">
        <w:rPr>
          <w:rFonts w:ascii="Times New Roman" w:hAnsi="Times New Roman" w:cs="Times New Roman"/>
          <w:color w:val="000000" w:themeColor="text1"/>
          <w:sz w:val="24"/>
          <w:szCs w:val="24"/>
          <w:shd w:val="clear" w:color="auto" w:fill="FFFFFF"/>
        </w:rPr>
        <w:t xml:space="preserve"> </w:t>
      </w:r>
      <w:r w:rsidR="00B0226F" w:rsidRPr="00D33F9E">
        <w:rPr>
          <w:rFonts w:ascii="Times New Roman" w:hAnsi="Times New Roman" w:cs="Times New Roman"/>
          <w:color w:val="000000" w:themeColor="text1"/>
          <w:sz w:val="24"/>
          <w:szCs w:val="24"/>
          <w:shd w:val="clear" w:color="auto" w:fill="FFFFFF"/>
        </w:rPr>
        <w:t xml:space="preserve">andragogy </w:t>
      </w:r>
      <w:r w:rsidR="002B42E0" w:rsidRPr="00D33F9E">
        <w:rPr>
          <w:rFonts w:ascii="Times New Roman" w:hAnsi="Times New Roman" w:cs="Times New Roman"/>
          <w:color w:val="000000" w:themeColor="text1"/>
          <w:sz w:val="24"/>
          <w:szCs w:val="24"/>
          <w:shd w:val="clear" w:color="auto" w:fill="FFFFFF"/>
        </w:rPr>
        <w:t>is now widely accepted within further and higher education</w:t>
      </w:r>
      <w:r w:rsidR="00EB7874" w:rsidRPr="00D33F9E">
        <w:rPr>
          <w:rFonts w:ascii="Times New Roman" w:hAnsi="Times New Roman" w:cs="Times New Roman"/>
          <w:color w:val="000000" w:themeColor="text1"/>
          <w:sz w:val="24"/>
          <w:szCs w:val="24"/>
          <w:shd w:val="clear" w:color="auto" w:fill="FFFFFF"/>
        </w:rPr>
        <w:t xml:space="preserve">, whether it is adopted within these contexts is determined </w:t>
      </w:r>
      <w:r w:rsidR="00255EA4" w:rsidRPr="00D33F9E">
        <w:rPr>
          <w:rFonts w:ascii="Times New Roman" w:hAnsi="Times New Roman" w:cs="Times New Roman"/>
          <w:color w:val="000000" w:themeColor="text1"/>
          <w:sz w:val="24"/>
          <w:szCs w:val="24"/>
          <w:shd w:val="clear" w:color="auto" w:fill="FFFFFF"/>
        </w:rPr>
        <w:t>by numerous factors these include; learner readiness, prior experiences</w:t>
      </w:r>
      <w:r w:rsidR="00DE2059" w:rsidRPr="00D33F9E">
        <w:rPr>
          <w:rFonts w:ascii="Times New Roman" w:hAnsi="Times New Roman" w:cs="Times New Roman"/>
          <w:color w:val="000000" w:themeColor="text1"/>
          <w:sz w:val="24"/>
          <w:szCs w:val="24"/>
          <w:shd w:val="clear" w:color="auto" w:fill="FFFFFF"/>
        </w:rPr>
        <w:t xml:space="preserve"> and knowledge of content,</w:t>
      </w:r>
      <w:r w:rsidR="004A3826">
        <w:rPr>
          <w:rFonts w:ascii="Times New Roman" w:hAnsi="Times New Roman" w:cs="Times New Roman"/>
          <w:color w:val="000000" w:themeColor="text1"/>
          <w:sz w:val="24"/>
          <w:szCs w:val="24"/>
          <w:shd w:val="clear" w:color="auto" w:fill="FFFFFF"/>
        </w:rPr>
        <w:t xml:space="preserve"> teacher </w:t>
      </w:r>
      <w:r w:rsidR="00966AB9">
        <w:rPr>
          <w:rFonts w:ascii="Times New Roman" w:hAnsi="Times New Roman" w:cs="Times New Roman"/>
          <w:color w:val="000000" w:themeColor="text1"/>
          <w:sz w:val="24"/>
          <w:szCs w:val="24"/>
          <w:shd w:val="clear" w:color="auto" w:fill="FFFFFF"/>
        </w:rPr>
        <w:t>experiences,</w:t>
      </w:r>
      <w:r w:rsidR="00966AB9" w:rsidRPr="00D33F9E">
        <w:rPr>
          <w:rFonts w:ascii="Times New Roman" w:hAnsi="Times New Roman" w:cs="Times New Roman"/>
          <w:color w:val="000000" w:themeColor="text1"/>
          <w:sz w:val="24"/>
          <w:szCs w:val="24"/>
          <w:shd w:val="clear" w:color="auto" w:fill="FFFFFF"/>
        </w:rPr>
        <w:t xml:space="preserve"> institutional</w:t>
      </w:r>
      <w:r w:rsidR="00DE2059" w:rsidRPr="00D33F9E">
        <w:rPr>
          <w:rFonts w:ascii="Times New Roman" w:hAnsi="Times New Roman" w:cs="Times New Roman"/>
          <w:color w:val="000000" w:themeColor="text1"/>
          <w:sz w:val="24"/>
          <w:szCs w:val="24"/>
          <w:shd w:val="clear" w:color="auto" w:fill="FFFFFF"/>
        </w:rPr>
        <w:t xml:space="preserve"> constraints and the goals of the programme</w:t>
      </w:r>
      <w:r w:rsidR="00DA0A3D" w:rsidRPr="00D33F9E">
        <w:rPr>
          <w:rFonts w:ascii="Times New Roman" w:hAnsi="Times New Roman" w:cs="Times New Roman"/>
          <w:color w:val="000000" w:themeColor="text1"/>
          <w:sz w:val="24"/>
          <w:szCs w:val="24"/>
          <w:shd w:val="clear" w:color="auto" w:fill="FFFFFF"/>
        </w:rPr>
        <w:t>. Thus,</w:t>
      </w:r>
      <w:r w:rsidR="00966AB9">
        <w:rPr>
          <w:rFonts w:ascii="Times New Roman" w:hAnsi="Times New Roman" w:cs="Times New Roman"/>
          <w:color w:val="000000" w:themeColor="text1"/>
          <w:sz w:val="24"/>
          <w:szCs w:val="24"/>
          <w:shd w:val="clear" w:color="auto" w:fill="FFFFFF"/>
        </w:rPr>
        <w:t xml:space="preserve"> Knowles set of principles need to be used appropriately </w:t>
      </w:r>
      <w:r w:rsidR="00F203EA">
        <w:rPr>
          <w:rFonts w:ascii="Times New Roman" w:hAnsi="Times New Roman" w:cs="Times New Roman"/>
          <w:color w:val="000000" w:themeColor="text1"/>
          <w:sz w:val="24"/>
          <w:szCs w:val="24"/>
          <w:shd w:val="clear" w:color="auto" w:fill="FFFFFF"/>
        </w:rPr>
        <w:t xml:space="preserve">in order to contribute to adult </w:t>
      </w:r>
      <w:r w:rsidR="00517927">
        <w:rPr>
          <w:rFonts w:ascii="Times New Roman" w:hAnsi="Times New Roman" w:cs="Times New Roman"/>
          <w:color w:val="000000" w:themeColor="text1"/>
          <w:sz w:val="24"/>
          <w:szCs w:val="24"/>
          <w:shd w:val="clear" w:color="auto" w:fill="FFFFFF"/>
        </w:rPr>
        <w:t>learners’</w:t>
      </w:r>
      <w:r w:rsidR="00F203EA">
        <w:rPr>
          <w:rFonts w:ascii="Times New Roman" w:hAnsi="Times New Roman" w:cs="Times New Roman"/>
          <w:color w:val="000000" w:themeColor="text1"/>
          <w:sz w:val="24"/>
          <w:szCs w:val="24"/>
          <w:shd w:val="clear" w:color="auto" w:fill="FFFFFF"/>
        </w:rPr>
        <w:t xml:space="preserve"> success. </w:t>
      </w:r>
      <w:r w:rsidR="00DA0A3D" w:rsidRPr="00D33F9E">
        <w:rPr>
          <w:rFonts w:ascii="Times New Roman" w:hAnsi="Times New Roman" w:cs="Times New Roman"/>
          <w:color w:val="000000" w:themeColor="text1"/>
          <w:sz w:val="24"/>
          <w:szCs w:val="24"/>
          <w:shd w:val="clear" w:color="auto" w:fill="FFFFFF"/>
        </w:rPr>
        <w:t xml:space="preserve"> </w:t>
      </w:r>
    </w:p>
    <w:p w14:paraId="65D2BD30" w14:textId="77777777" w:rsidR="00DA0A3D" w:rsidRPr="00D33F9E" w:rsidRDefault="00DA0A3D" w:rsidP="003D3A5D">
      <w:pPr>
        <w:rPr>
          <w:rFonts w:ascii="Times New Roman" w:hAnsi="Times New Roman" w:cs="Times New Roman"/>
          <w:color w:val="000000" w:themeColor="text1"/>
          <w:sz w:val="24"/>
          <w:szCs w:val="24"/>
          <w:shd w:val="clear" w:color="auto" w:fill="FFFFFF"/>
        </w:rPr>
      </w:pPr>
    </w:p>
    <w:p w14:paraId="60BBC2FC" w14:textId="2B729534" w:rsidR="003D3A5D" w:rsidRPr="00D33F9E" w:rsidRDefault="003D3A5D" w:rsidP="003D3A5D">
      <w:pPr>
        <w:rPr>
          <w:rFonts w:ascii="Times New Roman" w:hAnsi="Times New Roman" w:cs="Times New Roman"/>
          <w:color w:val="000000" w:themeColor="text1"/>
          <w:sz w:val="24"/>
          <w:szCs w:val="24"/>
        </w:rPr>
      </w:pPr>
      <w:r w:rsidRPr="00D33F9E">
        <w:rPr>
          <w:rFonts w:ascii="Times New Roman" w:hAnsi="Times New Roman" w:cs="Times New Roman"/>
          <w:b/>
          <w:color w:val="000000" w:themeColor="text1"/>
          <w:sz w:val="24"/>
          <w:szCs w:val="24"/>
          <w:u w:val="single"/>
        </w:rPr>
        <w:t>References</w:t>
      </w:r>
    </w:p>
    <w:p w14:paraId="456155F3" w14:textId="1AA98AE0" w:rsidR="00243570" w:rsidRPr="00D33F9E" w:rsidRDefault="00243570" w:rsidP="003D3A5D">
      <w:pPr>
        <w:rPr>
          <w:rFonts w:ascii="Times New Roman" w:hAnsi="Times New Roman" w:cs="Times New Roman"/>
          <w:color w:val="000000" w:themeColor="text1"/>
          <w:sz w:val="24"/>
          <w:szCs w:val="24"/>
        </w:rPr>
      </w:pPr>
      <w:proofErr w:type="spellStart"/>
      <w:r w:rsidRPr="00D33F9E">
        <w:rPr>
          <w:rFonts w:ascii="Times New Roman" w:hAnsi="Times New Roman" w:cs="Times New Roman"/>
          <w:color w:val="000000" w:themeColor="text1"/>
          <w:sz w:val="24"/>
          <w:szCs w:val="24"/>
        </w:rPr>
        <w:t>Birzer</w:t>
      </w:r>
      <w:proofErr w:type="spellEnd"/>
      <w:r w:rsidRPr="00D33F9E">
        <w:rPr>
          <w:rFonts w:ascii="Times New Roman" w:hAnsi="Times New Roman" w:cs="Times New Roman"/>
          <w:color w:val="000000" w:themeColor="text1"/>
          <w:sz w:val="24"/>
          <w:szCs w:val="24"/>
        </w:rPr>
        <w:t xml:space="preserve">, M.L., 2004. Andragogy: Student </w:t>
      </w:r>
      <w:proofErr w:type="spellStart"/>
      <w:r w:rsidRPr="00D33F9E">
        <w:rPr>
          <w:rFonts w:ascii="Times New Roman" w:hAnsi="Times New Roman" w:cs="Times New Roman"/>
          <w:color w:val="000000" w:themeColor="text1"/>
          <w:sz w:val="24"/>
          <w:szCs w:val="24"/>
        </w:rPr>
        <w:t>centered</w:t>
      </w:r>
      <w:proofErr w:type="spellEnd"/>
      <w:r w:rsidRPr="00D33F9E">
        <w:rPr>
          <w:rFonts w:ascii="Times New Roman" w:hAnsi="Times New Roman" w:cs="Times New Roman"/>
          <w:color w:val="000000" w:themeColor="text1"/>
          <w:sz w:val="24"/>
          <w:szCs w:val="24"/>
        </w:rPr>
        <w:t xml:space="preserve"> classrooms in criminal justice programs. </w:t>
      </w:r>
      <w:r w:rsidRPr="00D33F9E">
        <w:rPr>
          <w:rFonts w:ascii="Times New Roman" w:hAnsi="Times New Roman" w:cs="Times New Roman"/>
          <w:i/>
          <w:iCs/>
          <w:color w:val="000000" w:themeColor="text1"/>
          <w:sz w:val="24"/>
          <w:szCs w:val="24"/>
        </w:rPr>
        <w:t>Journal of Criminal Justice Education</w:t>
      </w:r>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15</w:t>
      </w:r>
      <w:r w:rsidRPr="00D33F9E">
        <w:rPr>
          <w:rFonts w:ascii="Times New Roman" w:hAnsi="Times New Roman" w:cs="Times New Roman"/>
          <w:color w:val="000000" w:themeColor="text1"/>
          <w:sz w:val="24"/>
          <w:szCs w:val="24"/>
        </w:rPr>
        <w:t>(2), pp.393-411.</w:t>
      </w:r>
    </w:p>
    <w:p w14:paraId="35BAD6DB" w14:textId="5B7528C9" w:rsidR="004512EE" w:rsidRPr="00D33F9E" w:rsidRDefault="004512EE"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Bolton, F.C., 2006. Rubrics and adult learners: Andragogy and assessment. </w:t>
      </w:r>
      <w:r w:rsidRPr="00D33F9E">
        <w:rPr>
          <w:rFonts w:ascii="Times New Roman" w:hAnsi="Times New Roman" w:cs="Times New Roman"/>
          <w:i/>
          <w:iCs/>
          <w:color w:val="000000" w:themeColor="text1"/>
          <w:sz w:val="24"/>
          <w:szCs w:val="24"/>
        </w:rPr>
        <w:t>Assessment Update</w:t>
      </w:r>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18</w:t>
      </w:r>
      <w:r w:rsidRPr="00D33F9E">
        <w:rPr>
          <w:rFonts w:ascii="Times New Roman" w:hAnsi="Times New Roman" w:cs="Times New Roman"/>
          <w:color w:val="000000" w:themeColor="text1"/>
          <w:sz w:val="24"/>
          <w:szCs w:val="24"/>
        </w:rPr>
        <w:t>(3), pp.5-6.</w:t>
      </w:r>
    </w:p>
    <w:p w14:paraId="38AA9B75" w14:textId="77318EAE" w:rsidR="00F906CF" w:rsidRPr="00D33F9E" w:rsidRDefault="00F906CF"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Chan, S., 2010. Applications of andragogy in multi-disciplined teaching and learning. </w:t>
      </w:r>
      <w:r w:rsidRPr="00D33F9E">
        <w:rPr>
          <w:rFonts w:ascii="Times New Roman" w:hAnsi="Times New Roman" w:cs="Times New Roman"/>
          <w:i/>
          <w:iCs/>
          <w:color w:val="000000" w:themeColor="text1"/>
          <w:sz w:val="24"/>
          <w:szCs w:val="24"/>
        </w:rPr>
        <w:t>Journal of adult education</w:t>
      </w:r>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39</w:t>
      </w:r>
      <w:r w:rsidRPr="00D33F9E">
        <w:rPr>
          <w:rFonts w:ascii="Times New Roman" w:hAnsi="Times New Roman" w:cs="Times New Roman"/>
          <w:color w:val="000000" w:themeColor="text1"/>
          <w:sz w:val="24"/>
          <w:szCs w:val="24"/>
        </w:rPr>
        <w:t>(2), pp.25-35</w:t>
      </w:r>
    </w:p>
    <w:p w14:paraId="42A9BDF4" w14:textId="1560548B" w:rsidR="009B1B15" w:rsidRPr="00D33F9E" w:rsidRDefault="009B1B15"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Cox, T.D., 2013, January. Adult learning orientations: The case of languages teachers in Peru. In </w:t>
      </w:r>
      <w:r w:rsidRPr="00D33F9E">
        <w:rPr>
          <w:rFonts w:ascii="Times New Roman" w:hAnsi="Times New Roman" w:cs="Times New Roman"/>
          <w:i/>
          <w:iCs/>
          <w:color w:val="000000" w:themeColor="text1"/>
          <w:sz w:val="24"/>
          <w:szCs w:val="24"/>
        </w:rPr>
        <w:t>International Forum of Teaching &amp; Studies</w:t>
      </w:r>
      <w:r w:rsidRPr="00D33F9E">
        <w:rPr>
          <w:rFonts w:ascii="Times New Roman" w:hAnsi="Times New Roman" w:cs="Times New Roman"/>
          <w:color w:val="000000" w:themeColor="text1"/>
          <w:sz w:val="24"/>
          <w:szCs w:val="24"/>
        </w:rPr>
        <w:t xml:space="preserve"> (Vol. 9, No. 1, pp. 3-10).</w:t>
      </w:r>
    </w:p>
    <w:p w14:paraId="2B982334" w14:textId="10E27E1F" w:rsidR="00243570" w:rsidRPr="00D33F9E" w:rsidRDefault="00243570" w:rsidP="003D3A5D">
      <w:pPr>
        <w:rPr>
          <w:rFonts w:ascii="Times New Roman" w:hAnsi="Times New Roman" w:cs="Times New Roman"/>
          <w:color w:val="000000" w:themeColor="text1"/>
          <w:sz w:val="24"/>
          <w:szCs w:val="24"/>
        </w:rPr>
      </w:pPr>
      <w:proofErr w:type="spellStart"/>
      <w:r w:rsidRPr="00D33F9E">
        <w:rPr>
          <w:rFonts w:ascii="Times New Roman" w:hAnsi="Times New Roman" w:cs="Times New Roman"/>
          <w:color w:val="000000" w:themeColor="text1"/>
          <w:sz w:val="24"/>
          <w:szCs w:val="24"/>
        </w:rPr>
        <w:t>Darbyshire</w:t>
      </w:r>
      <w:proofErr w:type="spellEnd"/>
      <w:r w:rsidRPr="00D33F9E">
        <w:rPr>
          <w:rFonts w:ascii="Times New Roman" w:hAnsi="Times New Roman" w:cs="Times New Roman"/>
          <w:color w:val="000000" w:themeColor="text1"/>
          <w:sz w:val="24"/>
          <w:szCs w:val="24"/>
        </w:rPr>
        <w:t xml:space="preserve">, P., 1993. In defence of pedagogy: a critique of the notion of andragogy. </w:t>
      </w:r>
      <w:r w:rsidRPr="00D33F9E">
        <w:rPr>
          <w:rFonts w:ascii="Times New Roman" w:hAnsi="Times New Roman" w:cs="Times New Roman"/>
          <w:i/>
          <w:iCs/>
          <w:color w:val="000000" w:themeColor="text1"/>
          <w:sz w:val="24"/>
          <w:szCs w:val="24"/>
        </w:rPr>
        <w:t>Nurse Education Today</w:t>
      </w:r>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13</w:t>
      </w:r>
      <w:r w:rsidRPr="00D33F9E">
        <w:rPr>
          <w:rFonts w:ascii="Times New Roman" w:hAnsi="Times New Roman" w:cs="Times New Roman"/>
          <w:color w:val="000000" w:themeColor="text1"/>
          <w:sz w:val="24"/>
          <w:szCs w:val="24"/>
        </w:rPr>
        <w:t>(5), pp.328-335.</w:t>
      </w:r>
    </w:p>
    <w:p w14:paraId="2B5473F3" w14:textId="5BAA97B5" w:rsidR="004512EE" w:rsidRPr="00D33F9E" w:rsidRDefault="004512EE" w:rsidP="003D3A5D">
      <w:pPr>
        <w:rPr>
          <w:rFonts w:ascii="Times New Roman" w:hAnsi="Times New Roman" w:cs="Times New Roman"/>
          <w:color w:val="000000" w:themeColor="text1"/>
          <w:sz w:val="24"/>
          <w:szCs w:val="24"/>
        </w:rPr>
      </w:pPr>
      <w:proofErr w:type="spellStart"/>
      <w:r w:rsidRPr="00D33F9E">
        <w:rPr>
          <w:rFonts w:ascii="Times New Roman" w:hAnsi="Times New Roman" w:cs="Times New Roman"/>
          <w:color w:val="000000" w:themeColor="text1"/>
          <w:sz w:val="24"/>
          <w:szCs w:val="24"/>
        </w:rPr>
        <w:t>Draganov</w:t>
      </w:r>
      <w:proofErr w:type="spellEnd"/>
      <w:r w:rsidRPr="00D33F9E">
        <w:rPr>
          <w:rFonts w:ascii="Times New Roman" w:hAnsi="Times New Roman" w:cs="Times New Roman"/>
          <w:color w:val="000000" w:themeColor="text1"/>
          <w:sz w:val="24"/>
          <w:szCs w:val="24"/>
        </w:rPr>
        <w:t xml:space="preserve">, P.B., de Carvalho Andrade, A., </w:t>
      </w:r>
      <w:proofErr w:type="spellStart"/>
      <w:r w:rsidRPr="00D33F9E">
        <w:rPr>
          <w:rFonts w:ascii="Times New Roman" w:hAnsi="Times New Roman" w:cs="Times New Roman"/>
          <w:color w:val="000000" w:themeColor="text1"/>
          <w:sz w:val="24"/>
          <w:szCs w:val="24"/>
        </w:rPr>
        <w:t>Sanna</w:t>
      </w:r>
      <w:proofErr w:type="spellEnd"/>
      <w:r w:rsidRPr="00D33F9E">
        <w:rPr>
          <w:rFonts w:ascii="Times New Roman" w:hAnsi="Times New Roman" w:cs="Times New Roman"/>
          <w:color w:val="000000" w:themeColor="text1"/>
          <w:sz w:val="24"/>
          <w:szCs w:val="24"/>
        </w:rPr>
        <w:t xml:space="preserve">, M.C. and Neves, V.R., 2013. English: Andragogy in nursing: a literature review </w:t>
      </w:r>
      <w:proofErr w:type="spellStart"/>
      <w:r w:rsidRPr="00D33F9E">
        <w:rPr>
          <w:rFonts w:ascii="Times New Roman" w:hAnsi="Times New Roman" w:cs="Times New Roman"/>
          <w:color w:val="000000" w:themeColor="text1"/>
          <w:sz w:val="24"/>
          <w:szCs w:val="24"/>
        </w:rPr>
        <w:t>Español</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Andragogía</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en</w:t>
      </w:r>
      <w:proofErr w:type="spellEnd"/>
      <w:r w:rsidRPr="00D33F9E">
        <w:rPr>
          <w:rFonts w:ascii="Times New Roman" w:hAnsi="Times New Roman" w:cs="Times New Roman"/>
          <w:color w:val="000000" w:themeColor="text1"/>
          <w:sz w:val="24"/>
          <w:szCs w:val="24"/>
        </w:rPr>
        <w:t xml:space="preserve"> la </w:t>
      </w:r>
      <w:proofErr w:type="spellStart"/>
      <w:r w:rsidRPr="00D33F9E">
        <w:rPr>
          <w:rFonts w:ascii="Times New Roman" w:hAnsi="Times New Roman" w:cs="Times New Roman"/>
          <w:color w:val="000000" w:themeColor="text1"/>
          <w:sz w:val="24"/>
          <w:szCs w:val="24"/>
        </w:rPr>
        <w:t>enfermería</w:t>
      </w:r>
      <w:proofErr w:type="spellEnd"/>
      <w:r w:rsidRPr="00D33F9E">
        <w:rPr>
          <w:rFonts w:ascii="Times New Roman" w:hAnsi="Times New Roman" w:cs="Times New Roman"/>
          <w:color w:val="000000" w:themeColor="text1"/>
          <w:sz w:val="24"/>
          <w:szCs w:val="24"/>
        </w:rPr>
        <w:t xml:space="preserve">: una </w:t>
      </w:r>
      <w:proofErr w:type="spellStart"/>
      <w:r w:rsidRPr="00D33F9E">
        <w:rPr>
          <w:rFonts w:ascii="Times New Roman" w:hAnsi="Times New Roman" w:cs="Times New Roman"/>
          <w:color w:val="000000" w:themeColor="text1"/>
          <w:sz w:val="24"/>
          <w:szCs w:val="24"/>
        </w:rPr>
        <w:t>revisión</w:t>
      </w:r>
      <w:proofErr w:type="spellEnd"/>
      <w:r w:rsidRPr="00D33F9E">
        <w:rPr>
          <w:rFonts w:ascii="Times New Roman" w:hAnsi="Times New Roman" w:cs="Times New Roman"/>
          <w:color w:val="000000" w:themeColor="text1"/>
          <w:sz w:val="24"/>
          <w:szCs w:val="24"/>
        </w:rPr>
        <w:t xml:space="preserve"> de la </w:t>
      </w:r>
      <w:proofErr w:type="spellStart"/>
      <w:r w:rsidRPr="00D33F9E">
        <w:rPr>
          <w:rFonts w:ascii="Times New Roman" w:hAnsi="Times New Roman" w:cs="Times New Roman"/>
          <w:color w:val="000000" w:themeColor="text1"/>
          <w:sz w:val="24"/>
          <w:szCs w:val="24"/>
        </w:rPr>
        <w:t>literatura</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Português</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Andragogia</w:t>
      </w:r>
      <w:proofErr w:type="spellEnd"/>
      <w:r w:rsidRPr="00D33F9E">
        <w:rPr>
          <w:rFonts w:ascii="Times New Roman" w:hAnsi="Times New Roman" w:cs="Times New Roman"/>
          <w:color w:val="000000" w:themeColor="text1"/>
          <w:sz w:val="24"/>
          <w:szCs w:val="24"/>
        </w:rPr>
        <w:t xml:space="preserve"> e </w:t>
      </w:r>
      <w:proofErr w:type="spellStart"/>
      <w:r w:rsidRPr="00D33F9E">
        <w:rPr>
          <w:rFonts w:ascii="Times New Roman" w:hAnsi="Times New Roman" w:cs="Times New Roman"/>
          <w:color w:val="000000" w:themeColor="text1"/>
          <w:sz w:val="24"/>
          <w:szCs w:val="24"/>
        </w:rPr>
        <w:t>seu</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uso</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na</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enfermagem</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uma</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color w:val="000000" w:themeColor="text1"/>
          <w:sz w:val="24"/>
          <w:szCs w:val="24"/>
        </w:rPr>
        <w:t>revisão</w:t>
      </w:r>
      <w:proofErr w:type="spellEnd"/>
      <w:r w:rsidRPr="00D33F9E">
        <w:rPr>
          <w:rFonts w:ascii="Times New Roman" w:hAnsi="Times New Roman" w:cs="Times New Roman"/>
          <w:color w:val="000000" w:themeColor="text1"/>
          <w:sz w:val="24"/>
          <w:szCs w:val="24"/>
        </w:rPr>
        <w:t xml:space="preserve"> da </w:t>
      </w:r>
      <w:proofErr w:type="spellStart"/>
      <w:r w:rsidRPr="00D33F9E">
        <w:rPr>
          <w:rFonts w:ascii="Times New Roman" w:hAnsi="Times New Roman" w:cs="Times New Roman"/>
          <w:color w:val="000000" w:themeColor="text1"/>
          <w:sz w:val="24"/>
          <w:szCs w:val="24"/>
        </w:rPr>
        <w:t>literatura</w:t>
      </w:r>
      <w:proofErr w:type="spellEnd"/>
      <w:r w:rsidRPr="00D33F9E">
        <w:rPr>
          <w:rFonts w:ascii="Times New Roman" w:hAnsi="Times New Roman" w:cs="Times New Roman"/>
          <w:color w:val="000000" w:themeColor="text1"/>
          <w:sz w:val="24"/>
          <w:szCs w:val="24"/>
        </w:rPr>
        <w:t xml:space="preserve">. </w:t>
      </w:r>
      <w:proofErr w:type="spellStart"/>
      <w:r w:rsidRPr="00D33F9E">
        <w:rPr>
          <w:rFonts w:ascii="Times New Roman" w:hAnsi="Times New Roman" w:cs="Times New Roman"/>
          <w:i/>
          <w:iCs/>
          <w:color w:val="000000" w:themeColor="text1"/>
          <w:sz w:val="24"/>
          <w:szCs w:val="24"/>
        </w:rPr>
        <w:t>Investigación</w:t>
      </w:r>
      <w:proofErr w:type="spellEnd"/>
      <w:r w:rsidRPr="00D33F9E">
        <w:rPr>
          <w:rFonts w:ascii="Times New Roman" w:hAnsi="Times New Roman" w:cs="Times New Roman"/>
          <w:i/>
          <w:iCs/>
          <w:color w:val="000000" w:themeColor="text1"/>
          <w:sz w:val="24"/>
          <w:szCs w:val="24"/>
        </w:rPr>
        <w:t xml:space="preserve"> y </w:t>
      </w:r>
      <w:proofErr w:type="spellStart"/>
      <w:r w:rsidRPr="00D33F9E">
        <w:rPr>
          <w:rFonts w:ascii="Times New Roman" w:hAnsi="Times New Roman" w:cs="Times New Roman"/>
          <w:i/>
          <w:iCs/>
          <w:color w:val="000000" w:themeColor="text1"/>
          <w:sz w:val="24"/>
          <w:szCs w:val="24"/>
        </w:rPr>
        <w:t>Educación</w:t>
      </w:r>
      <w:proofErr w:type="spellEnd"/>
      <w:r w:rsidRPr="00D33F9E">
        <w:rPr>
          <w:rFonts w:ascii="Times New Roman" w:hAnsi="Times New Roman" w:cs="Times New Roman"/>
          <w:i/>
          <w:iCs/>
          <w:color w:val="000000" w:themeColor="text1"/>
          <w:sz w:val="24"/>
          <w:szCs w:val="24"/>
        </w:rPr>
        <w:t xml:space="preserve"> </w:t>
      </w:r>
      <w:proofErr w:type="spellStart"/>
      <w:r w:rsidRPr="00D33F9E">
        <w:rPr>
          <w:rFonts w:ascii="Times New Roman" w:hAnsi="Times New Roman" w:cs="Times New Roman"/>
          <w:i/>
          <w:iCs/>
          <w:color w:val="000000" w:themeColor="text1"/>
          <w:sz w:val="24"/>
          <w:szCs w:val="24"/>
        </w:rPr>
        <w:t>en</w:t>
      </w:r>
      <w:proofErr w:type="spellEnd"/>
      <w:r w:rsidRPr="00D33F9E">
        <w:rPr>
          <w:rFonts w:ascii="Times New Roman" w:hAnsi="Times New Roman" w:cs="Times New Roman"/>
          <w:i/>
          <w:iCs/>
          <w:color w:val="000000" w:themeColor="text1"/>
          <w:sz w:val="24"/>
          <w:szCs w:val="24"/>
        </w:rPr>
        <w:t xml:space="preserve"> </w:t>
      </w:r>
      <w:proofErr w:type="spellStart"/>
      <w:r w:rsidRPr="00D33F9E">
        <w:rPr>
          <w:rFonts w:ascii="Times New Roman" w:hAnsi="Times New Roman" w:cs="Times New Roman"/>
          <w:i/>
          <w:iCs/>
          <w:color w:val="000000" w:themeColor="text1"/>
          <w:sz w:val="24"/>
          <w:szCs w:val="24"/>
        </w:rPr>
        <w:t>Enfermería</w:t>
      </w:r>
      <w:proofErr w:type="spellEnd"/>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31</w:t>
      </w:r>
      <w:r w:rsidRPr="00D33F9E">
        <w:rPr>
          <w:rFonts w:ascii="Times New Roman" w:hAnsi="Times New Roman" w:cs="Times New Roman"/>
          <w:color w:val="000000" w:themeColor="text1"/>
          <w:sz w:val="24"/>
          <w:szCs w:val="24"/>
        </w:rPr>
        <w:t>(1).</w:t>
      </w:r>
    </w:p>
    <w:p w14:paraId="1E6B66C7" w14:textId="12A4609B" w:rsidR="00243570" w:rsidRPr="00D33F9E" w:rsidRDefault="00243570" w:rsidP="00243570">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Edwards, R., Hanson, A. and </w:t>
      </w:r>
      <w:proofErr w:type="spellStart"/>
      <w:r w:rsidRPr="00D33F9E">
        <w:rPr>
          <w:rFonts w:ascii="Times New Roman" w:hAnsi="Times New Roman" w:cs="Times New Roman"/>
          <w:color w:val="000000" w:themeColor="text1"/>
          <w:sz w:val="24"/>
          <w:szCs w:val="24"/>
        </w:rPr>
        <w:t>Raggatt</w:t>
      </w:r>
      <w:proofErr w:type="spellEnd"/>
      <w:r w:rsidRPr="00D33F9E">
        <w:rPr>
          <w:rFonts w:ascii="Times New Roman" w:hAnsi="Times New Roman" w:cs="Times New Roman"/>
          <w:color w:val="000000" w:themeColor="text1"/>
          <w:sz w:val="24"/>
          <w:szCs w:val="24"/>
        </w:rPr>
        <w:t xml:space="preserve">, P., 2013. </w:t>
      </w:r>
      <w:r w:rsidRPr="00D33F9E">
        <w:rPr>
          <w:rFonts w:ascii="Times New Roman" w:hAnsi="Times New Roman" w:cs="Times New Roman"/>
          <w:i/>
          <w:iCs/>
          <w:color w:val="000000" w:themeColor="text1"/>
          <w:sz w:val="24"/>
          <w:szCs w:val="24"/>
        </w:rPr>
        <w:t>Boundaries of adult learning</w:t>
      </w:r>
      <w:r w:rsidRPr="00D33F9E">
        <w:rPr>
          <w:rFonts w:ascii="Times New Roman" w:hAnsi="Times New Roman" w:cs="Times New Roman"/>
          <w:color w:val="000000" w:themeColor="text1"/>
          <w:sz w:val="24"/>
          <w:szCs w:val="24"/>
        </w:rPr>
        <w:t>. Routledge.</w:t>
      </w:r>
    </w:p>
    <w:p w14:paraId="67722AD0" w14:textId="69470D36" w:rsidR="00482986" w:rsidRPr="00D33F9E" w:rsidRDefault="00D33F9E"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Hao, Y., 2016. Exploring undergraduates' perspectives and flipped learning readiness in their flipped classrooms. </w:t>
      </w:r>
      <w:r w:rsidRPr="00D33F9E">
        <w:rPr>
          <w:rFonts w:ascii="Times New Roman" w:hAnsi="Times New Roman" w:cs="Times New Roman"/>
          <w:i/>
          <w:iCs/>
          <w:color w:val="000000" w:themeColor="text1"/>
          <w:sz w:val="24"/>
          <w:szCs w:val="24"/>
        </w:rPr>
        <w:t xml:space="preserve">Computers in Human </w:t>
      </w:r>
      <w:proofErr w:type="spellStart"/>
      <w:r w:rsidRPr="00D33F9E">
        <w:rPr>
          <w:rFonts w:ascii="Times New Roman" w:hAnsi="Times New Roman" w:cs="Times New Roman"/>
          <w:i/>
          <w:iCs/>
          <w:color w:val="000000" w:themeColor="text1"/>
          <w:sz w:val="24"/>
          <w:szCs w:val="24"/>
        </w:rPr>
        <w:t>Behavior</w:t>
      </w:r>
      <w:proofErr w:type="spellEnd"/>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59</w:t>
      </w:r>
      <w:r w:rsidRPr="00D33F9E">
        <w:rPr>
          <w:rFonts w:ascii="Times New Roman" w:hAnsi="Times New Roman" w:cs="Times New Roman"/>
          <w:color w:val="000000" w:themeColor="text1"/>
          <w:sz w:val="24"/>
          <w:szCs w:val="24"/>
        </w:rPr>
        <w:t>, pp.82-92.</w:t>
      </w:r>
    </w:p>
    <w:p w14:paraId="5342A92D" w14:textId="348EDAF1" w:rsidR="00243570" w:rsidRPr="00D33F9E" w:rsidRDefault="00243570" w:rsidP="003D3A5D">
      <w:pPr>
        <w:rPr>
          <w:rFonts w:ascii="Times New Roman" w:hAnsi="Times New Roman" w:cs="Times New Roman"/>
          <w:color w:val="000000" w:themeColor="text1"/>
          <w:sz w:val="24"/>
          <w:szCs w:val="24"/>
        </w:rPr>
      </w:pPr>
      <w:proofErr w:type="spellStart"/>
      <w:r w:rsidRPr="00D33F9E">
        <w:rPr>
          <w:rFonts w:ascii="Times New Roman" w:hAnsi="Times New Roman" w:cs="Times New Roman"/>
          <w:color w:val="000000" w:themeColor="text1"/>
          <w:sz w:val="24"/>
          <w:szCs w:val="24"/>
        </w:rPr>
        <w:t>Henschke</w:t>
      </w:r>
      <w:proofErr w:type="spellEnd"/>
      <w:r w:rsidRPr="00D33F9E">
        <w:rPr>
          <w:rFonts w:ascii="Times New Roman" w:hAnsi="Times New Roman" w:cs="Times New Roman"/>
          <w:color w:val="000000" w:themeColor="text1"/>
          <w:sz w:val="24"/>
          <w:szCs w:val="24"/>
        </w:rPr>
        <w:t xml:space="preserve">, J.A., 2011. Considerations regarding the future of andragogy. </w:t>
      </w:r>
      <w:r w:rsidRPr="00D33F9E">
        <w:rPr>
          <w:rFonts w:ascii="Times New Roman" w:hAnsi="Times New Roman" w:cs="Times New Roman"/>
          <w:i/>
          <w:iCs/>
          <w:color w:val="000000" w:themeColor="text1"/>
          <w:sz w:val="24"/>
          <w:szCs w:val="24"/>
        </w:rPr>
        <w:t>Adult Learning</w:t>
      </w:r>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22</w:t>
      </w:r>
      <w:r w:rsidRPr="00D33F9E">
        <w:rPr>
          <w:rFonts w:ascii="Times New Roman" w:hAnsi="Times New Roman" w:cs="Times New Roman"/>
          <w:color w:val="000000" w:themeColor="text1"/>
          <w:sz w:val="24"/>
          <w:szCs w:val="24"/>
        </w:rPr>
        <w:t>(1), pp.34-37.</w:t>
      </w:r>
    </w:p>
    <w:p w14:paraId="0EA54CA6" w14:textId="54FFA307" w:rsidR="00243570" w:rsidRPr="00D33F9E" w:rsidRDefault="00243570"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Knowles, M.S., 1979. ANDRAGOGY REVISITED. 2. </w:t>
      </w:r>
      <w:r w:rsidRPr="00D33F9E">
        <w:rPr>
          <w:rFonts w:ascii="Times New Roman" w:hAnsi="Times New Roman" w:cs="Times New Roman"/>
          <w:i/>
          <w:iCs/>
          <w:color w:val="000000" w:themeColor="text1"/>
          <w:sz w:val="24"/>
          <w:szCs w:val="24"/>
        </w:rPr>
        <w:t>Adult Education</w:t>
      </w:r>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30</w:t>
      </w:r>
      <w:r w:rsidRPr="00D33F9E">
        <w:rPr>
          <w:rFonts w:ascii="Times New Roman" w:hAnsi="Times New Roman" w:cs="Times New Roman"/>
          <w:color w:val="000000" w:themeColor="text1"/>
          <w:sz w:val="24"/>
          <w:szCs w:val="24"/>
        </w:rPr>
        <w:t>(1), pp.52-53.</w:t>
      </w:r>
    </w:p>
    <w:p w14:paraId="07F92D44" w14:textId="37C6DBF5" w:rsidR="004512EE" w:rsidRPr="00D33F9E" w:rsidRDefault="004512EE"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Knowles, M.S., 1980. The modern practice of adult education.</w:t>
      </w:r>
    </w:p>
    <w:p w14:paraId="0D4E8FA5" w14:textId="1CCE88C0" w:rsidR="004512EE" w:rsidRPr="00D33F9E" w:rsidRDefault="004512EE"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Knowles, M.S., 1990. The adult learner: A neglected species (building blocks of human potential). </w:t>
      </w:r>
      <w:r w:rsidRPr="00D33F9E">
        <w:rPr>
          <w:rFonts w:ascii="Times New Roman" w:hAnsi="Times New Roman" w:cs="Times New Roman"/>
          <w:i/>
          <w:iCs/>
          <w:color w:val="000000" w:themeColor="text1"/>
          <w:sz w:val="24"/>
          <w:szCs w:val="24"/>
        </w:rPr>
        <w:t>Houston, TX: Gulf Publishing</w:t>
      </w:r>
      <w:r w:rsidRPr="00D33F9E">
        <w:rPr>
          <w:rFonts w:ascii="Times New Roman" w:hAnsi="Times New Roman" w:cs="Times New Roman"/>
          <w:color w:val="000000" w:themeColor="text1"/>
          <w:sz w:val="24"/>
          <w:szCs w:val="24"/>
        </w:rPr>
        <w:t>.</w:t>
      </w:r>
    </w:p>
    <w:p w14:paraId="3A60F622" w14:textId="6AF94F0D" w:rsidR="00243570" w:rsidRPr="00D33F9E" w:rsidRDefault="00243570"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Merriam, S.B., 2001. Andragogy and self‐directed learning: Pillars of adult learning theory. </w:t>
      </w:r>
      <w:r w:rsidRPr="00D33F9E">
        <w:rPr>
          <w:rFonts w:ascii="Times New Roman" w:hAnsi="Times New Roman" w:cs="Times New Roman"/>
          <w:i/>
          <w:iCs/>
          <w:color w:val="000000" w:themeColor="text1"/>
          <w:sz w:val="24"/>
          <w:szCs w:val="24"/>
        </w:rPr>
        <w:t>New directions for adult and continuing education</w:t>
      </w:r>
      <w:r w:rsidRPr="00D33F9E">
        <w:rPr>
          <w:rFonts w:ascii="Times New Roman" w:hAnsi="Times New Roman" w:cs="Times New Roman"/>
          <w:color w:val="000000" w:themeColor="text1"/>
          <w:sz w:val="24"/>
          <w:szCs w:val="24"/>
        </w:rPr>
        <w:t xml:space="preserve">, </w:t>
      </w:r>
      <w:r w:rsidRPr="00D33F9E">
        <w:rPr>
          <w:rFonts w:ascii="Times New Roman" w:hAnsi="Times New Roman" w:cs="Times New Roman"/>
          <w:i/>
          <w:iCs/>
          <w:color w:val="000000" w:themeColor="text1"/>
          <w:sz w:val="24"/>
          <w:szCs w:val="24"/>
        </w:rPr>
        <w:t>2001</w:t>
      </w:r>
      <w:r w:rsidRPr="00D33F9E">
        <w:rPr>
          <w:rFonts w:ascii="Times New Roman" w:hAnsi="Times New Roman" w:cs="Times New Roman"/>
          <w:color w:val="000000" w:themeColor="text1"/>
          <w:sz w:val="24"/>
          <w:szCs w:val="24"/>
        </w:rPr>
        <w:t>(89), pp.3-14.</w:t>
      </w:r>
    </w:p>
    <w:p w14:paraId="2CBC278A" w14:textId="7C37C09F" w:rsidR="00243570" w:rsidRPr="00D33F9E" w:rsidRDefault="00243570"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Merriam, S.B., </w:t>
      </w:r>
      <w:proofErr w:type="spellStart"/>
      <w:r w:rsidRPr="00D33F9E">
        <w:rPr>
          <w:rFonts w:ascii="Times New Roman" w:hAnsi="Times New Roman" w:cs="Times New Roman"/>
          <w:color w:val="000000" w:themeColor="text1"/>
          <w:sz w:val="24"/>
          <w:szCs w:val="24"/>
        </w:rPr>
        <w:t>Caffarella</w:t>
      </w:r>
      <w:proofErr w:type="spellEnd"/>
      <w:r w:rsidRPr="00D33F9E">
        <w:rPr>
          <w:rFonts w:ascii="Times New Roman" w:hAnsi="Times New Roman" w:cs="Times New Roman"/>
          <w:color w:val="000000" w:themeColor="text1"/>
          <w:sz w:val="24"/>
          <w:szCs w:val="24"/>
        </w:rPr>
        <w:t xml:space="preserve">, R.S. and Baumgartner, L.M., 2007. </w:t>
      </w:r>
      <w:r w:rsidRPr="00D33F9E">
        <w:rPr>
          <w:rFonts w:ascii="Times New Roman" w:hAnsi="Times New Roman" w:cs="Times New Roman"/>
          <w:i/>
          <w:iCs/>
          <w:color w:val="000000" w:themeColor="text1"/>
          <w:sz w:val="24"/>
          <w:szCs w:val="24"/>
        </w:rPr>
        <w:t>Learning in adulthood: A comprehensive guide</w:t>
      </w:r>
      <w:r w:rsidRPr="00D33F9E">
        <w:rPr>
          <w:rFonts w:ascii="Times New Roman" w:hAnsi="Times New Roman" w:cs="Times New Roman"/>
          <w:color w:val="000000" w:themeColor="text1"/>
          <w:sz w:val="24"/>
          <w:szCs w:val="24"/>
        </w:rPr>
        <w:t>. John Wiley &amp; Sons.</w:t>
      </w:r>
    </w:p>
    <w:p w14:paraId="01E57FE3" w14:textId="7A5AC133" w:rsidR="00243570" w:rsidRPr="00D33F9E" w:rsidRDefault="00243570" w:rsidP="003D3A5D">
      <w:pPr>
        <w:rPr>
          <w:rFonts w:ascii="Times New Roman" w:hAnsi="Times New Roman" w:cs="Times New Roman"/>
          <w:color w:val="000000" w:themeColor="text1"/>
          <w:sz w:val="24"/>
          <w:szCs w:val="24"/>
        </w:rPr>
      </w:pPr>
      <w:r w:rsidRPr="00D33F9E">
        <w:rPr>
          <w:rFonts w:ascii="Times New Roman" w:hAnsi="Times New Roman" w:cs="Times New Roman"/>
          <w:color w:val="000000" w:themeColor="text1"/>
          <w:sz w:val="24"/>
          <w:szCs w:val="24"/>
        </w:rPr>
        <w:t xml:space="preserve">Neary, M., 2002. </w:t>
      </w:r>
      <w:r w:rsidRPr="00D33F9E">
        <w:rPr>
          <w:rFonts w:ascii="Times New Roman" w:hAnsi="Times New Roman" w:cs="Times New Roman"/>
          <w:i/>
          <w:iCs/>
          <w:color w:val="000000" w:themeColor="text1"/>
          <w:sz w:val="24"/>
          <w:szCs w:val="24"/>
        </w:rPr>
        <w:t>Curriculum studies in post-compulsory and adult education: a study guide for teachers and student teachers</w:t>
      </w:r>
      <w:r w:rsidRPr="00D33F9E">
        <w:rPr>
          <w:rFonts w:ascii="Times New Roman" w:hAnsi="Times New Roman" w:cs="Times New Roman"/>
          <w:color w:val="000000" w:themeColor="text1"/>
          <w:sz w:val="24"/>
          <w:szCs w:val="24"/>
        </w:rPr>
        <w:t>. Nelson Thornes.</w:t>
      </w:r>
    </w:p>
    <w:p w14:paraId="0DFA1582" w14:textId="45C1A1B1" w:rsidR="004512EE" w:rsidRPr="00243570" w:rsidRDefault="004512EE" w:rsidP="003D3A5D">
      <w:pPr>
        <w:rPr>
          <w:rFonts w:ascii="Times New Roman" w:hAnsi="Times New Roman" w:cs="Times New Roman"/>
          <w:color w:val="000000" w:themeColor="text1"/>
          <w:sz w:val="24"/>
          <w:szCs w:val="24"/>
        </w:rPr>
      </w:pPr>
      <w:r w:rsidRPr="00243570">
        <w:rPr>
          <w:rFonts w:ascii="Times New Roman" w:hAnsi="Times New Roman" w:cs="Times New Roman"/>
          <w:color w:val="000000" w:themeColor="text1"/>
          <w:sz w:val="24"/>
          <w:szCs w:val="24"/>
        </w:rPr>
        <w:lastRenderedPageBreak/>
        <w:t xml:space="preserve">Nguyen, M., Miranda, J., </w:t>
      </w:r>
      <w:proofErr w:type="spellStart"/>
      <w:r w:rsidRPr="00243570">
        <w:rPr>
          <w:rFonts w:ascii="Times New Roman" w:hAnsi="Times New Roman" w:cs="Times New Roman"/>
          <w:color w:val="000000" w:themeColor="text1"/>
          <w:sz w:val="24"/>
          <w:szCs w:val="24"/>
        </w:rPr>
        <w:t>Lapum</w:t>
      </w:r>
      <w:proofErr w:type="spellEnd"/>
      <w:r w:rsidRPr="00243570">
        <w:rPr>
          <w:rFonts w:ascii="Times New Roman" w:hAnsi="Times New Roman" w:cs="Times New Roman"/>
          <w:color w:val="000000" w:themeColor="text1"/>
          <w:sz w:val="24"/>
          <w:szCs w:val="24"/>
        </w:rPr>
        <w:t xml:space="preserve">, J. and Donald, F., 2016. Arts-based learning: a new approach to nursing education using andragogy. </w:t>
      </w:r>
      <w:r w:rsidRPr="00243570">
        <w:rPr>
          <w:rFonts w:ascii="Times New Roman" w:hAnsi="Times New Roman" w:cs="Times New Roman"/>
          <w:i/>
          <w:iCs/>
          <w:color w:val="000000" w:themeColor="text1"/>
          <w:sz w:val="24"/>
          <w:szCs w:val="24"/>
        </w:rPr>
        <w:t>Journal of Nursing Education</w:t>
      </w:r>
      <w:r w:rsidRPr="00243570">
        <w:rPr>
          <w:rFonts w:ascii="Times New Roman" w:hAnsi="Times New Roman" w:cs="Times New Roman"/>
          <w:color w:val="000000" w:themeColor="text1"/>
          <w:sz w:val="24"/>
          <w:szCs w:val="24"/>
        </w:rPr>
        <w:t xml:space="preserve">, </w:t>
      </w:r>
      <w:r w:rsidRPr="00243570">
        <w:rPr>
          <w:rFonts w:ascii="Times New Roman" w:hAnsi="Times New Roman" w:cs="Times New Roman"/>
          <w:i/>
          <w:iCs/>
          <w:color w:val="000000" w:themeColor="text1"/>
          <w:sz w:val="24"/>
          <w:szCs w:val="24"/>
        </w:rPr>
        <w:t>55</w:t>
      </w:r>
      <w:r w:rsidRPr="00243570">
        <w:rPr>
          <w:rFonts w:ascii="Times New Roman" w:hAnsi="Times New Roman" w:cs="Times New Roman"/>
          <w:color w:val="000000" w:themeColor="text1"/>
          <w:sz w:val="24"/>
          <w:szCs w:val="24"/>
        </w:rPr>
        <w:t>(7), pp.407-410.</w:t>
      </w:r>
    </w:p>
    <w:p w14:paraId="22B7BF1D" w14:textId="19993BE4" w:rsidR="00243570" w:rsidRPr="00243570" w:rsidRDefault="00243570" w:rsidP="00243570">
      <w:pPr>
        <w:rPr>
          <w:rFonts w:ascii="Times New Roman" w:hAnsi="Times New Roman" w:cs="Times New Roman"/>
          <w:color w:val="000000" w:themeColor="text1"/>
          <w:sz w:val="24"/>
          <w:szCs w:val="24"/>
        </w:rPr>
      </w:pPr>
      <w:r w:rsidRPr="00243570">
        <w:rPr>
          <w:rFonts w:ascii="Times New Roman" w:hAnsi="Times New Roman" w:cs="Times New Roman"/>
          <w:color w:val="000000" w:themeColor="text1"/>
          <w:sz w:val="24"/>
          <w:szCs w:val="24"/>
        </w:rPr>
        <w:t xml:space="preserve">Pew, S., 2007. Andragogy and pedagogy as foundational theory for student motivation in higher education. </w:t>
      </w:r>
      <w:proofErr w:type="spellStart"/>
      <w:r w:rsidRPr="00243570">
        <w:rPr>
          <w:rFonts w:ascii="Times New Roman" w:hAnsi="Times New Roman" w:cs="Times New Roman"/>
          <w:i/>
          <w:iCs/>
          <w:color w:val="000000" w:themeColor="text1"/>
          <w:sz w:val="24"/>
          <w:szCs w:val="24"/>
        </w:rPr>
        <w:t>InSight</w:t>
      </w:r>
      <w:proofErr w:type="spellEnd"/>
      <w:r w:rsidRPr="00243570">
        <w:rPr>
          <w:rFonts w:ascii="Times New Roman" w:hAnsi="Times New Roman" w:cs="Times New Roman"/>
          <w:i/>
          <w:iCs/>
          <w:color w:val="000000" w:themeColor="text1"/>
          <w:sz w:val="24"/>
          <w:szCs w:val="24"/>
        </w:rPr>
        <w:t>: a collection of faculty scholarship</w:t>
      </w:r>
      <w:r w:rsidRPr="00243570">
        <w:rPr>
          <w:rFonts w:ascii="Times New Roman" w:hAnsi="Times New Roman" w:cs="Times New Roman"/>
          <w:color w:val="000000" w:themeColor="text1"/>
          <w:sz w:val="24"/>
          <w:szCs w:val="24"/>
        </w:rPr>
        <w:t xml:space="preserve">, </w:t>
      </w:r>
      <w:r w:rsidRPr="00243570">
        <w:rPr>
          <w:rFonts w:ascii="Times New Roman" w:hAnsi="Times New Roman" w:cs="Times New Roman"/>
          <w:i/>
          <w:iCs/>
          <w:color w:val="000000" w:themeColor="text1"/>
          <w:sz w:val="24"/>
          <w:szCs w:val="24"/>
        </w:rPr>
        <w:t>2</w:t>
      </w:r>
      <w:r w:rsidRPr="00243570">
        <w:rPr>
          <w:rFonts w:ascii="Times New Roman" w:hAnsi="Times New Roman" w:cs="Times New Roman"/>
          <w:color w:val="000000" w:themeColor="text1"/>
          <w:sz w:val="24"/>
          <w:szCs w:val="24"/>
        </w:rPr>
        <w:t>, pp.14-25.</w:t>
      </w:r>
    </w:p>
    <w:p w14:paraId="269B6B6D" w14:textId="46B38635" w:rsidR="00243570" w:rsidRPr="00243570" w:rsidRDefault="00243570" w:rsidP="00243570">
      <w:pPr>
        <w:rPr>
          <w:rFonts w:ascii="Times New Roman" w:hAnsi="Times New Roman" w:cs="Times New Roman"/>
          <w:color w:val="000000" w:themeColor="text1"/>
          <w:sz w:val="24"/>
          <w:szCs w:val="24"/>
        </w:rPr>
      </w:pPr>
      <w:r w:rsidRPr="00243570">
        <w:rPr>
          <w:rFonts w:ascii="Times New Roman" w:hAnsi="Times New Roman" w:cs="Times New Roman"/>
          <w:color w:val="000000" w:themeColor="text1"/>
          <w:sz w:val="24"/>
          <w:szCs w:val="24"/>
        </w:rPr>
        <w:t xml:space="preserve">Rachal, J.R., 2002. Andragogy’s detectives: A critique of the present and a proposal for the future. </w:t>
      </w:r>
      <w:r w:rsidRPr="00243570">
        <w:rPr>
          <w:rFonts w:ascii="Times New Roman" w:hAnsi="Times New Roman" w:cs="Times New Roman"/>
          <w:i/>
          <w:iCs/>
          <w:color w:val="000000" w:themeColor="text1"/>
          <w:sz w:val="24"/>
          <w:szCs w:val="24"/>
        </w:rPr>
        <w:t>Adult education quarterly</w:t>
      </w:r>
      <w:r w:rsidRPr="00243570">
        <w:rPr>
          <w:rFonts w:ascii="Times New Roman" w:hAnsi="Times New Roman" w:cs="Times New Roman"/>
          <w:color w:val="000000" w:themeColor="text1"/>
          <w:sz w:val="24"/>
          <w:szCs w:val="24"/>
        </w:rPr>
        <w:t xml:space="preserve">, </w:t>
      </w:r>
      <w:r w:rsidRPr="00243570">
        <w:rPr>
          <w:rFonts w:ascii="Times New Roman" w:hAnsi="Times New Roman" w:cs="Times New Roman"/>
          <w:i/>
          <w:iCs/>
          <w:color w:val="000000" w:themeColor="text1"/>
          <w:sz w:val="24"/>
          <w:szCs w:val="24"/>
        </w:rPr>
        <w:t>52</w:t>
      </w:r>
      <w:r w:rsidRPr="00243570">
        <w:rPr>
          <w:rFonts w:ascii="Times New Roman" w:hAnsi="Times New Roman" w:cs="Times New Roman"/>
          <w:color w:val="000000" w:themeColor="text1"/>
          <w:sz w:val="24"/>
          <w:szCs w:val="24"/>
        </w:rPr>
        <w:t>(3), pp.210-227.</w:t>
      </w:r>
    </w:p>
    <w:p w14:paraId="16414643" w14:textId="3693BE48" w:rsidR="004512EE" w:rsidRPr="00243570" w:rsidRDefault="004512EE" w:rsidP="003D3A5D">
      <w:pPr>
        <w:rPr>
          <w:rFonts w:ascii="Times New Roman" w:hAnsi="Times New Roman" w:cs="Times New Roman"/>
          <w:color w:val="000000" w:themeColor="text1"/>
          <w:sz w:val="24"/>
          <w:szCs w:val="24"/>
        </w:rPr>
      </w:pPr>
      <w:r w:rsidRPr="00243570">
        <w:rPr>
          <w:rFonts w:ascii="Times New Roman" w:hAnsi="Times New Roman" w:cs="Times New Roman"/>
          <w:color w:val="000000" w:themeColor="text1"/>
          <w:sz w:val="24"/>
          <w:szCs w:val="24"/>
        </w:rPr>
        <w:t xml:space="preserve">Sharifi, M., Soleimani, H. and </w:t>
      </w:r>
      <w:proofErr w:type="spellStart"/>
      <w:r w:rsidRPr="00243570">
        <w:rPr>
          <w:rFonts w:ascii="Times New Roman" w:hAnsi="Times New Roman" w:cs="Times New Roman"/>
          <w:color w:val="000000" w:themeColor="text1"/>
          <w:sz w:val="24"/>
          <w:szCs w:val="24"/>
        </w:rPr>
        <w:t>Jafarigohar</w:t>
      </w:r>
      <w:proofErr w:type="spellEnd"/>
      <w:r w:rsidRPr="00243570">
        <w:rPr>
          <w:rFonts w:ascii="Times New Roman" w:hAnsi="Times New Roman" w:cs="Times New Roman"/>
          <w:color w:val="000000" w:themeColor="text1"/>
          <w:sz w:val="24"/>
          <w:szCs w:val="24"/>
        </w:rPr>
        <w:t xml:space="preserve">, M., 2017. E‐portfolio evaluation and vocabulary learning: Moving from pedagogy to andragogy. </w:t>
      </w:r>
      <w:r w:rsidRPr="00243570">
        <w:rPr>
          <w:rFonts w:ascii="Times New Roman" w:hAnsi="Times New Roman" w:cs="Times New Roman"/>
          <w:i/>
          <w:iCs/>
          <w:color w:val="000000" w:themeColor="text1"/>
          <w:sz w:val="24"/>
          <w:szCs w:val="24"/>
        </w:rPr>
        <w:t>British Journal of Educational Technology</w:t>
      </w:r>
      <w:r w:rsidRPr="00243570">
        <w:rPr>
          <w:rFonts w:ascii="Times New Roman" w:hAnsi="Times New Roman" w:cs="Times New Roman"/>
          <w:color w:val="000000" w:themeColor="text1"/>
          <w:sz w:val="24"/>
          <w:szCs w:val="24"/>
        </w:rPr>
        <w:t xml:space="preserve">, </w:t>
      </w:r>
      <w:r w:rsidRPr="00243570">
        <w:rPr>
          <w:rFonts w:ascii="Times New Roman" w:hAnsi="Times New Roman" w:cs="Times New Roman"/>
          <w:i/>
          <w:iCs/>
          <w:color w:val="000000" w:themeColor="text1"/>
          <w:sz w:val="24"/>
          <w:szCs w:val="24"/>
        </w:rPr>
        <w:t>48</w:t>
      </w:r>
      <w:r w:rsidRPr="00243570">
        <w:rPr>
          <w:rFonts w:ascii="Times New Roman" w:hAnsi="Times New Roman" w:cs="Times New Roman"/>
          <w:color w:val="000000" w:themeColor="text1"/>
          <w:sz w:val="24"/>
          <w:szCs w:val="24"/>
        </w:rPr>
        <w:t>(6), pp.1441-1450.</w:t>
      </w:r>
    </w:p>
    <w:p w14:paraId="226B8FF7" w14:textId="510AC8B3" w:rsidR="004512EE" w:rsidRPr="00243570" w:rsidRDefault="004512EE" w:rsidP="003D3A5D">
      <w:pPr>
        <w:rPr>
          <w:rFonts w:ascii="Times New Roman" w:hAnsi="Times New Roman" w:cs="Times New Roman"/>
          <w:b/>
          <w:color w:val="000000" w:themeColor="text1"/>
          <w:sz w:val="24"/>
          <w:szCs w:val="24"/>
          <w:u w:val="single"/>
          <w:shd w:val="clear" w:color="auto" w:fill="FFFFFF"/>
        </w:rPr>
      </w:pPr>
      <w:r w:rsidRPr="00243570">
        <w:rPr>
          <w:rFonts w:ascii="Times New Roman" w:hAnsi="Times New Roman" w:cs="Times New Roman"/>
          <w:color w:val="000000" w:themeColor="text1"/>
          <w:sz w:val="24"/>
          <w:szCs w:val="24"/>
        </w:rPr>
        <w:t xml:space="preserve">Taylor, B. and </w:t>
      </w:r>
      <w:proofErr w:type="spellStart"/>
      <w:r w:rsidRPr="00243570">
        <w:rPr>
          <w:rFonts w:ascii="Times New Roman" w:hAnsi="Times New Roman" w:cs="Times New Roman"/>
          <w:color w:val="000000" w:themeColor="text1"/>
          <w:sz w:val="24"/>
          <w:szCs w:val="24"/>
        </w:rPr>
        <w:t>Kroth</w:t>
      </w:r>
      <w:proofErr w:type="spellEnd"/>
      <w:r w:rsidRPr="00243570">
        <w:rPr>
          <w:rFonts w:ascii="Times New Roman" w:hAnsi="Times New Roman" w:cs="Times New Roman"/>
          <w:color w:val="000000" w:themeColor="text1"/>
          <w:sz w:val="24"/>
          <w:szCs w:val="24"/>
        </w:rPr>
        <w:t xml:space="preserve">, M., 2009. Andragogy's transition into the future: Meta-analysis of andragogy and its search for a measurable instrument. </w:t>
      </w:r>
      <w:r w:rsidRPr="00243570">
        <w:rPr>
          <w:rFonts w:ascii="Times New Roman" w:hAnsi="Times New Roman" w:cs="Times New Roman"/>
          <w:i/>
          <w:iCs/>
          <w:color w:val="000000" w:themeColor="text1"/>
          <w:sz w:val="24"/>
          <w:szCs w:val="24"/>
        </w:rPr>
        <w:t>Journal of Adult Education</w:t>
      </w:r>
      <w:r w:rsidRPr="00243570">
        <w:rPr>
          <w:rFonts w:ascii="Times New Roman" w:hAnsi="Times New Roman" w:cs="Times New Roman"/>
          <w:color w:val="000000" w:themeColor="text1"/>
          <w:sz w:val="24"/>
          <w:szCs w:val="24"/>
        </w:rPr>
        <w:t xml:space="preserve">, </w:t>
      </w:r>
      <w:r w:rsidRPr="00243570">
        <w:rPr>
          <w:rFonts w:ascii="Times New Roman" w:hAnsi="Times New Roman" w:cs="Times New Roman"/>
          <w:i/>
          <w:iCs/>
          <w:color w:val="000000" w:themeColor="text1"/>
          <w:sz w:val="24"/>
          <w:szCs w:val="24"/>
        </w:rPr>
        <w:t>38</w:t>
      </w:r>
      <w:r w:rsidRPr="00243570">
        <w:rPr>
          <w:rFonts w:ascii="Times New Roman" w:hAnsi="Times New Roman" w:cs="Times New Roman"/>
          <w:color w:val="000000" w:themeColor="text1"/>
          <w:sz w:val="24"/>
          <w:szCs w:val="24"/>
        </w:rPr>
        <w:t>(1), pp.1-11.</w:t>
      </w:r>
    </w:p>
    <w:p w14:paraId="353A104F" w14:textId="77777777" w:rsidR="004512EE" w:rsidRDefault="004512EE" w:rsidP="003D3A5D">
      <w:pPr>
        <w:rPr>
          <w:rFonts w:ascii="Helvetica" w:hAnsi="Helvetica" w:cs="Helvetica"/>
          <w:b/>
          <w:color w:val="555555"/>
          <w:sz w:val="21"/>
          <w:szCs w:val="21"/>
          <w:u w:val="single"/>
          <w:shd w:val="clear" w:color="auto" w:fill="FFFFFF"/>
        </w:rPr>
      </w:pPr>
    </w:p>
    <w:p w14:paraId="32082931" w14:textId="77777777" w:rsidR="004512EE" w:rsidRDefault="004512EE" w:rsidP="003D3A5D">
      <w:pPr>
        <w:rPr>
          <w:rFonts w:ascii="Helvetica" w:hAnsi="Helvetica" w:cs="Helvetica"/>
          <w:b/>
          <w:color w:val="555555"/>
          <w:sz w:val="21"/>
          <w:szCs w:val="21"/>
          <w:u w:val="single"/>
          <w:shd w:val="clear" w:color="auto" w:fill="FFFFFF"/>
        </w:rPr>
      </w:pPr>
    </w:p>
    <w:p w14:paraId="3395830A" w14:textId="77777777" w:rsidR="00747514" w:rsidRDefault="00747514" w:rsidP="003D3A5D">
      <w:pPr>
        <w:rPr>
          <w:rFonts w:ascii="Times New Roman" w:hAnsi="Times New Roman" w:cs="Times New Roman"/>
          <w:color w:val="000000" w:themeColor="text1"/>
          <w:sz w:val="24"/>
          <w:szCs w:val="24"/>
          <w:shd w:val="clear" w:color="auto" w:fill="FFFFFF"/>
        </w:rPr>
      </w:pPr>
    </w:p>
    <w:p w14:paraId="6C8EBF5F" w14:textId="77777777" w:rsidR="003D3A5D" w:rsidRDefault="003D3A5D" w:rsidP="003D3A5D">
      <w:pPr>
        <w:pStyle w:val="NormalWeb"/>
        <w:spacing w:before="0" w:beforeAutospacing="0" w:after="255" w:afterAutospacing="0"/>
        <w:rPr>
          <w:color w:val="000000" w:themeColor="text1"/>
          <w:shd w:val="clear" w:color="auto" w:fill="FFFFFF"/>
        </w:rPr>
      </w:pPr>
    </w:p>
    <w:p w14:paraId="1252667D" w14:textId="77777777" w:rsidR="003D3A5D" w:rsidRPr="00364F6C" w:rsidRDefault="003D3A5D" w:rsidP="003D3A5D">
      <w:pPr>
        <w:spacing w:after="0" w:line="240" w:lineRule="auto"/>
        <w:rPr>
          <w:rFonts w:ascii="Helvetica" w:eastAsia="Times New Roman" w:hAnsi="Helvetica" w:cs="Helvetica"/>
          <w:color w:val="555555"/>
          <w:sz w:val="21"/>
          <w:szCs w:val="21"/>
          <w:lang w:eastAsia="en-GB"/>
        </w:rPr>
      </w:pPr>
    </w:p>
    <w:p w14:paraId="7E329323" w14:textId="77777777" w:rsidR="003D3A5D" w:rsidRDefault="003D3A5D" w:rsidP="003D3A5D">
      <w:pPr>
        <w:rPr>
          <w:rFonts w:ascii="Helvetica" w:hAnsi="Helvetica" w:cs="Helvetica"/>
          <w:color w:val="555555"/>
          <w:sz w:val="21"/>
          <w:szCs w:val="21"/>
          <w:shd w:val="clear" w:color="auto" w:fill="FFFFFF"/>
        </w:rPr>
      </w:pPr>
    </w:p>
    <w:p w14:paraId="51951E64" w14:textId="77777777" w:rsidR="003D3A5D" w:rsidRPr="00B80957" w:rsidRDefault="003D3A5D" w:rsidP="00D74A59">
      <w:pPr>
        <w:rPr>
          <w:rFonts w:ascii="Times New Roman" w:hAnsi="Times New Roman" w:cs="Times New Roman"/>
          <w:color w:val="000000" w:themeColor="text1"/>
          <w:sz w:val="24"/>
          <w:szCs w:val="24"/>
          <w:shd w:val="clear" w:color="auto" w:fill="FFFFFF"/>
        </w:rPr>
      </w:pPr>
    </w:p>
    <w:p w14:paraId="5DFC56E3" w14:textId="77777777" w:rsidR="00D74A59" w:rsidRDefault="00D74A59"/>
    <w:sectPr w:rsidR="00D74A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A59"/>
    <w:rsid w:val="00084022"/>
    <w:rsid w:val="00090792"/>
    <w:rsid w:val="0009764E"/>
    <w:rsid w:val="000A3B97"/>
    <w:rsid w:val="000C0E07"/>
    <w:rsid w:val="000E3E3C"/>
    <w:rsid w:val="00151AB2"/>
    <w:rsid w:val="00157CE0"/>
    <w:rsid w:val="00180183"/>
    <w:rsid w:val="001B1DC5"/>
    <w:rsid w:val="001C6A30"/>
    <w:rsid w:val="001E0EC0"/>
    <w:rsid w:val="00212BA0"/>
    <w:rsid w:val="0021439D"/>
    <w:rsid w:val="0023086E"/>
    <w:rsid w:val="002432CB"/>
    <w:rsid w:val="00243570"/>
    <w:rsid w:val="00255EA4"/>
    <w:rsid w:val="002B42E0"/>
    <w:rsid w:val="002B6249"/>
    <w:rsid w:val="002B6C74"/>
    <w:rsid w:val="00327713"/>
    <w:rsid w:val="00341C77"/>
    <w:rsid w:val="00357F5E"/>
    <w:rsid w:val="00365BC1"/>
    <w:rsid w:val="0039125F"/>
    <w:rsid w:val="003D3A5D"/>
    <w:rsid w:val="00436DF3"/>
    <w:rsid w:val="004512EE"/>
    <w:rsid w:val="00454F8E"/>
    <w:rsid w:val="00466A59"/>
    <w:rsid w:val="0047719D"/>
    <w:rsid w:val="00482986"/>
    <w:rsid w:val="004946A0"/>
    <w:rsid w:val="004A3826"/>
    <w:rsid w:val="004C07CF"/>
    <w:rsid w:val="004D4C05"/>
    <w:rsid w:val="004E6842"/>
    <w:rsid w:val="00517927"/>
    <w:rsid w:val="005857CB"/>
    <w:rsid w:val="005A2C59"/>
    <w:rsid w:val="005B5BF3"/>
    <w:rsid w:val="005E63A2"/>
    <w:rsid w:val="005F1042"/>
    <w:rsid w:val="005F2E98"/>
    <w:rsid w:val="00697C32"/>
    <w:rsid w:val="006A4E54"/>
    <w:rsid w:val="006C2C66"/>
    <w:rsid w:val="006C6652"/>
    <w:rsid w:val="00732CA7"/>
    <w:rsid w:val="00747514"/>
    <w:rsid w:val="00770C63"/>
    <w:rsid w:val="007A2111"/>
    <w:rsid w:val="007B2D29"/>
    <w:rsid w:val="00803D70"/>
    <w:rsid w:val="00834045"/>
    <w:rsid w:val="008971D4"/>
    <w:rsid w:val="008E2825"/>
    <w:rsid w:val="008F680D"/>
    <w:rsid w:val="00966AB9"/>
    <w:rsid w:val="00997813"/>
    <w:rsid w:val="009B1B15"/>
    <w:rsid w:val="009C774E"/>
    <w:rsid w:val="009E1B3F"/>
    <w:rsid w:val="009E4AEC"/>
    <w:rsid w:val="009E7990"/>
    <w:rsid w:val="00A6283C"/>
    <w:rsid w:val="00A8674E"/>
    <w:rsid w:val="00AD584E"/>
    <w:rsid w:val="00AD62FE"/>
    <w:rsid w:val="00AE3C5B"/>
    <w:rsid w:val="00B0226F"/>
    <w:rsid w:val="00B62135"/>
    <w:rsid w:val="00B83E74"/>
    <w:rsid w:val="00BA1B2F"/>
    <w:rsid w:val="00BC365B"/>
    <w:rsid w:val="00C013BE"/>
    <w:rsid w:val="00C343CA"/>
    <w:rsid w:val="00D27B43"/>
    <w:rsid w:val="00D27F08"/>
    <w:rsid w:val="00D33F9E"/>
    <w:rsid w:val="00D74A59"/>
    <w:rsid w:val="00D8559A"/>
    <w:rsid w:val="00DA0A3D"/>
    <w:rsid w:val="00DB0D94"/>
    <w:rsid w:val="00DD015F"/>
    <w:rsid w:val="00DD1EE8"/>
    <w:rsid w:val="00DE2059"/>
    <w:rsid w:val="00E32B98"/>
    <w:rsid w:val="00E80398"/>
    <w:rsid w:val="00E81B5B"/>
    <w:rsid w:val="00E9195B"/>
    <w:rsid w:val="00EB0EFA"/>
    <w:rsid w:val="00EB7874"/>
    <w:rsid w:val="00F17BF7"/>
    <w:rsid w:val="00F203EA"/>
    <w:rsid w:val="00F400AD"/>
    <w:rsid w:val="00F60C10"/>
    <w:rsid w:val="00F67AB6"/>
    <w:rsid w:val="00F81ECC"/>
    <w:rsid w:val="00F906CF"/>
    <w:rsid w:val="00FB4229"/>
    <w:rsid w:val="00FE2C3C"/>
    <w:rsid w:val="00FE3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22325"/>
  <w15:chartTrackingRefBased/>
  <w15:docId w15:val="{112EF47E-B6F6-48AE-AC16-A16A13721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A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D3A5D"/>
    <w:rPr>
      <w:color w:val="0563C1" w:themeColor="hyperlink"/>
      <w:u w:val="single"/>
    </w:rPr>
  </w:style>
  <w:style w:type="paragraph" w:styleId="NormalWeb">
    <w:name w:val="Normal (Web)"/>
    <w:basedOn w:val="Normal"/>
    <w:uiPriority w:val="99"/>
    <w:semiHidden/>
    <w:unhideWhenUsed/>
    <w:rsid w:val="003D3A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75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226651">
      <w:bodyDiv w:val="1"/>
      <w:marLeft w:val="0"/>
      <w:marRight w:val="0"/>
      <w:marTop w:val="0"/>
      <w:marBottom w:val="0"/>
      <w:divBdr>
        <w:top w:val="none" w:sz="0" w:space="0" w:color="auto"/>
        <w:left w:val="none" w:sz="0" w:space="0" w:color="auto"/>
        <w:bottom w:val="none" w:sz="0" w:space="0" w:color="auto"/>
        <w:right w:val="none" w:sz="0" w:space="0" w:color="auto"/>
      </w:divBdr>
    </w:div>
    <w:div w:id="1512992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1596</Words>
  <Characters>9100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roberts</dc:creator>
  <cp:keywords/>
  <dc:description/>
  <cp:lastModifiedBy>Rachel Banks</cp:lastModifiedBy>
  <cp:revision>11</cp:revision>
  <dcterms:created xsi:type="dcterms:W3CDTF">2019-05-29T16:14:00Z</dcterms:created>
  <dcterms:modified xsi:type="dcterms:W3CDTF">2019-05-29T16:22:00Z</dcterms:modified>
</cp:coreProperties>
</file>