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831E5" w14:textId="77777777" w:rsidR="00452277" w:rsidRDefault="006D3B9A">
      <w:pPr>
        <w:spacing w:after="60"/>
      </w:pPr>
      <w:r>
        <w:t>Student Name: Shareen Bi</w:t>
      </w:r>
    </w:p>
    <w:p w14:paraId="029EDCC3" w14:textId="77777777" w:rsidR="00452277" w:rsidRDefault="006D3B9A">
      <w:pPr>
        <w:spacing w:after="60"/>
      </w:pPr>
      <w:r>
        <w:t>Student Number: 2318894</w:t>
      </w:r>
    </w:p>
    <w:p w14:paraId="2387CBA8" w14:textId="28DF6E79" w:rsidR="00452277" w:rsidRDefault="006D3B9A">
      <w:pPr>
        <w:spacing w:after="60"/>
      </w:pPr>
      <w:r>
        <w:t xml:space="preserve">Submission Date: </w:t>
      </w:r>
      <w:r w:rsidR="00F5496A">
        <w:t>1 March</w:t>
      </w:r>
      <w:r>
        <w:t xml:space="preserve"> 2026</w:t>
      </w:r>
    </w:p>
    <w:p w14:paraId="2B9CA2F5" w14:textId="77777777" w:rsidR="00452277" w:rsidRDefault="006D3B9A">
      <w:pPr>
        <w:spacing w:after="240"/>
      </w:pPr>
      <w:r>
        <w:t xml:space="preserve">Module: BMHP6026 - </w:t>
      </w:r>
      <w:proofErr w:type="gramStart"/>
      <w:r>
        <w:t>Component</w:t>
      </w:r>
      <w:proofErr w:type="gramEnd"/>
      <w:r>
        <w:t xml:space="preserve"> 1</w:t>
      </w:r>
    </w:p>
    <w:p w14:paraId="332460F4" w14:textId="77777777" w:rsidR="00452277" w:rsidRDefault="006D3B9A">
      <w:pPr>
        <w:spacing w:after="360"/>
        <w:jc w:val="center"/>
      </w:pPr>
      <w:r>
        <w:rPr>
          <w:b/>
          <w:bCs/>
          <w:sz w:val="28"/>
          <w:szCs w:val="28"/>
        </w:rPr>
        <w:t>Remote Patient Monitoring in UK Health and Social Care: A Critical Evaluation of Digital Transformation</w:t>
      </w:r>
    </w:p>
    <w:p w14:paraId="15A84337" w14:textId="77777777" w:rsidR="00452277" w:rsidRDefault="006D3B9A">
      <w:pPr>
        <w:pStyle w:val="Heading1"/>
      </w:pPr>
      <w:r>
        <w:t>Introduction</w:t>
      </w:r>
    </w:p>
    <w:p w14:paraId="73274EE6" w14:textId="1E9DDBD8" w:rsidR="00452277" w:rsidRDefault="006D3B9A">
      <w:pPr>
        <w:spacing w:line="360" w:lineRule="auto"/>
        <w:jc w:val="both"/>
      </w:pPr>
      <w:r>
        <w:t xml:space="preserve">Remote Patient Monitoring (RPM) technology </w:t>
      </w:r>
      <w:proofErr w:type="gramStart"/>
      <w:r>
        <w:t>represents</w:t>
      </w:r>
      <w:proofErr w:type="gramEnd"/>
      <w:r>
        <w:t xml:space="preserve"> one of the most significant digital transformations in UK health and social care within the last decade. Defined as the use of digital technologies to </w:t>
      </w:r>
      <w:proofErr w:type="gramStart"/>
      <w:r>
        <w:t>monitor</w:t>
      </w:r>
      <w:proofErr w:type="gramEnd"/>
      <w:r>
        <w:t xml:space="preserve"> patients' health status outside conventional clinical settings, RPM gained substantial policy momentum through the NHS Long Term Plan (NHS England, 2019) and accelerated implementation during the COVID-19 pandemic (Greenhalgh et al., 2021). The NHS England Virtual Wards Programme, launched in April 2022 with £450 million investment, aimed to </w:t>
      </w:r>
      <w:proofErr w:type="gramStart"/>
      <w:r>
        <w:t>establish</w:t>
      </w:r>
      <w:proofErr w:type="gramEnd"/>
      <w:r>
        <w:t xml:space="preserve"> approximately 24,000 virtual ward beds nationally, supporting hospital-level care in patients' homes (Chappell et al., 2024). By December 2023, the programme had achieved 11,800 virtual ward beds at 73% occupancy across 354 virtual wards in England (Health Foundation, 2024). However, implementation has revealed complex outcomes requiring critical evaluation beyond technological optimism.</w:t>
      </w:r>
      <w:r w:rsidR="00F5496A">
        <w:br/>
      </w:r>
    </w:p>
    <w:p w14:paraId="460AB70E" w14:textId="77777777" w:rsidR="00452277" w:rsidRDefault="006D3B9A">
      <w:pPr>
        <w:spacing w:after="120" w:line="360" w:lineRule="auto"/>
        <w:jc w:val="both"/>
      </w:pPr>
      <w:r>
        <w:t xml:space="preserve">This report critically evaluates RPM implementation across four dimensions: workforce transformation, service delivery outcomes, patient experience, and community impacts. While RPM </w:t>
      </w:r>
      <w:proofErr w:type="gramStart"/>
      <w:r>
        <w:t>demonstrates</w:t>
      </w:r>
      <w:proofErr w:type="gramEnd"/>
      <w:r>
        <w:t xml:space="preserve"> potential benefits including reduced hospital admissions and enhanced care accessibility for specific populations, evidence reveals substantial challenges including workforce strain, contradictory cost-effectiveness findings, profound digital exclusion affecting 4.7 million older adults, and geographic inequalities in access (Age UK, 2024). The analysis draws on systematic reviews, NIHR-funded evaluations, government reports, and UK-specific implementation studies to present a balanced assessment of this digital innovation's impact on contemporary healthcare delivery.</w:t>
      </w:r>
    </w:p>
    <w:p w14:paraId="241D6456" w14:textId="77777777" w:rsidR="00452277" w:rsidRDefault="006D3B9A">
      <w:pPr>
        <w:pStyle w:val="Heading1"/>
      </w:pPr>
      <w:r>
        <w:t>Workforce Impact: Professional Transformation and Systemic Strain</w:t>
      </w:r>
    </w:p>
    <w:p w14:paraId="169EFF53" w14:textId="2907B6AD" w:rsidR="00452277" w:rsidRDefault="006D3B9A">
      <w:pPr>
        <w:spacing w:line="360" w:lineRule="auto"/>
        <w:jc w:val="both"/>
      </w:pPr>
      <w:r>
        <w:t xml:space="preserve">RPM implementation has fundamentally altered professional roles, competencies, and workforce dynamics within the NHS, revealing both efficiency gains and substantial implementation challenges. Sidhu et al. (2023), in an NIHR-funded mixed-methods study spanning 28 NHS sites </w:t>
      </w:r>
      <w:r>
        <w:lastRenderedPageBreak/>
        <w:t xml:space="preserve">with 292 staff surveys and </w:t>
      </w:r>
      <w:proofErr w:type="gramStart"/>
      <w:r>
        <w:t>58</w:t>
      </w:r>
      <w:proofErr w:type="gramEnd"/>
      <w:r>
        <w:t xml:space="preserve"> interviews, documented that RPM required healthcare professionals to 'reconsider their professional role, as well as their beliefs around their own capabilities.' Critically, nurses differentiated between 'working as part of a remote monitoring model and providing care on the frontline,' recognising that 'many skills associated with face-to-face rapport building with patients were not transferable when establishing therapeutic relationships at a distance' (Sidhu et al., 2023, p.8). </w:t>
      </w:r>
      <w:proofErr w:type="gramStart"/>
      <w:r>
        <w:t>This finding challenges assumptions</w:t>
      </w:r>
      <w:proofErr w:type="gramEnd"/>
      <w:r>
        <w:t xml:space="preserve"> that remote care simply replicates traditional models through different media, instead revealing RPM as a distinct care modality requiring specialised competencies.</w:t>
      </w:r>
      <w:r w:rsidR="00F5496A">
        <w:br/>
      </w:r>
    </w:p>
    <w:p w14:paraId="6CB5E2F3" w14:textId="27F7D015" w:rsidR="00452277" w:rsidRDefault="006D3B9A">
      <w:pPr>
        <w:spacing w:line="360" w:lineRule="auto"/>
        <w:jc w:val="both"/>
      </w:pPr>
      <w:r>
        <w:t xml:space="preserve">The training infrastructure supporting this workforce transformation </w:t>
      </w:r>
      <w:proofErr w:type="gramStart"/>
      <w:r>
        <w:t>remains</w:t>
      </w:r>
      <w:proofErr w:type="gramEnd"/>
      <w:r>
        <w:t xml:space="preserve"> demonstrably inadequate. Staff received 'locally specific training and clinical oversight along with bespoke materials,' yet this often 'took the form of shadowing or receiving brief overviews,' leading to initial 'lack of confidence' in remote monitoring competencies (Sidhu et al., 2023, p.12). More concerning, a cross-sectional survey of 658 UK NHS participants found that clinicians lacked training in most telehealth aspects, with only 64% of clinicians versus 82% of managers reporting access to guidelines—and these guidelines contained 'ambiguous areas regarding protection from litigation and dealing with emergencies' (Theodoros et al., 2022, p.6). The Topol Review (2019) projected that within 20 years, 90% of all NHS jobs would require digital skills elements, driving establishment of the NHS Digital Academy and Topol Digital Fellowships programme. However, the scale of current training provision appears insufficient for the accelerated implementation timeline, creating a critical gap between workforce capability and service expectations.</w:t>
      </w:r>
      <w:r w:rsidR="00F5496A">
        <w:br/>
      </w:r>
    </w:p>
    <w:p w14:paraId="18D06F47" w14:textId="77777777" w:rsidR="00452277" w:rsidRDefault="006D3B9A">
      <w:pPr>
        <w:spacing w:after="120" w:line="360" w:lineRule="auto"/>
        <w:jc w:val="both"/>
      </w:pPr>
      <w:r>
        <w:t xml:space="preserve">Efficiency gains from RPM exist but remain context-dependent and accompanied by 'invisible work' costs. West London COVID-19 monitoring data </w:t>
      </w:r>
      <w:proofErr w:type="gramStart"/>
      <w:r>
        <w:t>demonstrated</w:t>
      </w:r>
      <w:proofErr w:type="gramEnd"/>
      <w:r>
        <w:t xml:space="preserve"> that telephone-only monitoring required 490 minutes per patient over 14 days compared to 280 minutes with app-enabled monitoring, </w:t>
      </w:r>
      <w:proofErr w:type="gramStart"/>
      <w:r>
        <w:t>representing</w:t>
      </w:r>
      <w:proofErr w:type="gramEnd"/>
      <w:r>
        <w:t xml:space="preserve"> a 43% reduction in clinician time (Greenhalgh et al., 2021). The NHS Confederation (2023) reported that nurse-to-patient ratios could theoretically increase from 1:40 to 1:300 for long-term condition monitoring in remote hubs. However, staff simultaneously described substantial 'invisible work' </w:t>
      </w:r>
      <w:proofErr w:type="gramStart"/>
      <w:r>
        <w:t>required</w:t>
      </w:r>
      <w:proofErr w:type="gramEnd"/>
      <w:r>
        <w:t xml:space="preserve"> for 'translating monitoring data and re-embedding the information into clinical workflows' (Fulop et al., 2023, p.34). The workforce evidence reveals a critical tension between policy ambitions for digital transformation and the practical realities of professional adaptation, with RPM implementation </w:t>
      </w:r>
      <w:proofErr w:type="gramStart"/>
      <w:r>
        <w:t>proceeding</w:t>
      </w:r>
      <w:proofErr w:type="gramEnd"/>
      <w:r>
        <w:t xml:space="preserve"> faster than workforce preparation.</w:t>
      </w:r>
    </w:p>
    <w:p w14:paraId="0F49B8F5" w14:textId="77777777" w:rsidR="00452277" w:rsidRDefault="006D3B9A">
      <w:pPr>
        <w:pStyle w:val="Heading1"/>
      </w:pPr>
      <w:r>
        <w:lastRenderedPageBreak/>
        <w:t>Service Delivery Impact: Contradictory Evidence and Implementation Complexity</w:t>
      </w:r>
    </w:p>
    <w:p w14:paraId="1A495165" w14:textId="68F6892C" w:rsidR="00452277" w:rsidRDefault="006D3B9A">
      <w:pPr>
        <w:spacing w:line="360" w:lineRule="auto"/>
        <w:jc w:val="both"/>
      </w:pPr>
      <w:r>
        <w:t xml:space="preserve">The service delivery impacts of RPM present fundamentally contradictory evidence </w:t>
      </w:r>
      <w:proofErr w:type="gramStart"/>
      <w:r>
        <w:t>regarding</w:t>
      </w:r>
      <w:proofErr w:type="gramEnd"/>
      <w:r>
        <w:t xml:space="preserve"> cost-effectiveness, revealing the critical importance of implementation context, patient </w:t>
      </w:r>
      <w:proofErr w:type="gramStart"/>
      <w:r>
        <w:t>selection</w:t>
      </w:r>
      <w:proofErr w:type="gramEnd"/>
      <w:r>
        <w:t xml:space="preserve">, and evaluation </w:t>
      </w:r>
      <w:proofErr w:type="gramStart"/>
      <w:r>
        <w:t>methodology</w:t>
      </w:r>
      <w:proofErr w:type="gramEnd"/>
      <w:r>
        <w:t>. The Whole Systems Demonstrator (WSD) trial, commissioned by the UK Department of Health as the largest randomised controlled trial of telehealth, enrolled 3,230 patients with COPD, heart failure, and diabetes across Cornwall, Kent, and Newham between 2008-2012. Henderson et al. (2013) reported a cost per QALY of £92,000, far exceeding NICE's threshold of £30,000, with only an 11% probability of cost-effectiveness at standard willingness-to-pay thresholds. The study concluded that 'telehealth increased NHS costs without patient benefits' (Henderson et al., 2013, p.1). Steventon et al. (2012), analysing secondary care outcomes from the same trial, found no significant effects on mortality, emergency admission rates, or bed days, challenging the hypothesis that remote monitoring would reduce acute care utilisation.</w:t>
      </w:r>
      <w:r w:rsidR="00F5496A">
        <w:br/>
      </w:r>
    </w:p>
    <w:p w14:paraId="09C440A0" w14:textId="54F94B21" w:rsidR="00452277" w:rsidRDefault="006D3B9A">
      <w:pPr>
        <w:spacing w:line="360" w:lineRule="auto"/>
        <w:jc w:val="both"/>
      </w:pPr>
      <w:r>
        <w:t xml:space="preserve">More recent evaluations present starkly different conclusions, though methodological differences complicate direct comparison. The NHS South East virtual ward evaluation (2023-24) analysed 22,000+ admissions across 29 virtual wards, finding that 2.5 virtual ward admissions equated to one fewer non-elective hospital admission, with 9,000+ hospital admissions avoided annually and an annualised net benefit of £10.4 million (Health Foundation, 2024). The Liverpool Heart Failure Virtual Ward, evaluated by the York Health Economics Consortium, assessed 648 patients and concluded the service was cost-effective, demonstrating a two-fold reduction in emergency department attendance and four-fold reduction in emergency admissions over three months (Rasoul et al., 2025). NICE (2024) now recommends specific remote monitoring algorithms for heart failure, with </w:t>
      </w:r>
      <w:proofErr w:type="spellStart"/>
      <w:r>
        <w:t>HeartLogic</w:t>
      </w:r>
      <w:proofErr w:type="spellEnd"/>
      <w:r>
        <w:t xml:space="preserve"> and </w:t>
      </w:r>
      <w:proofErr w:type="spellStart"/>
      <w:r>
        <w:t>TriageHF</w:t>
      </w:r>
      <w:proofErr w:type="spellEnd"/>
      <w:r>
        <w:t xml:space="preserve"> demonstrating hospitalisations reduced by 58-72% in patients with compatible cardiac implantable electronic devices.</w:t>
      </w:r>
      <w:r w:rsidR="00F5496A">
        <w:br/>
      </w:r>
    </w:p>
    <w:p w14:paraId="48EFDEB1" w14:textId="77777777" w:rsidR="00452277" w:rsidRDefault="006D3B9A">
      <w:pPr>
        <w:spacing w:after="120" w:line="360" w:lineRule="auto"/>
        <w:jc w:val="both"/>
      </w:pPr>
      <w:r>
        <w:t xml:space="preserve">The divergence between WSD findings and recent evaluations </w:t>
      </w:r>
      <w:proofErr w:type="gramStart"/>
      <w:r>
        <w:t>likely reflects</w:t>
      </w:r>
      <w:proofErr w:type="gramEnd"/>
      <w:r>
        <w:t xml:space="preserve"> multiple factors: implementation maturity, patient selection refinement, technology evolution, and crucially, the specific clinical pathways and disease severities targeted. Thomas et al.'s (2021) realist review </w:t>
      </w:r>
      <w:proofErr w:type="gramStart"/>
      <w:r>
        <w:t>identified</w:t>
      </w:r>
      <w:proofErr w:type="gramEnd"/>
      <w:r>
        <w:t xml:space="preserve"> that RPM works best when targeting 'patients with moderate-severe disease severity, multiple comorbidities' and when '</w:t>
      </w:r>
      <w:proofErr w:type="gramStart"/>
      <w:r>
        <w:t>dedicated</w:t>
      </w:r>
      <w:proofErr w:type="gramEnd"/>
      <w:r>
        <w:t xml:space="preserve"> care managers improve response time.' This evidence suggests that blanket claims about RPM cost-effectiveness are unjustified; rather, </w:t>
      </w:r>
      <w:r>
        <w:lastRenderedPageBreak/>
        <w:t>effectiveness is contingent on precise patient selection, care pathway design, and integration quality—dimensions that distinguish successful contemporary implementations from earlier, less targeted approaches.</w:t>
      </w:r>
    </w:p>
    <w:p w14:paraId="353EF85B" w14:textId="77777777" w:rsidR="00452277" w:rsidRDefault="006D3B9A">
      <w:pPr>
        <w:pStyle w:val="Heading1"/>
      </w:pPr>
      <w:r>
        <w:t>Patient and Service User Impact: Benefits and Digital Exclusion</w:t>
      </w:r>
    </w:p>
    <w:p w14:paraId="4BCA7C8C" w14:textId="7AC40B46" w:rsidR="00452277" w:rsidRDefault="006D3B9A">
      <w:pPr>
        <w:spacing w:line="360" w:lineRule="auto"/>
        <w:jc w:val="both"/>
      </w:pPr>
      <w:r>
        <w:t xml:space="preserve">RPM's impact on patients and service users reveals a bifurcated experience determined </w:t>
      </w:r>
      <w:proofErr w:type="gramStart"/>
      <w:r>
        <w:t>largely by</w:t>
      </w:r>
      <w:proofErr w:type="gramEnd"/>
      <w:r>
        <w:t xml:space="preserve"> digital capability, with substantial benefits for digitally enabled populations and profound exclusion for those lacking digital access or skills. Healthwatch England's (2021) qualitative research with </w:t>
      </w:r>
      <w:proofErr w:type="gramStart"/>
      <w:r>
        <w:t>86</w:t>
      </w:r>
      <w:proofErr w:type="gramEnd"/>
      <w:r>
        <w:t xml:space="preserve"> patients across five local Healthwatch areas found that remote care removed significant barriers for specific groups: 'Those with mobility issues said remote care made it easier for them to avoid difficult trips to the practice. People with caring roles also found it easier to talk to their doctors remotely without worrying about leaving their loved ones alone' (Healthwatch England, 2021, p.14). For these populations, RPM offered enhanced access, reduced travel burden, and greater flexibility in care engagement. Walton et al.'s (2022) evaluation of COVID-19 remote monitoring found high patient satisfaction among those successfully enrolled, with participants reporting feeling 'safe' and 'looked after' through daily monitoring contact.</w:t>
      </w:r>
      <w:r w:rsidR="00F5496A">
        <w:br/>
      </w:r>
    </w:p>
    <w:p w14:paraId="3218D742" w14:textId="4DF177E9" w:rsidR="00452277" w:rsidRDefault="006D3B9A">
      <w:pPr>
        <w:spacing w:line="360" w:lineRule="auto"/>
        <w:jc w:val="both"/>
      </w:pPr>
      <w:r>
        <w:t xml:space="preserve">However, digital exclusion creates healthcare exclusion on a substantial scale. Age UK (2024) reports that 4.7 million people aged 65+ lack basic internet skills, 2.3 million aged 65+ do not use the internet at all, and 3.3 million aged 65+ do not use smartphones. Patient testimonials documented the human impact of this exclusion. One patient, Eve, described: 'I had an accident at work... Work kept saying they wanted a sick note... </w:t>
      </w:r>
      <w:proofErr w:type="gramStart"/>
      <w:r>
        <w:t>I phoned</w:t>
      </w:r>
      <w:proofErr w:type="gramEnd"/>
      <w:r>
        <w:t xml:space="preserve"> the receptionist who said they </w:t>
      </w:r>
      <w:proofErr w:type="gramStart"/>
      <w:r>
        <w:t>don't</w:t>
      </w:r>
      <w:proofErr w:type="gramEnd"/>
      <w:r>
        <w:t xml:space="preserve"> do fit </w:t>
      </w:r>
      <w:proofErr w:type="gramStart"/>
      <w:r>
        <w:t>notes</w:t>
      </w:r>
      <w:proofErr w:type="gramEnd"/>
      <w:r>
        <w:t xml:space="preserve"> but I </w:t>
      </w:r>
      <w:proofErr w:type="gramStart"/>
      <w:r>
        <w:t>have to</w:t>
      </w:r>
      <w:proofErr w:type="gramEnd"/>
      <w:r>
        <w:t xml:space="preserve"> try and access [the GP] online and make an appointment. I </w:t>
      </w:r>
      <w:proofErr w:type="gramStart"/>
      <w:r>
        <w:t>don't</w:t>
      </w:r>
      <w:proofErr w:type="gramEnd"/>
      <w:r>
        <w:t xml:space="preserve"> know how to do that. And to this day, </w:t>
      </w:r>
      <w:proofErr w:type="gramStart"/>
      <w:r>
        <w:t>I've</w:t>
      </w:r>
      <w:proofErr w:type="gramEnd"/>
      <w:r>
        <w:t xml:space="preserve"> still not had an appointment' (Age UK, 2024, p.16). Another patient, Barbara, aged </w:t>
      </w:r>
      <w:proofErr w:type="gramStart"/>
      <w:r>
        <w:t>56</w:t>
      </w:r>
      <w:proofErr w:type="gramEnd"/>
      <w:r>
        <w:t xml:space="preserve">, </w:t>
      </w:r>
      <w:proofErr w:type="gramStart"/>
      <w:r>
        <w:t>stated</w:t>
      </w:r>
      <w:proofErr w:type="gramEnd"/>
      <w:r>
        <w:t>: 'It has got to the point where access is so difficult, I don't seek advice and just hope minor conditions just go away' (Age UK, 2024, p.18). These testimonials illustrate how digital-first service models can create absolute barriers to care access, not merely inconvenience, for digitally excluded populations.</w:t>
      </w:r>
      <w:r w:rsidR="00F5496A">
        <w:br/>
      </w:r>
    </w:p>
    <w:p w14:paraId="7E06D4FE" w14:textId="77777777" w:rsidR="00452277" w:rsidRDefault="006D3B9A">
      <w:pPr>
        <w:spacing w:after="120" w:line="360" w:lineRule="auto"/>
        <w:jc w:val="both"/>
      </w:pPr>
      <w:r>
        <w:t xml:space="preserve">The scale of exclusion extends beyond older populations. NHS England's Inclusive Digital Healthcare Framework (2023) acknowledges that 7% of households have no home internet access, approximately one million people cancelled broadband in the last 12 months due to rising costs, and approximately </w:t>
      </w:r>
      <w:proofErr w:type="gramStart"/>
      <w:r>
        <w:t>10</w:t>
      </w:r>
      <w:proofErr w:type="gramEnd"/>
      <w:r>
        <w:t xml:space="preserve"> million adults lack foundation-level digital skills. Farre et al.'s (2023) scoping review warned that 'digital interventions to help self-manage long-term conditions can </w:t>
      </w:r>
      <w:r>
        <w:lastRenderedPageBreak/>
        <w:t xml:space="preserve">exacerbate health inequalities if experiences of patients from low-income and ethnically diverse communities are not well addressed' (Farre et al., 2023, p.8). The patient experience evidence reveals that while RPM offers genuine benefits for digitally capable populations, these benefits do not </w:t>
      </w:r>
      <w:proofErr w:type="gramStart"/>
      <w:r>
        <w:t>accrue</w:t>
      </w:r>
      <w:proofErr w:type="gramEnd"/>
      <w:r>
        <w:t xml:space="preserve"> to digitally excluded groups, who instead face new barriers to care access.</w:t>
      </w:r>
    </w:p>
    <w:p w14:paraId="67260231" w14:textId="77777777" w:rsidR="00452277" w:rsidRDefault="006D3B9A">
      <w:pPr>
        <w:pStyle w:val="Heading1"/>
      </w:pPr>
      <w:r>
        <w:t>Community Impact: Geographic Inequalities and Social Stratification</w:t>
      </w:r>
    </w:p>
    <w:p w14:paraId="382EFDA0" w14:textId="43920CAC" w:rsidR="00452277" w:rsidRDefault="006D3B9A">
      <w:pPr>
        <w:spacing w:line="360" w:lineRule="auto"/>
        <w:jc w:val="both"/>
      </w:pPr>
      <w:r>
        <w:t xml:space="preserve">RPM's implementation reveals substantial geographic and community-level inequalities that extend beyond individual patient impacts to affect entire populations and localities. The technology enablement of virtual wards </w:t>
      </w:r>
      <w:proofErr w:type="gramStart"/>
      <w:r>
        <w:t>demonstrates</w:t>
      </w:r>
      <w:proofErr w:type="gramEnd"/>
      <w:r>
        <w:t xml:space="preserve"> stark regional variation: only 39% of frailty virtual wards are technology-enabled compared to 71% of circulatory disease pathways (Health Foundation, 2024). This variation reflects not random distribution but systematic differences in infrastructure investment, local commissioning priorities, and existing digital maturity across UK health economies. Rural and remote communities face </w:t>
      </w:r>
      <w:proofErr w:type="gramStart"/>
      <w:r>
        <w:t>particular disadvantages</w:t>
      </w:r>
      <w:proofErr w:type="gramEnd"/>
      <w:r>
        <w:t xml:space="preserve">, with the Nuffield Trust (2020) documenting that areas with poorest broadband infrastructure and lowest smartphone ownership </w:t>
      </w:r>
      <w:proofErr w:type="gramStart"/>
      <w:r>
        <w:t>frequently</w:t>
      </w:r>
      <w:proofErr w:type="gramEnd"/>
      <w:r>
        <w:t xml:space="preserve"> overlap with regions experiencing highest health needs and oldest populations. This creates a perverse scenario where communities most likely to </w:t>
      </w:r>
      <w:proofErr w:type="gramStart"/>
      <w:r>
        <w:t>benefit</w:t>
      </w:r>
      <w:proofErr w:type="gramEnd"/>
      <w:r>
        <w:t xml:space="preserve"> from reduced travel requirements for hospital care are least able to access technology-enabled alternatives.</w:t>
      </w:r>
      <w:r w:rsidR="00F5496A">
        <w:br/>
      </w:r>
    </w:p>
    <w:p w14:paraId="7DC4A535" w14:textId="77777777" w:rsidR="00452277" w:rsidRDefault="006D3B9A">
      <w:pPr>
        <w:spacing w:line="360" w:lineRule="auto"/>
        <w:jc w:val="both"/>
      </w:pPr>
      <w:r>
        <w:t xml:space="preserve">The impact on families and informal carers presents a complex picture requiring nuanced evaluation. For </w:t>
      </w:r>
      <w:proofErr w:type="gramStart"/>
      <w:r>
        <w:t>some</w:t>
      </w:r>
      <w:proofErr w:type="gramEnd"/>
      <w:r>
        <w:t xml:space="preserve"> families, RPM reduces care burden: Healthwatch England (2021) found that carers appreciated the ability to </w:t>
      </w:r>
      <w:proofErr w:type="gramStart"/>
      <w:r>
        <w:t>facilitate</w:t>
      </w:r>
      <w:proofErr w:type="gramEnd"/>
      <w:r>
        <w:t xml:space="preserve"> remote consultations without leaving vulnerable individuals unattended, while daily monitoring contact provided reassurance about loved ones' stability. However, RPM can simultaneously transfer clinical monitoring responsibilities to family members lacking medical training or confidence. The Health Foundation's (2024) evaluation noted instances where family members became de facto care coordinators, interpreting </w:t>
      </w:r>
      <w:proofErr w:type="gramStart"/>
      <w:r>
        <w:t>monitoring</w:t>
      </w:r>
      <w:proofErr w:type="gramEnd"/>
      <w:r>
        <w:t xml:space="preserve"> data, managing technology, and making decisions about escalation—roles previously performed by healthcare professionals. For digitally excluded older adults, this </w:t>
      </w:r>
      <w:proofErr w:type="gramStart"/>
      <w:r>
        <w:t>often meant</w:t>
      </w:r>
      <w:proofErr w:type="gramEnd"/>
      <w:r>
        <w:t xml:space="preserve"> care became contingent on adult children's availability to </w:t>
      </w:r>
      <w:proofErr w:type="gramStart"/>
      <w:r>
        <w:t>operate</w:t>
      </w:r>
      <w:proofErr w:type="gramEnd"/>
      <w:r>
        <w:t xml:space="preserve"> devices and navigate systems, creating new dependencies and potential points of failure in care pathways. The NHS Confederation (2023) documented that </w:t>
      </w:r>
      <w:proofErr w:type="gramStart"/>
      <w:r>
        <w:t>some</w:t>
      </w:r>
      <w:proofErr w:type="gramEnd"/>
      <w:r>
        <w:t xml:space="preserve"> families experienced increased anxiety from continuous monitoring, with concerns about false alarms, technical failures, and responsibility for recognising deterioration.</w:t>
      </w:r>
    </w:p>
    <w:p w14:paraId="7C02EA65" w14:textId="54FCF2F5" w:rsidR="00452277" w:rsidRDefault="006D3B9A">
      <w:pPr>
        <w:spacing w:line="360" w:lineRule="auto"/>
        <w:jc w:val="both"/>
      </w:pPr>
      <w:r>
        <w:lastRenderedPageBreak/>
        <w:t xml:space="preserve">Co-production in RPM implementation </w:t>
      </w:r>
      <w:proofErr w:type="gramStart"/>
      <w:r>
        <w:t>remains</w:t>
      </w:r>
      <w:proofErr w:type="gramEnd"/>
      <w:r>
        <w:t xml:space="preserve"> limited despite policy rhetoric. </w:t>
      </w:r>
      <w:proofErr w:type="gramStart"/>
      <w:r>
        <w:t>The majority of</w:t>
      </w:r>
      <w:proofErr w:type="gramEnd"/>
      <w:r>
        <w:t xml:space="preserve"> RPM programmes </w:t>
      </w:r>
      <w:proofErr w:type="gramStart"/>
      <w:r>
        <w:t>were designed</w:t>
      </w:r>
      <w:proofErr w:type="gramEnd"/>
      <w:r>
        <w:t xml:space="preserve"> and implemented rapidly during COVID-19 with minimal patient or community involvement in service design (Fulop et al., 2023). The NIHR evaluation found that remote monitoring models were 'predominantly clinician-led' with 'limited patient input into pathway design, technology selection, or implementation processes' (Fulop et al., 2023, p.41). This absence of co-production </w:t>
      </w:r>
      <w:proofErr w:type="gramStart"/>
      <w:r>
        <w:t>likely explains</w:t>
      </w:r>
      <w:proofErr w:type="gramEnd"/>
      <w:r>
        <w:t xml:space="preserve"> </w:t>
      </w:r>
      <w:proofErr w:type="gramStart"/>
      <w:r>
        <w:t>some</w:t>
      </w:r>
      <w:proofErr w:type="gramEnd"/>
      <w:r>
        <w:t xml:space="preserve"> implementation challenges, including poor technology usability for older adults, failure to accommodate diverse literacy levels, and insufficient consideration of how remote monitoring intersects with existing community support structures. Where co-production did occur—such as in Manchester's </w:t>
      </w:r>
      <w:proofErr w:type="spellStart"/>
      <w:r>
        <w:t>TriageHF</w:t>
      </w:r>
      <w:proofErr w:type="spellEnd"/>
      <w:r>
        <w:t xml:space="preserve"> Plus pathway development, which involved patient representatives in algorithm design—implementation </w:t>
      </w:r>
      <w:proofErr w:type="gramStart"/>
      <w:r>
        <w:t>proceeded</w:t>
      </w:r>
      <w:proofErr w:type="gramEnd"/>
      <w:r>
        <w:t xml:space="preserve"> more smoothly with higher patient satisfaction and lower dropout rates (Manchester University NHS Foundation Trust, 2024).</w:t>
      </w:r>
      <w:r w:rsidR="00F5496A">
        <w:br/>
      </w:r>
    </w:p>
    <w:p w14:paraId="16E7268C" w14:textId="77777777" w:rsidR="00452277" w:rsidRDefault="006D3B9A">
      <w:pPr>
        <w:spacing w:after="120" w:line="360" w:lineRule="auto"/>
        <w:jc w:val="both"/>
      </w:pPr>
      <w:r>
        <w:t xml:space="preserve">From a public health perspective, RPM </w:t>
      </w:r>
      <w:proofErr w:type="gramStart"/>
      <w:r>
        <w:t>represents</w:t>
      </w:r>
      <w:proofErr w:type="gramEnd"/>
      <w:r>
        <w:t xml:space="preserve"> a double-edged intervention with potential to both reduce and </w:t>
      </w:r>
      <w:proofErr w:type="gramStart"/>
      <w:r>
        <w:t>exacerbate</w:t>
      </w:r>
      <w:proofErr w:type="gramEnd"/>
      <w:r>
        <w:t xml:space="preserve"> health inequalities at population level. The technology can theoretically improve population health outcomes by enabling earlier intervention, reducing acute exacerbations, and supporting self-management of long-term conditions. However, Farre et al.'s (2023) scoping review concluded that 'it is not yet clear if digital health interventions/services in the UK work for those most at risk of health inequalities,' with participation rates 'particularly low for the oldest old, the poorest and ethnic minority groups' (Farre et al., 2023, p.9). This creates a troubling scenario where RPM expansion may deliver population-level health improvements that </w:t>
      </w:r>
      <w:proofErr w:type="gramStart"/>
      <w:r>
        <w:t>accrue</w:t>
      </w:r>
      <w:proofErr w:type="gramEnd"/>
      <w:r>
        <w:t xml:space="preserve"> disproportionately to already advantaged groups, widening rather than narrowing health inequalities. The community-level evidence suggests that without deliberate strategies to ensure </w:t>
      </w:r>
      <w:proofErr w:type="gramStart"/>
      <w:r>
        <w:t>equitable</w:t>
      </w:r>
      <w:proofErr w:type="gramEnd"/>
      <w:r>
        <w:t xml:space="preserve"> access, </w:t>
      </w:r>
      <w:proofErr w:type="gramStart"/>
      <w:r>
        <w:t>maintain</w:t>
      </w:r>
      <w:proofErr w:type="gramEnd"/>
      <w:r>
        <w:t xml:space="preserve"> non-digital alternatives, and invest in digital inclusion alongside digital health, RPM risks creating a two-tier system where communities </w:t>
      </w:r>
      <w:proofErr w:type="gramStart"/>
      <w:r>
        <w:t>are stratified</w:t>
      </w:r>
      <w:proofErr w:type="gramEnd"/>
      <w:r>
        <w:t xml:space="preserve"> by digital capability rather than clinical need.</w:t>
      </w:r>
    </w:p>
    <w:p w14:paraId="3CBE7418" w14:textId="77777777" w:rsidR="00452277" w:rsidRDefault="006D3B9A">
      <w:pPr>
        <w:pStyle w:val="Heading1"/>
      </w:pPr>
      <w:r>
        <w:t>Conclusion and Recommendations</w:t>
      </w:r>
    </w:p>
    <w:p w14:paraId="71788F23" w14:textId="77777777" w:rsidR="00452277" w:rsidRDefault="006D3B9A">
      <w:pPr>
        <w:spacing w:line="360" w:lineRule="auto"/>
        <w:jc w:val="both"/>
      </w:pPr>
      <w:r>
        <w:t xml:space="preserve">The evidence on RPM implementation in UK health and social care over the last decade reveals a complex innovation whose benefits and harms are contingent on implementation context, patient population, community infrastructure, and deliberate attention to equity dimensions. RPM </w:t>
      </w:r>
      <w:proofErr w:type="gramStart"/>
      <w:r>
        <w:t>demonstrates</w:t>
      </w:r>
      <w:proofErr w:type="gramEnd"/>
      <w:r>
        <w:t xml:space="preserve"> genuine potential: contemporary targeted implementations show cost-effectiveness and clinical benefit for specific conditions including heart failure and moderate-severe chronic diseases, while offering enhanced access and convenience for digitally capable populations with </w:t>
      </w:r>
      <w:r>
        <w:lastRenderedPageBreak/>
        <w:t>mobility limitations or caring responsibilities. However, this potential is counterbalanced by substantial challenges: workforce strain and inadequate training infrastructure, contradictory cost-effectiveness evidence dependent on precise patient selection and care pathway design, profound digital exclusion affecting millions of older adults and socioeconomically disadvantaged populations, and geographic inequalities in technology enablement and broadband infrastructure.</w:t>
      </w:r>
    </w:p>
    <w:p w14:paraId="39182A6D" w14:textId="77777777" w:rsidR="00452277" w:rsidRDefault="006D3B9A">
      <w:pPr>
        <w:spacing w:after="120" w:line="360" w:lineRule="auto"/>
        <w:jc w:val="both"/>
      </w:pPr>
      <w:r>
        <w:t xml:space="preserve">Three critical recommendations </w:t>
      </w:r>
      <w:proofErr w:type="gramStart"/>
      <w:r>
        <w:t>emerge</w:t>
      </w:r>
      <w:proofErr w:type="gramEnd"/>
      <w:r>
        <w:t xml:space="preserve"> with implications for policy, practice, and training. First, policy must mandate hybrid service models </w:t>
      </w:r>
      <w:proofErr w:type="gramStart"/>
      <w:r>
        <w:t>maintaining</w:t>
      </w:r>
      <w:proofErr w:type="gramEnd"/>
      <w:r>
        <w:t xml:space="preserve"> non-digital access pathways, ensuring that digital transformation enhances rather than replaces traditional care options. The testimonial evidence </w:t>
      </w:r>
      <w:proofErr w:type="gramStart"/>
      <w:r>
        <w:t>demonstrates</w:t>
      </w:r>
      <w:proofErr w:type="gramEnd"/>
      <w:r>
        <w:t xml:space="preserve"> that digital-first models create absolute barriers to care for digitally excluded populations and communities with poor infrastructure. Second, workforce training and professional development must receive investment </w:t>
      </w:r>
      <w:proofErr w:type="gramStart"/>
      <w:r>
        <w:t>commensurate</w:t>
      </w:r>
      <w:proofErr w:type="gramEnd"/>
      <w:r>
        <w:t xml:space="preserve"> with transformation ambitions, addressing the gap between the 90% digital skills requirement projected by the Topol Review and current provision. Third, evaluation infrastructure must improve to resolve contradictory findings through rigorous comparative effectiveness research </w:t>
      </w:r>
      <w:proofErr w:type="gramStart"/>
      <w:r>
        <w:t>identifying</w:t>
      </w:r>
      <w:proofErr w:type="gramEnd"/>
      <w:r>
        <w:t xml:space="preserve"> which patients benefit under which conditions. Additionally, future RPM implementation should prioritise genuine co-production with patients and communities, particularly those most at risk of digital exclusion, ensuring that service design reflects diverse needs and capabilities. RPM's potential to transform care is real, but realising this potential requires implementation sophistication, equity commitment, community engagement, and evidence infrastructure that current policy and practice do not yet </w:t>
      </w:r>
      <w:proofErr w:type="gramStart"/>
      <w:r>
        <w:t>demonstrate</w:t>
      </w:r>
      <w:proofErr w:type="gramEnd"/>
      <w:r>
        <w:t>.</w:t>
      </w:r>
    </w:p>
    <w:p w14:paraId="6F20630C" w14:textId="77777777" w:rsidR="00452277" w:rsidRDefault="006D3B9A">
      <w:pPr>
        <w:pStyle w:val="Heading1"/>
        <w:pageBreakBefore/>
      </w:pPr>
      <w:r>
        <w:lastRenderedPageBreak/>
        <w:t>References</w:t>
      </w:r>
    </w:p>
    <w:p w14:paraId="4884C031" w14:textId="77777777" w:rsidR="00452277" w:rsidRDefault="006D3B9A">
      <w:pPr>
        <w:spacing w:after="180" w:line="360" w:lineRule="auto"/>
      </w:pPr>
      <w:r>
        <w:t xml:space="preserve">Age UK (2024) </w:t>
      </w:r>
      <w:r>
        <w:rPr>
          <w:i/>
          <w:iCs/>
        </w:rPr>
        <w:t>Offline and Overlooked: Tackling Digital Exclusion Among Older People.</w:t>
      </w:r>
      <w:r>
        <w:t xml:space="preserve"> London: Age UK. Available at: https://www.ageuk.org.uk/siteassets/documents/reports-and-publications/reports-and-briefings/offline-and-overlooked-report.pdf (Accessed: 3 February 2026).</w:t>
      </w:r>
    </w:p>
    <w:p w14:paraId="27CDE2CE" w14:textId="77777777" w:rsidR="00452277" w:rsidRDefault="006D3B9A">
      <w:pPr>
        <w:spacing w:after="180" w:line="360" w:lineRule="auto"/>
      </w:pPr>
      <w:r>
        <w:t xml:space="preserve">Chappell, N., Rocks, S., Elsey, </w:t>
      </w:r>
      <w:proofErr w:type="gramStart"/>
      <w:r>
        <w:t>H.</w:t>
      </w:r>
      <w:proofErr w:type="gramEnd"/>
      <w:r>
        <w:t xml:space="preserve"> and Mays, N. (2024) </w:t>
      </w:r>
      <w:r>
        <w:rPr>
          <w:i/>
          <w:iCs/>
        </w:rPr>
        <w:t>What Do Virtual Wards Look Like in England? An Exploratory Analysis.</w:t>
      </w:r>
      <w:r>
        <w:t xml:space="preserve"> Working Paper No.21. London: The Health Foundation. Available at: https://www.health.org.uk/sites/default/files/upload/publications/2024/What%20do%20virtual%20wards%20look%20like%20in%20England.pdf (Accessed: 3 February 2026).</w:t>
      </w:r>
    </w:p>
    <w:p w14:paraId="2082CBDC" w14:textId="77777777" w:rsidR="00452277" w:rsidRDefault="006D3B9A">
      <w:pPr>
        <w:spacing w:after="180" w:line="360" w:lineRule="auto"/>
      </w:pPr>
      <w:r>
        <w:t xml:space="preserve">De Guzman, K.R., </w:t>
      </w:r>
      <w:proofErr w:type="spellStart"/>
      <w:r>
        <w:t>Snoswell</w:t>
      </w:r>
      <w:proofErr w:type="spellEnd"/>
      <w:r>
        <w:t xml:space="preserve">, C.L., Taylor, M.L., Caffery, L.J. and Smith, A.C. (2022) 'Economic evaluations of remote patient monitoring for chronic disease: a systematic review', </w:t>
      </w:r>
      <w:r>
        <w:rPr>
          <w:i/>
          <w:iCs/>
        </w:rPr>
        <w:t>Value in Health,</w:t>
      </w:r>
      <w:r>
        <w:t xml:space="preserve"> 25(9), pp. 1840-1852.</w:t>
      </w:r>
    </w:p>
    <w:p w14:paraId="54D3744A" w14:textId="77777777" w:rsidR="00452277" w:rsidRDefault="006D3B9A">
      <w:pPr>
        <w:spacing w:after="180" w:line="360" w:lineRule="auto"/>
      </w:pPr>
      <w:r>
        <w:t xml:space="preserve">Farre, A., Cummins, C., Shaw, K.L., Bains, H., Redmond, N.M., Griffin, S.J. and Murtagh, M.J. (2023) 'Exploring the use of digital technology to deliver healthcare services with explicit consideration of health inequalities in UK settings: A scoping review', </w:t>
      </w:r>
      <w:r>
        <w:rPr>
          <w:i/>
          <w:iCs/>
        </w:rPr>
        <w:t>Digital Health,</w:t>
      </w:r>
      <w:r>
        <w:t xml:space="preserve"> 9, pp. 1-15.</w:t>
      </w:r>
    </w:p>
    <w:p w14:paraId="4F210BA8" w14:textId="77777777" w:rsidR="00452277" w:rsidRDefault="006D3B9A">
      <w:pPr>
        <w:spacing w:after="180" w:line="360" w:lineRule="auto"/>
      </w:pPr>
      <w:r>
        <w:t xml:space="preserve">Fulop, N.J., Saunders, C.L., Mays, N., </w:t>
      </w:r>
      <w:proofErr w:type="spellStart"/>
      <w:r>
        <w:t>Maruthappu</w:t>
      </w:r>
      <w:proofErr w:type="spellEnd"/>
      <w:r>
        <w:t xml:space="preserve">, M., Turner, A.J., Honeyman, M., King, D., Mason, A.R., Rosen, R. and Shaw, S.E. (2023) </w:t>
      </w:r>
      <w:r>
        <w:rPr>
          <w:i/>
          <w:iCs/>
        </w:rPr>
        <w:t>Implementing Remote Home Monitoring for COVID-19: A Rapid Realist Review and Mixed-Methods Evaluation.</w:t>
      </w:r>
      <w:r>
        <w:t xml:space="preserve"> NIHR Health and Social Care Delivery Research, 11(13). Available at: https://pmc.ncbi.nlm.nih.gov/articles/PMC8008987/ (Accessed: 3 February 2026).</w:t>
      </w:r>
    </w:p>
    <w:p w14:paraId="41C8FE87" w14:textId="77777777" w:rsidR="00452277" w:rsidRDefault="006D3B9A">
      <w:pPr>
        <w:spacing w:after="180" w:line="360" w:lineRule="auto"/>
      </w:pPr>
      <w:r>
        <w:t xml:space="preserve">Greenhalgh, T., </w:t>
      </w:r>
      <w:proofErr w:type="spellStart"/>
      <w:r>
        <w:t>Wherton</w:t>
      </w:r>
      <w:proofErr w:type="spellEnd"/>
      <w:r>
        <w:t xml:space="preserve">, J., Shaw, </w:t>
      </w:r>
      <w:proofErr w:type="gramStart"/>
      <w:r>
        <w:t>S.</w:t>
      </w:r>
      <w:proofErr w:type="gramEnd"/>
      <w:r>
        <w:t xml:space="preserve"> and Morrison, C. (2021) 'Video consultations for COVID-19', </w:t>
      </w:r>
      <w:r>
        <w:rPr>
          <w:i/>
          <w:iCs/>
        </w:rPr>
        <w:t>BMJ,</w:t>
      </w:r>
      <w:r>
        <w:t xml:space="preserve"> 368, m998.</w:t>
      </w:r>
    </w:p>
    <w:p w14:paraId="56D95A5B" w14:textId="77777777" w:rsidR="00452277" w:rsidRDefault="006D3B9A">
      <w:pPr>
        <w:spacing w:after="180" w:line="360" w:lineRule="auto"/>
      </w:pPr>
      <w:r>
        <w:t xml:space="preserve">Health Foundation (2024) </w:t>
      </w:r>
      <w:r>
        <w:rPr>
          <w:i/>
          <w:iCs/>
        </w:rPr>
        <w:t>What Do Virtual Wards Look Like in England?</w:t>
      </w:r>
      <w:r>
        <w:t xml:space="preserve"> London: The Health Foundation.</w:t>
      </w:r>
    </w:p>
    <w:p w14:paraId="6B6C42AD" w14:textId="77777777" w:rsidR="00452277" w:rsidRDefault="006D3B9A">
      <w:pPr>
        <w:spacing w:after="180" w:line="360" w:lineRule="auto"/>
      </w:pPr>
      <w:r>
        <w:t xml:space="preserve">Healthwatch England (2021) </w:t>
      </w:r>
      <w:r>
        <w:rPr>
          <w:i/>
          <w:iCs/>
        </w:rPr>
        <w:t>Locked Out: Digitally Excluded People's Experiences of Remote GP Appointments.</w:t>
      </w:r>
      <w:r>
        <w:t xml:space="preserve"> London: Healthwatch England.</w:t>
      </w:r>
    </w:p>
    <w:p w14:paraId="3346DD16" w14:textId="77777777" w:rsidR="00452277" w:rsidRDefault="006D3B9A">
      <w:pPr>
        <w:spacing w:after="180" w:line="360" w:lineRule="auto"/>
      </w:pPr>
      <w:r>
        <w:t xml:space="preserve">Henderson, C., Knapp, M., Fernández, J.L., Beecham, J., Hirani, S.P., Cartwright, M., Rixon, L., Beynon, M., Rogers, A., Bower, P., Doll, H., Fitzpatrick, R., Steventon, A., Bardsley, M., Hendy, J. and Newman, S.P. (2013) 'Cost effectiveness of telehealth for patients with long term </w:t>
      </w:r>
      <w:r>
        <w:lastRenderedPageBreak/>
        <w:t xml:space="preserve">conditions (Whole Systems Demonstrator telehealth questionnaire study): nested economic evaluation in a pragmatic, cluster randomised controlled trial', </w:t>
      </w:r>
      <w:r>
        <w:rPr>
          <w:i/>
          <w:iCs/>
        </w:rPr>
        <w:t>BMJ,</w:t>
      </w:r>
      <w:r>
        <w:t xml:space="preserve"> 346, f1035.</w:t>
      </w:r>
    </w:p>
    <w:p w14:paraId="409C6098" w14:textId="77777777" w:rsidR="00452277" w:rsidRDefault="006D3B9A">
      <w:pPr>
        <w:spacing w:after="180" w:line="360" w:lineRule="auto"/>
      </w:pPr>
      <w:r>
        <w:t xml:space="preserve">Janjua, S., Marra, C., Ni, A., Criner, G.J. and Blackstock, F. (2021) 'Telehealth interventions: remote monitoring and consultations for people with chronic obstructive pulmonary disease (COPD)', </w:t>
      </w:r>
      <w:r>
        <w:rPr>
          <w:i/>
          <w:iCs/>
        </w:rPr>
        <w:t>Cochrane Database of Systematic Reviews,</w:t>
      </w:r>
      <w:r>
        <w:t xml:space="preserve"> 2021(7), CD013196.</w:t>
      </w:r>
    </w:p>
    <w:p w14:paraId="4A328B9F" w14:textId="77777777" w:rsidR="00452277" w:rsidRDefault="006D3B9A">
      <w:pPr>
        <w:spacing w:after="180" w:line="360" w:lineRule="auto"/>
      </w:pPr>
      <w:r>
        <w:t xml:space="preserve">Manchester University NHS Foundation Trust (2024) </w:t>
      </w:r>
      <w:r>
        <w:rPr>
          <w:i/>
          <w:iCs/>
        </w:rPr>
        <w:t>NICE Recommends Use of Manchester Developed Remote Digital Heart Failure System to Reduce Hospital Admissions.</w:t>
      </w:r>
      <w:r>
        <w:t xml:space="preserve"> Available at: https://mft.nhs.uk/2024/10/24/nice-recommends-use-of-manchester-developed-remote-digital-heart-failure-system-to-reduce-hospital-admissions/ (Accessed: 3 February 2026).</w:t>
      </w:r>
    </w:p>
    <w:p w14:paraId="10233BE4" w14:textId="77777777" w:rsidR="00452277" w:rsidRDefault="006D3B9A">
      <w:pPr>
        <w:spacing w:after="180" w:line="360" w:lineRule="auto"/>
      </w:pPr>
      <w:r>
        <w:t xml:space="preserve">NHS Confederation (2023) </w:t>
      </w:r>
      <w:r>
        <w:rPr>
          <w:i/>
          <w:iCs/>
        </w:rPr>
        <w:t>Realising the Potential of Virtual Wards.</w:t>
      </w:r>
      <w:r>
        <w:t xml:space="preserve"> London: NHS Confederation. Available at: https://www.nhsconfed.org/publications/realising-potential-virtual-wards (Accessed: 3 February 2026).</w:t>
      </w:r>
    </w:p>
    <w:p w14:paraId="32BD473C" w14:textId="77777777" w:rsidR="00452277" w:rsidRDefault="006D3B9A">
      <w:pPr>
        <w:spacing w:after="180" w:line="360" w:lineRule="auto"/>
      </w:pPr>
      <w:r>
        <w:t xml:space="preserve">NHS England (2019) </w:t>
      </w:r>
      <w:r>
        <w:rPr>
          <w:i/>
          <w:iCs/>
        </w:rPr>
        <w:t>The NHS Long Term Plan.</w:t>
      </w:r>
      <w:r>
        <w:t xml:space="preserve"> London: NHS England.</w:t>
      </w:r>
    </w:p>
    <w:p w14:paraId="2262A57C" w14:textId="77777777" w:rsidR="00452277" w:rsidRDefault="006D3B9A">
      <w:pPr>
        <w:spacing w:after="180" w:line="360" w:lineRule="auto"/>
      </w:pPr>
      <w:r>
        <w:t xml:space="preserve">NHS England (2023) </w:t>
      </w:r>
      <w:r>
        <w:rPr>
          <w:i/>
          <w:iCs/>
        </w:rPr>
        <w:t>Inclusive Digital Healthcare Framework.</w:t>
      </w:r>
      <w:r>
        <w:t xml:space="preserve"> London: NHS England.</w:t>
      </w:r>
    </w:p>
    <w:p w14:paraId="3D7353F9" w14:textId="77777777" w:rsidR="00452277" w:rsidRDefault="006D3B9A">
      <w:pPr>
        <w:spacing w:after="180" w:line="360" w:lineRule="auto"/>
      </w:pPr>
      <w:r>
        <w:t xml:space="preserve">NHS England (2024) </w:t>
      </w:r>
      <w:r>
        <w:rPr>
          <w:i/>
          <w:iCs/>
        </w:rPr>
        <w:t>Virtual Wards Operational Framework.</w:t>
      </w:r>
      <w:r>
        <w:t xml:space="preserve"> London: NHS England. Available at: https://www.england.nhs.uk/long-read/virtual-wards-operational-framework/ (Accessed: 3 February 2026).</w:t>
      </w:r>
    </w:p>
    <w:p w14:paraId="0C694DB4" w14:textId="77777777" w:rsidR="00452277" w:rsidRDefault="006D3B9A">
      <w:pPr>
        <w:spacing w:after="180" w:line="360" w:lineRule="auto"/>
      </w:pPr>
      <w:r>
        <w:t xml:space="preserve">NHS Transformation Directorate (2021) </w:t>
      </w:r>
      <w:r>
        <w:rPr>
          <w:i/>
          <w:iCs/>
        </w:rPr>
        <w:t>Supporting Care with Remote Monitoring.</w:t>
      </w:r>
      <w:r>
        <w:t xml:space="preserve"> London: NHS England. Available at: https://transform.england.nhs.uk/covid-19-response/technology-nhs/supporting-the-innovation-collaboratives-to-expand-their-remote-monitoring-plans/ (Accessed: 3 February 2026).</w:t>
      </w:r>
    </w:p>
    <w:p w14:paraId="3ED6A87D" w14:textId="77777777" w:rsidR="00452277" w:rsidRDefault="006D3B9A">
      <w:pPr>
        <w:spacing w:after="180" w:line="360" w:lineRule="auto"/>
      </w:pPr>
      <w:r>
        <w:t xml:space="preserve">NICE (2024) </w:t>
      </w:r>
      <w:r>
        <w:rPr>
          <w:i/>
          <w:iCs/>
        </w:rPr>
        <w:t>Heart Failure Algorithms for Remote Monitoring</w:t>
      </w:r>
      <w:r>
        <w:t xml:space="preserve"> [DG55]. London: National Institute for Health and Care Excellence.</w:t>
      </w:r>
    </w:p>
    <w:p w14:paraId="4C0AA2CB" w14:textId="77777777" w:rsidR="00452277" w:rsidRDefault="006D3B9A">
      <w:pPr>
        <w:spacing w:after="180" w:line="360" w:lineRule="auto"/>
      </w:pPr>
      <w:r>
        <w:t xml:space="preserve">Nuffield Trust (2020) </w:t>
      </w:r>
      <w:r>
        <w:rPr>
          <w:i/>
          <w:iCs/>
        </w:rPr>
        <w:t>The Remote Care Revolution in the NHS.</w:t>
      </w:r>
      <w:r>
        <w:t xml:space="preserve"> London: Nuffield Trust.</w:t>
      </w:r>
    </w:p>
    <w:p w14:paraId="4F14285A" w14:textId="77777777" w:rsidR="00452277" w:rsidRDefault="006D3B9A">
      <w:pPr>
        <w:spacing w:after="180" w:line="360" w:lineRule="auto"/>
      </w:pPr>
      <w:r>
        <w:t xml:space="preserve">Rasoul, D., Mason, T., Foster, J., Lim, C., Straw, S., Witte, K.K. and Gale, C.P. (2025) 'Cost-effectiveness of a virtual ward for patients with heart failure: economic evaluation alongside a before-and-after study', </w:t>
      </w:r>
      <w:r>
        <w:rPr>
          <w:i/>
          <w:iCs/>
        </w:rPr>
        <w:t>European Heart Journal – Quality of Care and Clinical Outcomes,</w:t>
      </w:r>
      <w:r>
        <w:t xml:space="preserve"> 11(1), pp. 12-20.</w:t>
      </w:r>
    </w:p>
    <w:p w14:paraId="535CE008" w14:textId="77777777" w:rsidR="00452277" w:rsidRDefault="006D3B9A">
      <w:pPr>
        <w:spacing w:after="180" w:line="360" w:lineRule="auto"/>
      </w:pPr>
      <w:r>
        <w:lastRenderedPageBreak/>
        <w:t xml:space="preserve">Sidhu, M.S., Neves, A.L., Hearn, J., Atherton, H., Schofield, P., Benson, G., Gerrish, K., Gibson, J., Gomez, C., Hartley, S., Hodges, J., Hussain, N., Ismail, N., Murphy, M., Papoutsi, C., Panesar, P., Salisbury, C., Singh, J., Stokes-Lampard, H., Turner, A. and Greenhalgh, T. (2023) 'Staff remote working and implications for patient care during and beyond COVID-19: a multimethod study', </w:t>
      </w:r>
      <w:r>
        <w:rPr>
          <w:i/>
          <w:iCs/>
        </w:rPr>
        <w:t>Journal of Health Services Research &amp; Policy,</w:t>
      </w:r>
      <w:r>
        <w:t xml:space="preserve"> 28(1), pp. 3-13.</w:t>
      </w:r>
    </w:p>
    <w:p w14:paraId="2D0B7CDB" w14:textId="77777777" w:rsidR="00452277" w:rsidRDefault="006D3B9A">
      <w:pPr>
        <w:spacing w:after="180" w:line="360" w:lineRule="auto"/>
      </w:pPr>
      <w:r>
        <w:t xml:space="preserve">Steventon, A., Bardsley, M., Billings, J., Dixon, J., Doll, H., Hirani, S., Cartwright, M., Rixon, L., Knapp, M., Henderson, C., Rogers, A., Fitzpatrick, R., Hendy, J. and Newman, S. (2012) 'Effect of telehealth on use of secondary care and mortality: findings from the Whole System Demonstrator cluster randomised trial', </w:t>
      </w:r>
      <w:r>
        <w:rPr>
          <w:i/>
          <w:iCs/>
        </w:rPr>
        <w:t>BMJ,</w:t>
      </w:r>
      <w:r>
        <w:t xml:space="preserve"> 344, e3874.</w:t>
      </w:r>
    </w:p>
    <w:p w14:paraId="2CC1B141" w14:textId="77777777" w:rsidR="00452277" w:rsidRDefault="006D3B9A">
      <w:pPr>
        <w:spacing w:after="180" w:line="360" w:lineRule="auto"/>
      </w:pPr>
      <w:r>
        <w:t xml:space="preserve">Theodoros, D., Hill, A., Russell, T., Ward, </w:t>
      </w:r>
      <w:proofErr w:type="gramStart"/>
      <w:r>
        <w:t>E.</w:t>
      </w:r>
      <w:proofErr w:type="gramEnd"/>
      <w:r>
        <w:t xml:space="preserve"> and Wootton, R. (2022) 'Assessment of allied health professionals' readiness for telehealth: development and validation of the Telehealth Readiness Questionnaire', </w:t>
      </w:r>
      <w:r>
        <w:rPr>
          <w:i/>
          <w:iCs/>
        </w:rPr>
        <w:t>Human Resources for Health,</w:t>
      </w:r>
      <w:r>
        <w:t xml:space="preserve"> 20(1), 56.</w:t>
      </w:r>
    </w:p>
    <w:p w14:paraId="1DB9E055" w14:textId="77777777" w:rsidR="00452277" w:rsidRDefault="006D3B9A">
      <w:pPr>
        <w:spacing w:after="180" w:line="360" w:lineRule="auto"/>
      </w:pPr>
      <w:r>
        <w:t xml:space="preserve">Thomas, E.E., Haydon, H.M., Mehrotra, A., Caffery, L.J., </w:t>
      </w:r>
      <w:proofErr w:type="spellStart"/>
      <w:r>
        <w:t>Snoswell</w:t>
      </w:r>
      <w:proofErr w:type="spellEnd"/>
      <w:r>
        <w:t xml:space="preserve">, C.L., Banbury, </w:t>
      </w:r>
      <w:proofErr w:type="gramStart"/>
      <w:r>
        <w:t>A.</w:t>
      </w:r>
      <w:proofErr w:type="gramEnd"/>
      <w:r>
        <w:t xml:space="preserve"> and Smith, A.C. (2021) 'Building on the momentum: sustaining telehealth beyond COVID-19', </w:t>
      </w:r>
      <w:r>
        <w:rPr>
          <w:i/>
          <w:iCs/>
        </w:rPr>
        <w:t>BMJ Open,</w:t>
      </w:r>
      <w:r>
        <w:t xml:space="preserve"> 11(11), e050180.</w:t>
      </w:r>
    </w:p>
    <w:p w14:paraId="7EDFEEEC" w14:textId="77777777" w:rsidR="00452277" w:rsidRDefault="006D3B9A">
      <w:pPr>
        <w:spacing w:after="180" w:line="360" w:lineRule="auto"/>
      </w:pPr>
      <w:r>
        <w:t xml:space="preserve">Topol, E.J. (2019) </w:t>
      </w:r>
      <w:r>
        <w:rPr>
          <w:i/>
          <w:iCs/>
        </w:rPr>
        <w:t>The Topol Review: Preparing the Healthcare Workforce to Deliver the Digital Future.</w:t>
      </w:r>
      <w:r>
        <w:t xml:space="preserve"> London: Health Education England.</w:t>
      </w:r>
    </w:p>
    <w:p w14:paraId="6FDDCFF6" w14:textId="77777777" w:rsidR="00452277" w:rsidRDefault="006D3B9A">
      <w:pPr>
        <w:spacing w:after="180" w:line="360" w:lineRule="auto"/>
      </w:pPr>
      <w:r>
        <w:t xml:space="preserve">Walton, H., Neves, A.L., Honeyford, K., Gray, E., </w:t>
      </w:r>
      <w:proofErr w:type="spellStart"/>
      <w:r>
        <w:t>Chibnik</w:t>
      </w:r>
      <w:proofErr w:type="spellEnd"/>
      <w:r>
        <w:t xml:space="preserve">, O., Masson, H., Lewis, N., Chadha, J., Manton, J., Parsons, J., Cecil, E., Mayer, E. and Deeny, S. (2022) 'Clinician-led virtual care at home enabled by technology: evaluation of a patient-facing platform to support care for COVID-19', </w:t>
      </w:r>
      <w:r>
        <w:rPr>
          <w:i/>
          <w:iCs/>
        </w:rPr>
        <w:t>Health Expectations,</w:t>
      </w:r>
      <w:r>
        <w:t xml:space="preserve"> 25(4), pp. 1851-1864.</w:t>
      </w:r>
    </w:p>
    <w:sectPr w:rsidR="00452277">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79B69" w14:textId="77777777" w:rsidR="00340E91" w:rsidRDefault="00340E91">
      <w:r>
        <w:separator/>
      </w:r>
    </w:p>
  </w:endnote>
  <w:endnote w:type="continuationSeparator" w:id="0">
    <w:p w14:paraId="257079D5" w14:textId="77777777" w:rsidR="00340E91" w:rsidRDefault="00340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780BF" w14:textId="77777777" w:rsidR="00452277" w:rsidRDefault="006D3B9A">
    <w:pPr>
      <w:jc w:val="center"/>
    </w:pPr>
    <w:r>
      <w:t xml:space="preserve">Page </w:t>
    </w:r>
    <w:r>
      <w:fldChar w:fldCharType="begin"/>
    </w:r>
    <w:r>
      <w:instrText>PAGE</w:instrText>
    </w:r>
    <w:r>
      <w:fldChar w:fldCharType="separate"/>
    </w:r>
    <w:r w:rsidR="00F5496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33D0C" w14:textId="77777777" w:rsidR="00340E91" w:rsidRDefault="00340E91">
      <w:r>
        <w:separator/>
      </w:r>
    </w:p>
  </w:footnote>
  <w:footnote w:type="continuationSeparator" w:id="0">
    <w:p w14:paraId="6FFF934D" w14:textId="77777777" w:rsidR="00340E91" w:rsidRDefault="00340E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8C2D57"/>
    <w:multiLevelType w:val="hybridMultilevel"/>
    <w:tmpl w:val="482A0330"/>
    <w:lvl w:ilvl="0" w:tplc="864CA350">
      <w:start w:val="1"/>
      <w:numFmt w:val="bullet"/>
      <w:lvlText w:val="●"/>
      <w:lvlJc w:val="left"/>
      <w:pPr>
        <w:ind w:left="720" w:hanging="360"/>
      </w:pPr>
    </w:lvl>
    <w:lvl w:ilvl="1" w:tplc="DE4A7940">
      <w:start w:val="1"/>
      <w:numFmt w:val="bullet"/>
      <w:lvlText w:val="○"/>
      <w:lvlJc w:val="left"/>
      <w:pPr>
        <w:ind w:left="1440" w:hanging="360"/>
      </w:pPr>
    </w:lvl>
    <w:lvl w:ilvl="2" w:tplc="07406A2E">
      <w:start w:val="1"/>
      <w:numFmt w:val="bullet"/>
      <w:lvlText w:val="■"/>
      <w:lvlJc w:val="left"/>
      <w:pPr>
        <w:ind w:left="2160" w:hanging="360"/>
      </w:pPr>
    </w:lvl>
    <w:lvl w:ilvl="3" w:tplc="E28CA6D8">
      <w:start w:val="1"/>
      <w:numFmt w:val="bullet"/>
      <w:lvlText w:val="●"/>
      <w:lvlJc w:val="left"/>
      <w:pPr>
        <w:ind w:left="2880" w:hanging="360"/>
      </w:pPr>
    </w:lvl>
    <w:lvl w:ilvl="4" w:tplc="4732A8F0">
      <w:start w:val="1"/>
      <w:numFmt w:val="bullet"/>
      <w:lvlText w:val="○"/>
      <w:lvlJc w:val="left"/>
      <w:pPr>
        <w:ind w:left="3600" w:hanging="360"/>
      </w:pPr>
    </w:lvl>
    <w:lvl w:ilvl="5" w:tplc="B0785BD4">
      <w:start w:val="1"/>
      <w:numFmt w:val="bullet"/>
      <w:lvlText w:val="■"/>
      <w:lvlJc w:val="left"/>
      <w:pPr>
        <w:ind w:left="4320" w:hanging="360"/>
      </w:pPr>
    </w:lvl>
    <w:lvl w:ilvl="6" w:tplc="59AA438E">
      <w:start w:val="1"/>
      <w:numFmt w:val="bullet"/>
      <w:lvlText w:val="●"/>
      <w:lvlJc w:val="left"/>
      <w:pPr>
        <w:ind w:left="5040" w:hanging="360"/>
      </w:pPr>
    </w:lvl>
    <w:lvl w:ilvl="7" w:tplc="F0EC4956">
      <w:start w:val="1"/>
      <w:numFmt w:val="bullet"/>
      <w:lvlText w:val="●"/>
      <w:lvlJc w:val="left"/>
      <w:pPr>
        <w:ind w:left="5760" w:hanging="360"/>
      </w:pPr>
    </w:lvl>
    <w:lvl w:ilvl="8" w:tplc="E084A642">
      <w:start w:val="1"/>
      <w:numFmt w:val="bullet"/>
      <w:lvlText w:val="●"/>
      <w:lvlJc w:val="left"/>
      <w:pPr>
        <w:ind w:left="6480" w:hanging="360"/>
      </w:pPr>
    </w:lvl>
  </w:abstractNum>
  <w:num w:numId="1" w16cid:durableId="3810583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277"/>
    <w:rsid w:val="00340E91"/>
    <w:rsid w:val="00452277"/>
    <w:rsid w:val="0053273D"/>
    <w:rsid w:val="006D3B9A"/>
    <w:rsid w:val="00991DFC"/>
    <w:rsid w:val="00F5496A"/>
    <w:rsid w:val="00F95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F5C06D"/>
  <w15:docId w15:val="{72D9BF72-4808-2D45-A060-1615FEC4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line="360" w:lineRule="auto"/>
      <w:outlineLvl w:val="0"/>
    </w:pPr>
    <w:rPr>
      <w:b/>
      <w:bCs/>
      <w:sz w:val="28"/>
      <w:szCs w:val="28"/>
    </w:rPr>
  </w:style>
  <w:style w:type="paragraph" w:styleId="Heading2">
    <w:name w:val="heading 2"/>
    <w:uiPriority w:val="9"/>
    <w:semiHidden/>
    <w:unhideWhenUsed/>
    <w:qFormat/>
    <w:pPr>
      <w:spacing w:before="180" w:after="120" w:line="360" w:lineRule="auto"/>
      <w:outlineLvl w:val="1"/>
    </w:pPr>
    <w:rPr>
      <w:b/>
      <w:bCs/>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3580</Words>
  <Characters>20411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Marufu, Wisdom</cp:lastModifiedBy>
  <cp:revision>2</cp:revision>
  <dcterms:created xsi:type="dcterms:W3CDTF">2026-02-18T09:13:00Z</dcterms:created>
  <dcterms:modified xsi:type="dcterms:W3CDTF">2026-02-18T09:13:00Z</dcterms:modified>
</cp:coreProperties>
</file>