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5511" w:rsidRDefault="008E7C77">
      <w:pPr>
        <w:pStyle w:val="normal0"/>
        <w:jc w:val="center"/>
        <w:rPr>
          <w:b/>
          <w:sz w:val="36"/>
          <w:szCs w:val="36"/>
          <w:u w:val="single"/>
        </w:rPr>
      </w:pPr>
      <w:r>
        <w:rPr>
          <w:b/>
          <w:i/>
          <w:sz w:val="36"/>
          <w:szCs w:val="36"/>
          <w:u w:val="single"/>
        </w:rPr>
        <w:t>Classical Mythology in Roman and Medieval Times assignment 1</w:t>
      </w:r>
      <w:r>
        <w:rPr>
          <w:b/>
          <w:sz w:val="36"/>
          <w:szCs w:val="36"/>
          <w:u w:val="single"/>
        </w:rPr>
        <w:t xml:space="preserve"> - 1000 words</w:t>
      </w:r>
      <w:r w:rsidR="00A67E90">
        <w:rPr>
          <w:b/>
          <w:sz w:val="36"/>
          <w:szCs w:val="36"/>
          <w:u w:val="single"/>
        </w:rPr>
        <w:t>:</w:t>
      </w:r>
      <w:r>
        <w:rPr>
          <w:b/>
          <w:sz w:val="36"/>
          <w:szCs w:val="36"/>
          <w:u w:val="single"/>
        </w:rPr>
        <w:t xml:space="preserve">  Give a detailed account, including variants, of Alexander’s encounter with Talestris in the sources. Focus upon Walter of Châtillon, Alexandreis 8.1-48; Quintus Curtius Rufus 6.5.24-32;</w:t>
      </w:r>
      <w:r w:rsidR="002170CE">
        <w:rPr>
          <w:b/>
          <w:sz w:val="36"/>
          <w:szCs w:val="36"/>
          <w:u w:val="single"/>
        </w:rPr>
        <w:t xml:space="preserve"> </w:t>
      </w:r>
      <w:r>
        <w:rPr>
          <w:b/>
          <w:sz w:val="36"/>
          <w:szCs w:val="36"/>
          <w:u w:val="single"/>
        </w:rPr>
        <w:t>Historia de preliis pp.77-9</w:t>
      </w:r>
    </w:p>
    <w:p w:rsidR="00F15511" w:rsidRDefault="00F15511">
      <w:pPr>
        <w:pStyle w:val="normal0"/>
        <w:rPr>
          <w:sz w:val="48"/>
          <w:szCs w:val="48"/>
        </w:rPr>
      </w:pPr>
    </w:p>
    <w:p w:rsidR="00F15511" w:rsidRDefault="008E7C77">
      <w:pPr>
        <w:pStyle w:val="normal0"/>
        <w:rPr>
          <w:color w:val="FF0000"/>
        </w:rPr>
      </w:pPr>
      <w:r>
        <w:t>While camping Alexander was</w:t>
      </w:r>
      <w:r>
        <w:t xml:space="preserve"> visited by Talestris, the Amazonian queen sought to breed with Alexander to produce an almighty warrior, a product of a great conqueror which would appeal to Alexander’s myth. The relationship between the two lasted thirteen days and at the end of this af</w:t>
      </w:r>
      <w:r>
        <w:t>fair, Alexander provided Talestris with gifts as she rode off with her people</w:t>
      </w:r>
      <w:r>
        <w:rPr>
          <w:vertAlign w:val="superscript"/>
        </w:rPr>
        <w:footnoteReference w:id="1"/>
      </w:r>
      <w:r>
        <w:t>. This assignment will look at three accounts of this encounter</w:t>
      </w:r>
      <w:r>
        <w:rPr>
          <w:color w:val="FF0000"/>
        </w:rPr>
        <w:t xml:space="preserve">. </w:t>
      </w:r>
      <w:r>
        <w:t xml:space="preserve"> Walter of </w:t>
      </w:r>
      <w:r w:rsidR="00332BAE">
        <w:t>Châtillon</w:t>
      </w:r>
      <w:r>
        <w:t xml:space="preserve"> the twelfth century French author of the Alexandreis, presents </w:t>
      </w:r>
      <w:proofErr w:type="spellStart"/>
      <w:r>
        <w:t>Thalestris</w:t>
      </w:r>
      <w:proofErr w:type="spellEnd"/>
      <w:r>
        <w:t xml:space="preserve"> as she is called </w:t>
      </w:r>
      <w:r>
        <w:t xml:space="preserve">in this text, with her equipment including a quiver and two spear shafts alongside other </w:t>
      </w:r>
      <w:r w:rsidR="00AD2EC5">
        <w:t>Amazon</w:t>
      </w:r>
      <w:r>
        <w:t xml:space="preserve"> customs</w:t>
      </w:r>
      <w:r>
        <w:rPr>
          <w:vertAlign w:val="superscript"/>
        </w:rPr>
        <w:footnoteReference w:id="2"/>
      </w:r>
      <w:r>
        <w:t>. The details remain similar to the ones I outlined, Talestris desiring to mate with Alexander, staying with him for thirteen days and leaving to retu</w:t>
      </w:r>
      <w:r>
        <w:t xml:space="preserve">rn to her kingdom with gifts from Alexander. Walter focused more on the epic aspects of the tale, and unlike the other accounts, did not include other Amazons in the text, implying that Talestris </w:t>
      </w:r>
      <w:r w:rsidR="00AD2EC5">
        <w:t>travelled</w:t>
      </w:r>
      <w:r>
        <w:t xml:space="preserve"> by herself. This indicates her strength and determi</w:t>
      </w:r>
      <w:r>
        <w:t>nation to mate with Alexander,  making her own heroic journey. Furthermore, after thirteen days, Alexander asked Talestris if she wished to fight alongside him which she refused, needing to protect her kingdom, presenting Talestris as a mighty warrior hers</w:t>
      </w:r>
      <w:r>
        <w:t xml:space="preserve">elf. </w:t>
      </w:r>
    </w:p>
    <w:p w:rsidR="00F15511" w:rsidRDefault="00F15511">
      <w:pPr>
        <w:pStyle w:val="normal0"/>
        <w:rPr>
          <w:color w:val="FF0000"/>
        </w:rPr>
      </w:pPr>
    </w:p>
    <w:p w:rsidR="00F15511" w:rsidRDefault="008E7C77">
      <w:pPr>
        <w:pStyle w:val="normal0"/>
      </w:pPr>
      <w:r>
        <w:t>Quintus Curti</w:t>
      </w:r>
      <w:r w:rsidR="00AD2EC5">
        <w:t>u</w:t>
      </w:r>
      <w:r>
        <w:t>s Rufus was a Roman historian who wrote more about historical aspects for a Roman market which respected the military genius of Alexander. Rufus’ account cuts down the epic aspects told by Walter, detailing where Talestris ruled geograp</w:t>
      </w:r>
      <w:r>
        <w:t>hically, arriving at Alexander’s camp with two other Amazons, perhaps a royal guard of the queen, having a more realistic tone compared to Walter</w:t>
      </w:r>
      <w:r>
        <w:rPr>
          <w:vertAlign w:val="superscript"/>
        </w:rPr>
        <w:footnoteReference w:id="3"/>
      </w:r>
      <w:r>
        <w:t>. This realistic tone fits more historically than Walter, establishing where the encounter took part, where Ta</w:t>
      </w:r>
      <w:r w:rsidR="00AD2EC5">
        <w:t>le</w:t>
      </w:r>
      <w:r>
        <w:t xml:space="preserve">stris ruled and more of an actual historical figure that naturally would not able to travel through dangerous terrain by herself as told in Walter’s epic, where exaggeration could be prevalent. Amazonian customs such as the left side of the chest being </w:t>
      </w:r>
      <w:r>
        <w:t>naked remain the same as other sources, alongside the deal between Alexander and Talestris, being the gender of the child which would determine who received this legendary child, Alexander receiving a boy and Talestri</w:t>
      </w:r>
      <w:r w:rsidR="00AD2EC5">
        <w:t>s a girl. Also, Rufus ends on T</w:t>
      </w:r>
      <w:r>
        <w:t>alestri</w:t>
      </w:r>
      <w:r>
        <w:t>s returning to her kingdom in thirteen days, keeping this encounter brief and not leaving much of an impact on Alexander as a militaristic figure which was the Roman interest, romance was not as interesting in comparison. Rufus was closer to the era of Ale</w:t>
      </w:r>
      <w:r>
        <w:t xml:space="preserve">xander than Walter, supposedly using ancient sources such as Plutarch to detail Alexander in his account, aiming to keep Alexander as a military figure realistic. Walter being </w:t>
      </w:r>
      <w:r>
        <w:lastRenderedPageBreak/>
        <w:t>from 12th century France could have written his account for the purposes of ente</w:t>
      </w:r>
      <w:r>
        <w:t>rtaining readers, learning about Alexander’s feats alongside romantic elements that were popular at the time.</w:t>
      </w:r>
    </w:p>
    <w:p w:rsidR="00F15511" w:rsidRDefault="00F15511">
      <w:pPr>
        <w:pStyle w:val="normal0"/>
      </w:pPr>
    </w:p>
    <w:p w:rsidR="00F15511" w:rsidRDefault="008E7C77">
      <w:pPr>
        <w:pStyle w:val="normal0"/>
      </w:pPr>
      <w:r>
        <w:t>The H</w:t>
      </w:r>
      <w:r w:rsidR="00AD2EC5" w:rsidRPr="00AD2EC5">
        <w:t>istoria de preliis</w:t>
      </w:r>
      <w:r w:rsidR="00AD2EC5">
        <w:t xml:space="preserve"> </w:t>
      </w:r>
      <w:r>
        <w:t xml:space="preserve">was a text written in Greece in the third century AD and was later translated in </w:t>
      </w:r>
      <w:r w:rsidR="00AD2EC5">
        <w:t>Latin</w:t>
      </w:r>
      <w:r>
        <w:t xml:space="preserve"> by Leo of Naples  most likely inspir</w:t>
      </w:r>
      <w:r>
        <w:t>ing Walter and other Europeans in their telling of Alexander</w:t>
      </w:r>
      <w:r>
        <w:rPr>
          <w:vertAlign w:val="superscript"/>
        </w:rPr>
        <w:footnoteReference w:id="4"/>
      </w:r>
      <w:r>
        <w:t xml:space="preserve">. The account is an exchange of letters between Alexander and Talestris that concluded with a setting up of their meeting. The first letter is written by Alexander, after his victory over </w:t>
      </w:r>
      <w:proofErr w:type="spellStart"/>
      <w:r>
        <w:t>Porus</w:t>
      </w:r>
      <w:proofErr w:type="spellEnd"/>
      <w:r>
        <w:t xml:space="preserve"> w</w:t>
      </w:r>
      <w:r>
        <w:t xml:space="preserve">here in a tone of superiority demanded that </w:t>
      </w:r>
      <w:r w:rsidR="00AD2EC5">
        <w:t>Talestris</w:t>
      </w:r>
      <w:r>
        <w:t xml:space="preserve"> come pay him tribute or suffer his wrath. “I therefore command you to pay me tribute if you do not wish me to come against you and inflict some harm upon you”.</w:t>
      </w:r>
      <w:r>
        <w:rPr>
          <w:vertAlign w:val="superscript"/>
        </w:rPr>
        <w:footnoteReference w:id="5"/>
      </w:r>
      <w:r>
        <w:t xml:space="preserve"> This much harsher tone contrasts  Walter </w:t>
      </w:r>
      <w:r>
        <w:t>and Rufus’ account of Alexander where he is portrayed to be more generous. Such a difference could be due to the time when the Historia was written in the third century where in Rome, attitudes towards tyrants were not kind, they lacked the self control th</w:t>
      </w:r>
      <w:r>
        <w:t>at most citizens aimed to keep. Alexander embodies the lust for control and power in this letter through this tone which would warn readers that despite military success, lust  will be there regardless of the figure. Talestris responds formally, writing th</w:t>
      </w:r>
      <w:r>
        <w:t>at Alexander ‘king of kings’ should visit her territory, giving a geographic description of her land, similar to Curtis’ account but in a different manner, rather than a location the Historia tries to create an image of the land. Further details of Talestr</w:t>
      </w:r>
      <w:r>
        <w:t>is’ kingdom is also given, customs such as the festival of Jupiter where the male and female populations breed together and methods of battle including horseback archery similar to nomad warriors.  The Historia presents all these details to show a civiliza</w:t>
      </w:r>
      <w:r>
        <w:t>tion, more informal than Curtis and Walter of the Amazonians but not as much focus on Talestris herself. However Talestris’ focus on the festival of Jupiter, hints to Alexander about her desire to have intercourse with him.</w:t>
      </w:r>
    </w:p>
    <w:p w:rsidR="00F15511" w:rsidRDefault="00F15511">
      <w:pPr>
        <w:pStyle w:val="normal0"/>
      </w:pPr>
    </w:p>
    <w:p w:rsidR="00F15511" w:rsidRDefault="008E7C77">
      <w:pPr>
        <w:pStyle w:val="normal0"/>
      </w:pPr>
      <w:r>
        <w:t>Alexander wrote a second letter</w:t>
      </w:r>
      <w:r>
        <w:t xml:space="preserve"> entailing where a meeting would take place, if she chose to die she should go to the mountains mentioned in Talestris’ letter, if she chose to live, travel to the river close to her island and meet Alexander with her </w:t>
      </w:r>
      <w:r w:rsidR="00AD2EC5">
        <w:t>men folk</w:t>
      </w:r>
      <w:r>
        <w:t xml:space="preserve"> and Amazons where they would b</w:t>
      </w:r>
      <w:r>
        <w:t>e treated with honour and gifts. To make his words sound secure Alexander swore “by my father Hammon, and by our goddess, Juno and Minerva”, the Roman influence are clearly illustrated by the goddesses Juno and Minerva who were different alias for the Gree</w:t>
      </w:r>
      <w:r>
        <w:t>k originals</w:t>
      </w:r>
      <w:r>
        <w:rPr>
          <w:vertAlign w:val="superscript"/>
        </w:rPr>
        <w:footnoteReference w:id="6"/>
      </w:r>
      <w:r>
        <w:t xml:space="preserve">. Similar to Walter’s Alexander, mythical aspects are also present, Alexander who linked himself with gods such as Hammon the chief </w:t>
      </w:r>
      <w:r w:rsidR="00AD2EC5">
        <w:t xml:space="preserve">god of Carthage </w:t>
      </w:r>
      <w:r>
        <w:t>to increase his significance and legitimise conquests, in this case ensuring a peaceful encounter</w:t>
      </w:r>
      <w:r>
        <w:t xml:space="preserve"> with Talestris.  The segment ends with the Amazons sending Alexander “ten fine untamed colts and another ten fine white horses”, and moved on.</w:t>
      </w:r>
      <w:r>
        <w:rPr>
          <w:vertAlign w:val="superscript"/>
        </w:rPr>
        <w:footnoteReference w:id="7"/>
      </w:r>
      <w:r>
        <w:t xml:space="preserve"> The lack of details of Alexander and Talestris’ meeting implies it was not important, evident with the work’s t</w:t>
      </w:r>
      <w:r>
        <w:t>itle which focuses on the battles experienced by Alexander where love would not be dealt with in such detail as conflict.</w:t>
      </w:r>
    </w:p>
    <w:p w:rsidR="00F15511" w:rsidRDefault="00F15511">
      <w:pPr>
        <w:pStyle w:val="normal0"/>
      </w:pPr>
    </w:p>
    <w:p w:rsidR="00F15511" w:rsidRDefault="008E7C77">
      <w:pPr>
        <w:pStyle w:val="normal0"/>
      </w:pPr>
      <w:r>
        <w:t>The three accounts share multiple similarities such as the discussion  of Amazonian customs, Alexander and Talestris as a strong figu</w:t>
      </w:r>
      <w:r>
        <w:t xml:space="preserve">re but also are distinguished in various </w:t>
      </w:r>
      <w:r>
        <w:lastRenderedPageBreak/>
        <w:t xml:space="preserve">ways that may reflect the societies where they were written and translated. Walter and Curtis are kind to Alexander making him a humble host and strong leader while the </w:t>
      </w:r>
      <w:r w:rsidR="00AD2EC5">
        <w:t>Historia presents his tyrant</w:t>
      </w:r>
      <w:r>
        <w:t xml:space="preserve"> aspects that </w:t>
      </w:r>
      <w:r>
        <w:t xml:space="preserve">would frighten readers. In conclusion all sources are unique in their telling of the encounter and are worth reading with their differences, representing the author’s society. </w:t>
      </w:r>
    </w:p>
    <w:p w:rsidR="00F15511" w:rsidRDefault="00F15511">
      <w:pPr>
        <w:pStyle w:val="normal0"/>
        <w:rPr>
          <w:b/>
        </w:rPr>
      </w:pPr>
    </w:p>
    <w:p w:rsidR="00F15511" w:rsidRDefault="008E7C77">
      <w:pPr>
        <w:pStyle w:val="normal0"/>
      </w:pPr>
      <w:r>
        <w:rPr>
          <w:b/>
        </w:rPr>
        <w:t xml:space="preserve">Word count: </w:t>
      </w:r>
      <w:r w:rsidR="00AD2EC5">
        <w:t>1103</w:t>
      </w:r>
    </w:p>
    <w:p w:rsidR="00F15511" w:rsidRDefault="00F15511">
      <w:pPr>
        <w:pStyle w:val="normal0"/>
        <w:rPr>
          <w:b/>
          <w:u w:val="single"/>
        </w:rPr>
      </w:pPr>
    </w:p>
    <w:p w:rsidR="00F15511" w:rsidRDefault="00F15511">
      <w:pPr>
        <w:pStyle w:val="normal0"/>
        <w:rPr>
          <w:b/>
          <w:u w:val="single"/>
        </w:rPr>
      </w:pPr>
    </w:p>
    <w:p w:rsidR="00F15511" w:rsidRDefault="008E7C77">
      <w:pPr>
        <w:pStyle w:val="normal0"/>
        <w:rPr>
          <w:b/>
          <w:u w:val="single"/>
        </w:rPr>
      </w:pPr>
      <w:r>
        <w:rPr>
          <w:b/>
          <w:u w:val="single"/>
        </w:rPr>
        <w:t>Bibliography</w:t>
      </w:r>
    </w:p>
    <w:p w:rsidR="00F15511" w:rsidRDefault="00F15511">
      <w:pPr>
        <w:pStyle w:val="normal0"/>
      </w:pPr>
    </w:p>
    <w:p w:rsidR="00F15511" w:rsidRDefault="008E7C77">
      <w:pPr>
        <w:pStyle w:val="normal0"/>
      </w:pPr>
      <w:r>
        <w:t>Historia de preliis, (no date) Book 3, pp.77-</w:t>
      </w:r>
      <w:r>
        <w:t>79</w:t>
      </w:r>
    </w:p>
    <w:p w:rsidR="00F15511" w:rsidRDefault="00F15511">
      <w:pPr>
        <w:pStyle w:val="normal0"/>
        <w:spacing w:line="240" w:lineRule="auto"/>
      </w:pPr>
    </w:p>
    <w:p w:rsidR="00F15511" w:rsidRDefault="008E7C77">
      <w:pPr>
        <w:pStyle w:val="normal0"/>
      </w:pPr>
      <w:r>
        <w:t xml:space="preserve">Leo of Naples </w:t>
      </w:r>
      <w:r>
        <w:rPr>
          <w:i/>
        </w:rPr>
        <w:t xml:space="preserve">Historia de preliis </w:t>
      </w:r>
      <w:proofErr w:type="spellStart"/>
      <w:r>
        <w:rPr>
          <w:i/>
        </w:rPr>
        <w:t>Alexandri</w:t>
      </w:r>
      <w:proofErr w:type="spellEnd"/>
      <w:r>
        <w:rPr>
          <w:i/>
        </w:rPr>
        <w:t xml:space="preserve"> </w:t>
      </w:r>
      <w:proofErr w:type="spellStart"/>
      <w:r>
        <w:rPr>
          <w:i/>
        </w:rPr>
        <w:t>Magni</w:t>
      </w:r>
      <w:proofErr w:type="spellEnd"/>
      <w:r>
        <w:rPr>
          <w:i/>
        </w:rPr>
        <w:t xml:space="preserve"> </w:t>
      </w:r>
      <w:r>
        <w:t xml:space="preserve">(History of the battles of Alexander the Great). Available at </w:t>
      </w:r>
    </w:p>
    <w:p w:rsidR="00F15511" w:rsidRDefault="008E7C77">
      <w:pPr>
        <w:pStyle w:val="normal0"/>
      </w:pPr>
      <w:r>
        <w:rPr>
          <w:b/>
        </w:rPr>
        <w:t xml:space="preserve"> </w:t>
      </w:r>
      <w:hyperlink r:id="rId6">
        <w:r>
          <w:rPr>
            <w:color w:val="1155CC"/>
            <w:u w:val="single"/>
          </w:rPr>
          <w:t>https://libwww.freelibrary.org/digital/item/4951</w:t>
        </w:r>
      </w:hyperlink>
      <w:r>
        <w:t xml:space="preserve">  (Accessed 9/1/2020)</w:t>
      </w:r>
    </w:p>
    <w:p w:rsidR="00F15511" w:rsidRDefault="00F15511">
      <w:pPr>
        <w:pStyle w:val="normal0"/>
        <w:spacing w:line="240" w:lineRule="auto"/>
      </w:pPr>
    </w:p>
    <w:p w:rsidR="00F15511" w:rsidRDefault="008E7C77">
      <w:pPr>
        <w:pStyle w:val="normal0"/>
        <w:spacing w:line="240" w:lineRule="auto"/>
      </w:pPr>
      <w:r>
        <w:t>M</w:t>
      </w:r>
      <w:r>
        <w:t xml:space="preserve">ayor, A. </w:t>
      </w:r>
      <w:r>
        <w:rPr>
          <w:i/>
        </w:rPr>
        <w:t xml:space="preserve">When Alexander met </w:t>
      </w:r>
      <w:proofErr w:type="spellStart"/>
      <w:r>
        <w:rPr>
          <w:i/>
        </w:rPr>
        <w:t>Thalestris</w:t>
      </w:r>
      <w:proofErr w:type="spellEnd"/>
      <w:r>
        <w:rPr>
          <w:i/>
        </w:rPr>
        <w:t xml:space="preserve"> </w:t>
      </w:r>
      <w:r>
        <w:t xml:space="preserve">(2014). Available at </w:t>
      </w:r>
      <w:hyperlink r:id="rId7">
        <w:r>
          <w:rPr>
            <w:color w:val="1155CC"/>
            <w:u w:val="single"/>
          </w:rPr>
          <w:t>https://www.academia.edu/9816736/When_Alexander_Met_Thalestris</w:t>
        </w:r>
      </w:hyperlink>
      <w:r>
        <w:t xml:space="preserve"> (Accessed 8/1/2020) </w:t>
      </w:r>
    </w:p>
    <w:p w:rsidR="00F15511" w:rsidRDefault="00F15511">
      <w:pPr>
        <w:pStyle w:val="normal0"/>
      </w:pPr>
    </w:p>
    <w:p w:rsidR="00F15511" w:rsidRDefault="00AD2EC5">
      <w:pPr>
        <w:pStyle w:val="normal0"/>
      </w:pPr>
      <w:r>
        <w:t>Quintus</w:t>
      </w:r>
      <w:r w:rsidR="008E7C77">
        <w:t xml:space="preserve"> Curti</w:t>
      </w:r>
      <w:r>
        <w:t>u</w:t>
      </w:r>
      <w:r w:rsidR="008E7C77">
        <w:t xml:space="preserve">s Rufus, </w:t>
      </w:r>
      <w:r w:rsidR="008E7C77">
        <w:rPr>
          <w:i/>
        </w:rPr>
        <w:t>History of Alexander,</w:t>
      </w:r>
      <w:r w:rsidR="008E7C77">
        <w:t xml:space="preserve"> Book 6, sections 25 - 26. Available at </w:t>
      </w:r>
      <w:hyperlink r:id="rId8">
        <w:r w:rsidR="008E7C77">
          <w:rPr>
            <w:color w:val="1155CC"/>
            <w:u w:val="single"/>
          </w:rPr>
          <w:t>http://penelope.uchicago.edu/Thayer/L/Roman/Texts/Curtius/6*.html</w:t>
        </w:r>
      </w:hyperlink>
      <w:r w:rsidR="008E7C77">
        <w:t xml:space="preserve">  (Accessed 9/1/2020) </w:t>
      </w:r>
    </w:p>
    <w:p w:rsidR="00F15511" w:rsidRDefault="00F15511">
      <w:pPr>
        <w:pStyle w:val="normal0"/>
      </w:pPr>
    </w:p>
    <w:p w:rsidR="00F15511" w:rsidRDefault="008E7C77">
      <w:pPr>
        <w:pStyle w:val="normal0"/>
      </w:pPr>
      <w:r>
        <w:t xml:space="preserve">Townsend, D. (1996), </w:t>
      </w:r>
      <w:r>
        <w:rPr>
          <w:i/>
        </w:rPr>
        <w:t>Th</w:t>
      </w:r>
      <w:r>
        <w:rPr>
          <w:i/>
        </w:rPr>
        <w:t xml:space="preserve">e Alexandreis of Walter of </w:t>
      </w:r>
      <w:r w:rsidR="00332BAE">
        <w:rPr>
          <w:i/>
        </w:rPr>
        <w:t>Châtillon</w:t>
      </w:r>
      <w:r>
        <w:rPr>
          <w:i/>
        </w:rPr>
        <w:t xml:space="preserve"> : A Twelfth-century Epic : A Verse Translation</w:t>
      </w:r>
      <w:r>
        <w:t xml:space="preserve"> (University of Pennsylvania Press) </w:t>
      </w:r>
    </w:p>
    <w:p w:rsidR="00F15511" w:rsidRDefault="00F15511">
      <w:pPr>
        <w:pStyle w:val="normal0"/>
      </w:pPr>
    </w:p>
    <w:p w:rsidR="00F15511" w:rsidRDefault="00F15511">
      <w:pPr>
        <w:pStyle w:val="normal0"/>
      </w:pPr>
    </w:p>
    <w:sectPr w:rsidR="00F15511" w:rsidSect="00F15511">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E7C77" w:rsidRDefault="008E7C77" w:rsidP="00F15511">
      <w:pPr>
        <w:spacing w:line="240" w:lineRule="auto"/>
      </w:pPr>
      <w:r>
        <w:separator/>
      </w:r>
    </w:p>
  </w:endnote>
  <w:endnote w:type="continuationSeparator" w:id="0">
    <w:p w:rsidR="008E7C77" w:rsidRDefault="008E7C77" w:rsidP="00F1551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E7C77" w:rsidRDefault="008E7C77" w:rsidP="00F15511">
      <w:pPr>
        <w:spacing w:line="240" w:lineRule="auto"/>
      </w:pPr>
      <w:r>
        <w:separator/>
      </w:r>
    </w:p>
  </w:footnote>
  <w:footnote w:type="continuationSeparator" w:id="0">
    <w:p w:rsidR="008E7C77" w:rsidRDefault="008E7C77" w:rsidP="00F15511">
      <w:pPr>
        <w:spacing w:line="240" w:lineRule="auto"/>
      </w:pPr>
      <w:r>
        <w:continuationSeparator/>
      </w:r>
    </w:p>
  </w:footnote>
  <w:footnote w:id="1">
    <w:p w:rsidR="00F15511" w:rsidRDefault="008E7C77">
      <w:pPr>
        <w:pStyle w:val="normal0"/>
        <w:spacing w:line="240" w:lineRule="auto"/>
        <w:rPr>
          <w:sz w:val="20"/>
          <w:szCs w:val="20"/>
        </w:rPr>
      </w:pPr>
      <w:r>
        <w:rPr>
          <w:vertAlign w:val="superscript"/>
        </w:rPr>
        <w:footnoteRef/>
      </w:r>
      <w:r>
        <w:rPr>
          <w:sz w:val="20"/>
          <w:szCs w:val="20"/>
        </w:rPr>
        <w:t xml:space="preserve"> Mayor. A (2014,p.11)</w:t>
      </w:r>
    </w:p>
  </w:footnote>
  <w:footnote w:id="2">
    <w:p w:rsidR="00F15511" w:rsidRDefault="008E7C77">
      <w:pPr>
        <w:pStyle w:val="normal0"/>
        <w:spacing w:line="240" w:lineRule="auto"/>
        <w:rPr>
          <w:sz w:val="20"/>
          <w:szCs w:val="20"/>
        </w:rPr>
      </w:pPr>
      <w:r>
        <w:rPr>
          <w:vertAlign w:val="superscript"/>
        </w:rPr>
        <w:footnoteRef/>
      </w:r>
      <w:r>
        <w:rPr>
          <w:sz w:val="20"/>
          <w:szCs w:val="20"/>
        </w:rPr>
        <w:t xml:space="preserve"> </w:t>
      </w:r>
      <w:proofErr w:type="spellStart"/>
      <w:r>
        <w:rPr>
          <w:sz w:val="20"/>
          <w:szCs w:val="20"/>
        </w:rPr>
        <w:t>Tow</w:t>
      </w:r>
      <w:r w:rsidR="00AD2EC5">
        <w:rPr>
          <w:sz w:val="20"/>
          <w:szCs w:val="20"/>
        </w:rPr>
        <w:t>n</w:t>
      </w:r>
      <w:r>
        <w:rPr>
          <w:sz w:val="20"/>
          <w:szCs w:val="20"/>
        </w:rPr>
        <w:t>send</w:t>
      </w:r>
      <w:r w:rsidR="00AD2EC5">
        <w:rPr>
          <w:sz w:val="20"/>
          <w:szCs w:val="20"/>
        </w:rPr>
        <w:t>.D</w:t>
      </w:r>
      <w:proofErr w:type="spellEnd"/>
      <w:r>
        <w:rPr>
          <w:sz w:val="20"/>
          <w:szCs w:val="20"/>
        </w:rPr>
        <w:t xml:space="preserve"> (1996,p.132) </w:t>
      </w:r>
    </w:p>
  </w:footnote>
  <w:footnote w:id="3">
    <w:p w:rsidR="00F15511" w:rsidRDefault="008E7C77">
      <w:pPr>
        <w:pStyle w:val="normal0"/>
        <w:spacing w:line="240" w:lineRule="auto"/>
        <w:rPr>
          <w:sz w:val="20"/>
          <w:szCs w:val="20"/>
        </w:rPr>
      </w:pPr>
      <w:r>
        <w:rPr>
          <w:vertAlign w:val="superscript"/>
        </w:rPr>
        <w:footnoteRef/>
      </w:r>
      <w:r>
        <w:rPr>
          <w:sz w:val="20"/>
          <w:szCs w:val="20"/>
        </w:rPr>
        <w:t xml:space="preserve"> Rufus, </w:t>
      </w:r>
      <w:r>
        <w:rPr>
          <w:i/>
          <w:sz w:val="20"/>
          <w:szCs w:val="20"/>
        </w:rPr>
        <w:t>His</w:t>
      </w:r>
      <w:r>
        <w:rPr>
          <w:sz w:val="20"/>
          <w:szCs w:val="20"/>
        </w:rPr>
        <w:t>, 6. 25 - 26</w:t>
      </w:r>
    </w:p>
  </w:footnote>
  <w:footnote w:id="4">
    <w:p w:rsidR="00F15511" w:rsidRDefault="008E7C77">
      <w:pPr>
        <w:pStyle w:val="normal0"/>
        <w:spacing w:line="240" w:lineRule="auto"/>
        <w:rPr>
          <w:sz w:val="20"/>
          <w:szCs w:val="20"/>
        </w:rPr>
      </w:pPr>
      <w:r>
        <w:rPr>
          <w:vertAlign w:val="superscript"/>
        </w:rPr>
        <w:footnoteRef/>
      </w:r>
      <w:r>
        <w:rPr>
          <w:sz w:val="20"/>
          <w:szCs w:val="20"/>
        </w:rPr>
        <w:t xml:space="preserve"> </w:t>
      </w:r>
      <w:hyperlink r:id="rId1">
        <w:r>
          <w:rPr>
            <w:color w:val="1155CC"/>
            <w:sz w:val="20"/>
            <w:szCs w:val="20"/>
            <w:u w:val="single"/>
          </w:rPr>
          <w:t>https://libwww.freelibrary.org/digital/item/4951</w:t>
        </w:r>
      </w:hyperlink>
      <w:r>
        <w:rPr>
          <w:sz w:val="20"/>
          <w:szCs w:val="20"/>
        </w:rPr>
        <w:t xml:space="preserve"> </w:t>
      </w:r>
    </w:p>
  </w:footnote>
  <w:footnote w:id="5">
    <w:p w:rsidR="00F15511" w:rsidRDefault="008E7C77">
      <w:pPr>
        <w:pStyle w:val="normal0"/>
        <w:spacing w:line="240" w:lineRule="auto"/>
        <w:rPr>
          <w:sz w:val="20"/>
          <w:szCs w:val="20"/>
        </w:rPr>
      </w:pPr>
      <w:r>
        <w:rPr>
          <w:vertAlign w:val="superscript"/>
        </w:rPr>
        <w:footnoteRef/>
      </w:r>
      <w:r>
        <w:rPr>
          <w:sz w:val="20"/>
          <w:szCs w:val="20"/>
        </w:rPr>
        <w:t xml:space="preserve"> Historia de preliis, Book 3, p.77 </w:t>
      </w:r>
    </w:p>
  </w:footnote>
  <w:footnote w:id="6">
    <w:p w:rsidR="00F15511" w:rsidRDefault="008E7C77">
      <w:pPr>
        <w:pStyle w:val="normal0"/>
        <w:spacing w:line="240" w:lineRule="auto"/>
        <w:rPr>
          <w:sz w:val="20"/>
          <w:szCs w:val="20"/>
        </w:rPr>
      </w:pPr>
      <w:r>
        <w:rPr>
          <w:vertAlign w:val="superscript"/>
        </w:rPr>
        <w:footnoteRef/>
      </w:r>
      <w:r>
        <w:rPr>
          <w:sz w:val="20"/>
          <w:szCs w:val="20"/>
        </w:rPr>
        <w:t xml:space="preserve"> Historia de preliis, Book 3, p.79</w:t>
      </w:r>
    </w:p>
  </w:footnote>
  <w:footnote w:id="7">
    <w:p w:rsidR="00F15511" w:rsidRDefault="008E7C77">
      <w:pPr>
        <w:pStyle w:val="normal0"/>
        <w:spacing w:line="240" w:lineRule="auto"/>
        <w:rPr>
          <w:sz w:val="20"/>
          <w:szCs w:val="20"/>
        </w:rPr>
      </w:pPr>
      <w:r>
        <w:rPr>
          <w:vertAlign w:val="superscript"/>
        </w:rPr>
        <w:footnoteRef/>
      </w:r>
      <w:r>
        <w:rPr>
          <w:sz w:val="20"/>
          <w:szCs w:val="20"/>
        </w:rPr>
        <w:t xml:space="preserve">  Historia de preliis, Book 3, p.79</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F15511"/>
    <w:rsid w:val="002170CE"/>
    <w:rsid w:val="00332BAE"/>
    <w:rsid w:val="008E7C77"/>
    <w:rsid w:val="00A67E90"/>
    <w:rsid w:val="00AD2EC5"/>
    <w:rsid w:val="00F1551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F15511"/>
    <w:pPr>
      <w:keepNext/>
      <w:keepLines/>
      <w:spacing w:before="400" w:after="120"/>
      <w:outlineLvl w:val="0"/>
    </w:pPr>
    <w:rPr>
      <w:sz w:val="40"/>
      <w:szCs w:val="40"/>
    </w:rPr>
  </w:style>
  <w:style w:type="paragraph" w:styleId="Heading2">
    <w:name w:val="heading 2"/>
    <w:basedOn w:val="normal0"/>
    <w:next w:val="normal0"/>
    <w:rsid w:val="00F15511"/>
    <w:pPr>
      <w:keepNext/>
      <w:keepLines/>
      <w:spacing w:before="360" w:after="120"/>
      <w:outlineLvl w:val="1"/>
    </w:pPr>
    <w:rPr>
      <w:sz w:val="32"/>
      <w:szCs w:val="32"/>
    </w:rPr>
  </w:style>
  <w:style w:type="paragraph" w:styleId="Heading3">
    <w:name w:val="heading 3"/>
    <w:basedOn w:val="normal0"/>
    <w:next w:val="normal0"/>
    <w:rsid w:val="00F15511"/>
    <w:pPr>
      <w:keepNext/>
      <w:keepLines/>
      <w:spacing w:before="320" w:after="80"/>
      <w:outlineLvl w:val="2"/>
    </w:pPr>
    <w:rPr>
      <w:color w:val="434343"/>
      <w:sz w:val="28"/>
      <w:szCs w:val="28"/>
    </w:rPr>
  </w:style>
  <w:style w:type="paragraph" w:styleId="Heading4">
    <w:name w:val="heading 4"/>
    <w:basedOn w:val="normal0"/>
    <w:next w:val="normal0"/>
    <w:rsid w:val="00F15511"/>
    <w:pPr>
      <w:keepNext/>
      <w:keepLines/>
      <w:spacing w:before="280" w:after="80"/>
      <w:outlineLvl w:val="3"/>
    </w:pPr>
    <w:rPr>
      <w:color w:val="666666"/>
      <w:sz w:val="24"/>
      <w:szCs w:val="24"/>
    </w:rPr>
  </w:style>
  <w:style w:type="paragraph" w:styleId="Heading5">
    <w:name w:val="heading 5"/>
    <w:basedOn w:val="normal0"/>
    <w:next w:val="normal0"/>
    <w:rsid w:val="00F15511"/>
    <w:pPr>
      <w:keepNext/>
      <w:keepLines/>
      <w:spacing w:before="240" w:after="80"/>
      <w:outlineLvl w:val="4"/>
    </w:pPr>
    <w:rPr>
      <w:color w:val="666666"/>
    </w:rPr>
  </w:style>
  <w:style w:type="paragraph" w:styleId="Heading6">
    <w:name w:val="heading 6"/>
    <w:basedOn w:val="normal0"/>
    <w:next w:val="normal0"/>
    <w:rsid w:val="00F1551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15511"/>
  </w:style>
  <w:style w:type="paragraph" w:styleId="Title">
    <w:name w:val="Title"/>
    <w:basedOn w:val="normal0"/>
    <w:next w:val="normal0"/>
    <w:rsid w:val="00F15511"/>
    <w:pPr>
      <w:keepNext/>
      <w:keepLines/>
      <w:spacing w:after="60"/>
    </w:pPr>
    <w:rPr>
      <w:sz w:val="52"/>
      <w:szCs w:val="52"/>
    </w:rPr>
  </w:style>
  <w:style w:type="paragraph" w:styleId="Subtitle">
    <w:name w:val="Subtitle"/>
    <w:basedOn w:val="normal0"/>
    <w:next w:val="normal0"/>
    <w:rsid w:val="00F15511"/>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penelope.uchicago.edu/Thayer/L/Roman/Texts/Curtius/6*.html" TargetMode="External"/><Relationship Id="rId3" Type="http://schemas.openxmlformats.org/officeDocument/2006/relationships/webSettings" Target="webSettings.xml"/><Relationship Id="rId7" Type="http://schemas.openxmlformats.org/officeDocument/2006/relationships/hyperlink" Target="https://www.academia.edu/9816736/When_Alexander_Met_Thalestr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www.freelibrary.org/digital/item/495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libwww.freelibrary.org/digital/item/49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3</Pages>
  <Words>1172</Words>
  <Characters>6681</Characters>
  <Application>Microsoft Office Word</Application>
  <DocSecurity>0</DocSecurity>
  <Lines>55</Lines>
  <Paragraphs>15</Paragraphs>
  <ScaleCrop>false</ScaleCrop>
  <Company/>
  <LinksUpToDate>false</LinksUpToDate>
  <CharactersWithSpaces>7838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5</cp:revision>
  <dcterms:created xsi:type="dcterms:W3CDTF">2020-01-13T13:53:00Z</dcterms:created>
  <dcterms:modified xsi:type="dcterms:W3CDTF">2020-01-13T13:56:00Z</dcterms:modified>
</cp:coreProperties>
</file>