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F7B" w:rsidRDefault="009D7F7B" w:rsidP="009D7F7B">
      <w:r>
        <w:rPr>
          <w:noProof/>
          <w:lang w:eastAsia="en-GB"/>
        </w:rPr>
        <w:drawing>
          <wp:anchor distT="0" distB="0" distL="114300" distR="114300" simplePos="0" relativeHeight="251659264" behindDoc="0" locked="0" layoutInCell="1" allowOverlap="1" wp14:anchorId="329F9833" wp14:editId="2F9EA236">
            <wp:simplePos x="914400" y="914400"/>
            <wp:positionH relativeFrom="column">
              <wp:align>left</wp:align>
            </wp:positionH>
            <wp:positionV relativeFrom="paragraph">
              <wp:align>top</wp:align>
            </wp:positionV>
            <wp:extent cx="3019425" cy="13716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blema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19425" cy="1371600"/>
                    </a:xfrm>
                    <a:prstGeom prst="rect">
                      <a:avLst/>
                    </a:prstGeom>
                  </pic:spPr>
                </pic:pic>
              </a:graphicData>
            </a:graphic>
          </wp:anchor>
        </w:drawing>
      </w:r>
      <w:r>
        <w:br w:type="textWrapping" w:clear="all"/>
      </w:r>
    </w:p>
    <w:p w:rsidR="009D7F7B" w:rsidRDefault="009D7F7B" w:rsidP="009D7F7B"/>
    <w:p w:rsidR="009D7F7B" w:rsidRDefault="009D7F7B" w:rsidP="009D7F7B">
      <w:pPr>
        <w:rPr>
          <w:b/>
          <w:sz w:val="32"/>
          <w:szCs w:val="32"/>
        </w:rPr>
      </w:pPr>
    </w:p>
    <w:p w:rsidR="009D7F7B" w:rsidRPr="00AF6152" w:rsidRDefault="009D7F7B" w:rsidP="009D7F7B">
      <w:pPr>
        <w:rPr>
          <w:b/>
          <w:sz w:val="32"/>
          <w:szCs w:val="32"/>
        </w:rPr>
      </w:pPr>
    </w:p>
    <w:p w:rsidR="009D7F7B" w:rsidRDefault="009D7F7B" w:rsidP="009D7F7B">
      <w:pPr>
        <w:jc w:val="center"/>
        <w:rPr>
          <w:rFonts w:ascii="Times New Roman" w:hAnsi="Times New Roman" w:cs="Times New Roman"/>
          <w:b/>
          <w:sz w:val="32"/>
          <w:szCs w:val="32"/>
        </w:rPr>
      </w:pPr>
      <w:r w:rsidRPr="00AF6152">
        <w:rPr>
          <w:rFonts w:ascii="Times New Roman" w:hAnsi="Times New Roman" w:cs="Times New Roman"/>
          <w:b/>
          <w:sz w:val="32"/>
          <w:szCs w:val="32"/>
        </w:rPr>
        <w:t>BA Business Management</w:t>
      </w:r>
    </w:p>
    <w:p w:rsidR="009D7F7B" w:rsidRDefault="009D7F7B" w:rsidP="009D7F7B">
      <w:pPr>
        <w:jc w:val="center"/>
        <w:rPr>
          <w:rFonts w:ascii="Times New Roman" w:hAnsi="Times New Roman" w:cs="Times New Roman"/>
          <w:b/>
          <w:sz w:val="32"/>
          <w:szCs w:val="32"/>
        </w:rPr>
      </w:pPr>
    </w:p>
    <w:p w:rsidR="009D7F7B" w:rsidRDefault="009D7F7B" w:rsidP="009D7F7B">
      <w:pPr>
        <w:jc w:val="center"/>
        <w:rPr>
          <w:rFonts w:ascii="Times New Roman" w:hAnsi="Times New Roman" w:cs="Times New Roman"/>
          <w:b/>
          <w:sz w:val="32"/>
          <w:szCs w:val="32"/>
        </w:rPr>
      </w:pPr>
    </w:p>
    <w:p w:rsidR="009D7F7B" w:rsidRDefault="009D7F7B" w:rsidP="009D7F7B">
      <w:pPr>
        <w:jc w:val="center"/>
        <w:rPr>
          <w:rFonts w:ascii="Times New Roman" w:hAnsi="Times New Roman" w:cs="Times New Roman"/>
          <w:sz w:val="32"/>
          <w:szCs w:val="32"/>
        </w:rPr>
      </w:pPr>
      <w:r w:rsidRPr="00AF6152">
        <w:rPr>
          <w:rFonts w:ascii="Times New Roman" w:hAnsi="Times New Roman" w:cs="Times New Roman"/>
          <w:sz w:val="32"/>
          <w:szCs w:val="32"/>
        </w:rPr>
        <w:t>Module Title: Accounting Fundamentals</w:t>
      </w:r>
    </w:p>
    <w:p w:rsidR="009D7F7B" w:rsidRPr="00AF6152"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r w:rsidRPr="00AF6152">
        <w:rPr>
          <w:rFonts w:ascii="Times New Roman" w:hAnsi="Times New Roman" w:cs="Times New Roman"/>
          <w:sz w:val="32"/>
          <w:szCs w:val="32"/>
        </w:rPr>
        <w:t>Assignment Title: Accounting Fundamentals Assessment 1</w:t>
      </w:r>
    </w:p>
    <w:p w:rsidR="009D7F7B" w:rsidRPr="00AF6152"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r w:rsidRPr="00AF6152">
        <w:rPr>
          <w:rFonts w:ascii="Times New Roman" w:hAnsi="Times New Roman" w:cs="Times New Roman"/>
          <w:sz w:val="32"/>
          <w:szCs w:val="32"/>
        </w:rPr>
        <w:t>Module lecturer’s name: Widin Bongasu Sha’ven</w:t>
      </w:r>
    </w:p>
    <w:p w:rsidR="009D7F7B"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p>
    <w:p w:rsidR="009D7F7B" w:rsidRPr="00AF6152" w:rsidRDefault="009D7F7B" w:rsidP="009D7F7B">
      <w:pPr>
        <w:jc w:val="center"/>
        <w:rPr>
          <w:rFonts w:ascii="Times New Roman" w:hAnsi="Times New Roman" w:cs="Times New Roman"/>
          <w:sz w:val="32"/>
          <w:szCs w:val="32"/>
        </w:rPr>
      </w:pPr>
    </w:p>
    <w:p w:rsidR="009D7F7B" w:rsidRDefault="009D7F7B" w:rsidP="009D7F7B">
      <w:pPr>
        <w:jc w:val="center"/>
        <w:rPr>
          <w:rFonts w:ascii="Times New Roman" w:hAnsi="Times New Roman" w:cs="Times New Roman"/>
          <w:sz w:val="32"/>
          <w:szCs w:val="32"/>
        </w:rPr>
      </w:pPr>
      <w:r w:rsidRPr="00AF6152">
        <w:rPr>
          <w:rFonts w:ascii="Times New Roman" w:hAnsi="Times New Roman" w:cs="Times New Roman"/>
          <w:sz w:val="32"/>
          <w:szCs w:val="32"/>
        </w:rPr>
        <w:t>Student name: ANASTASIA SLEPUHIN</w:t>
      </w:r>
    </w:p>
    <w:p w:rsidR="009D7F7B" w:rsidRPr="00AF6152" w:rsidRDefault="009D7F7B" w:rsidP="009D7F7B">
      <w:pPr>
        <w:jc w:val="center"/>
        <w:rPr>
          <w:rFonts w:ascii="Times New Roman" w:hAnsi="Times New Roman" w:cs="Times New Roman"/>
          <w:sz w:val="32"/>
          <w:szCs w:val="32"/>
        </w:rPr>
      </w:pPr>
    </w:p>
    <w:p w:rsidR="009D7F7B" w:rsidRPr="00AF6152" w:rsidRDefault="009D7F7B" w:rsidP="009D7F7B">
      <w:pPr>
        <w:jc w:val="center"/>
        <w:rPr>
          <w:rFonts w:ascii="Times New Roman" w:hAnsi="Times New Roman" w:cs="Times New Roman"/>
          <w:sz w:val="32"/>
          <w:szCs w:val="32"/>
        </w:rPr>
      </w:pPr>
      <w:r w:rsidRPr="00AF6152">
        <w:rPr>
          <w:rFonts w:ascii="Times New Roman" w:hAnsi="Times New Roman" w:cs="Times New Roman"/>
          <w:sz w:val="32"/>
          <w:szCs w:val="32"/>
        </w:rPr>
        <w:t>Student number: 2013044</w:t>
      </w:r>
    </w:p>
    <w:p w:rsidR="009D7F7B" w:rsidRPr="00AF6152" w:rsidRDefault="009D7F7B" w:rsidP="009D7F7B">
      <w:pPr>
        <w:jc w:val="center"/>
        <w:rPr>
          <w:rFonts w:ascii="Times New Roman" w:hAnsi="Times New Roman" w:cs="Times New Roman"/>
          <w:sz w:val="32"/>
          <w:szCs w:val="32"/>
        </w:rPr>
      </w:pPr>
    </w:p>
    <w:p w:rsidR="009D7F7B" w:rsidRPr="009D7F7B" w:rsidRDefault="009D7F7B">
      <w:pPr>
        <w:rPr>
          <w:rFonts w:ascii="Times New Roman" w:eastAsia="Times New Roman" w:hAnsi="Times New Roman" w:cs="Times New Roman"/>
          <w:b/>
          <w:sz w:val="32"/>
          <w:szCs w:val="32"/>
        </w:rPr>
      </w:pPr>
    </w:p>
    <w:p w:rsidR="007756EC" w:rsidRPr="007E6757" w:rsidRDefault="007756EC">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7756EC" w:rsidRPr="007E6757" w:rsidRDefault="007756EC">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7756EC" w:rsidRPr="007E6757" w:rsidRDefault="007756EC">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7756EC" w:rsidRPr="007E6757" w:rsidRDefault="007756EC">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7756EC" w:rsidRPr="007E6757" w:rsidRDefault="007756EC">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9D7F7B" w:rsidRDefault="009D7F7B">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9D7F7B" w:rsidRDefault="009D7F7B">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9D7F7B" w:rsidRDefault="009D7F7B">
      <w:pPr>
        <w:pStyle w:val="Normal1"/>
        <w:shd w:val="clear" w:color="auto" w:fill="FFFFFF"/>
        <w:spacing w:before="240" w:line="360" w:lineRule="auto"/>
        <w:jc w:val="center"/>
        <w:rPr>
          <w:rFonts w:ascii="Times New Roman" w:eastAsia="Times New Roman" w:hAnsi="Times New Roman" w:cs="Times New Roman"/>
          <w:b/>
          <w:sz w:val="32"/>
          <w:szCs w:val="32"/>
          <w:lang w:val="en-GB"/>
        </w:rPr>
      </w:pPr>
    </w:p>
    <w:p w:rsidR="007C1498" w:rsidRPr="007E6757" w:rsidRDefault="00A0426D">
      <w:pPr>
        <w:pStyle w:val="Normal1"/>
        <w:shd w:val="clear" w:color="auto" w:fill="FFFFFF"/>
        <w:spacing w:before="240" w:line="360" w:lineRule="auto"/>
        <w:jc w:val="center"/>
        <w:rPr>
          <w:rFonts w:ascii="Times New Roman" w:eastAsia="Times New Roman" w:hAnsi="Times New Roman" w:cs="Times New Roman"/>
          <w:b/>
          <w:sz w:val="32"/>
          <w:szCs w:val="32"/>
          <w:lang w:val="en-GB"/>
        </w:rPr>
      </w:pPr>
      <w:r w:rsidRPr="007E6757">
        <w:rPr>
          <w:rFonts w:ascii="Times New Roman" w:eastAsia="Times New Roman" w:hAnsi="Times New Roman" w:cs="Times New Roman"/>
          <w:b/>
          <w:sz w:val="32"/>
          <w:szCs w:val="32"/>
          <w:lang w:val="en-GB"/>
        </w:rPr>
        <w:t>ACCOUNTING FUNDAMENTALS</w:t>
      </w:r>
    </w:p>
    <w:p w:rsidR="007C1498" w:rsidRPr="007E6757" w:rsidRDefault="007C1498">
      <w:pPr>
        <w:rPr>
          <w:rFonts w:ascii="Times New Roman" w:eastAsia="Times New Roman" w:hAnsi="Times New Roman" w:cs="Times New Roman"/>
          <w:b/>
          <w:sz w:val="32"/>
          <w:szCs w:val="32"/>
          <w:lang w:val="en-GB"/>
        </w:rPr>
      </w:pPr>
      <w:r w:rsidRPr="007E6757">
        <w:rPr>
          <w:rFonts w:ascii="Times New Roman" w:eastAsia="Times New Roman" w:hAnsi="Times New Roman" w:cs="Times New Roman"/>
          <w:b/>
          <w:sz w:val="32"/>
          <w:szCs w:val="32"/>
          <w:lang w:val="en-GB"/>
        </w:rPr>
        <w:br w:type="page"/>
      </w:r>
      <w:bookmarkStart w:id="0" w:name="_GoBack"/>
      <w:bookmarkEnd w:id="0"/>
    </w:p>
    <w:p w:rsidR="007C1498" w:rsidRPr="007E6757" w:rsidRDefault="007C1498">
      <w:pPr>
        <w:pStyle w:val="Normal1"/>
        <w:shd w:val="clear" w:color="auto" w:fill="FFFFFF"/>
        <w:spacing w:before="240" w:line="360" w:lineRule="auto"/>
        <w:jc w:val="center"/>
        <w:rPr>
          <w:rFonts w:ascii="Times New Roman" w:hAnsi="Times New Roman" w:cs="Times New Roman"/>
          <w:b/>
          <w:sz w:val="24"/>
          <w:szCs w:val="24"/>
          <w:lang w:val="en-GB"/>
        </w:rPr>
      </w:pPr>
      <w:r w:rsidRPr="007E6757">
        <w:rPr>
          <w:rFonts w:ascii="Times New Roman" w:hAnsi="Times New Roman" w:cs="Times New Roman"/>
          <w:b/>
          <w:sz w:val="24"/>
          <w:szCs w:val="24"/>
          <w:lang w:val="en-GB"/>
        </w:rPr>
        <w:lastRenderedPageBreak/>
        <w:t xml:space="preserve">Executive summary </w:t>
      </w:r>
    </w:p>
    <w:p w:rsidR="007C1498" w:rsidRPr="007E6757" w:rsidRDefault="001241AC" w:rsidP="001241AC">
      <w:pPr>
        <w:pStyle w:val="Normal1"/>
        <w:shd w:val="clear" w:color="auto" w:fill="FFFFFF"/>
        <w:spacing w:before="240" w:line="360" w:lineRule="auto"/>
        <w:jc w:val="both"/>
        <w:rPr>
          <w:rFonts w:ascii="Times New Roman" w:hAnsi="Times New Roman" w:cs="Times New Roman"/>
          <w:sz w:val="24"/>
          <w:szCs w:val="24"/>
          <w:lang w:val="en-GB"/>
        </w:rPr>
      </w:pPr>
      <w:r w:rsidRPr="007E6757">
        <w:rPr>
          <w:rFonts w:ascii="Times New Roman" w:hAnsi="Times New Roman" w:cs="Times New Roman"/>
          <w:sz w:val="24"/>
          <w:szCs w:val="24"/>
          <w:lang w:val="en-GB"/>
        </w:rPr>
        <w:t xml:space="preserve">The retort studies and evaluated the basic principles of financing and accounting. The financial statements and the ratios of the organisation from the financial performance has been evaluated in the study which helps the business understand own position and scope in the market </w:t>
      </w:r>
      <w:r w:rsidR="00BF72BF" w:rsidRPr="007E6757">
        <w:rPr>
          <w:rFonts w:ascii="Times New Roman" w:hAnsi="Times New Roman" w:cs="Times New Roman"/>
          <w:sz w:val="24"/>
          <w:szCs w:val="24"/>
          <w:lang w:val="en-GB"/>
        </w:rPr>
        <w:t xml:space="preserve">and also helps to evaluate the performance and market position. The shareholder equity value analysis helped to understand the position of the company in the market. With the analysis of the financial statement, the study also evaluated the problems in the organisation and showed the investment position in the company. Both the company showed effective performance and future scope of growth and development. </w:t>
      </w:r>
    </w:p>
    <w:p w:rsidR="007C1498" w:rsidRPr="007E6757" w:rsidRDefault="007C1498">
      <w:pPr>
        <w:pStyle w:val="Normal1"/>
        <w:shd w:val="clear" w:color="auto" w:fill="FFFFFF"/>
        <w:spacing w:before="240" w:line="360" w:lineRule="auto"/>
        <w:jc w:val="center"/>
        <w:rPr>
          <w:rFonts w:ascii="Times New Roman" w:hAnsi="Times New Roman" w:cs="Times New Roman"/>
          <w:sz w:val="24"/>
          <w:szCs w:val="24"/>
          <w:lang w:val="en-GB"/>
        </w:rPr>
      </w:pPr>
    </w:p>
    <w:p w:rsidR="007C1498" w:rsidRPr="007E6757" w:rsidRDefault="007C1498">
      <w:pPr>
        <w:pStyle w:val="Normal1"/>
        <w:shd w:val="clear" w:color="auto" w:fill="FFFFFF"/>
        <w:spacing w:before="240" w:line="360" w:lineRule="auto"/>
        <w:jc w:val="center"/>
        <w:rPr>
          <w:rFonts w:ascii="Times New Roman" w:hAnsi="Times New Roman" w:cs="Times New Roman"/>
          <w:sz w:val="24"/>
          <w:szCs w:val="24"/>
          <w:lang w:val="en-GB"/>
        </w:rPr>
      </w:pPr>
    </w:p>
    <w:p w:rsidR="007756EC" w:rsidRPr="007E6757" w:rsidRDefault="00A0426D">
      <w:pPr>
        <w:pStyle w:val="Normal1"/>
        <w:shd w:val="clear" w:color="auto" w:fill="FFFFFF"/>
        <w:spacing w:before="240" w:line="360" w:lineRule="auto"/>
        <w:jc w:val="center"/>
        <w:rPr>
          <w:lang w:val="en-GB"/>
        </w:rPr>
      </w:pPr>
      <w:r w:rsidRPr="007E6757">
        <w:rPr>
          <w:lang w:val="en-GB"/>
        </w:rPr>
        <w:br w:type="page"/>
      </w:r>
    </w:p>
    <w:sdt>
      <w:sdtPr>
        <w:rPr>
          <w:rFonts w:ascii="Arial" w:eastAsia="Arial" w:hAnsi="Arial" w:cs="Arial"/>
          <w:b w:val="0"/>
          <w:bCs w:val="0"/>
          <w:color w:val="auto"/>
          <w:sz w:val="22"/>
          <w:szCs w:val="22"/>
          <w:lang w:val="en-GB"/>
        </w:rPr>
        <w:id w:val="6842479"/>
        <w:docPartObj>
          <w:docPartGallery w:val="Table of Contents"/>
          <w:docPartUnique/>
        </w:docPartObj>
      </w:sdtPr>
      <w:sdtEndPr/>
      <w:sdtContent>
        <w:p w:rsidR="007541FC" w:rsidRPr="007E6757" w:rsidRDefault="007541FC" w:rsidP="007541FC">
          <w:pPr>
            <w:pStyle w:val="TOCHeading"/>
            <w:spacing w:line="360" w:lineRule="auto"/>
            <w:jc w:val="center"/>
            <w:rPr>
              <w:rFonts w:ascii="Times New Roman" w:hAnsi="Times New Roman" w:cs="Times New Roman"/>
              <w:color w:val="auto"/>
              <w:sz w:val="24"/>
              <w:szCs w:val="24"/>
              <w:lang w:val="en-GB"/>
            </w:rPr>
          </w:pPr>
          <w:r w:rsidRPr="007E6757">
            <w:rPr>
              <w:rFonts w:ascii="Times New Roman" w:hAnsi="Times New Roman" w:cs="Times New Roman"/>
              <w:color w:val="auto"/>
              <w:sz w:val="24"/>
              <w:szCs w:val="24"/>
              <w:lang w:val="en-GB"/>
            </w:rPr>
            <w:t>Table of Contents</w:t>
          </w:r>
        </w:p>
        <w:p w:rsidR="007541FC" w:rsidRPr="007E6757" w:rsidRDefault="00000D71" w:rsidP="007541FC">
          <w:pPr>
            <w:pStyle w:val="TOC1"/>
            <w:tabs>
              <w:tab w:val="right" w:leader="dot" w:pos="9350"/>
            </w:tabs>
            <w:spacing w:line="360" w:lineRule="auto"/>
            <w:rPr>
              <w:rFonts w:ascii="Times New Roman" w:hAnsi="Times New Roman" w:cs="Times New Roman"/>
              <w:noProof/>
              <w:sz w:val="24"/>
              <w:szCs w:val="24"/>
              <w:lang w:val="en-GB"/>
            </w:rPr>
          </w:pPr>
          <w:r w:rsidRPr="007E6757">
            <w:rPr>
              <w:rFonts w:ascii="Times New Roman" w:hAnsi="Times New Roman" w:cs="Times New Roman"/>
              <w:sz w:val="24"/>
              <w:szCs w:val="24"/>
              <w:lang w:val="en-GB"/>
            </w:rPr>
            <w:fldChar w:fldCharType="begin"/>
          </w:r>
          <w:r w:rsidR="007541FC" w:rsidRPr="007E6757">
            <w:rPr>
              <w:rFonts w:ascii="Times New Roman" w:hAnsi="Times New Roman" w:cs="Times New Roman"/>
              <w:sz w:val="24"/>
              <w:szCs w:val="24"/>
              <w:lang w:val="en-GB"/>
            </w:rPr>
            <w:instrText xml:space="preserve"> TOC \o "1-3" \h \z \u </w:instrText>
          </w:r>
          <w:r w:rsidRPr="007E6757">
            <w:rPr>
              <w:rFonts w:ascii="Times New Roman" w:hAnsi="Times New Roman" w:cs="Times New Roman"/>
              <w:sz w:val="24"/>
              <w:szCs w:val="24"/>
              <w:lang w:val="en-GB"/>
            </w:rPr>
            <w:fldChar w:fldCharType="separate"/>
          </w:r>
          <w:hyperlink w:anchor="_Toc55489519" w:history="1">
            <w:r w:rsidR="007541FC" w:rsidRPr="007E6757">
              <w:rPr>
                <w:rStyle w:val="Hyperlink"/>
                <w:rFonts w:ascii="Times New Roman" w:hAnsi="Times New Roman" w:cs="Times New Roman"/>
                <w:noProof/>
                <w:color w:val="auto"/>
                <w:sz w:val="24"/>
                <w:szCs w:val="24"/>
                <w:lang w:val="en-GB"/>
              </w:rPr>
              <w:t>Introduction</w:t>
            </w:r>
            <w:r w:rsidR="007541FC" w:rsidRPr="007E6757">
              <w:rPr>
                <w:rFonts w:ascii="Times New Roman" w:hAnsi="Times New Roman" w:cs="Times New Roman"/>
                <w:noProof/>
                <w:webHidden/>
                <w:sz w:val="24"/>
                <w:szCs w:val="24"/>
                <w:lang w:val="en-GB"/>
              </w:rPr>
              <w:tab/>
            </w:r>
            <w:r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_Toc55489519 \h </w:instrText>
            </w:r>
            <w:r w:rsidRPr="007E6757">
              <w:rPr>
                <w:rFonts w:ascii="Times New Roman" w:hAnsi="Times New Roman" w:cs="Times New Roman"/>
                <w:noProof/>
                <w:webHidden/>
                <w:sz w:val="24"/>
                <w:szCs w:val="24"/>
                <w:lang w:val="en-GB"/>
              </w:rPr>
            </w:r>
            <w:r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3</w:t>
            </w:r>
            <w:r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1"/>
            <w:tabs>
              <w:tab w:val="right" w:leader="dot" w:pos="9350"/>
            </w:tabs>
            <w:spacing w:line="360" w:lineRule="auto"/>
            <w:rPr>
              <w:rFonts w:ascii="Times New Roman" w:hAnsi="Times New Roman" w:cs="Times New Roman"/>
              <w:noProof/>
              <w:sz w:val="24"/>
              <w:szCs w:val="24"/>
              <w:lang w:val="en-GB"/>
            </w:rPr>
          </w:pPr>
          <w:hyperlink w:anchor="_Toc55489520" w:history="1">
            <w:r w:rsidR="007541FC" w:rsidRPr="007E6757">
              <w:rPr>
                <w:rStyle w:val="Hyperlink"/>
                <w:rFonts w:ascii="Times New Roman" w:hAnsi="Times New Roman" w:cs="Times New Roman"/>
                <w:noProof/>
                <w:color w:val="auto"/>
                <w:sz w:val="24"/>
                <w:szCs w:val="24"/>
                <w:lang w:val="en-GB"/>
              </w:rPr>
              <w:t>Question 1</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_Toc55489520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3</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2"/>
            <w:tabs>
              <w:tab w:val="right" w:leader="dot" w:pos="9350"/>
            </w:tabs>
            <w:spacing w:line="360" w:lineRule="auto"/>
            <w:rPr>
              <w:rFonts w:ascii="Times New Roman" w:hAnsi="Times New Roman" w:cs="Times New Roman"/>
              <w:noProof/>
              <w:sz w:val="24"/>
              <w:szCs w:val="24"/>
              <w:lang w:val="en-GB"/>
            </w:rPr>
          </w:pPr>
          <w:hyperlink w:anchor="_Toc55489521" w:history="1">
            <w:r w:rsidR="007541FC" w:rsidRPr="007E6757">
              <w:rPr>
                <w:rStyle w:val="Hyperlink"/>
                <w:rFonts w:ascii="Times New Roman" w:hAnsi="Times New Roman" w:cs="Times New Roman"/>
                <w:noProof/>
                <w:color w:val="auto"/>
                <w:sz w:val="24"/>
                <w:szCs w:val="24"/>
                <w:lang w:val="en-GB"/>
              </w:rPr>
              <w:t>a) Income statement and statement of financial position</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_Toc55489521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3</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2"/>
            <w:tabs>
              <w:tab w:val="right" w:leader="dot" w:pos="9350"/>
            </w:tabs>
            <w:spacing w:line="360" w:lineRule="auto"/>
            <w:rPr>
              <w:rFonts w:ascii="Times New Roman" w:hAnsi="Times New Roman" w:cs="Times New Roman"/>
              <w:noProof/>
              <w:sz w:val="24"/>
              <w:szCs w:val="24"/>
              <w:lang w:val="en-GB"/>
            </w:rPr>
          </w:pPr>
          <w:hyperlink w:anchor="_Toc55489522" w:history="1">
            <w:r w:rsidR="007541FC" w:rsidRPr="007E6757">
              <w:rPr>
                <w:rStyle w:val="Hyperlink"/>
                <w:rFonts w:ascii="Times New Roman" w:hAnsi="Times New Roman" w:cs="Times New Roman"/>
                <w:noProof/>
                <w:color w:val="auto"/>
                <w:sz w:val="24"/>
                <w:szCs w:val="24"/>
                <w:lang w:val="en-GB"/>
              </w:rPr>
              <w:t>b) Balance of financial positions</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_Toc55489522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6</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1"/>
            <w:tabs>
              <w:tab w:val="right" w:leader="dot" w:pos="9350"/>
            </w:tabs>
            <w:spacing w:line="360" w:lineRule="auto"/>
            <w:rPr>
              <w:rFonts w:ascii="Times New Roman" w:hAnsi="Times New Roman" w:cs="Times New Roman"/>
              <w:noProof/>
              <w:sz w:val="24"/>
              <w:szCs w:val="24"/>
              <w:lang w:val="en-GB"/>
            </w:rPr>
          </w:pPr>
          <w:hyperlink w:anchor="_Toc55489523" w:history="1">
            <w:r w:rsidR="007541FC" w:rsidRPr="007E6757">
              <w:rPr>
                <w:rStyle w:val="Hyperlink"/>
                <w:rFonts w:ascii="Times New Roman" w:hAnsi="Times New Roman" w:cs="Times New Roman"/>
                <w:noProof/>
                <w:color w:val="auto"/>
                <w:sz w:val="24"/>
                <w:szCs w:val="24"/>
                <w:lang w:val="en-GB"/>
              </w:rPr>
              <w:t>Question 2</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_Toc55489523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7</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2"/>
            <w:tabs>
              <w:tab w:val="right" w:leader="dot" w:pos="9350"/>
            </w:tabs>
            <w:spacing w:line="360" w:lineRule="auto"/>
            <w:rPr>
              <w:rFonts w:ascii="Times New Roman" w:hAnsi="Times New Roman" w:cs="Times New Roman"/>
              <w:noProof/>
              <w:sz w:val="24"/>
              <w:szCs w:val="24"/>
              <w:lang w:val="en-GB"/>
            </w:rPr>
          </w:pPr>
          <w:hyperlink w:anchor="_Toc55489524" w:history="1">
            <w:r w:rsidR="007541FC" w:rsidRPr="007E6757">
              <w:rPr>
                <w:rStyle w:val="Hyperlink"/>
                <w:rFonts w:ascii="Times New Roman" w:hAnsi="Times New Roman" w:cs="Times New Roman"/>
                <w:noProof/>
                <w:color w:val="auto"/>
                <w:sz w:val="24"/>
                <w:szCs w:val="24"/>
                <w:lang w:val="en-GB"/>
              </w:rPr>
              <w:t>a) Ratio schedules for Chocco plc for 2019 and 2018</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_Toc55489524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7</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2"/>
            <w:tabs>
              <w:tab w:val="right" w:leader="dot" w:pos="9350"/>
            </w:tabs>
            <w:spacing w:line="360" w:lineRule="auto"/>
            <w:rPr>
              <w:rFonts w:ascii="Times New Roman" w:hAnsi="Times New Roman" w:cs="Times New Roman"/>
              <w:noProof/>
              <w:sz w:val="24"/>
              <w:szCs w:val="24"/>
              <w:lang w:val="en-GB"/>
            </w:rPr>
          </w:pPr>
          <w:hyperlink w:anchor="_Toc55489525" w:history="1">
            <w:r w:rsidR="007541FC" w:rsidRPr="007E6757">
              <w:rPr>
                <w:rStyle w:val="Hyperlink"/>
                <w:rFonts w:ascii="Times New Roman" w:hAnsi="Times New Roman" w:cs="Times New Roman"/>
                <w:noProof/>
                <w:color w:val="auto"/>
                <w:sz w:val="24"/>
                <w:szCs w:val="24"/>
                <w:lang w:val="en-GB"/>
              </w:rPr>
              <w:t>b) Financial performance and position of the company</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_Toc55489525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11</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2"/>
            <w:tabs>
              <w:tab w:val="right" w:leader="dot" w:pos="9350"/>
            </w:tabs>
            <w:spacing w:line="360" w:lineRule="auto"/>
            <w:rPr>
              <w:rFonts w:ascii="Times New Roman" w:hAnsi="Times New Roman" w:cs="Times New Roman"/>
              <w:noProof/>
              <w:sz w:val="24"/>
              <w:szCs w:val="24"/>
              <w:lang w:val="en-GB"/>
            </w:rPr>
          </w:pPr>
          <w:hyperlink w:anchor="_Toc55489526" w:history="1">
            <w:r w:rsidR="007541FC" w:rsidRPr="007E6757">
              <w:rPr>
                <w:rStyle w:val="Hyperlink"/>
                <w:rFonts w:ascii="Times New Roman" w:hAnsi="Times New Roman" w:cs="Times New Roman"/>
                <w:noProof/>
                <w:color w:val="auto"/>
                <w:sz w:val="24"/>
                <w:szCs w:val="24"/>
                <w:lang w:val="en-GB"/>
              </w:rPr>
              <w:t>Conclusion</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_Toc55489526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11</w:t>
            </w:r>
            <w:r w:rsidR="00000D71" w:rsidRPr="007E6757">
              <w:rPr>
                <w:rFonts w:ascii="Times New Roman" w:hAnsi="Times New Roman" w:cs="Times New Roman"/>
                <w:noProof/>
                <w:webHidden/>
                <w:sz w:val="24"/>
                <w:szCs w:val="24"/>
                <w:lang w:val="en-GB"/>
              </w:rPr>
              <w:fldChar w:fldCharType="end"/>
            </w:r>
          </w:hyperlink>
        </w:p>
        <w:p w:rsidR="007541FC" w:rsidRPr="007E6757" w:rsidRDefault="00C06C39" w:rsidP="007541FC">
          <w:pPr>
            <w:pStyle w:val="TOC1"/>
            <w:tabs>
              <w:tab w:val="right" w:leader="dot" w:pos="9350"/>
            </w:tabs>
            <w:spacing w:line="360" w:lineRule="auto"/>
            <w:rPr>
              <w:rFonts w:ascii="Times New Roman" w:hAnsi="Times New Roman" w:cs="Times New Roman"/>
              <w:noProof/>
              <w:sz w:val="24"/>
              <w:szCs w:val="24"/>
              <w:lang w:val="en-GB"/>
            </w:rPr>
          </w:pPr>
          <w:hyperlink w:anchor="_Toc55489527" w:history="1">
            <w:r w:rsidR="007541FC" w:rsidRPr="007E6757">
              <w:rPr>
                <w:rStyle w:val="Hyperlink"/>
                <w:rFonts w:ascii="Times New Roman" w:hAnsi="Times New Roman" w:cs="Times New Roman"/>
                <w:noProof/>
                <w:color w:val="auto"/>
                <w:sz w:val="24"/>
                <w:szCs w:val="24"/>
                <w:bdr w:val="none" w:sz="0" w:space="0" w:color="auto" w:frame="1"/>
                <w:lang w:val="en-GB"/>
              </w:rPr>
              <w:t>References</w:t>
            </w:r>
            <w:r w:rsidR="007541FC" w:rsidRPr="007E6757">
              <w:rPr>
                <w:rFonts w:ascii="Times New Roman" w:hAnsi="Times New Roman" w:cs="Times New Roman"/>
                <w:noProof/>
                <w:webHidden/>
                <w:sz w:val="24"/>
                <w:szCs w:val="24"/>
                <w:lang w:val="en-GB"/>
              </w:rPr>
              <w:tab/>
            </w:r>
            <w:r w:rsidR="00000D71" w:rsidRPr="007E6757">
              <w:rPr>
                <w:rFonts w:ascii="Times New Roman" w:hAnsi="Times New Roman" w:cs="Times New Roman"/>
                <w:noProof/>
                <w:webHidden/>
                <w:sz w:val="24"/>
                <w:szCs w:val="24"/>
                <w:lang w:val="en-GB"/>
              </w:rPr>
              <w:fldChar w:fldCharType="begin"/>
            </w:r>
            <w:r w:rsidR="007541FC" w:rsidRPr="007E6757">
              <w:rPr>
                <w:rFonts w:ascii="Times New Roman" w:hAnsi="Times New Roman" w:cs="Times New Roman"/>
                <w:noProof/>
                <w:webHidden/>
                <w:sz w:val="24"/>
                <w:szCs w:val="24"/>
                <w:lang w:val="en-GB"/>
              </w:rPr>
              <w:instrText xml:space="preserve"> PAGEREF _Toc55489527 \h </w:instrText>
            </w:r>
            <w:r w:rsidR="00000D71" w:rsidRPr="007E6757">
              <w:rPr>
                <w:rFonts w:ascii="Times New Roman" w:hAnsi="Times New Roman" w:cs="Times New Roman"/>
                <w:noProof/>
                <w:webHidden/>
                <w:sz w:val="24"/>
                <w:szCs w:val="24"/>
                <w:lang w:val="en-GB"/>
              </w:rPr>
            </w:r>
            <w:r w:rsidR="00000D71" w:rsidRPr="007E6757">
              <w:rPr>
                <w:rFonts w:ascii="Times New Roman" w:hAnsi="Times New Roman" w:cs="Times New Roman"/>
                <w:noProof/>
                <w:webHidden/>
                <w:sz w:val="24"/>
                <w:szCs w:val="24"/>
                <w:lang w:val="en-GB"/>
              </w:rPr>
              <w:fldChar w:fldCharType="separate"/>
            </w:r>
            <w:r w:rsidR="007541FC" w:rsidRPr="007E6757">
              <w:rPr>
                <w:rFonts w:ascii="Times New Roman" w:hAnsi="Times New Roman" w:cs="Times New Roman"/>
                <w:noProof/>
                <w:webHidden/>
                <w:sz w:val="24"/>
                <w:szCs w:val="24"/>
                <w:lang w:val="en-GB"/>
              </w:rPr>
              <w:t>13</w:t>
            </w:r>
            <w:r w:rsidR="00000D71" w:rsidRPr="007E6757">
              <w:rPr>
                <w:rFonts w:ascii="Times New Roman" w:hAnsi="Times New Roman" w:cs="Times New Roman"/>
                <w:noProof/>
                <w:webHidden/>
                <w:sz w:val="24"/>
                <w:szCs w:val="24"/>
                <w:lang w:val="en-GB"/>
              </w:rPr>
              <w:fldChar w:fldCharType="end"/>
            </w:r>
          </w:hyperlink>
        </w:p>
        <w:p w:rsidR="007541FC" w:rsidRPr="007E6757" w:rsidRDefault="00000D71" w:rsidP="007541FC">
          <w:pPr>
            <w:spacing w:line="360" w:lineRule="auto"/>
            <w:rPr>
              <w:lang w:val="en-GB"/>
            </w:rPr>
          </w:pPr>
          <w:r w:rsidRPr="007E6757">
            <w:rPr>
              <w:rFonts w:ascii="Times New Roman" w:hAnsi="Times New Roman" w:cs="Times New Roman"/>
              <w:sz w:val="24"/>
              <w:szCs w:val="24"/>
              <w:lang w:val="en-GB"/>
            </w:rPr>
            <w:fldChar w:fldCharType="end"/>
          </w:r>
        </w:p>
      </w:sdtContent>
    </w:sdt>
    <w:p w:rsidR="007541FC" w:rsidRPr="007E6757" w:rsidRDefault="007541FC">
      <w:pPr>
        <w:rPr>
          <w:rFonts w:ascii="Times New Roman" w:hAnsi="Times New Roman"/>
          <w:b/>
          <w:sz w:val="24"/>
          <w:szCs w:val="40"/>
          <w:lang w:val="en-GB"/>
        </w:rPr>
      </w:pPr>
      <w:bookmarkStart w:id="1" w:name="_Toc55489519"/>
      <w:r w:rsidRPr="007E6757">
        <w:rPr>
          <w:lang w:val="en-GB"/>
        </w:rPr>
        <w:br w:type="page"/>
      </w:r>
    </w:p>
    <w:p w:rsidR="007756EC" w:rsidRPr="007E6757" w:rsidRDefault="00A0426D" w:rsidP="007541FC">
      <w:pPr>
        <w:pStyle w:val="Heading1"/>
        <w:rPr>
          <w:lang w:val="en-GB"/>
        </w:rPr>
      </w:pPr>
      <w:r w:rsidRPr="007E6757">
        <w:rPr>
          <w:lang w:val="en-GB"/>
        </w:rPr>
        <w:lastRenderedPageBreak/>
        <w:t>Introduction</w:t>
      </w:r>
      <w:bookmarkEnd w:id="1"/>
      <w:r w:rsidRPr="007E6757">
        <w:rPr>
          <w:lang w:val="en-GB"/>
        </w:rPr>
        <w:t xml:space="preserve">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process of accounting involves recording and management of financial information and data of an organisation effectively to take effective decisions in the organisations. The fundamentals of accounting mainly deal with three major areas: capital of the organisation, liabilities, and assets. </w:t>
      </w:r>
      <w:r w:rsidR="003049C0" w:rsidRPr="007E6757">
        <w:rPr>
          <w:rFonts w:ascii="Times New Roman" w:eastAsia="Times New Roman" w:hAnsi="Times New Roman" w:cs="Times New Roman"/>
          <w:sz w:val="24"/>
          <w:szCs w:val="24"/>
          <w:lang w:val="en-GB"/>
        </w:rPr>
        <w:t>Companies generally use</w:t>
      </w:r>
      <w:r w:rsidRPr="007E6757">
        <w:rPr>
          <w:rFonts w:ascii="Times New Roman" w:eastAsia="Times New Roman" w:hAnsi="Times New Roman" w:cs="Times New Roman"/>
          <w:sz w:val="24"/>
          <w:szCs w:val="24"/>
          <w:lang w:val="en-GB"/>
        </w:rPr>
        <w:t xml:space="preserve"> the processes of effective accounting also to measure and understand the position in which it stands in an economic sense. However, it is also important to remember that reports of accounting also include the utmost importance of different outside entities like the regulatory </w:t>
      </w:r>
      <w:r w:rsidR="009F7B60" w:rsidRPr="007E6757">
        <w:rPr>
          <w:rFonts w:ascii="Times New Roman" w:eastAsia="Times New Roman" w:hAnsi="Times New Roman" w:cs="Times New Roman"/>
          <w:sz w:val="24"/>
          <w:szCs w:val="24"/>
          <w:lang w:val="en-GB"/>
        </w:rPr>
        <w:t>body’s</w:t>
      </w:r>
      <w:r w:rsidRPr="007E6757">
        <w:rPr>
          <w:rFonts w:ascii="Times New Roman" w:eastAsia="Times New Roman" w:hAnsi="Times New Roman" w:cs="Times New Roman"/>
          <w:sz w:val="24"/>
          <w:szCs w:val="24"/>
          <w:lang w:val="en-GB"/>
        </w:rPr>
        <w:t xml:space="preserve"> creditors, and the investors in the organisations. In this study, following the principles of accounting, financial statements have been prepared and analysed to understand the position of the organisation and also recognise the measurement problems that can arise from the financial accounting process followed in the company. </w:t>
      </w:r>
    </w:p>
    <w:p w:rsidR="007756EC" w:rsidRPr="007E6757" w:rsidRDefault="00A0426D" w:rsidP="007541FC">
      <w:pPr>
        <w:pStyle w:val="Heading1"/>
        <w:rPr>
          <w:lang w:val="en-GB"/>
        </w:rPr>
      </w:pPr>
      <w:bookmarkStart w:id="2" w:name="_Toc55489520"/>
      <w:r w:rsidRPr="007E6757">
        <w:rPr>
          <w:lang w:val="en-GB"/>
        </w:rPr>
        <w:t>Question 1</w:t>
      </w:r>
      <w:bookmarkEnd w:id="2"/>
    </w:p>
    <w:p w:rsidR="007756EC" w:rsidRPr="007E6757" w:rsidRDefault="00A0426D" w:rsidP="007541FC">
      <w:pPr>
        <w:pStyle w:val="Heading2"/>
        <w:rPr>
          <w:lang w:val="en-GB"/>
        </w:rPr>
      </w:pPr>
      <w:bookmarkStart w:id="3" w:name="_Toc55489521"/>
      <w:r w:rsidRPr="007E6757">
        <w:rPr>
          <w:lang w:val="en-GB"/>
        </w:rPr>
        <w:t>a) Income statement and statement of financial position</w:t>
      </w:r>
      <w:bookmarkEnd w:id="3"/>
      <w:r w:rsidRPr="007E6757">
        <w:rPr>
          <w:lang w:val="en-GB"/>
        </w:rPr>
        <w:t xml:space="preserve">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In the income statement of the company, mainly the profit and the loss statements of operations are highlighted. It provides a summary of the financial transactions and the operations over a </w:t>
      </w:r>
      <w:r w:rsidR="009F7B60" w:rsidRPr="007E6757">
        <w:rPr>
          <w:rFonts w:ascii="Times New Roman" w:eastAsia="Times New Roman" w:hAnsi="Times New Roman" w:cs="Times New Roman"/>
          <w:sz w:val="24"/>
          <w:szCs w:val="24"/>
          <w:lang w:val="en-GB"/>
        </w:rPr>
        <w:t>period</w:t>
      </w:r>
      <w:r w:rsidRPr="007E6757">
        <w:rPr>
          <w:rFonts w:ascii="Times New Roman" w:eastAsia="Times New Roman" w:hAnsi="Times New Roman" w:cs="Times New Roman"/>
          <w:sz w:val="24"/>
          <w:szCs w:val="24"/>
          <w:lang w:val="en-GB"/>
        </w:rPr>
        <w:t>. Analysis of the income statement of a company helps to understand the expense incurred by the organisation while generating revenue (</w:t>
      </w:r>
      <w:r w:rsidRPr="007E6757">
        <w:rPr>
          <w:rFonts w:ascii="Times New Roman" w:eastAsia="Times New Roman" w:hAnsi="Times New Roman" w:cs="Times New Roman"/>
          <w:color w:val="222222"/>
          <w:sz w:val="24"/>
          <w:szCs w:val="24"/>
          <w:highlight w:val="white"/>
          <w:lang w:val="en-GB"/>
        </w:rPr>
        <w:t>Al Hayek, 2018, p. 179</w:t>
      </w:r>
      <w:r w:rsidRPr="007E6757">
        <w:rPr>
          <w:rFonts w:ascii="Times New Roman" w:eastAsia="Times New Roman" w:hAnsi="Times New Roman" w:cs="Times New Roman"/>
          <w:sz w:val="24"/>
          <w:szCs w:val="24"/>
          <w:lang w:val="en-GB"/>
        </w:rPr>
        <w:t xml:space="preserve">). Below is the income statement prepared for Eccles Plc on the basis of their balances at the end of 31st December 2018 year. </w:t>
      </w:r>
    </w:p>
    <w:tbl>
      <w:tblPr>
        <w:tblW w:w="8340" w:type="dxa"/>
        <w:jc w:val="center"/>
        <w:tblLook w:val="04A0" w:firstRow="1" w:lastRow="0" w:firstColumn="1" w:lastColumn="0" w:noHBand="0" w:noVBand="1"/>
      </w:tblPr>
      <w:tblGrid>
        <w:gridCol w:w="3760"/>
        <w:gridCol w:w="1760"/>
        <w:gridCol w:w="2820"/>
      </w:tblGrid>
      <w:tr w:rsidR="00FA2783" w:rsidRPr="007E6757" w:rsidTr="00FA2783">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Income statement of Eccles plc</w:t>
            </w:r>
          </w:p>
        </w:tc>
        <w:tc>
          <w:tcPr>
            <w:tcW w:w="1760" w:type="dxa"/>
            <w:tcBorders>
              <w:top w:val="single" w:sz="4" w:space="0" w:color="auto"/>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Year 2018</w:t>
            </w:r>
          </w:p>
        </w:tc>
        <w:tc>
          <w:tcPr>
            <w:tcW w:w="2820" w:type="dxa"/>
            <w:tcBorders>
              <w:top w:val="single" w:sz="4" w:space="0" w:color="auto"/>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Year 2019 </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Particulars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Amount (£)</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Amount (£)</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Sales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826,650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909315</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Retained profit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132,000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145200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net revenue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958,650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764115</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Cost of sales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578,650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636515</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Gross profit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380,000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127600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Expenses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lastRenderedPageBreak/>
              <w:t>Administrative expenses</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33000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Selling costs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396,480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436128</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Distribution costs</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28,000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30800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expense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454,480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499928</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Interest Expense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2200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Profit before taxation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377,020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497728</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Taxation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68,000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74800</w:t>
            </w:r>
          </w:p>
        </w:tc>
      </w:tr>
      <w:tr w:rsidR="00FA2783" w:rsidRPr="007E6757" w:rsidTr="00FA2783">
        <w:trPr>
          <w:trHeight w:val="300"/>
          <w:jc w:val="center"/>
        </w:trPr>
        <w:tc>
          <w:tcPr>
            <w:tcW w:w="3760" w:type="dxa"/>
            <w:tcBorders>
              <w:top w:val="nil"/>
              <w:left w:val="single" w:sz="4" w:space="0" w:color="auto"/>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Net profit </w:t>
            </w:r>
          </w:p>
        </w:tc>
        <w:tc>
          <w:tcPr>
            <w:tcW w:w="176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309,020</w:t>
            </w:r>
          </w:p>
        </w:tc>
        <w:tc>
          <w:tcPr>
            <w:tcW w:w="2820" w:type="dxa"/>
            <w:tcBorders>
              <w:top w:val="nil"/>
              <w:left w:val="nil"/>
              <w:bottom w:val="single" w:sz="4" w:space="0" w:color="auto"/>
              <w:right w:val="single" w:sz="4" w:space="0" w:color="auto"/>
            </w:tcBorders>
            <w:shd w:val="clear" w:color="000000" w:fill="D7E4B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422928</w:t>
            </w:r>
          </w:p>
        </w:tc>
      </w:tr>
    </w:tbl>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Table 1: Income statement </w:t>
      </w:r>
    </w:p>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2E5342" w:rsidRPr="007E6757" w:rsidRDefault="002E5342">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noProof/>
          <w:sz w:val="24"/>
          <w:szCs w:val="24"/>
          <w:lang w:val="en-GB" w:eastAsia="en-GB"/>
        </w:rPr>
        <w:drawing>
          <wp:inline distT="0" distB="0" distL="0" distR="0">
            <wp:extent cx="5146159"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E5342" w:rsidRPr="007E6757" w:rsidRDefault="002E5342" w:rsidP="002E5342">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Figure 1: Income statement </w:t>
      </w:r>
    </w:p>
    <w:p w:rsidR="002E5342" w:rsidRPr="007E6757" w:rsidRDefault="002E5342">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From the above income statement of the company prepared, it has been observed that the net profit of the company is quite high when compared with the overall expenses incurred in the organisation and the taxation paid. With a sales rate of £826,650, the gross profit of the company </w:t>
      </w:r>
      <w:r w:rsidRPr="007E6757">
        <w:rPr>
          <w:rFonts w:ascii="Times New Roman" w:eastAsia="Times New Roman" w:hAnsi="Times New Roman" w:cs="Times New Roman"/>
          <w:sz w:val="24"/>
          <w:szCs w:val="24"/>
          <w:lang w:val="en-GB"/>
        </w:rPr>
        <w:lastRenderedPageBreak/>
        <w:t xml:space="preserve">is calculated to be £380,000 and the net profit rate is calculated to be £309,020. The estimation of income statement even stated that is a chance of an increase in profitability in the next year in the company even with an increase of expense incurred. The positive net profit rate in the company denotes that it stands in a good position in terms of profitability. It also signifies that the company is liquid and capable to pay off the operating expenses and financial liabilities (Ferrero, 2020, p. 56). </w:t>
      </w:r>
    </w:p>
    <w:p w:rsidR="007756EC" w:rsidRPr="007E6757" w:rsidRDefault="00A0426D">
      <w:pPr>
        <w:pStyle w:val="Normal1"/>
        <w:shd w:val="clear" w:color="auto" w:fill="FFFFFF"/>
        <w:spacing w:before="240" w:line="360" w:lineRule="auto"/>
        <w:rPr>
          <w:rFonts w:ascii="Times New Roman" w:eastAsia="Times New Roman" w:hAnsi="Times New Roman" w:cs="Times New Roman"/>
          <w:b/>
          <w:i/>
          <w:sz w:val="24"/>
          <w:szCs w:val="24"/>
          <w:lang w:val="en-GB"/>
        </w:rPr>
      </w:pPr>
      <w:r w:rsidRPr="007E6757">
        <w:rPr>
          <w:rFonts w:ascii="Times New Roman" w:eastAsia="Times New Roman" w:hAnsi="Times New Roman" w:cs="Times New Roman"/>
          <w:b/>
          <w:i/>
          <w:sz w:val="24"/>
          <w:szCs w:val="24"/>
          <w:lang w:val="en-GB"/>
        </w:rPr>
        <w:t xml:space="preserve">Financial position statement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financial position statement of a company represents the equity, liabilities, and assets of the business at a particular point in time. Assets in an accounting sense can represent anything that is owned by the business like the property, equipment, cash, stocks, and plants (Mućko </w:t>
      </w:r>
      <w:r w:rsidRPr="007E6757">
        <w:rPr>
          <w:rFonts w:ascii="Times New Roman" w:eastAsia="Times New Roman" w:hAnsi="Times New Roman" w:cs="Times New Roman"/>
          <w:i/>
          <w:sz w:val="24"/>
          <w:szCs w:val="24"/>
          <w:lang w:val="en-GB"/>
        </w:rPr>
        <w:t>et al.</w:t>
      </w:r>
      <w:r w:rsidRPr="007E6757">
        <w:rPr>
          <w:rFonts w:ascii="Times New Roman" w:eastAsia="Times New Roman" w:hAnsi="Times New Roman" w:cs="Times New Roman"/>
          <w:sz w:val="24"/>
          <w:szCs w:val="24"/>
          <w:lang w:val="en-GB"/>
        </w:rPr>
        <w:t xml:space="preserve"> 2019, p. 203). It is referred to as simply the balances that remain on the ledger after the income statement of the company is prepared. In a financial statement of a company, it is important to balance or agree on the two sides of the statement. </w:t>
      </w:r>
    </w:p>
    <w:p w:rsidR="00336E87" w:rsidRPr="007E6757" w:rsidRDefault="00336E87">
      <w:pPr>
        <w:pStyle w:val="Normal1"/>
        <w:shd w:val="clear" w:color="auto" w:fill="FFFFFF"/>
        <w:spacing w:before="240" w:line="360" w:lineRule="auto"/>
        <w:jc w:val="both"/>
        <w:rPr>
          <w:rFonts w:ascii="Times New Roman" w:eastAsia="Times New Roman" w:hAnsi="Times New Roman" w:cs="Times New Roman"/>
          <w:sz w:val="24"/>
          <w:szCs w:val="24"/>
          <w:lang w:val="en-GB"/>
        </w:rPr>
      </w:pPr>
    </w:p>
    <w:tbl>
      <w:tblPr>
        <w:tblW w:w="7220" w:type="dxa"/>
        <w:jc w:val="center"/>
        <w:tblLook w:val="04A0" w:firstRow="1" w:lastRow="0" w:firstColumn="1" w:lastColumn="0" w:noHBand="0" w:noVBand="1"/>
      </w:tblPr>
      <w:tblGrid>
        <w:gridCol w:w="5380"/>
        <w:gridCol w:w="1840"/>
      </w:tblGrid>
      <w:tr w:rsidR="00FA2783" w:rsidRPr="007E6757" w:rsidTr="00FA2783">
        <w:trPr>
          <w:trHeight w:val="300"/>
          <w:jc w:val="center"/>
        </w:trPr>
        <w:tc>
          <w:tcPr>
            <w:tcW w:w="5380" w:type="dxa"/>
            <w:tcBorders>
              <w:top w:val="single" w:sz="4" w:space="0" w:color="auto"/>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Eccles plc Financial position as per 31st December 2018</w:t>
            </w:r>
          </w:p>
        </w:tc>
        <w:tc>
          <w:tcPr>
            <w:tcW w:w="1840" w:type="dxa"/>
            <w:tcBorders>
              <w:top w:val="single" w:sz="4" w:space="0" w:color="auto"/>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Amount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Assets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Non-current(fixed) assets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Plants and Equipments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632,730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Current </w:t>
            </w:r>
            <w:r w:rsidR="00336E87" w:rsidRPr="007E6757">
              <w:rPr>
                <w:rFonts w:ascii="Times New Roman" w:eastAsia="Times New Roman" w:hAnsi="Times New Roman" w:cs="Times New Roman"/>
                <w:b/>
                <w:bCs/>
                <w:color w:val="000000"/>
                <w:sz w:val="24"/>
                <w:szCs w:val="24"/>
                <w:lang w:val="en-GB"/>
              </w:rPr>
              <w:t>assets</w:t>
            </w:r>
            <w:r w:rsidRPr="007E6757">
              <w:rPr>
                <w:rFonts w:ascii="Times New Roman" w:eastAsia="Times New Roman" w:hAnsi="Times New Roman" w:cs="Times New Roman"/>
                <w:b/>
                <w:bCs/>
                <w:color w:val="000000"/>
                <w:sz w:val="24"/>
                <w:szCs w:val="24"/>
                <w:lang w:val="en-GB"/>
              </w:rPr>
              <w:t xml:space="preserve">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Stocks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330600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336E87"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Receivable</w:t>
            </w:r>
            <w:r w:rsidR="00FA2783" w:rsidRPr="007E6757">
              <w:rPr>
                <w:rFonts w:ascii="Times New Roman" w:eastAsia="Times New Roman" w:hAnsi="Times New Roman" w:cs="Times New Roman"/>
                <w:color w:val="000000"/>
                <w:sz w:val="24"/>
                <w:szCs w:val="24"/>
                <w:lang w:val="en-GB"/>
              </w:rPr>
              <w:t xml:space="preserve"> amounts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170,125</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Cash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12,900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513625</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w:t>
            </w:r>
            <w:r w:rsidR="00336E87" w:rsidRPr="007E6757">
              <w:rPr>
                <w:rFonts w:ascii="Times New Roman" w:eastAsia="Times New Roman" w:hAnsi="Times New Roman" w:cs="Times New Roman"/>
                <w:b/>
                <w:bCs/>
                <w:color w:val="000000"/>
                <w:sz w:val="24"/>
                <w:szCs w:val="24"/>
                <w:lang w:val="en-GB"/>
              </w:rPr>
              <w:t>assets</w:t>
            </w:r>
            <w:r w:rsidRPr="007E6757">
              <w:rPr>
                <w:rFonts w:ascii="Times New Roman" w:eastAsia="Times New Roman" w:hAnsi="Times New Roman" w:cs="Times New Roman"/>
                <w:b/>
                <w:bCs/>
                <w:color w:val="000000"/>
                <w:sz w:val="24"/>
                <w:szCs w:val="24"/>
                <w:lang w:val="en-GB"/>
              </w:rPr>
              <w:t xml:space="preserve">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1,146,355</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Liabilities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Current liabilities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Amount payable to the creditor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171,355</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Tax payable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68000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lastRenderedPageBreak/>
              <w:t>Non-current liabilities</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Debentures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100,000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liabilities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271,355</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w:t>
            </w:r>
            <w:r w:rsidR="00336E87" w:rsidRPr="007E6757">
              <w:rPr>
                <w:rFonts w:ascii="Times New Roman" w:eastAsia="Times New Roman" w:hAnsi="Times New Roman" w:cs="Times New Roman"/>
                <w:b/>
                <w:bCs/>
                <w:color w:val="000000"/>
                <w:sz w:val="24"/>
                <w:szCs w:val="24"/>
                <w:lang w:val="en-GB"/>
              </w:rPr>
              <w:t>assets</w:t>
            </w:r>
            <w:r w:rsidRPr="007E6757">
              <w:rPr>
                <w:rFonts w:ascii="Times New Roman" w:eastAsia="Times New Roman" w:hAnsi="Times New Roman" w:cs="Times New Roman"/>
                <w:b/>
                <w:bCs/>
                <w:color w:val="000000"/>
                <w:sz w:val="24"/>
                <w:szCs w:val="24"/>
                <w:lang w:val="en-GB"/>
              </w:rPr>
              <w:t xml:space="preserve">- liabilities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875,000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Shareholder Equity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Share capital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610000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Retained earnings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132000</w:t>
            </w:r>
          </w:p>
        </w:tc>
      </w:tr>
      <w:tr w:rsidR="00FA2783" w:rsidRPr="007E6757" w:rsidTr="00FA2783">
        <w:trPr>
          <w:trHeight w:val="300"/>
          <w:jc w:val="center"/>
        </w:trPr>
        <w:tc>
          <w:tcPr>
            <w:tcW w:w="5380" w:type="dxa"/>
            <w:tcBorders>
              <w:top w:val="nil"/>
              <w:left w:val="single" w:sz="4" w:space="0" w:color="auto"/>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Total Shareholder Equity </w:t>
            </w:r>
          </w:p>
        </w:tc>
        <w:tc>
          <w:tcPr>
            <w:tcW w:w="1840" w:type="dxa"/>
            <w:tcBorders>
              <w:top w:val="nil"/>
              <w:left w:val="nil"/>
              <w:bottom w:val="single" w:sz="4" w:space="0" w:color="auto"/>
              <w:right w:val="single" w:sz="4" w:space="0" w:color="auto"/>
            </w:tcBorders>
            <w:shd w:val="clear" w:color="000000" w:fill="FFFFCC"/>
            <w:noWrap/>
            <w:vAlign w:val="bottom"/>
            <w:hideMark/>
          </w:tcPr>
          <w:p w:rsidR="00FA2783" w:rsidRPr="007E6757" w:rsidRDefault="00FA2783" w:rsidP="00FA2783">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742000</w:t>
            </w:r>
          </w:p>
        </w:tc>
      </w:tr>
    </w:tbl>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Table 2: Financial position evaluation as per </w:t>
      </w:r>
      <w:r w:rsidR="00FA2783" w:rsidRPr="007E6757">
        <w:rPr>
          <w:rFonts w:ascii="Times New Roman" w:eastAsia="Times New Roman" w:hAnsi="Times New Roman" w:cs="Times New Roman"/>
          <w:b/>
          <w:sz w:val="24"/>
          <w:szCs w:val="24"/>
          <w:lang w:val="en-GB"/>
        </w:rPr>
        <w:t>31</w:t>
      </w:r>
      <w:r w:rsidRPr="007E6757">
        <w:rPr>
          <w:rFonts w:ascii="Times New Roman" w:eastAsia="Times New Roman" w:hAnsi="Times New Roman" w:cs="Times New Roman"/>
          <w:b/>
          <w:sz w:val="24"/>
          <w:szCs w:val="24"/>
          <w:lang w:val="en-GB"/>
        </w:rPr>
        <w:t xml:space="preserve"> December 2018</w:t>
      </w:r>
    </w:p>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Financial position of the company can be analyzed with the knowledge and understanding of the shareholder Equity of the company. In liquidation events, equity holders are generally in line with the debt holders in the process of receiving any payments. In the calculation of stockholder’s equity, the main factors that help in the analysis of the financial position of the organisation are the share capital of the company, retained earnings, net income earned by the organisation (Goud and Kumar, 2019, p. 2016). For the decision making purpose of investors in the organisation, a financial position statement can be considered an important tool. In the financial statement analysis and evaluation of the company Eccles plc</w:t>
      </w:r>
      <w:r w:rsidR="001C4846" w:rsidRPr="007E6757">
        <w:rPr>
          <w:rFonts w:ascii="Times New Roman" w:eastAsia="Times New Roman" w:hAnsi="Times New Roman" w:cs="Times New Roman"/>
          <w:sz w:val="24"/>
          <w:szCs w:val="24"/>
          <w:lang w:val="en-GB"/>
        </w:rPr>
        <w:t>, the</w:t>
      </w:r>
      <w:r w:rsidRPr="007E6757">
        <w:rPr>
          <w:rFonts w:ascii="Times New Roman" w:eastAsia="Times New Roman" w:hAnsi="Times New Roman" w:cs="Times New Roman"/>
          <w:sz w:val="24"/>
          <w:szCs w:val="24"/>
          <w:lang w:val="en-GB"/>
        </w:rPr>
        <w:t xml:space="preserve"> total assets in the organisation are 1,146,355 while the total current and non-current liabilities in the organisation include 271,355. Total shareholder capital has been calculated by subtracting retained earnings from share capital (Campbell </w:t>
      </w:r>
      <w:r w:rsidRPr="007E6757">
        <w:rPr>
          <w:rFonts w:ascii="Times New Roman" w:eastAsia="Times New Roman" w:hAnsi="Times New Roman" w:cs="Times New Roman"/>
          <w:i/>
          <w:sz w:val="24"/>
          <w:szCs w:val="24"/>
          <w:lang w:val="en-GB"/>
        </w:rPr>
        <w:t>et al.</w:t>
      </w:r>
      <w:r w:rsidRPr="007E6757">
        <w:rPr>
          <w:rFonts w:ascii="Times New Roman" w:eastAsia="Times New Roman" w:hAnsi="Times New Roman" w:cs="Times New Roman"/>
          <w:sz w:val="24"/>
          <w:szCs w:val="24"/>
          <w:lang w:val="en-GB"/>
        </w:rPr>
        <w:t xml:space="preserve"> 2018, p. 81). Therefore the total shareholder equity derived is 742000. As the shareholder equity is positive, it can be stated that the company has surplus assets that exceed the liabilities of the organisation and therefore there are chances to earn the interest of the investors in the future years of the organisation. </w:t>
      </w:r>
    </w:p>
    <w:p w:rsidR="007756EC" w:rsidRPr="007E6757" w:rsidRDefault="00A0426D" w:rsidP="007541FC">
      <w:pPr>
        <w:pStyle w:val="Heading2"/>
        <w:rPr>
          <w:lang w:val="en-GB"/>
        </w:rPr>
      </w:pPr>
      <w:bookmarkStart w:id="4" w:name="_Toc55489522"/>
      <w:r w:rsidRPr="007E6757">
        <w:rPr>
          <w:lang w:val="en-GB"/>
        </w:rPr>
        <w:t>b) Balance of financial positions</w:t>
      </w:r>
      <w:bookmarkEnd w:id="4"/>
      <w:r w:rsidRPr="007E6757">
        <w:rPr>
          <w:lang w:val="en-GB"/>
        </w:rPr>
        <w:t xml:space="preserve">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financial entity of a company at a given entity is presented in the financial position also called the Balance sheet. The leaders and managers of an organisation can evaluate the financial soundness of the company in terms of financial risks, credit risks, liquidity risks, and business </w:t>
      </w:r>
      <w:r w:rsidRPr="007E6757">
        <w:rPr>
          <w:rFonts w:ascii="Times New Roman" w:eastAsia="Times New Roman" w:hAnsi="Times New Roman" w:cs="Times New Roman"/>
          <w:sz w:val="24"/>
          <w:szCs w:val="24"/>
          <w:lang w:val="en-GB"/>
        </w:rPr>
        <w:lastRenderedPageBreak/>
        <w:t>risks</w:t>
      </w:r>
      <w:r w:rsidR="001C4846" w:rsidRPr="007E6757">
        <w:rPr>
          <w:rFonts w:ascii="Times New Roman" w:eastAsia="Times New Roman" w:hAnsi="Times New Roman" w:cs="Times New Roman"/>
          <w:sz w:val="24"/>
          <w:szCs w:val="24"/>
          <w:lang w:val="en-GB"/>
        </w:rPr>
        <w:t xml:space="preserve">. </w:t>
      </w:r>
      <w:r w:rsidRPr="007E6757">
        <w:rPr>
          <w:rFonts w:ascii="Times New Roman" w:eastAsia="Times New Roman" w:hAnsi="Times New Roman" w:cs="Times New Roman"/>
          <w:sz w:val="24"/>
          <w:szCs w:val="24"/>
          <w:lang w:val="en-GB"/>
        </w:rPr>
        <w:t xml:space="preserve">The balance sheets or the financial positions are always structured in a manner that the company’s total assets are always equal to the sum of equity and liabilities of the company (Kohler, 2020, p. 96). </w:t>
      </w:r>
      <w:r w:rsidR="001C4846" w:rsidRPr="007E6757">
        <w:rPr>
          <w:rFonts w:ascii="Times New Roman" w:eastAsia="Times New Roman" w:hAnsi="Times New Roman" w:cs="Times New Roman"/>
          <w:sz w:val="24"/>
          <w:szCs w:val="24"/>
          <w:lang w:val="en-GB"/>
        </w:rPr>
        <w:t>Therefore,</w:t>
      </w:r>
      <w:r w:rsidRPr="007E6757">
        <w:rPr>
          <w:rFonts w:ascii="Times New Roman" w:eastAsia="Times New Roman" w:hAnsi="Times New Roman" w:cs="Times New Roman"/>
          <w:sz w:val="24"/>
          <w:szCs w:val="24"/>
          <w:lang w:val="en-GB"/>
        </w:rPr>
        <w:t xml:space="preserve"> an appropriate balance sheet is always at equilibrium. One of the important reasons for the balance in the financial position is the “double-entry” accounting principles that are associated with it. In at least two minimum accounts, the transaction of the company is recorded which checks as the consistency insurance of the entries.</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assets in the financial sheets are generally financed from external credits like the trade creditors, bank loans, and others and internal sources like the profit earned and the share capital of the company. The relationship between the growth of the firm and the problems underlying the operations can be identified with the help of balance sheet analysis. In maintaining an appropriate balance sheet in the company, it is also important to remember that the total asset of the business also needs to be the same as the total amount of capital invested (Ireland, 2019, p. 69). On the other hand, it is also important to consider that any borrowing with total assets in the business needs to be equal to the sum of liabilities and equity calculated. </w:t>
      </w:r>
    </w:p>
    <w:p w:rsidR="007756EC" w:rsidRPr="007E6757" w:rsidRDefault="00A0426D" w:rsidP="007541FC">
      <w:pPr>
        <w:pStyle w:val="Heading1"/>
        <w:rPr>
          <w:lang w:val="en-GB"/>
        </w:rPr>
      </w:pPr>
      <w:bookmarkStart w:id="5" w:name="_Toc55489523"/>
      <w:r w:rsidRPr="007E6757">
        <w:rPr>
          <w:lang w:val="en-GB"/>
        </w:rPr>
        <w:t>Question 2</w:t>
      </w:r>
      <w:bookmarkEnd w:id="5"/>
      <w:r w:rsidRPr="007E6757">
        <w:rPr>
          <w:lang w:val="en-GB"/>
        </w:rPr>
        <w:t xml:space="preserve"> </w:t>
      </w:r>
    </w:p>
    <w:p w:rsidR="007756EC" w:rsidRPr="007E6757" w:rsidRDefault="00A0426D" w:rsidP="007541FC">
      <w:pPr>
        <w:pStyle w:val="Heading2"/>
        <w:rPr>
          <w:lang w:val="en-GB"/>
        </w:rPr>
      </w:pPr>
      <w:bookmarkStart w:id="6" w:name="_Toc55489524"/>
      <w:r w:rsidRPr="007E6757">
        <w:rPr>
          <w:lang w:val="en-GB"/>
        </w:rPr>
        <w:t>a) Ratio schedules for Chocco plc for 2019 and 2018</w:t>
      </w:r>
      <w:bookmarkEnd w:id="6"/>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Reinforcements are involved in the ratio schedules after a certain number of responses have been emitted in the company. In the calculation of ratios, time is an important factor to be considered. There are different types of ratio schedules that are applied in the business organization. Some of the common ratio schedules are current ratio, debt to equity ratio, and quick ratio (Aini </w:t>
      </w:r>
      <w:r w:rsidRPr="007E6757">
        <w:rPr>
          <w:rFonts w:ascii="Times New Roman" w:eastAsia="Times New Roman" w:hAnsi="Times New Roman" w:cs="Times New Roman"/>
          <w:i/>
          <w:sz w:val="24"/>
          <w:szCs w:val="24"/>
          <w:lang w:val="en-GB"/>
        </w:rPr>
        <w:t xml:space="preserve">et al. </w:t>
      </w:r>
      <w:r w:rsidRPr="007E6757">
        <w:rPr>
          <w:rFonts w:ascii="Times New Roman" w:eastAsia="Times New Roman" w:hAnsi="Times New Roman" w:cs="Times New Roman"/>
          <w:sz w:val="24"/>
          <w:szCs w:val="24"/>
          <w:lang w:val="en-GB"/>
        </w:rPr>
        <w:t xml:space="preserve">2019, p. 15). Based on the financial statements and values in the long-established confectionery and chocolate manufacturer Chocco plc of the UK, a schedule of ratios for the year 2018 and 2019 has been prepared.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Current ratio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current ratio is the liquidity ratio that measures the ability of the company to pay the obligations that are short term. It helps the investors of the company and the analysts to understand and derive ways that can help in the maximisation of current assets on the balance </w:t>
      </w:r>
      <w:r w:rsidRPr="007E6757">
        <w:rPr>
          <w:rFonts w:ascii="Times New Roman" w:eastAsia="Times New Roman" w:hAnsi="Times New Roman" w:cs="Times New Roman"/>
          <w:sz w:val="24"/>
          <w:szCs w:val="24"/>
          <w:lang w:val="en-GB"/>
        </w:rPr>
        <w:lastRenderedPageBreak/>
        <w:t xml:space="preserve">sheet to effectively satisfy the current debts and different other payables. It actually compared all the current assets of the company with the current liabilities (Irman and Purwati, 2020, p. 41). In accountancy, it is also referred to as the working capital ratio in the company.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Debt to equity ratio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This ratio is calculated by dividing the company’s total liabilities that are available by its shareholder equity. In the processes of corporate finance, the debt to equity ratio can be considered as an important metric that is used in the process of corporate finance. It is an important measure of the degree up to which organisations and firms are financing its operations effectively through debt at variance with wholly-owned funds in the company. When analysed and evaluated in a more detailed manner, debt to equity ratio also reflects the ability of equity of shareholders to shield the debts that are outstanding in the company in the business downtown event. It can be considered as a particular hearing ratio of the organization (Atmoko </w:t>
      </w:r>
      <w:r w:rsidRPr="007E6757">
        <w:rPr>
          <w:rFonts w:ascii="Times New Roman" w:eastAsia="Times New Roman" w:hAnsi="Times New Roman" w:cs="Times New Roman"/>
          <w:i/>
          <w:sz w:val="24"/>
          <w:szCs w:val="24"/>
          <w:lang w:val="en-GB"/>
        </w:rPr>
        <w:t>et al</w:t>
      </w:r>
      <w:r w:rsidRPr="007E6757">
        <w:rPr>
          <w:rFonts w:ascii="Times New Roman" w:eastAsia="Times New Roman" w:hAnsi="Times New Roman" w:cs="Times New Roman"/>
          <w:sz w:val="24"/>
          <w:szCs w:val="24"/>
          <w:lang w:val="en-GB"/>
        </w:rPr>
        <w:t xml:space="preserve">. 2018, p. 106). The debt of equity ratio is calculated by dividing the total liabilities of the company by the total shareholder’s equity.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Quick ratio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short-term liquidity of the company is an indicator of the quick ratio. It measures the ability of the company to meet the short term obligations. The ability of the company to use the near-cash assets is also reflected in quick ratio evaluation in the company. According to the opinion of Kamar (2017, p. 75), it is considered as an important conservative measure than the organisational current ratio. All current assets in the company like the current liabilities and its coverage are included in the quick ratio calculation. It is even considered that the higher the quick ratio of the company the better is the position of the liquidity of the company and finances. A lower ratio in the company may suggest that the company might have to struggle to pay the debts incurred in the organisation. In order to calculate the quick ratios in the company, the current assets and current liabilities of the company are considered. However, it is important to remember that customer payment and management of customers can </w:t>
      </w:r>
      <w:r w:rsidR="007D5043" w:rsidRPr="007E6757">
        <w:rPr>
          <w:rFonts w:ascii="Times New Roman" w:eastAsia="Times New Roman" w:hAnsi="Times New Roman" w:cs="Times New Roman"/>
          <w:sz w:val="24"/>
          <w:szCs w:val="24"/>
          <w:lang w:val="en-GB"/>
        </w:rPr>
        <w:t>affect</w:t>
      </w:r>
      <w:r w:rsidRPr="007E6757">
        <w:rPr>
          <w:rFonts w:ascii="Times New Roman" w:eastAsia="Times New Roman" w:hAnsi="Times New Roman" w:cs="Times New Roman"/>
          <w:sz w:val="24"/>
          <w:szCs w:val="24"/>
          <w:lang w:val="en-GB"/>
        </w:rPr>
        <w:t xml:space="preserve"> the quick ratio of the company.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Asset turnover ratio </w:t>
      </w:r>
    </w:p>
    <w:p w:rsidR="001C4846"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lastRenderedPageBreak/>
        <w:t xml:space="preserve">It helps the investors to understand how effectively, the company can generate sales in the organisation using their assets. The strengths and weaknesses of the company can be identified by analyzing the asset turnover ratio. It is being calculated by dividing the net sales rate of the organization by average total assets (Sunjoko and ARILYN, 2016, p. 79). The implication of the asset turnover ratio in the generation of profit and maximisation of sales rate is very important. </w:t>
      </w:r>
    </w:p>
    <w:p w:rsidR="001C4846" w:rsidRPr="007E6757" w:rsidRDefault="001C4846">
      <w:pPr>
        <w:pStyle w:val="Normal1"/>
        <w:shd w:val="clear" w:color="auto" w:fill="FFFFFF"/>
        <w:spacing w:before="240" w:line="360" w:lineRule="auto"/>
        <w:jc w:val="both"/>
        <w:rPr>
          <w:rFonts w:ascii="Times New Roman" w:eastAsia="Times New Roman" w:hAnsi="Times New Roman" w:cs="Times New Roman"/>
          <w:sz w:val="24"/>
          <w:szCs w:val="24"/>
          <w:lang w:val="en-GB"/>
        </w:rPr>
      </w:pPr>
    </w:p>
    <w:tbl>
      <w:tblPr>
        <w:tblW w:w="8900" w:type="dxa"/>
        <w:jc w:val="center"/>
        <w:tblLook w:val="04A0" w:firstRow="1" w:lastRow="0" w:firstColumn="1" w:lastColumn="0" w:noHBand="0" w:noVBand="1"/>
      </w:tblPr>
      <w:tblGrid>
        <w:gridCol w:w="4960"/>
        <w:gridCol w:w="2180"/>
        <w:gridCol w:w="1760"/>
      </w:tblGrid>
      <w:tr w:rsidR="001C4846" w:rsidRPr="007E6757" w:rsidTr="001C4846">
        <w:trPr>
          <w:trHeight w:val="300"/>
          <w:jc w:val="center"/>
        </w:trPr>
        <w:tc>
          <w:tcPr>
            <w:tcW w:w="4960" w:type="dxa"/>
            <w:tcBorders>
              <w:top w:val="single" w:sz="4" w:space="0" w:color="auto"/>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Chocco plc Ratio schedule</w:t>
            </w:r>
          </w:p>
        </w:tc>
        <w:tc>
          <w:tcPr>
            <w:tcW w:w="2180" w:type="dxa"/>
            <w:tcBorders>
              <w:top w:val="single" w:sz="4" w:space="0" w:color="auto"/>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2019</w:t>
            </w:r>
          </w:p>
        </w:tc>
        <w:tc>
          <w:tcPr>
            <w:tcW w:w="1760" w:type="dxa"/>
            <w:tcBorders>
              <w:top w:val="single" w:sz="4" w:space="0" w:color="auto"/>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2018</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Particulars </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Amount (£)</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Amount (£)</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Current assets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2,303</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2,355</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Current liabilities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2,511</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3,046</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Current ratio </w:t>
            </w:r>
          </w:p>
        </w:tc>
        <w:tc>
          <w:tcPr>
            <w:tcW w:w="218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0.917164476</w:t>
            </w:r>
          </w:p>
        </w:tc>
        <w:tc>
          <w:tcPr>
            <w:tcW w:w="176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0.773145108</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Current liabilities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2511</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3046</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336E87"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Noncurrent</w:t>
            </w:r>
            <w:r w:rsidR="001C4846" w:rsidRPr="007E6757">
              <w:rPr>
                <w:rFonts w:ascii="Times New Roman" w:eastAsia="Times New Roman" w:hAnsi="Times New Roman" w:cs="Times New Roman"/>
                <w:color w:val="000000"/>
                <w:sz w:val="24"/>
                <w:szCs w:val="24"/>
                <w:lang w:val="en-GB"/>
              </w:rPr>
              <w:t xml:space="preserve"> liabilities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4,137</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4,129</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Total liabilities </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6,648</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7,175</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Equity</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3,088</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2,912</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Debt to equity ratio</w:t>
            </w:r>
          </w:p>
        </w:tc>
        <w:tc>
          <w:tcPr>
            <w:tcW w:w="218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2.152849741</w:t>
            </w:r>
          </w:p>
        </w:tc>
        <w:tc>
          <w:tcPr>
            <w:tcW w:w="176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2.463942308</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Current assets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2511</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3046</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Inventory </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708</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659</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Current liabilities</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2511</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3046</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 xml:space="preserve">Quick ratio </w:t>
            </w:r>
          </w:p>
        </w:tc>
        <w:tc>
          <w:tcPr>
            <w:tcW w:w="218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0.718040621</w:t>
            </w:r>
          </w:p>
        </w:tc>
        <w:tc>
          <w:tcPr>
            <w:tcW w:w="176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0.783650689</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Net sales </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6,738</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6,441</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 xml:space="preserve">Total </w:t>
            </w:r>
            <w:r w:rsidR="00336E87" w:rsidRPr="007E6757">
              <w:rPr>
                <w:rFonts w:ascii="Times New Roman" w:eastAsia="Times New Roman" w:hAnsi="Times New Roman" w:cs="Times New Roman"/>
                <w:color w:val="000000"/>
                <w:sz w:val="24"/>
                <w:szCs w:val="24"/>
                <w:lang w:val="en-GB"/>
              </w:rPr>
              <w:t>assets</w:t>
            </w:r>
            <w:r w:rsidRPr="007E6757">
              <w:rPr>
                <w:rFonts w:ascii="Times New Roman" w:eastAsia="Times New Roman" w:hAnsi="Times New Roman" w:cs="Times New Roman"/>
                <w:color w:val="000000"/>
                <w:sz w:val="24"/>
                <w:szCs w:val="24"/>
                <w:lang w:val="en-GB"/>
              </w:rPr>
              <w:t xml:space="preserve"> </w:t>
            </w:r>
          </w:p>
        </w:tc>
        <w:tc>
          <w:tcPr>
            <w:tcW w:w="218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9,736</w:t>
            </w:r>
          </w:p>
        </w:tc>
        <w:tc>
          <w:tcPr>
            <w:tcW w:w="1760" w:type="dxa"/>
            <w:tcBorders>
              <w:top w:val="nil"/>
              <w:left w:val="nil"/>
              <w:bottom w:val="single" w:sz="4" w:space="0" w:color="auto"/>
              <w:right w:val="single" w:sz="4" w:space="0" w:color="auto"/>
            </w:tcBorders>
            <w:shd w:val="clear" w:color="000000" w:fill="FCD5B4"/>
            <w:noWrap/>
            <w:vAlign w:val="bottom"/>
            <w:hideMark/>
          </w:tcPr>
          <w:p w:rsidR="001C4846" w:rsidRPr="007E6757" w:rsidRDefault="001C4846" w:rsidP="001C4846">
            <w:pPr>
              <w:spacing w:line="360" w:lineRule="auto"/>
              <w:jc w:val="right"/>
              <w:rPr>
                <w:rFonts w:ascii="Times New Roman" w:eastAsia="Times New Roman" w:hAnsi="Times New Roman" w:cs="Times New Roman"/>
                <w:color w:val="000000"/>
                <w:sz w:val="24"/>
                <w:szCs w:val="24"/>
                <w:lang w:val="en-GB"/>
              </w:rPr>
            </w:pPr>
            <w:r w:rsidRPr="007E6757">
              <w:rPr>
                <w:rFonts w:ascii="Times New Roman" w:eastAsia="Times New Roman" w:hAnsi="Times New Roman" w:cs="Times New Roman"/>
                <w:color w:val="000000"/>
                <w:sz w:val="24"/>
                <w:szCs w:val="24"/>
                <w:lang w:val="en-GB"/>
              </w:rPr>
              <w:t>10,087</w:t>
            </w:r>
          </w:p>
        </w:tc>
      </w:tr>
      <w:tr w:rsidR="001C4846" w:rsidRPr="007E6757" w:rsidTr="001C4846">
        <w:trPr>
          <w:trHeight w:val="300"/>
          <w:jc w:val="center"/>
        </w:trPr>
        <w:tc>
          <w:tcPr>
            <w:tcW w:w="4960" w:type="dxa"/>
            <w:tcBorders>
              <w:top w:val="nil"/>
              <w:left w:val="single" w:sz="4" w:space="0" w:color="auto"/>
              <w:bottom w:val="single" w:sz="4" w:space="0" w:color="auto"/>
              <w:right w:val="single" w:sz="4" w:space="0" w:color="auto"/>
            </w:tcBorders>
            <w:shd w:val="clear" w:color="000000" w:fill="FFFF00"/>
            <w:noWrap/>
            <w:vAlign w:val="bottom"/>
            <w:hideMark/>
          </w:tcPr>
          <w:p w:rsidR="001C4846" w:rsidRPr="007E6757" w:rsidRDefault="00336E87" w:rsidP="001C4846">
            <w:pPr>
              <w:spacing w:line="360" w:lineRule="auto"/>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Assets</w:t>
            </w:r>
            <w:r w:rsidR="001C4846" w:rsidRPr="007E6757">
              <w:rPr>
                <w:rFonts w:ascii="Times New Roman" w:eastAsia="Times New Roman" w:hAnsi="Times New Roman" w:cs="Times New Roman"/>
                <w:b/>
                <w:bCs/>
                <w:color w:val="000000"/>
                <w:sz w:val="24"/>
                <w:szCs w:val="24"/>
                <w:lang w:val="en-GB"/>
              </w:rPr>
              <w:t xml:space="preserve"> turnover ratio </w:t>
            </w:r>
          </w:p>
        </w:tc>
        <w:tc>
          <w:tcPr>
            <w:tcW w:w="218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0.692070666</w:t>
            </w:r>
          </w:p>
        </w:tc>
        <w:tc>
          <w:tcPr>
            <w:tcW w:w="1760" w:type="dxa"/>
            <w:tcBorders>
              <w:top w:val="nil"/>
              <w:left w:val="nil"/>
              <w:bottom w:val="single" w:sz="4" w:space="0" w:color="auto"/>
              <w:right w:val="single" w:sz="4" w:space="0" w:color="auto"/>
            </w:tcBorders>
            <w:shd w:val="clear" w:color="000000" w:fill="FFFF00"/>
            <w:noWrap/>
            <w:vAlign w:val="bottom"/>
            <w:hideMark/>
          </w:tcPr>
          <w:p w:rsidR="001C4846" w:rsidRPr="007E6757" w:rsidRDefault="001C4846" w:rsidP="001C4846">
            <w:pPr>
              <w:spacing w:line="360" w:lineRule="auto"/>
              <w:jc w:val="right"/>
              <w:rPr>
                <w:rFonts w:ascii="Times New Roman" w:eastAsia="Times New Roman" w:hAnsi="Times New Roman" w:cs="Times New Roman"/>
                <w:b/>
                <w:bCs/>
                <w:color w:val="000000"/>
                <w:sz w:val="24"/>
                <w:szCs w:val="24"/>
                <w:lang w:val="en-GB"/>
              </w:rPr>
            </w:pPr>
            <w:r w:rsidRPr="007E6757">
              <w:rPr>
                <w:rFonts w:ascii="Times New Roman" w:eastAsia="Times New Roman" w:hAnsi="Times New Roman" w:cs="Times New Roman"/>
                <w:b/>
                <w:bCs/>
                <w:color w:val="000000"/>
                <w:sz w:val="24"/>
                <w:szCs w:val="24"/>
                <w:lang w:val="en-GB"/>
              </w:rPr>
              <w:t>0.638544661</w:t>
            </w:r>
          </w:p>
        </w:tc>
      </w:tr>
    </w:tbl>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Table 3: Ratio schedule for Chocco Plc </w:t>
      </w:r>
    </w:p>
    <w:p w:rsidR="007756EC" w:rsidRPr="007E6757" w:rsidRDefault="00A0426D">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C101FD" w:rsidRPr="007E6757" w:rsidRDefault="00C101FD">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noProof/>
          <w:sz w:val="24"/>
          <w:szCs w:val="24"/>
          <w:lang w:val="en-GB" w:eastAsia="en-GB"/>
        </w:rPr>
        <w:lastRenderedPageBreak/>
        <w:drawing>
          <wp:inline distT="0" distB="0" distL="0" distR="0">
            <wp:extent cx="5334000" cy="2910416"/>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01FD" w:rsidRPr="007E6757" w:rsidRDefault="00C101FD" w:rsidP="00C101FD">
      <w:pPr>
        <w:pStyle w:val="Normal1"/>
        <w:shd w:val="clear" w:color="auto" w:fill="FFFFFF"/>
        <w:spacing w:before="240" w:line="360" w:lineRule="auto"/>
        <w:jc w:val="center"/>
        <w:rPr>
          <w:rFonts w:ascii="Times New Roman" w:eastAsia="Times New Roman" w:hAnsi="Times New Roman" w:cs="Times New Roman"/>
          <w:b/>
          <w:sz w:val="24"/>
          <w:szCs w:val="24"/>
          <w:lang w:val="en-GB"/>
        </w:rPr>
      </w:pPr>
      <w:r w:rsidRPr="007E6757">
        <w:rPr>
          <w:rFonts w:ascii="Times New Roman" w:eastAsia="Times New Roman" w:hAnsi="Times New Roman" w:cs="Times New Roman"/>
          <w:b/>
          <w:sz w:val="24"/>
          <w:szCs w:val="24"/>
          <w:lang w:val="en-GB"/>
        </w:rPr>
        <w:t xml:space="preserve">Figure  3: Ratio schedule for Chocco Plc </w:t>
      </w:r>
    </w:p>
    <w:p w:rsidR="00C101FD" w:rsidRPr="007E6757" w:rsidRDefault="00C101FD">
      <w:pPr>
        <w:pStyle w:val="Normal1"/>
        <w:shd w:val="clear" w:color="auto" w:fill="FFFFFF"/>
        <w:spacing w:before="240" w:line="360" w:lineRule="auto"/>
        <w:jc w:val="cente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(Source: Self-created)</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For the company Chocco plc, the ratio schedule in the company is calculated by the current ratio, debt to equity ratio, and quick ratio. The current ratio derived in the concerned company is 0.917164476 for 2019 and 0.773145108 for 2018. It stated that the current liabilities of the company exceeds the current assets which are not an effective position for a company to be in.   The debt to the ratio in the company is calculated by comparing the liabilities of the company with the equity of the company. In Chocco plc, the debt to equity ratio derived for the year 2019 is 2.1528, and the debt to ratio value derived for the year 2018 is 2.4639. It signifies that the company has a good personal equity debt ratio (Khalid </w:t>
      </w:r>
      <w:r w:rsidRPr="007E6757">
        <w:rPr>
          <w:rFonts w:ascii="Times New Roman" w:eastAsia="Times New Roman" w:hAnsi="Times New Roman" w:cs="Times New Roman"/>
          <w:i/>
          <w:sz w:val="24"/>
          <w:szCs w:val="24"/>
          <w:lang w:val="en-GB"/>
        </w:rPr>
        <w:t xml:space="preserve">et al. </w:t>
      </w:r>
      <w:r w:rsidRPr="007E6757">
        <w:rPr>
          <w:rFonts w:ascii="Times New Roman" w:eastAsia="Times New Roman" w:hAnsi="Times New Roman" w:cs="Times New Roman"/>
          <w:sz w:val="24"/>
          <w:szCs w:val="24"/>
          <w:lang w:val="en-GB"/>
        </w:rPr>
        <w:t xml:space="preserve">2018, p. 118). In the quick ratio calculation, current assets, inventory, and current liabilities have been considered. The value evaluated for the year 2019 is 0.71804 and for the year 2018, the value derived is 0.78365. It suggests that the company may face difficulties in paying off the current liabilities of the company in a short term. For the year 2019, the asset turnover ratio is 0.69207, and for the year 2018, it is 0.638544. </w:t>
      </w:r>
    </w:p>
    <w:p w:rsidR="007756EC" w:rsidRPr="007E6757" w:rsidRDefault="00A0426D" w:rsidP="007541FC">
      <w:pPr>
        <w:pStyle w:val="Heading2"/>
        <w:rPr>
          <w:lang w:val="en-GB"/>
        </w:rPr>
      </w:pPr>
      <w:bookmarkStart w:id="7" w:name="_Toc55489525"/>
      <w:r w:rsidRPr="007E6757">
        <w:rPr>
          <w:lang w:val="en-GB"/>
        </w:rPr>
        <w:lastRenderedPageBreak/>
        <w:t>b) Financial performance and position of the company</w:t>
      </w:r>
      <w:bookmarkEnd w:id="7"/>
      <w:r w:rsidRPr="007E6757">
        <w:rPr>
          <w:lang w:val="en-GB"/>
        </w:rPr>
        <w:t xml:space="preserve">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The financial performance of a company like Chocco plc can be measured by the financial statement of the company like the profit rate, and the sales rate of the company, and the ratio schedule calculations of the company. It is important to remember that the higher is the ratio of the organisation, the more efficient is the organisation in generating revenue. The financial statement of Chocco Plc suggests that both revenue and profit rate in the company increased significantly from the year 2018 to 2019. The company has enjoyed a rate of a positive gross profit in both the years in the company. This suggests the effective financial performance of the firm. However, the position of the company in the competitive market is largely determined by shareholder equity. It is because it helps to understand the total liabilities and current assets available in the company to manage and pay off the liabilities (Aini </w:t>
      </w:r>
      <w:r w:rsidRPr="007E6757">
        <w:rPr>
          <w:rFonts w:ascii="Times New Roman" w:eastAsia="Times New Roman" w:hAnsi="Times New Roman" w:cs="Times New Roman"/>
          <w:i/>
          <w:sz w:val="24"/>
          <w:szCs w:val="24"/>
          <w:lang w:val="en-GB"/>
        </w:rPr>
        <w:t xml:space="preserve">et al. </w:t>
      </w:r>
      <w:r w:rsidRPr="007E6757">
        <w:rPr>
          <w:rFonts w:ascii="Times New Roman" w:eastAsia="Times New Roman" w:hAnsi="Times New Roman" w:cs="Times New Roman"/>
          <w:sz w:val="24"/>
          <w:szCs w:val="24"/>
          <w:lang w:val="en-GB"/>
        </w:rPr>
        <w:t xml:space="preserve">2019, p. 20). </w:t>
      </w:r>
    </w:p>
    <w:p w:rsidR="007756EC" w:rsidRPr="007E6757" w:rsidRDefault="00A0426D">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Looking into the schedule ratio of the organization calculated, it can be stated that the company still needs to improve its performance in order to attain the desired position in the market. The asset turnover ratio of the organization is not positive which suggests that the company is not efficient enough to generate much revenue utilizing their assets properly. </w:t>
      </w:r>
      <w:r w:rsidR="00A21A56" w:rsidRPr="007E6757">
        <w:rPr>
          <w:rFonts w:ascii="Times New Roman" w:eastAsia="Times New Roman" w:hAnsi="Times New Roman" w:cs="Times New Roman"/>
          <w:sz w:val="24"/>
          <w:szCs w:val="24"/>
          <w:lang w:val="en-GB"/>
        </w:rPr>
        <w:t>Therefore,</w:t>
      </w:r>
      <w:r w:rsidRPr="007E6757">
        <w:rPr>
          <w:rFonts w:ascii="Times New Roman" w:eastAsia="Times New Roman" w:hAnsi="Times New Roman" w:cs="Times New Roman"/>
          <w:sz w:val="24"/>
          <w:szCs w:val="24"/>
          <w:lang w:val="en-GB"/>
        </w:rPr>
        <w:t xml:space="preserve"> the sales generated in the organization cannot be even considered enough</w:t>
      </w:r>
      <w:r w:rsidR="00A21A56" w:rsidRPr="007E6757">
        <w:rPr>
          <w:rFonts w:ascii="Times New Roman" w:eastAsia="Times New Roman" w:hAnsi="Times New Roman" w:cs="Times New Roman"/>
          <w:sz w:val="24"/>
          <w:szCs w:val="24"/>
          <w:lang w:val="en-GB"/>
        </w:rPr>
        <w:t xml:space="preserve">. </w:t>
      </w:r>
      <w:r w:rsidR="00BC2654" w:rsidRPr="007E6757">
        <w:rPr>
          <w:rFonts w:ascii="Times New Roman" w:eastAsia="Times New Roman" w:hAnsi="Times New Roman" w:cs="Times New Roman"/>
          <w:sz w:val="24"/>
          <w:szCs w:val="24"/>
          <w:lang w:val="en-GB"/>
        </w:rPr>
        <w:t>However,</w:t>
      </w:r>
      <w:r w:rsidRPr="007E6757">
        <w:rPr>
          <w:rFonts w:ascii="Times New Roman" w:eastAsia="Times New Roman" w:hAnsi="Times New Roman" w:cs="Times New Roman"/>
          <w:sz w:val="24"/>
          <w:szCs w:val="24"/>
          <w:lang w:val="en-GB"/>
        </w:rPr>
        <w:t xml:space="preserve"> the other ratio calcu</w:t>
      </w:r>
      <w:r w:rsidR="00A21A56" w:rsidRPr="007E6757">
        <w:rPr>
          <w:rFonts w:ascii="Times New Roman" w:eastAsia="Times New Roman" w:hAnsi="Times New Roman" w:cs="Times New Roman"/>
          <w:sz w:val="24"/>
          <w:szCs w:val="24"/>
          <w:lang w:val="en-GB"/>
        </w:rPr>
        <w:t xml:space="preserve">lations like the </w:t>
      </w:r>
      <w:r w:rsidR="0060538F" w:rsidRPr="007E6757">
        <w:rPr>
          <w:rFonts w:ascii="Times New Roman" w:eastAsia="Times New Roman" w:hAnsi="Times New Roman" w:cs="Times New Roman"/>
          <w:sz w:val="24"/>
          <w:szCs w:val="24"/>
          <w:lang w:val="en-GB"/>
        </w:rPr>
        <w:t xml:space="preserve">debt of equity ratio and the </w:t>
      </w:r>
      <w:r w:rsidR="00BC2654" w:rsidRPr="007E6757">
        <w:rPr>
          <w:rFonts w:ascii="Times New Roman" w:eastAsia="Times New Roman" w:hAnsi="Times New Roman" w:cs="Times New Roman"/>
          <w:sz w:val="24"/>
          <w:szCs w:val="24"/>
          <w:lang w:val="en-GB"/>
        </w:rPr>
        <w:t>equity ratio has highlighted that the company ha</w:t>
      </w:r>
      <w:r w:rsidR="000A2FF1" w:rsidRPr="007E6757">
        <w:rPr>
          <w:rFonts w:ascii="Times New Roman" w:eastAsia="Times New Roman" w:hAnsi="Times New Roman" w:cs="Times New Roman"/>
          <w:sz w:val="24"/>
          <w:szCs w:val="24"/>
          <w:lang w:val="en-GB"/>
        </w:rPr>
        <w:t xml:space="preserve">s the capability to payback all the liabilities in the company may be not in the shorter term but in the longer term of the organisation. </w:t>
      </w:r>
      <w:r w:rsidR="0020405F" w:rsidRPr="007E6757">
        <w:rPr>
          <w:rFonts w:ascii="Times New Roman" w:eastAsia="Times New Roman" w:hAnsi="Times New Roman" w:cs="Times New Roman"/>
          <w:sz w:val="24"/>
          <w:szCs w:val="24"/>
          <w:lang w:val="en-GB"/>
        </w:rPr>
        <w:t xml:space="preserve">Therefore for the investors of the company </w:t>
      </w:r>
      <w:r w:rsidR="003D2EF4" w:rsidRPr="007E6757">
        <w:rPr>
          <w:rFonts w:ascii="Times New Roman" w:eastAsia="Times New Roman" w:hAnsi="Times New Roman" w:cs="Times New Roman"/>
          <w:sz w:val="24"/>
          <w:szCs w:val="24"/>
          <w:lang w:val="en-GB"/>
        </w:rPr>
        <w:t xml:space="preserve">needs to determine and analyse effectively in the company before making any kind of investments. </w:t>
      </w:r>
    </w:p>
    <w:p w:rsidR="007756EC" w:rsidRPr="007E6757" w:rsidRDefault="00A0426D" w:rsidP="007541FC">
      <w:pPr>
        <w:pStyle w:val="Heading2"/>
        <w:rPr>
          <w:lang w:val="en-GB"/>
        </w:rPr>
      </w:pPr>
      <w:bookmarkStart w:id="8" w:name="_Toc55489526"/>
      <w:r w:rsidRPr="007E6757">
        <w:rPr>
          <w:lang w:val="en-GB"/>
        </w:rPr>
        <w:t>Conclusion</w:t>
      </w:r>
      <w:bookmarkEnd w:id="8"/>
      <w:r w:rsidRPr="007E6757">
        <w:rPr>
          <w:lang w:val="en-GB"/>
        </w:rPr>
        <w:t xml:space="preserve"> </w:t>
      </w:r>
    </w:p>
    <w:p w:rsidR="009B586D" w:rsidRPr="007E6757" w:rsidRDefault="00045980">
      <w:pPr>
        <w:pStyle w:val="Normal1"/>
        <w:shd w:val="clear" w:color="auto" w:fill="FFFFFF"/>
        <w:spacing w:before="240" w:line="360" w:lineRule="auto"/>
        <w:jc w:val="both"/>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t xml:space="preserve">Accounting process analysed the transaction that occurred in the organisation to oversight regulators, entities of tax collection, and agencies. </w:t>
      </w:r>
      <w:r w:rsidR="00D537E7" w:rsidRPr="007E6757">
        <w:rPr>
          <w:rFonts w:ascii="Times New Roman" w:eastAsia="Times New Roman" w:hAnsi="Times New Roman" w:cs="Times New Roman"/>
          <w:sz w:val="24"/>
          <w:szCs w:val="24"/>
          <w:lang w:val="en-GB"/>
        </w:rPr>
        <w:t xml:space="preserve">Any activities of businesses are dependend on capital and therefore it can be considered as the foundation of any business. </w:t>
      </w:r>
      <w:r w:rsidR="00CE4504" w:rsidRPr="007E6757">
        <w:rPr>
          <w:rFonts w:ascii="Times New Roman" w:eastAsia="Times New Roman" w:hAnsi="Times New Roman" w:cs="Times New Roman"/>
          <w:sz w:val="24"/>
          <w:szCs w:val="24"/>
          <w:lang w:val="en-GB"/>
        </w:rPr>
        <w:t>From the analysis of the financial conditions and statement of the companies considered in the study, it can be stated that both equity and debt considerations are important ways that can help the business organisation to obtain effective funds and capital in the organisation for their operations. However</w:t>
      </w:r>
      <w:r w:rsidR="003F2BC1" w:rsidRPr="007E6757">
        <w:rPr>
          <w:rFonts w:ascii="Times New Roman" w:eastAsia="Times New Roman" w:hAnsi="Times New Roman" w:cs="Times New Roman"/>
          <w:sz w:val="24"/>
          <w:szCs w:val="24"/>
          <w:lang w:val="en-GB"/>
        </w:rPr>
        <w:t xml:space="preserve">, in the management of the organisation, it has been also highlighted that emphases on </w:t>
      </w:r>
      <w:r w:rsidR="003F2BC1" w:rsidRPr="007E6757">
        <w:rPr>
          <w:rFonts w:ascii="Times New Roman" w:eastAsia="Times New Roman" w:hAnsi="Times New Roman" w:cs="Times New Roman"/>
          <w:sz w:val="24"/>
          <w:szCs w:val="24"/>
          <w:lang w:val="en-GB"/>
        </w:rPr>
        <w:lastRenderedPageBreak/>
        <w:t xml:space="preserve">the long term business goals of the organisation is important to understand. It has been also understood that equity financing does not majorly have any additional financial burden on the company although therefore is downside to the factor. </w:t>
      </w:r>
      <w:r w:rsidRPr="007E6757">
        <w:rPr>
          <w:rFonts w:ascii="Times New Roman" w:eastAsia="Times New Roman" w:hAnsi="Times New Roman" w:cs="Times New Roman"/>
          <w:sz w:val="24"/>
          <w:szCs w:val="24"/>
          <w:lang w:val="en-GB"/>
        </w:rPr>
        <w:t xml:space="preserve">The most important </w:t>
      </w:r>
      <w:r w:rsidR="00E6160F" w:rsidRPr="007E6757">
        <w:rPr>
          <w:rFonts w:ascii="Times New Roman" w:eastAsia="Times New Roman" w:hAnsi="Times New Roman" w:cs="Times New Roman"/>
          <w:sz w:val="24"/>
          <w:szCs w:val="24"/>
          <w:lang w:val="en-GB"/>
        </w:rPr>
        <w:t>area that</w:t>
      </w:r>
      <w:r w:rsidRPr="007E6757">
        <w:rPr>
          <w:rFonts w:ascii="Times New Roman" w:eastAsia="Times New Roman" w:hAnsi="Times New Roman" w:cs="Times New Roman"/>
          <w:sz w:val="24"/>
          <w:szCs w:val="24"/>
          <w:lang w:val="en-GB"/>
        </w:rPr>
        <w:t xml:space="preserve"> needs to be focused by the organisation is the capital structure as it improved the overall operations and growth of the firm by using different fund sources. </w:t>
      </w:r>
      <w:r w:rsidR="00480566" w:rsidRPr="007E6757">
        <w:rPr>
          <w:rFonts w:ascii="Times New Roman" w:eastAsia="Times New Roman" w:hAnsi="Times New Roman" w:cs="Times New Roman"/>
          <w:sz w:val="24"/>
          <w:szCs w:val="24"/>
          <w:lang w:val="en-GB"/>
        </w:rPr>
        <w:t xml:space="preserve">Both the organisation has been seen performing well in the business market however also highlighted enough scope for further growth and development. </w:t>
      </w:r>
    </w:p>
    <w:p w:rsidR="009B586D" w:rsidRPr="007E6757" w:rsidRDefault="009B586D">
      <w:pPr>
        <w:rPr>
          <w:rFonts w:ascii="Times New Roman" w:eastAsia="Times New Roman" w:hAnsi="Times New Roman" w:cs="Times New Roman"/>
          <w:sz w:val="24"/>
          <w:szCs w:val="24"/>
          <w:lang w:val="en-GB"/>
        </w:rPr>
      </w:pPr>
      <w:r w:rsidRPr="007E6757">
        <w:rPr>
          <w:rFonts w:ascii="Times New Roman" w:eastAsia="Times New Roman" w:hAnsi="Times New Roman" w:cs="Times New Roman"/>
          <w:sz w:val="24"/>
          <w:szCs w:val="24"/>
          <w:lang w:val="en-GB"/>
        </w:rPr>
        <w:br w:type="page"/>
      </w:r>
    </w:p>
    <w:p w:rsidR="009B586D" w:rsidRPr="007E6757" w:rsidRDefault="009B586D" w:rsidP="007541FC">
      <w:pPr>
        <w:pStyle w:val="Heading1"/>
        <w:rPr>
          <w:bdr w:val="none" w:sz="0" w:space="0" w:color="auto" w:frame="1"/>
          <w:lang w:val="en-GB"/>
        </w:rPr>
      </w:pPr>
      <w:bookmarkStart w:id="9" w:name="_Toc55489527"/>
      <w:r w:rsidRPr="007E6757">
        <w:rPr>
          <w:bdr w:val="none" w:sz="0" w:space="0" w:color="auto" w:frame="1"/>
          <w:lang w:val="en-GB"/>
        </w:rPr>
        <w:lastRenderedPageBreak/>
        <w:t>References</w:t>
      </w:r>
      <w:bookmarkEnd w:id="9"/>
      <w:r w:rsidRPr="007E6757">
        <w:rPr>
          <w:bdr w:val="none" w:sz="0" w:space="0" w:color="auto" w:frame="1"/>
          <w:lang w:val="en-GB"/>
        </w:rPr>
        <w:t xml:space="preserve"> </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Aini, Q., Alwiyah, A. and Putri, D.M., 2019. Effectiveness of Installment Payment Management Using Recurring Scheduling to Cashier Performance. Aptisi Transactions on Management (ATM), 3(1), pp.13-21.</w:t>
      </w:r>
    </w:p>
    <w:p w:rsidR="009B586D" w:rsidRPr="007E6757" w:rsidRDefault="009B586D" w:rsidP="009B586D">
      <w:pPr>
        <w:shd w:val="clear" w:color="auto" w:fill="FFFFFF"/>
        <w:spacing w:before="240" w:line="360" w:lineRule="auto"/>
        <w:jc w:val="both"/>
        <w:rPr>
          <w:rFonts w:ascii="Times New Roman" w:hAnsi="Times New Roman" w:cs="Times New Roman"/>
          <w:color w:val="222222"/>
          <w:sz w:val="24"/>
          <w:szCs w:val="24"/>
          <w:shd w:val="clear" w:color="auto" w:fill="FFFFFF"/>
          <w:lang w:val="en-GB"/>
        </w:rPr>
      </w:pPr>
      <w:r w:rsidRPr="007E6757">
        <w:rPr>
          <w:rFonts w:ascii="Times New Roman" w:hAnsi="Times New Roman" w:cs="Times New Roman"/>
          <w:color w:val="222222"/>
          <w:sz w:val="24"/>
          <w:szCs w:val="24"/>
          <w:shd w:val="clear" w:color="auto" w:fill="FFFFFF"/>
          <w:lang w:val="en-GB"/>
        </w:rPr>
        <w:t>Al Hayek, M.A., 2018. The Effect of Acquisition on Income Statement Items in Acquired Company (Subsidiary Company)-Case Study. </w:t>
      </w:r>
      <w:r w:rsidRPr="007E6757">
        <w:rPr>
          <w:rFonts w:ascii="Times New Roman" w:hAnsi="Times New Roman" w:cs="Times New Roman"/>
          <w:i/>
          <w:iCs/>
          <w:color w:val="222222"/>
          <w:sz w:val="24"/>
          <w:szCs w:val="24"/>
          <w:shd w:val="clear" w:color="auto" w:fill="FFFFFF"/>
          <w:lang w:val="en-GB"/>
        </w:rPr>
        <w:t>International Journal of Economics and Finance</w:t>
      </w:r>
      <w:r w:rsidRPr="007E6757">
        <w:rPr>
          <w:rFonts w:ascii="Times New Roman" w:hAnsi="Times New Roman" w:cs="Times New Roman"/>
          <w:color w:val="222222"/>
          <w:sz w:val="24"/>
          <w:szCs w:val="24"/>
          <w:shd w:val="clear" w:color="auto" w:fill="FFFFFF"/>
          <w:lang w:val="en-GB"/>
        </w:rPr>
        <w:t>, </w:t>
      </w:r>
      <w:r w:rsidRPr="007E6757">
        <w:rPr>
          <w:rFonts w:ascii="Times New Roman" w:hAnsi="Times New Roman" w:cs="Times New Roman"/>
          <w:i/>
          <w:iCs/>
          <w:color w:val="222222"/>
          <w:sz w:val="24"/>
          <w:szCs w:val="24"/>
          <w:shd w:val="clear" w:color="auto" w:fill="FFFFFF"/>
          <w:lang w:val="en-GB"/>
        </w:rPr>
        <w:t>10</w:t>
      </w:r>
      <w:r w:rsidRPr="007E6757">
        <w:rPr>
          <w:rFonts w:ascii="Times New Roman" w:hAnsi="Times New Roman" w:cs="Times New Roman"/>
          <w:color w:val="222222"/>
          <w:sz w:val="24"/>
          <w:szCs w:val="24"/>
          <w:shd w:val="clear" w:color="auto" w:fill="FFFFFF"/>
          <w:lang w:val="en-GB"/>
        </w:rPr>
        <w:t>(5), pp.173-183.</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Atmoko, Y., Defung, F. and Tricahyadinata, I., 2018. Pengaruh return on assets, debt to equity ratio, dan firm size terhadap dividend payout ratio. KINERJA, 14(2), pp.103-109.</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Campbell, J.L., Khan, U. and Pierce, S., 2018. The effect of mandatory disclosure on market inefficiencies: Evidence from Statement of Financial Accounting Standard Number 161. Columbia Business School Research Paper, pp.17-94.</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Company That Has Been Registered In Indonesia Stock Exchange Within 2011-2017. International Journal of Economics Development Research (IJEDR), 1(1), pp.36-44.</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Ferrero, S., 2020. A Case By Case Study of Accounting Fundamentals.</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Goud, M.A.A. and Kumar, M.K.S., 2019. A STUDY ON FINANCIAL STATEMENT ANALYSIS OF SELECTED MANUFACTURING COMPANY. Ratio, 2018(2017), p.2016.</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Ireland, P.N., 2019. Monetary Policy Implementation: Making Better and More Consistent Use of the Federal Reserve's Balance Sheet. Journal of Applied Corporate Finance, 31(4), pp.68-76.</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 xml:space="preserve">Irman, M. and Purwati, A.A., 2020. Analysis On The Influence Of Current Ratio, Debt to Equity Ratio and Total Asset Turnover Toward Return On Assets On The Otomotive and Component </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Kamar, K., 2017. Analysis of the effect of return on equity (ROE) and debt to equity ratio (DER) on stock price on cement industry listed in Indonesia stock exchange (IDX) in the year of 2011-2015. IOSR Journal of Business and Management, 19(05), pp.66-76.</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lastRenderedPageBreak/>
        <w:t>Khalid, R., Saif, T., Gondal, A.R. and Sarfraz, H., 2018. Working capital management and profitability. </w:t>
      </w:r>
      <w:r w:rsidRPr="007E6757">
        <w:rPr>
          <w:rFonts w:ascii="Times New Roman" w:eastAsia="Times New Roman" w:hAnsi="Times New Roman" w:cs="Times New Roman"/>
          <w:i/>
          <w:iCs/>
          <w:sz w:val="24"/>
          <w:szCs w:val="24"/>
          <w:bdr w:val="none" w:sz="0" w:space="0" w:color="auto" w:frame="1"/>
          <w:lang w:val="en-GB"/>
        </w:rPr>
        <w:t>Mediterranean Journal of Basic and Applied Sciences (MJBAS)</w:t>
      </w:r>
      <w:r w:rsidRPr="007E6757">
        <w:rPr>
          <w:rFonts w:ascii="Times New Roman" w:eastAsia="Times New Roman" w:hAnsi="Times New Roman" w:cs="Times New Roman"/>
          <w:sz w:val="24"/>
          <w:szCs w:val="24"/>
          <w:bdr w:val="none" w:sz="0" w:space="0" w:color="auto" w:frame="1"/>
          <w:lang w:val="en-GB"/>
        </w:rPr>
        <w:t>, </w:t>
      </w:r>
      <w:r w:rsidRPr="007E6757">
        <w:rPr>
          <w:rFonts w:ascii="Times New Roman" w:eastAsia="Times New Roman" w:hAnsi="Times New Roman" w:cs="Times New Roman"/>
          <w:i/>
          <w:iCs/>
          <w:sz w:val="24"/>
          <w:szCs w:val="24"/>
          <w:bdr w:val="none" w:sz="0" w:space="0" w:color="auto" w:frame="1"/>
          <w:lang w:val="en-GB"/>
        </w:rPr>
        <w:t>2</w:t>
      </w:r>
      <w:r w:rsidRPr="007E6757">
        <w:rPr>
          <w:rFonts w:ascii="Times New Roman" w:eastAsia="Times New Roman" w:hAnsi="Times New Roman" w:cs="Times New Roman"/>
          <w:sz w:val="24"/>
          <w:szCs w:val="24"/>
          <w:bdr w:val="none" w:sz="0" w:space="0" w:color="auto" w:frame="1"/>
          <w:lang w:val="en-GB"/>
        </w:rPr>
        <w:t>(2), pp.117-125.</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 xml:space="preserve">Kohler, K., 2020. Gross capital flows and the balance-of-payments: a balance sheet perspective (No. PKWP2019). </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Mućko, P., Janowicz, M., Hońko, S. and Hendryk, M., 2019. Is accounting ready for the dual measurement in the statement of financial position and the statement of profit or loss? Content analysis of comment letters to the Exposure Draft of the Conceptual Framework. Zeszyty Teoretyczne Rachunkowości, (103 (159)), pp.203-225.</w:t>
      </w:r>
    </w:p>
    <w:p w:rsidR="009B586D" w:rsidRPr="007E6757" w:rsidRDefault="009B586D" w:rsidP="009B586D">
      <w:pPr>
        <w:shd w:val="clear" w:color="auto" w:fill="FFFFFF"/>
        <w:spacing w:before="240" w:line="360" w:lineRule="auto"/>
        <w:jc w:val="both"/>
        <w:rPr>
          <w:rFonts w:ascii="Times New Roman" w:eastAsia="Times New Roman" w:hAnsi="Times New Roman" w:cs="Times New Roman"/>
          <w:sz w:val="24"/>
          <w:szCs w:val="24"/>
          <w:bdr w:val="none" w:sz="0" w:space="0" w:color="auto" w:frame="1"/>
          <w:lang w:val="en-GB"/>
        </w:rPr>
      </w:pPr>
      <w:r w:rsidRPr="007E6757">
        <w:rPr>
          <w:rFonts w:ascii="Times New Roman" w:eastAsia="Times New Roman" w:hAnsi="Times New Roman" w:cs="Times New Roman"/>
          <w:sz w:val="24"/>
          <w:szCs w:val="24"/>
          <w:bdr w:val="none" w:sz="0" w:space="0" w:color="auto" w:frame="1"/>
          <w:lang w:val="en-GB"/>
        </w:rPr>
        <w:t>Sunjoko, M.I. and ARILYN, E.J., 2016. Effects of inventory turnover, total asset turnover, fixed asset turnover, current ratio and average collection period on profitability. Jurnal Bisnis dan Akuntansi, 18(1), pp.79-83.</w:t>
      </w:r>
    </w:p>
    <w:sectPr w:rsidR="009B586D" w:rsidRPr="007E6757" w:rsidSect="00FE2E6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C39" w:rsidRDefault="00C06C39" w:rsidP="006374B2">
      <w:pPr>
        <w:spacing w:line="240" w:lineRule="auto"/>
      </w:pPr>
      <w:r>
        <w:separator/>
      </w:r>
    </w:p>
  </w:endnote>
  <w:endnote w:type="continuationSeparator" w:id="0">
    <w:p w:rsidR="00C06C39" w:rsidRDefault="00C06C39" w:rsidP="00637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2485"/>
      <w:docPartObj>
        <w:docPartGallery w:val="Page Numbers (Bottom of Page)"/>
        <w:docPartUnique/>
      </w:docPartObj>
    </w:sdtPr>
    <w:sdtEndPr>
      <w:rPr>
        <w:rFonts w:ascii="Times New Roman" w:hAnsi="Times New Roman" w:cs="Times New Roman"/>
      </w:rPr>
    </w:sdtEndPr>
    <w:sdtContent>
      <w:p w:rsidR="006374B2" w:rsidRPr="006374B2" w:rsidRDefault="00000D71">
        <w:pPr>
          <w:pStyle w:val="Footer"/>
          <w:jc w:val="right"/>
          <w:rPr>
            <w:rFonts w:ascii="Times New Roman" w:hAnsi="Times New Roman" w:cs="Times New Roman"/>
          </w:rPr>
        </w:pPr>
        <w:r w:rsidRPr="006374B2">
          <w:rPr>
            <w:rFonts w:ascii="Times New Roman" w:hAnsi="Times New Roman" w:cs="Times New Roman"/>
          </w:rPr>
          <w:fldChar w:fldCharType="begin"/>
        </w:r>
        <w:r w:rsidR="006374B2" w:rsidRPr="006374B2">
          <w:rPr>
            <w:rFonts w:ascii="Times New Roman" w:hAnsi="Times New Roman" w:cs="Times New Roman"/>
          </w:rPr>
          <w:instrText xml:space="preserve"> PAGE   \* MERGEFORMAT </w:instrText>
        </w:r>
        <w:r w:rsidRPr="006374B2">
          <w:rPr>
            <w:rFonts w:ascii="Times New Roman" w:hAnsi="Times New Roman" w:cs="Times New Roman"/>
          </w:rPr>
          <w:fldChar w:fldCharType="separate"/>
        </w:r>
        <w:r w:rsidR="009D7F7B">
          <w:rPr>
            <w:rFonts w:ascii="Times New Roman" w:hAnsi="Times New Roman" w:cs="Times New Roman"/>
            <w:noProof/>
          </w:rPr>
          <w:t>1</w:t>
        </w:r>
        <w:r w:rsidRPr="006374B2">
          <w:rPr>
            <w:rFonts w:ascii="Times New Roman" w:hAnsi="Times New Roman" w:cs="Times New Roman"/>
          </w:rPr>
          <w:fldChar w:fldCharType="end"/>
        </w:r>
      </w:p>
    </w:sdtContent>
  </w:sdt>
  <w:p w:rsidR="006374B2" w:rsidRDefault="006374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C39" w:rsidRDefault="00C06C39" w:rsidP="006374B2">
      <w:pPr>
        <w:spacing w:line="240" w:lineRule="auto"/>
      </w:pPr>
      <w:r>
        <w:separator/>
      </w:r>
    </w:p>
  </w:footnote>
  <w:footnote w:type="continuationSeparator" w:id="0">
    <w:p w:rsidR="00C06C39" w:rsidRDefault="00C06C39" w:rsidP="006374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756EC"/>
    <w:rsid w:val="00000D71"/>
    <w:rsid w:val="00045980"/>
    <w:rsid w:val="000A2FF1"/>
    <w:rsid w:val="001241AC"/>
    <w:rsid w:val="001C4846"/>
    <w:rsid w:val="0020405F"/>
    <w:rsid w:val="002E1C17"/>
    <w:rsid w:val="002E5342"/>
    <w:rsid w:val="00300030"/>
    <w:rsid w:val="003049C0"/>
    <w:rsid w:val="00331014"/>
    <w:rsid w:val="00336E87"/>
    <w:rsid w:val="003D2EF4"/>
    <w:rsid w:val="003F2BC1"/>
    <w:rsid w:val="00480566"/>
    <w:rsid w:val="005E58DA"/>
    <w:rsid w:val="0060538F"/>
    <w:rsid w:val="006374B2"/>
    <w:rsid w:val="007541FC"/>
    <w:rsid w:val="007756EC"/>
    <w:rsid w:val="007C1498"/>
    <w:rsid w:val="007D5043"/>
    <w:rsid w:val="007E6757"/>
    <w:rsid w:val="00801F61"/>
    <w:rsid w:val="009B586D"/>
    <w:rsid w:val="009D7F7B"/>
    <w:rsid w:val="009F7B60"/>
    <w:rsid w:val="00A0426D"/>
    <w:rsid w:val="00A21A56"/>
    <w:rsid w:val="00BC1889"/>
    <w:rsid w:val="00BC2654"/>
    <w:rsid w:val="00BF72BF"/>
    <w:rsid w:val="00C06C39"/>
    <w:rsid w:val="00C101FD"/>
    <w:rsid w:val="00CE4504"/>
    <w:rsid w:val="00D537E7"/>
    <w:rsid w:val="00DE74E4"/>
    <w:rsid w:val="00E6160F"/>
    <w:rsid w:val="00FA2783"/>
    <w:rsid w:val="00FE2E6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75B9E6-56E4-4FC4-81C8-C6DABE36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D71"/>
  </w:style>
  <w:style w:type="paragraph" w:styleId="Heading1">
    <w:name w:val="heading 1"/>
    <w:basedOn w:val="Normal1"/>
    <w:next w:val="Normal1"/>
    <w:rsid w:val="007541F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Heading1"/>
    <w:next w:val="Normal1"/>
    <w:rsid w:val="007541FC"/>
    <w:pPr>
      <w:jc w:val="left"/>
      <w:outlineLvl w:val="1"/>
    </w:pPr>
  </w:style>
  <w:style w:type="paragraph" w:styleId="Heading3">
    <w:name w:val="heading 3"/>
    <w:basedOn w:val="Normal1"/>
    <w:next w:val="Normal1"/>
    <w:rsid w:val="007756EC"/>
    <w:pPr>
      <w:keepNext/>
      <w:keepLines/>
      <w:spacing w:before="320" w:after="80"/>
      <w:outlineLvl w:val="2"/>
    </w:pPr>
    <w:rPr>
      <w:color w:val="434343"/>
      <w:sz w:val="28"/>
      <w:szCs w:val="28"/>
    </w:rPr>
  </w:style>
  <w:style w:type="paragraph" w:styleId="Heading4">
    <w:name w:val="heading 4"/>
    <w:basedOn w:val="Normal1"/>
    <w:next w:val="Normal1"/>
    <w:rsid w:val="007756EC"/>
    <w:pPr>
      <w:keepNext/>
      <w:keepLines/>
      <w:spacing w:before="280" w:after="80"/>
      <w:outlineLvl w:val="3"/>
    </w:pPr>
    <w:rPr>
      <w:color w:val="666666"/>
      <w:sz w:val="24"/>
      <w:szCs w:val="24"/>
    </w:rPr>
  </w:style>
  <w:style w:type="paragraph" w:styleId="Heading5">
    <w:name w:val="heading 5"/>
    <w:basedOn w:val="Normal1"/>
    <w:next w:val="Normal1"/>
    <w:rsid w:val="007756EC"/>
    <w:pPr>
      <w:keepNext/>
      <w:keepLines/>
      <w:spacing w:before="240" w:after="80"/>
      <w:outlineLvl w:val="4"/>
    </w:pPr>
    <w:rPr>
      <w:color w:val="666666"/>
    </w:rPr>
  </w:style>
  <w:style w:type="paragraph" w:styleId="Heading6">
    <w:name w:val="heading 6"/>
    <w:basedOn w:val="Normal1"/>
    <w:next w:val="Normal1"/>
    <w:rsid w:val="007756E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756EC"/>
  </w:style>
  <w:style w:type="paragraph" w:styleId="Title">
    <w:name w:val="Title"/>
    <w:basedOn w:val="Normal1"/>
    <w:next w:val="Normal1"/>
    <w:rsid w:val="007756EC"/>
    <w:pPr>
      <w:keepNext/>
      <w:keepLines/>
      <w:spacing w:after="60"/>
    </w:pPr>
    <w:rPr>
      <w:sz w:val="52"/>
      <w:szCs w:val="52"/>
    </w:rPr>
  </w:style>
  <w:style w:type="paragraph" w:styleId="Subtitle">
    <w:name w:val="Subtitle"/>
    <w:basedOn w:val="Normal1"/>
    <w:next w:val="Normal1"/>
    <w:rsid w:val="007756EC"/>
    <w:pPr>
      <w:keepNext/>
      <w:keepLines/>
      <w:spacing w:after="320"/>
    </w:pPr>
    <w:rPr>
      <w:color w:val="666666"/>
      <w:sz w:val="30"/>
      <w:szCs w:val="30"/>
    </w:rPr>
  </w:style>
  <w:style w:type="table" w:customStyle="1" w:styleId="a">
    <w:basedOn w:val="TableNormal"/>
    <w:rsid w:val="007756EC"/>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7756EC"/>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7756EC"/>
    <w:tblPr>
      <w:tblStyleRowBandSize w:val="1"/>
      <w:tblStyleColBandSize w:val="1"/>
      <w:tblInd w:w="0" w:type="dxa"/>
      <w:tblCellMar>
        <w:top w:w="100" w:type="dxa"/>
        <w:left w:w="100" w:type="dxa"/>
        <w:bottom w:w="100" w:type="dxa"/>
        <w:right w:w="100" w:type="dxa"/>
      </w:tblCellMar>
    </w:tblPr>
  </w:style>
  <w:style w:type="table" w:styleId="TableGrid">
    <w:name w:val="Table Grid"/>
    <w:basedOn w:val="TableNormal"/>
    <w:uiPriority w:val="59"/>
    <w:rsid w:val="009F7B60"/>
    <w:pPr>
      <w:spacing w:line="240" w:lineRule="auto"/>
    </w:pPr>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7541F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541FC"/>
    <w:pPr>
      <w:spacing w:after="100"/>
    </w:pPr>
  </w:style>
  <w:style w:type="paragraph" w:styleId="TOC2">
    <w:name w:val="toc 2"/>
    <w:basedOn w:val="Normal"/>
    <w:next w:val="Normal"/>
    <w:autoRedefine/>
    <w:uiPriority w:val="39"/>
    <w:unhideWhenUsed/>
    <w:rsid w:val="007541FC"/>
    <w:pPr>
      <w:spacing w:after="100"/>
      <w:ind w:left="220"/>
    </w:pPr>
  </w:style>
  <w:style w:type="character" w:styleId="Hyperlink">
    <w:name w:val="Hyperlink"/>
    <w:basedOn w:val="DefaultParagraphFont"/>
    <w:uiPriority w:val="99"/>
    <w:unhideWhenUsed/>
    <w:rsid w:val="007541FC"/>
    <w:rPr>
      <w:color w:val="0000FF" w:themeColor="hyperlink"/>
      <w:u w:val="single"/>
    </w:rPr>
  </w:style>
  <w:style w:type="paragraph" w:styleId="Header">
    <w:name w:val="header"/>
    <w:basedOn w:val="Normal"/>
    <w:link w:val="HeaderChar"/>
    <w:uiPriority w:val="99"/>
    <w:semiHidden/>
    <w:unhideWhenUsed/>
    <w:rsid w:val="006374B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374B2"/>
  </w:style>
  <w:style w:type="paragraph" w:styleId="Footer">
    <w:name w:val="footer"/>
    <w:basedOn w:val="Normal"/>
    <w:link w:val="FooterChar"/>
    <w:uiPriority w:val="99"/>
    <w:unhideWhenUsed/>
    <w:rsid w:val="006374B2"/>
    <w:pPr>
      <w:tabs>
        <w:tab w:val="center" w:pos="4680"/>
        <w:tab w:val="right" w:pos="9360"/>
      </w:tabs>
      <w:spacing w:line="240" w:lineRule="auto"/>
    </w:pPr>
  </w:style>
  <w:style w:type="character" w:customStyle="1" w:styleId="FooterChar">
    <w:name w:val="Footer Char"/>
    <w:basedOn w:val="DefaultParagraphFont"/>
    <w:link w:val="Footer"/>
    <w:uiPriority w:val="99"/>
    <w:rsid w:val="006374B2"/>
  </w:style>
  <w:style w:type="paragraph" w:styleId="BalloonText">
    <w:name w:val="Balloon Text"/>
    <w:basedOn w:val="Normal"/>
    <w:link w:val="BalloonTextChar"/>
    <w:uiPriority w:val="99"/>
    <w:semiHidden/>
    <w:unhideWhenUsed/>
    <w:rsid w:val="007E67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7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499100">
      <w:bodyDiv w:val="1"/>
      <w:marLeft w:val="0"/>
      <w:marRight w:val="0"/>
      <w:marTop w:val="0"/>
      <w:marBottom w:val="0"/>
      <w:divBdr>
        <w:top w:val="none" w:sz="0" w:space="0" w:color="auto"/>
        <w:left w:val="none" w:sz="0" w:space="0" w:color="auto"/>
        <w:bottom w:val="none" w:sz="0" w:space="0" w:color="auto"/>
        <w:right w:val="none" w:sz="0" w:space="0" w:color="auto"/>
      </w:divBdr>
    </w:div>
    <w:div w:id="753817235">
      <w:bodyDiv w:val="1"/>
      <w:marLeft w:val="0"/>
      <w:marRight w:val="0"/>
      <w:marTop w:val="0"/>
      <w:marBottom w:val="0"/>
      <w:divBdr>
        <w:top w:val="none" w:sz="0" w:space="0" w:color="auto"/>
        <w:left w:val="none" w:sz="0" w:space="0" w:color="auto"/>
        <w:bottom w:val="none" w:sz="0" w:space="0" w:color="auto"/>
        <w:right w:val="none" w:sz="0" w:space="0" w:color="auto"/>
      </w:divBdr>
    </w:div>
    <w:div w:id="1419789995">
      <w:bodyDiv w:val="1"/>
      <w:marLeft w:val="0"/>
      <w:marRight w:val="0"/>
      <w:marTop w:val="0"/>
      <w:marBottom w:val="0"/>
      <w:divBdr>
        <w:top w:val="none" w:sz="0" w:space="0" w:color="auto"/>
        <w:left w:val="none" w:sz="0" w:space="0" w:color="auto"/>
        <w:bottom w:val="none" w:sz="0" w:space="0" w:color="auto"/>
        <w:right w:val="none" w:sz="0" w:space="0" w:color="auto"/>
      </w:divBdr>
    </w:div>
    <w:div w:id="1479686788">
      <w:bodyDiv w:val="1"/>
      <w:marLeft w:val="0"/>
      <w:marRight w:val="0"/>
      <w:marTop w:val="0"/>
      <w:marBottom w:val="0"/>
      <w:divBdr>
        <w:top w:val="none" w:sz="0" w:space="0" w:color="auto"/>
        <w:left w:val="none" w:sz="0" w:space="0" w:color="auto"/>
        <w:bottom w:val="none" w:sz="0" w:space="0" w:color="auto"/>
        <w:right w:val="none" w:sz="0" w:space="0" w:color="auto"/>
      </w:divBdr>
    </w:div>
    <w:div w:id="2125033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D:\Proggasmita\5th%20October\my%20job\ACCOUNTING%20FUNDAMENTALS%20(2500%20words)\Accounting%20Fundamentals%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Proggasmita\5th%20October\my%20job\ACCOUNTING%20FUNDAMENTALS%20(2500%20words)\Accounting%20Fundamental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lineChart>
        <c:grouping val="stacked"/>
        <c:varyColors val="0"/>
        <c:ser>
          <c:idx val="0"/>
          <c:order val="0"/>
          <c:tx>
            <c:strRef>
              <c:f>'Question 1'!$C$2:$C$3</c:f>
              <c:strCache>
                <c:ptCount val="1"/>
                <c:pt idx="0">
                  <c:v>Year 2018 Amount (£)</c:v>
                </c:pt>
              </c:strCache>
            </c:strRef>
          </c:tx>
          <c:cat>
            <c:strRef>
              <c:f>('Question 1'!$B$6,'Question 1'!$B$8,'Question 1'!$B$13,'Question 1'!$B$15,'Question 1'!$B$17)</c:f>
              <c:strCache>
                <c:ptCount val="5"/>
                <c:pt idx="0">
                  <c:v>Total net revenue </c:v>
                </c:pt>
                <c:pt idx="1">
                  <c:v>Gross profit </c:v>
                </c:pt>
                <c:pt idx="2">
                  <c:v>Total expense </c:v>
                </c:pt>
                <c:pt idx="3">
                  <c:v>Profit before taxation </c:v>
                </c:pt>
                <c:pt idx="4">
                  <c:v>Net profit </c:v>
                </c:pt>
              </c:strCache>
            </c:strRef>
          </c:cat>
          <c:val>
            <c:numRef>
              <c:f>('Question 1'!$C$6,'Question 1'!$C$8,'Question 1'!$C$13,'Question 1'!$C$15,'Question 1'!$C$17)</c:f>
              <c:numCache>
                <c:formatCode>#,##0</c:formatCode>
                <c:ptCount val="5"/>
                <c:pt idx="0">
                  <c:v>958650</c:v>
                </c:pt>
                <c:pt idx="1">
                  <c:v>380000</c:v>
                </c:pt>
                <c:pt idx="2">
                  <c:v>454480</c:v>
                </c:pt>
                <c:pt idx="3">
                  <c:v>377020</c:v>
                </c:pt>
                <c:pt idx="4">
                  <c:v>309020</c:v>
                </c:pt>
              </c:numCache>
            </c:numRef>
          </c:val>
          <c:smooth val="0"/>
        </c:ser>
        <c:ser>
          <c:idx val="1"/>
          <c:order val="1"/>
          <c:tx>
            <c:strRef>
              <c:f>'Question 1'!$D$2:$D$3</c:f>
              <c:strCache>
                <c:ptCount val="1"/>
                <c:pt idx="0">
                  <c:v>Year 2019  Amount (£)</c:v>
                </c:pt>
              </c:strCache>
            </c:strRef>
          </c:tx>
          <c:cat>
            <c:strRef>
              <c:f>('Question 1'!$B$6,'Question 1'!$B$8,'Question 1'!$B$13,'Question 1'!$B$15,'Question 1'!$B$17)</c:f>
              <c:strCache>
                <c:ptCount val="5"/>
                <c:pt idx="0">
                  <c:v>Total net revenue </c:v>
                </c:pt>
                <c:pt idx="1">
                  <c:v>Gross profit </c:v>
                </c:pt>
                <c:pt idx="2">
                  <c:v>Total expense </c:v>
                </c:pt>
                <c:pt idx="3">
                  <c:v>Profit before taxation </c:v>
                </c:pt>
                <c:pt idx="4">
                  <c:v>Net profit </c:v>
                </c:pt>
              </c:strCache>
            </c:strRef>
          </c:cat>
          <c:val>
            <c:numRef>
              <c:f>('Question 1'!$D$6,'Question 1'!$D$8,'Question 1'!$D$13,'Question 1'!$D$15,'Question 1'!$D$17)</c:f>
              <c:numCache>
                <c:formatCode>General</c:formatCode>
                <c:ptCount val="5"/>
                <c:pt idx="0">
                  <c:v>764115</c:v>
                </c:pt>
                <c:pt idx="1">
                  <c:v>127600</c:v>
                </c:pt>
                <c:pt idx="2">
                  <c:v>499928</c:v>
                </c:pt>
                <c:pt idx="3">
                  <c:v>497728</c:v>
                </c:pt>
                <c:pt idx="4">
                  <c:v>422928</c:v>
                </c:pt>
              </c:numCache>
            </c:numRef>
          </c:val>
          <c:smooth val="0"/>
        </c:ser>
        <c:dLbls>
          <c:showLegendKey val="0"/>
          <c:showVal val="0"/>
          <c:showCatName val="0"/>
          <c:showSerName val="0"/>
          <c:showPercent val="0"/>
          <c:showBubbleSize val="0"/>
        </c:dLbls>
        <c:marker val="1"/>
        <c:smooth val="0"/>
        <c:axId val="2091545008"/>
        <c:axId val="2091545552"/>
      </c:lineChart>
      <c:catAx>
        <c:axId val="2091545008"/>
        <c:scaling>
          <c:orientation val="minMax"/>
        </c:scaling>
        <c:delete val="0"/>
        <c:axPos val="b"/>
        <c:numFmt formatCode="General" sourceLinked="0"/>
        <c:majorTickMark val="out"/>
        <c:minorTickMark val="none"/>
        <c:tickLblPos val="nextTo"/>
        <c:crossAx val="2091545552"/>
        <c:crosses val="autoZero"/>
        <c:auto val="1"/>
        <c:lblAlgn val="ctr"/>
        <c:lblOffset val="100"/>
        <c:noMultiLvlLbl val="0"/>
      </c:catAx>
      <c:valAx>
        <c:axId val="2091545552"/>
        <c:scaling>
          <c:orientation val="minMax"/>
        </c:scaling>
        <c:delete val="0"/>
        <c:axPos val="l"/>
        <c:majorGridlines/>
        <c:numFmt formatCode="#,##0" sourceLinked="1"/>
        <c:majorTickMark val="out"/>
        <c:minorTickMark val="none"/>
        <c:tickLblPos val="nextTo"/>
        <c:crossAx val="2091545008"/>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lineChart>
        <c:grouping val="stacked"/>
        <c:varyColors val="0"/>
        <c:ser>
          <c:idx val="0"/>
          <c:order val="0"/>
          <c:tx>
            <c:strRef>
              <c:f>'Question 2'!$C$2</c:f>
              <c:strCache>
                <c:ptCount val="1"/>
                <c:pt idx="0">
                  <c:v>2019</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2'!$B$3,'Question 2'!$B$6,'Question 2'!$B$11,'Question 2'!$B$15,'Question 2'!$B$18)</c:f>
              <c:strCache>
                <c:ptCount val="5"/>
                <c:pt idx="0">
                  <c:v>Particulars </c:v>
                </c:pt>
                <c:pt idx="1">
                  <c:v>Current ratio </c:v>
                </c:pt>
                <c:pt idx="2">
                  <c:v>Debt to equity ratio</c:v>
                </c:pt>
                <c:pt idx="3">
                  <c:v>Quick ratio </c:v>
                </c:pt>
                <c:pt idx="4">
                  <c:v>Assest turnover ratio </c:v>
                </c:pt>
              </c:strCache>
            </c:strRef>
          </c:cat>
          <c:val>
            <c:numRef>
              <c:f>('Question 2'!$C$3,'Question 2'!$C$6,'Question 2'!$C$11,'Question 2'!$C$15,'Question 2'!$C$18)</c:f>
              <c:numCache>
                <c:formatCode>General</c:formatCode>
                <c:ptCount val="5"/>
                <c:pt idx="0">
                  <c:v>0</c:v>
                </c:pt>
                <c:pt idx="1">
                  <c:v>0.91716447630426123</c:v>
                </c:pt>
                <c:pt idx="2">
                  <c:v>2.1528497409326426</c:v>
                </c:pt>
                <c:pt idx="3">
                  <c:v>0.71804062126642809</c:v>
                </c:pt>
                <c:pt idx="4">
                  <c:v>0.69207066557107677</c:v>
                </c:pt>
              </c:numCache>
            </c:numRef>
          </c:val>
          <c:smooth val="0"/>
        </c:ser>
        <c:ser>
          <c:idx val="1"/>
          <c:order val="1"/>
          <c:tx>
            <c:strRef>
              <c:f>'Question 2'!$D$2</c:f>
              <c:strCache>
                <c:ptCount val="1"/>
                <c:pt idx="0">
                  <c:v>2018</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2'!$B$3,'Question 2'!$B$6,'Question 2'!$B$11,'Question 2'!$B$15,'Question 2'!$B$18)</c:f>
              <c:strCache>
                <c:ptCount val="5"/>
                <c:pt idx="0">
                  <c:v>Particulars </c:v>
                </c:pt>
                <c:pt idx="1">
                  <c:v>Current ratio </c:v>
                </c:pt>
                <c:pt idx="2">
                  <c:v>Debt to equity ratio</c:v>
                </c:pt>
                <c:pt idx="3">
                  <c:v>Quick ratio </c:v>
                </c:pt>
                <c:pt idx="4">
                  <c:v>Assest turnover ratio </c:v>
                </c:pt>
              </c:strCache>
            </c:strRef>
          </c:cat>
          <c:val>
            <c:numRef>
              <c:f>('Question 2'!$D$3,'Question 2'!$D$6,'Question 2'!$D$11,'Question 2'!$D$15,'Question 2'!$D$18)</c:f>
              <c:numCache>
                <c:formatCode>General</c:formatCode>
                <c:ptCount val="5"/>
                <c:pt idx="0">
                  <c:v>0</c:v>
                </c:pt>
                <c:pt idx="1">
                  <c:v>0.77314510833880568</c:v>
                </c:pt>
                <c:pt idx="2">
                  <c:v>2.4639423076923088</c:v>
                </c:pt>
                <c:pt idx="3">
                  <c:v>0.78365068942875904</c:v>
                </c:pt>
                <c:pt idx="4">
                  <c:v>0.6385446614454251</c:v>
                </c:pt>
              </c:numCache>
            </c:numRef>
          </c:val>
          <c:smooth val="0"/>
        </c:ser>
        <c:dLbls>
          <c:showLegendKey val="0"/>
          <c:showVal val="1"/>
          <c:showCatName val="0"/>
          <c:showSerName val="0"/>
          <c:showPercent val="0"/>
          <c:showBubbleSize val="0"/>
        </c:dLbls>
        <c:marker val="1"/>
        <c:smooth val="0"/>
        <c:axId val="2091549360"/>
        <c:axId val="2088248240"/>
      </c:lineChart>
      <c:catAx>
        <c:axId val="2091549360"/>
        <c:scaling>
          <c:orientation val="minMax"/>
        </c:scaling>
        <c:delete val="0"/>
        <c:axPos val="b"/>
        <c:numFmt formatCode="General" sourceLinked="0"/>
        <c:majorTickMark val="none"/>
        <c:minorTickMark val="none"/>
        <c:tickLblPos val="nextTo"/>
        <c:crossAx val="2088248240"/>
        <c:crosses val="autoZero"/>
        <c:auto val="1"/>
        <c:lblAlgn val="ctr"/>
        <c:lblOffset val="100"/>
        <c:noMultiLvlLbl val="0"/>
      </c:catAx>
      <c:valAx>
        <c:axId val="2088248240"/>
        <c:scaling>
          <c:orientation val="minMax"/>
        </c:scaling>
        <c:delete val="0"/>
        <c:axPos val="l"/>
        <c:majorGridlines/>
        <c:numFmt formatCode="General" sourceLinked="1"/>
        <c:majorTickMark val="none"/>
        <c:minorTickMark val="none"/>
        <c:tickLblPos val="nextTo"/>
        <c:crossAx val="2091549360"/>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F2B9B82-0109-48D4-826D-94FFB887A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3027</Words>
  <Characters>17257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33</cp:revision>
  <dcterms:created xsi:type="dcterms:W3CDTF">2020-11-05T11:21:00Z</dcterms:created>
  <dcterms:modified xsi:type="dcterms:W3CDTF">2020-11-10T22:11:00Z</dcterms:modified>
</cp:coreProperties>
</file>