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509FFC" w14:textId="77777777" w:rsidR="00386A21" w:rsidRDefault="00386A21">
      <w:pPr>
        <w:widowControl w:val="0"/>
        <w:rPr>
          <w:rFonts w:ascii="Calibri" w:eastAsia="Calibri" w:hAnsi="Calibri" w:cs="Calibri"/>
        </w:rPr>
      </w:pPr>
    </w:p>
    <w:tbl>
      <w:tblPr>
        <w:tblStyle w:val="a"/>
        <w:tblpPr w:leftFromText="180" w:rightFromText="180" w:topFromText="180" w:bottomFromText="180" w:vertAnchor="text"/>
        <w:tblW w:w="99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96"/>
        <w:gridCol w:w="3294"/>
        <w:gridCol w:w="2267"/>
        <w:gridCol w:w="2268"/>
      </w:tblGrid>
      <w:tr w:rsidR="00386A21" w14:paraId="74101913" w14:textId="77777777">
        <w:trPr>
          <w:trHeight w:val="518"/>
        </w:trPr>
        <w:tc>
          <w:tcPr>
            <w:tcW w:w="2095" w:type="dxa"/>
          </w:tcPr>
          <w:p w14:paraId="43165658" w14:textId="77777777" w:rsidR="00386A21" w:rsidRDefault="00000000">
            <w:pPr>
              <w:widowControl w:val="0"/>
              <w:spacing w:line="240" w:lineRule="auto"/>
              <w:ind w:left="122"/>
              <w:rPr>
                <w:rFonts w:ascii="Calibri" w:eastAsia="Calibri" w:hAnsi="Calibri" w:cs="Calibri"/>
                <w:b/>
              </w:rPr>
            </w:pPr>
            <w:r>
              <w:rPr>
                <w:rFonts w:ascii="Calibri" w:eastAsia="Calibri" w:hAnsi="Calibri" w:cs="Calibri"/>
                <w:b/>
              </w:rPr>
              <w:t xml:space="preserve">Student name: </w:t>
            </w:r>
          </w:p>
        </w:tc>
        <w:tc>
          <w:tcPr>
            <w:tcW w:w="3293" w:type="dxa"/>
          </w:tcPr>
          <w:p w14:paraId="4AFB58F7" w14:textId="77777777" w:rsidR="00386A21" w:rsidRDefault="00000000">
            <w:pPr>
              <w:widowControl w:val="0"/>
              <w:rPr>
                <w:rFonts w:ascii="Calibri" w:eastAsia="Calibri" w:hAnsi="Calibri" w:cs="Calibri"/>
                <w:b/>
              </w:rPr>
            </w:pPr>
            <w:r>
              <w:rPr>
                <w:rFonts w:ascii="Calibri" w:eastAsia="Calibri" w:hAnsi="Calibri" w:cs="Calibri"/>
                <w:b/>
              </w:rPr>
              <w:t xml:space="preserve">Kvetoslava </w:t>
            </w:r>
            <w:proofErr w:type="spellStart"/>
            <w:r>
              <w:rPr>
                <w:rFonts w:ascii="Calibri" w:eastAsia="Calibri" w:hAnsi="Calibri" w:cs="Calibri"/>
                <w:b/>
              </w:rPr>
              <w:t>Tancosova</w:t>
            </w:r>
            <w:proofErr w:type="spellEnd"/>
          </w:p>
        </w:tc>
        <w:tc>
          <w:tcPr>
            <w:tcW w:w="2267" w:type="dxa"/>
          </w:tcPr>
          <w:p w14:paraId="2790E442" w14:textId="77777777" w:rsidR="00386A21" w:rsidRDefault="00000000">
            <w:pPr>
              <w:widowControl w:val="0"/>
              <w:spacing w:line="240" w:lineRule="auto"/>
              <w:ind w:left="119"/>
              <w:rPr>
                <w:rFonts w:ascii="Calibri" w:eastAsia="Calibri" w:hAnsi="Calibri" w:cs="Calibri"/>
                <w:b/>
              </w:rPr>
            </w:pPr>
            <w:r>
              <w:rPr>
                <w:rFonts w:ascii="Calibri" w:eastAsia="Calibri" w:hAnsi="Calibri" w:cs="Calibri"/>
                <w:b/>
              </w:rPr>
              <w:t>Student ID number:</w:t>
            </w:r>
          </w:p>
        </w:tc>
        <w:tc>
          <w:tcPr>
            <w:tcW w:w="2268" w:type="dxa"/>
          </w:tcPr>
          <w:p w14:paraId="7C917A5C" w14:textId="77777777" w:rsidR="00386A21" w:rsidRDefault="00000000">
            <w:pPr>
              <w:widowControl w:val="0"/>
              <w:rPr>
                <w:rFonts w:ascii="Calibri" w:eastAsia="Calibri" w:hAnsi="Calibri" w:cs="Calibri"/>
                <w:b/>
              </w:rPr>
            </w:pPr>
            <w:r>
              <w:rPr>
                <w:rFonts w:ascii="Calibri" w:eastAsia="Calibri" w:hAnsi="Calibri" w:cs="Calibri"/>
                <w:b/>
              </w:rPr>
              <w:t>2132429</w:t>
            </w:r>
          </w:p>
        </w:tc>
      </w:tr>
      <w:tr w:rsidR="00386A21" w14:paraId="73196897" w14:textId="77777777">
        <w:trPr>
          <w:trHeight w:val="518"/>
        </w:trPr>
        <w:tc>
          <w:tcPr>
            <w:tcW w:w="2095" w:type="dxa"/>
          </w:tcPr>
          <w:p w14:paraId="289EDF45" w14:textId="77777777" w:rsidR="00386A21" w:rsidRDefault="00000000">
            <w:pPr>
              <w:widowControl w:val="0"/>
              <w:spacing w:line="240" w:lineRule="auto"/>
              <w:ind w:left="130"/>
              <w:rPr>
                <w:rFonts w:ascii="Calibri" w:eastAsia="Calibri" w:hAnsi="Calibri" w:cs="Calibri"/>
                <w:b/>
              </w:rPr>
            </w:pPr>
            <w:r>
              <w:rPr>
                <w:rFonts w:ascii="Calibri" w:eastAsia="Calibri" w:hAnsi="Calibri" w:cs="Calibri"/>
                <w:b/>
              </w:rPr>
              <w:t xml:space="preserve">Programme: </w:t>
            </w:r>
          </w:p>
        </w:tc>
        <w:tc>
          <w:tcPr>
            <w:tcW w:w="7828" w:type="dxa"/>
            <w:gridSpan w:val="3"/>
          </w:tcPr>
          <w:p w14:paraId="71E82D29" w14:textId="77777777" w:rsidR="00386A21" w:rsidRDefault="00000000">
            <w:pPr>
              <w:widowControl w:val="0"/>
              <w:spacing w:line="240" w:lineRule="auto"/>
              <w:ind w:left="121"/>
              <w:rPr>
                <w:rFonts w:ascii="Calibri" w:eastAsia="Calibri" w:hAnsi="Calibri" w:cs="Calibri"/>
                <w:b/>
              </w:rPr>
            </w:pPr>
            <w:proofErr w:type="spellStart"/>
            <w:r>
              <w:rPr>
                <w:rFonts w:ascii="Calibri" w:eastAsia="Calibri" w:hAnsi="Calibri" w:cs="Calibri"/>
                <w:b/>
              </w:rPr>
              <w:t>Cert.HE</w:t>
            </w:r>
            <w:proofErr w:type="spellEnd"/>
            <w:r>
              <w:rPr>
                <w:rFonts w:ascii="Calibri" w:eastAsia="Calibri" w:hAnsi="Calibri" w:cs="Calibri"/>
                <w:b/>
              </w:rPr>
              <w:t>. Hospitality and Hotel Management</w:t>
            </w:r>
          </w:p>
        </w:tc>
      </w:tr>
      <w:tr w:rsidR="00386A21" w14:paraId="68402FC3" w14:textId="77777777">
        <w:trPr>
          <w:trHeight w:val="518"/>
        </w:trPr>
        <w:tc>
          <w:tcPr>
            <w:tcW w:w="2095" w:type="dxa"/>
          </w:tcPr>
          <w:p w14:paraId="30CE5BDF" w14:textId="77777777" w:rsidR="00386A21" w:rsidRDefault="00000000">
            <w:pPr>
              <w:widowControl w:val="0"/>
              <w:spacing w:line="240" w:lineRule="auto"/>
              <w:ind w:left="130"/>
              <w:rPr>
                <w:rFonts w:ascii="Calibri" w:eastAsia="Calibri" w:hAnsi="Calibri" w:cs="Calibri"/>
                <w:b/>
              </w:rPr>
            </w:pPr>
            <w:r>
              <w:rPr>
                <w:rFonts w:ascii="Calibri" w:eastAsia="Calibri" w:hAnsi="Calibri" w:cs="Calibri"/>
                <w:b/>
              </w:rPr>
              <w:t xml:space="preserve">Module: </w:t>
            </w:r>
          </w:p>
        </w:tc>
        <w:tc>
          <w:tcPr>
            <w:tcW w:w="7828" w:type="dxa"/>
            <w:gridSpan w:val="3"/>
          </w:tcPr>
          <w:p w14:paraId="77A74CF4" w14:textId="77777777" w:rsidR="00386A21" w:rsidRDefault="00000000">
            <w:pPr>
              <w:widowControl w:val="0"/>
              <w:spacing w:line="240" w:lineRule="auto"/>
              <w:ind w:left="119"/>
              <w:rPr>
                <w:rFonts w:ascii="Calibri" w:eastAsia="Calibri" w:hAnsi="Calibri" w:cs="Calibri"/>
                <w:b/>
              </w:rPr>
            </w:pPr>
            <w:r>
              <w:rPr>
                <w:rFonts w:ascii="Calibri" w:eastAsia="Calibri" w:hAnsi="Calibri" w:cs="Calibri"/>
                <w:b/>
              </w:rPr>
              <w:t>Sustainable Hospitality</w:t>
            </w:r>
          </w:p>
        </w:tc>
      </w:tr>
      <w:tr w:rsidR="00386A21" w14:paraId="6B13353F" w14:textId="77777777">
        <w:trPr>
          <w:trHeight w:val="816"/>
        </w:trPr>
        <w:tc>
          <w:tcPr>
            <w:tcW w:w="2095" w:type="dxa"/>
          </w:tcPr>
          <w:p w14:paraId="01754740" w14:textId="77777777" w:rsidR="00386A21" w:rsidRDefault="00000000">
            <w:pPr>
              <w:widowControl w:val="0"/>
              <w:spacing w:line="240" w:lineRule="auto"/>
              <w:ind w:left="130"/>
              <w:rPr>
                <w:rFonts w:ascii="Calibri" w:eastAsia="Calibri" w:hAnsi="Calibri" w:cs="Calibri"/>
                <w:b/>
              </w:rPr>
            </w:pPr>
            <w:r>
              <w:rPr>
                <w:rFonts w:ascii="Calibri" w:eastAsia="Calibri" w:hAnsi="Calibri" w:cs="Calibri"/>
                <w:b/>
              </w:rPr>
              <w:t xml:space="preserve">Module code: </w:t>
            </w:r>
          </w:p>
        </w:tc>
        <w:tc>
          <w:tcPr>
            <w:tcW w:w="3293" w:type="dxa"/>
          </w:tcPr>
          <w:p w14:paraId="0B3B1BF3" w14:textId="77777777" w:rsidR="00386A21" w:rsidRDefault="00000000">
            <w:pPr>
              <w:widowControl w:val="0"/>
              <w:spacing w:line="240" w:lineRule="auto"/>
              <w:ind w:left="128"/>
              <w:rPr>
                <w:rFonts w:ascii="Calibri" w:eastAsia="Calibri" w:hAnsi="Calibri" w:cs="Calibri"/>
                <w:b/>
              </w:rPr>
            </w:pPr>
            <w:r>
              <w:rPr>
                <w:rFonts w:ascii="Calibri" w:eastAsia="Calibri" w:hAnsi="Calibri" w:cs="Calibri"/>
                <w:b/>
              </w:rPr>
              <w:t xml:space="preserve">BMIH4011 </w:t>
            </w:r>
          </w:p>
        </w:tc>
        <w:tc>
          <w:tcPr>
            <w:tcW w:w="2267" w:type="dxa"/>
          </w:tcPr>
          <w:p w14:paraId="75ABE782" w14:textId="77777777" w:rsidR="00386A21" w:rsidRDefault="00000000">
            <w:pPr>
              <w:widowControl w:val="0"/>
              <w:spacing w:line="243" w:lineRule="auto"/>
              <w:ind w:left="115" w:right="53" w:firstLine="6"/>
              <w:jc w:val="both"/>
              <w:rPr>
                <w:rFonts w:ascii="Calibri" w:eastAsia="Calibri" w:hAnsi="Calibri" w:cs="Calibri"/>
                <w:b/>
                <w:shd w:val="clear" w:color="auto" w:fill="D9D9D9"/>
              </w:rPr>
            </w:pPr>
            <w:r>
              <w:rPr>
                <w:rFonts w:ascii="Calibri" w:eastAsia="Calibri" w:hAnsi="Calibri" w:cs="Calibri"/>
                <w:b/>
                <w:shd w:val="clear" w:color="auto" w:fill="D9D9D9"/>
              </w:rPr>
              <w:t xml:space="preserve">Contribution </w:t>
            </w:r>
            <w:proofErr w:type="gramStart"/>
            <w:r>
              <w:rPr>
                <w:rFonts w:ascii="Calibri" w:eastAsia="Calibri" w:hAnsi="Calibri" w:cs="Calibri"/>
                <w:b/>
                <w:shd w:val="clear" w:color="auto" w:fill="D9D9D9"/>
              </w:rPr>
              <w:t xml:space="preserve">to </w:t>
            </w:r>
            <w:r>
              <w:rPr>
                <w:rFonts w:ascii="Calibri" w:eastAsia="Calibri" w:hAnsi="Calibri" w:cs="Calibri"/>
                <w:b/>
              </w:rPr>
              <w:t xml:space="preserve"> </w:t>
            </w:r>
            <w:r>
              <w:rPr>
                <w:rFonts w:ascii="Calibri" w:eastAsia="Calibri" w:hAnsi="Calibri" w:cs="Calibri"/>
                <w:b/>
                <w:shd w:val="clear" w:color="auto" w:fill="D9D9D9"/>
              </w:rPr>
              <w:t>Overall</w:t>
            </w:r>
            <w:proofErr w:type="gramEnd"/>
            <w:r>
              <w:rPr>
                <w:rFonts w:ascii="Calibri" w:eastAsia="Calibri" w:hAnsi="Calibri" w:cs="Calibri"/>
                <w:b/>
                <w:shd w:val="clear" w:color="auto" w:fill="D9D9D9"/>
              </w:rPr>
              <w:t xml:space="preserve"> Module </w:t>
            </w:r>
            <w:r>
              <w:rPr>
                <w:rFonts w:ascii="Calibri" w:eastAsia="Calibri" w:hAnsi="Calibri" w:cs="Calibri"/>
                <w:b/>
              </w:rPr>
              <w:t xml:space="preserve"> </w:t>
            </w:r>
            <w:r>
              <w:rPr>
                <w:rFonts w:ascii="Calibri" w:eastAsia="Calibri" w:hAnsi="Calibri" w:cs="Calibri"/>
                <w:b/>
                <w:shd w:val="clear" w:color="auto" w:fill="D9D9D9"/>
              </w:rPr>
              <w:t>Assessment (%):</w:t>
            </w:r>
          </w:p>
        </w:tc>
        <w:tc>
          <w:tcPr>
            <w:tcW w:w="2268" w:type="dxa"/>
          </w:tcPr>
          <w:p w14:paraId="5EDD4E56" w14:textId="77777777" w:rsidR="00386A21" w:rsidRDefault="00000000">
            <w:pPr>
              <w:widowControl w:val="0"/>
              <w:spacing w:line="240" w:lineRule="auto"/>
              <w:ind w:left="128"/>
              <w:rPr>
                <w:rFonts w:ascii="Calibri" w:eastAsia="Calibri" w:hAnsi="Calibri" w:cs="Calibri"/>
                <w:b/>
              </w:rPr>
            </w:pPr>
            <w:r>
              <w:rPr>
                <w:rFonts w:ascii="Calibri" w:eastAsia="Calibri" w:hAnsi="Calibri" w:cs="Calibri"/>
                <w:b/>
              </w:rPr>
              <w:t>100</w:t>
            </w:r>
          </w:p>
        </w:tc>
      </w:tr>
      <w:tr w:rsidR="00386A21" w14:paraId="4A0DD930" w14:textId="77777777">
        <w:trPr>
          <w:trHeight w:val="518"/>
        </w:trPr>
        <w:tc>
          <w:tcPr>
            <w:tcW w:w="2095" w:type="dxa"/>
          </w:tcPr>
          <w:p w14:paraId="5AEEA354" w14:textId="77777777" w:rsidR="00386A21" w:rsidRDefault="00000000">
            <w:pPr>
              <w:widowControl w:val="0"/>
              <w:spacing w:line="240" w:lineRule="auto"/>
              <w:ind w:left="130"/>
              <w:rPr>
                <w:rFonts w:ascii="Calibri" w:eastAsia="Calibri" w:hAnsi="Calibri" w:cs="Calibri"/>
                <w:b/>
              </w:rPr>
            </w:pPr>
            <w:r>
              <w:rPr>
                <w:rFonts w:ascii="Calibri" w:eastAsia="Calibri" w:hAnsi="Calibri" w:cs="Calibri"/>
                <w:b/>
              </w:rPr>
              <w:t xml:space="preserve">Lecturer: </w:t>
            </w:r>
          </w:p>
        </w:tc>
        <w:tc>
          <w:tcPr>
            <w:tcW w:w="3293" w:type="dxa"/>
          </w:tcPr>
          <w:p w14:paraId="0FFCA7A8" w14:textId="77777777" w:rsidR="00386A21" w:rsidRDefault="00000000">
            <w:pPr>
              <w:widowControl w:val="0"/>
              <w:spacing w:line="240" w:lineRule="auto"/>
              <w:ind w:left="128"/>
              <w:rPr>
                <w:rFonts w:ascii="Calibri" w:eastAsia="Calibri" w:hAnsi="Calibri" w:cs="Calibri"/>
                <w:b/>
              </w:rPr>
            </w:pPr>
            <w:r>
              <w:rPr>
                <w:rFonts w:ascii="Calibri" w:eastAsia="Calibri" w:hAnsi="Calibri" w:cs="Calibri"/>
                <w:b/>
              </w:rPr>
              <w:t xml:space="preserve">Daniel Payne </w:t>
            </w:r>
          </w:p>
        </w:tc>
        <w:tc>
          <w:tcPr>
            <w:tcW w:w="2267" w:type="dxa"/>
          </w:tcPr>
          <w:p w14:paraId="6AB89F36" w14:textId="77777777" w:rsidR="00386A21" w:rsidRDefault="00000000">
            <w:pPr>
              <w:widowControl w:val="0"/>
              <w:spacing w:line="240" w:lineRule="auto"/>
              <w:ind w:left="128"/>
              <w:rPr>
                <w:rFonts w:ascii="Calibri" w:eastAsia="Calibri" w:hAnsi="Calibri" w:cs="Calibri"/>
                <w:b/>
              </w:rPr>
            </w:pPr>
            <w:r>
              <w:rPr>
                <w:rFonts w:ascii="Calibri" w:eastAsia="Calibri" w:hAnsi="Calibri" w:cs="Calibri"/>
                <w:b/>
              </w:rPr>
              <w:t xml:space="preserve">Internal Verifier: </w:t>
            </w:r>
          </w:p>
        </w:tc>
        <w:tc>
          <w:tcPr>
            <w:tcW w:w="2268" w:type="dxa"/>
          </w:tcPr>
          <w:p w14:paraId="47C0C9E3" w14:textId="77777777" w:rsidR="00386A21" w:rsidRDefault="00000000">
            <w:pPr>
              <w:widowControl w:val="0"/>
              <w:spacing w:line="240" w:lineRule="auto"/>
              <w:ind w:left="128"/>
              <w:rPr>
                <w:rFonts w:ascii="Calibri" w:eastAsia="Calibri" w:hAnsi="Calibri" w:cs="Calibri"/>
                <w:b/>
              </w:rPr>
            </w:pPr>
            <w:r>
              <w:rPr>
                <w:rFonts w:ascii="Calibri" w:eastAsia="Calibri" w:hAnsi="Calibri" w:cs="Calibri"/>
                <w:b/>
              </w:rPr>
              <w:t>Kathryn Roberts</w:t>
            </w:r>
          </w:p>
        </w:tc>
      </w:tr>
      <w:tr w:rsidR="00386A21" w14:paraId="3E3B63D9" w14:textId="77777777">
        <w:trPr>
          <w:trHeight w:val="787"/>
        </w:trPr>
        <w:tc>
          <w:tcPr>
            <w:tcW w:w="2095" w:type="dxa"/>
          </w:tcPr>
          <w:p w14:paraId="1051EA78" w14:textId="77777777" w:rsidR="00386A21" w:rsidRDefault="00000000">
            <w:pPr>
              <w:widowControl w:val="0"/>
              <w:spacing w:line="240" w:lineRule="auto"/>
              <w:ind w:left="117"/>
              <w:rPr>
                <w:rFonts w:ascii="Calibri" w:eastAsia="Calibri" w:hAnsi="Calibri" w:cs="Calibri"/>
                <w:b/>
              </w:rPr>
            </w:pPr>
            <w:r>
              <w:rPr>
                <w:rFonts w:ascii="Calibri" w:eastAsia="Calibri" w:hAnsi="Calibri" w:cs="Calibri"/>
                <w:b/>
              </w:rPr>
              <w:t xml:space="preserve">Assignment Title: </w:t>
            </w:r>
          </w:p>
        </w:tc>
        <w:tc>
          <w:tcPr>
            <w:tcW w:w="3293" w:type="dxa"/>
          </w:tcPr>
          <w:p w14:paraId="319CC3E1" w14:textId="77777777" w:rsidR="00386A21" w:rsidRDefault="00000000">
            <w:pPr>
              <w:widowControl w:val="0"/>
              <w:spacing w:line="240" w:lineRule="auto"/>
              <w:ind w:left="119"/>
              <w:rPr>
                <w:rFonts w:ascii="Calibri" w:eastAsia="Calibri" w:hAnsi="Calibri" w:cs="Calibri"/>
                <w:b/>
              </w:rPr>
            </w:pPr>
            <w:r>
              <w:rPr>
                <w:rFonts w:ascii="Calibri" w:eastAsia="Calibri" w:hAnsi="Calibri" w:cs="Calibri"/>
                <w:b/>
              </w:rPr>
              <w:t xml:space="preserve">Sustainability Project </w:t>
            </w:r>
          </w:p>
        </w:tc>
        <w:tc>
          <w:tcPr>
            <w:tcW w:w="2267" w:type="dxa"/>
          </w:tcPr>
          <w:p w14:paraId="661350C0" w14:textId="77777777" w:rsidR="00386A21" w:rsidRDefault="00000000">
            <w:pPr>
              <w:widowControl w:val="0"/>
              <w:spacing w:line="243" w:lineRule="auto"/>
              <w:ind w:left="120" w:right="53" w:hanging="3"/>
              <w:rPr>
                <w:rFonts w:ascii="Calibri" w:eastAsia="Calibri" w:hAnsi="Calibri" w:cs="Calibri"/>
                <w:b/>
              </w:rPr>
            </w:pPr>
            <w:r>
              <w:rPr>
                <w:rFonts w:ascii="Calibri" w:eastAsia="Calibri" w:hAnsi="Calibri" w:cs="Calibri"/>
                <w:b/>
              </w:rPr>
              <w:t>Word count (</w:t>
            </w:r>
            <w:proofErr w:type="gramStart"/>
            <w:r>
              <w:rPr>
                <w:rFonts w:ascii="Calibri" w:eastAsia="Calibri" w:hAnsi="Calibri" w:cs="Calibri"/>
                <w:b/>
              </w:rPr>
              <w:t>or  equivalent</w:t>
            </w:r>
            <w:proofErr w:type="gramEnd"/>
            <w:r>
              <w:rPr>
                <w:rFonts w:ascii="Calibri" w:eastAsia="Calibri" w:hAnsi="Calibri" w:cs="Calibri"/>
                <w:b/>
              </w:rPr>
              <w:t>):</w:t>
            </w:r>
          </w:p>
        </w:tc>
        <w:tc>
          <w:tcPr>
            <w:tcW w:w="2268" w:type="dxa"/>
          </w:tcPr>
          <w:p w14:paraId="0E0DB091" w14:textId="77777777" w:rsidR="00386A21" w:rsidRDefault="00000000">
            <w:pPr>
              <w:widowControl w:val="0"/>
              <w:spacing w:line="240" w:lineRule="auto"/>
              <w:ind w:left="122"/>
              <w:rPr>
                <w:rFonts w:ascii="Calibri" w:eastAsia="Calibri" w:hAnsi="Calibri" w:cs="Calibri"/>
                <w:b/>
              </w:rPr>
            </w:pPr>
            <w:r>
              <w:rPr>
                <w:rFonts w:ascii="Calibri" w:eastAsia="Calibri" w:hAnsi="Calibri" w:cs="Calibri"/>
                <w:b/>
              </w:rPr>
              <w:t>3000</w:t>
            </w:r>
          </w:p>
        </w:tc>
      </w:tr>
      <w:tr w:rsidR="00386A21" w14:paraId="048AF5CC" w14:textId="77777777">
        <w:trPr>
          <w:trHeight w:val="1055"/>
        </w:trPr>
        <w:tc>
          <w:tcPr>
            <w:tcW w:w="2095" w:type="dxa"/>
          </w:tcPr>
          <w:p w14:paraId="07724604" w14:textId="77777777" w:rsidR="00386A21" w:rsidRDefault="00000000">
            <w:pPr>
              <w:widowControl w:val="0"/>
              <w:spacing w:line="240" w:lineRule="auto"/>
              <w:ind w:left="122"/>
              <w:rPr>
                <w:rFonts w:ascii="Calibri" w:eastAsia="Calibri" w:hAnsi="Calibri" w:cs="Calibri"/>
                <w:b/>
              </w:rPr>
            </w:pPr>
            <w:r>
              <w:rPr>
                <w:rFonts w:ascii="Calibri" w:eastAsia="Calibri" w:hAnsi="Calibri" w:cs="Calibri"/>
                <w:b/>
              </w:rPr>
              <w:t xml:space="preserve">Submission  </w:t>
            </w:r>
          </w:p>
          <w:p w14:paraId="45F4B42F" w14:textId="77777777" w:rsidR="00386A21" w:rsidRDefault="00000000">
            <w:pPr>
              <w:widowControl w:val="0"/>
              <w:spacing w:before="11" w:line="240" w:lineRule="auto"/>
              <w:ind w:left="123"/>
              <w:rPr>
                <w:rFonts w:ascii="Calibri" w:eastAsia="Calibri" w:hAnsi="Calibri" w:cs="Calibri"/>
                <w:b/>
              </w:rPr>
            </w:pPr>
            <w:r>
              <w:rPr>
                <w:rFonts w:ascii="Calibri" w:eastAsia="Calibri" w:hAnsi="Calibri" w:cs="Calibri"/>
                <w:b/>
              </w:rPr>
              <w:t>deadline:</w:t>
            </w:r>
          </w:p>
        </w:tc>
        <w:tc>
          <w:tcPr>
            <w:tcW w:w="3293" w:type="dxa"/>
          </w:tcPr>
          <w:p w14:paraId="57B159C5" w14:textId="77777777" w:rsidR="00386A21" w:rsidRDefault="00000000">
            <w:pPr>
              <w:widowControl w:val="0"/>
              <w:spacing w:line="240" w:lineRule="auto"/>
              <w:jc w:val="center"/>
              <w:rPr>
                <w:rFonts w:ascii="Calibri" w:eastAsia="Calibri" w:hAnsi="Calibri" w:cs="Calibri"/>
                <w:b/>
              </w:rPr>
            </w:pPr>
            <w:r>
              <w:rPr>
                <w:rFonts w:ascii="Calibri" w:eastAsia="Calibri" w:hAnsi="Calibri" w:cs="Calibri"/>
                <w:b/>
              </w:rPr>
              <w:t>Monday 18</w:t>
            </w:r>
            <w:r>
              <w:rPr>
                <w:rFonts w:ascii="Calibri" w:eastAsia="Calibri" w:hAnsi="Calibri" w:cs="Calibri"/>
                <w:b/>
                <w:sz w:val="23"/>
                <w:szCs w:val="23"/>
                <w:vertAlign w:val="superscript"/>
              </w:rPr>
              <w:t xml:space="preserve">th </w:t>
            </w:r>
            <w:r>
              <w:rPr>
                <w:rFonts w:ascii="Calibri" w:eastAsia="Calibri" w:hAnsi="Calibri" w:cs="Calibri"/>
                <w:b/>
              </w:rPr>
              <w:t xml:space="preserve">March 2024 by 23:59 </w:t>
            </w:r>
          </w:p>
        </w:tc>
        <w:tc>
          <w:tcPr>
            <w:tcW w:w="2267" w:type="dxa"/>
          </w:tcPr>
          <w:p w14:paraId="49CDCD95" w14:textId="77777777" w:rsidR="00386A21" w:rsidRDefault="00000000">
            <w:pPr>
              <w:widowControl w:val="0"/>
              <w:spacing w:line="243" w:lineRule="auto"/>
              <w:ind w:left="116" w:right="53" w:firstLine="11"/>
              <w:jc w:val="both"/>
              <w:rPr>
                <w:rFonts w:ascii="Calibri" w:eastAsia="Calibri" w:hAnsi="Calibri" w:cs="Calibri"/>
                <w:b/>
              </w:rPr>
            </w:pPr>
            <w:r>
              <w:rPr>
                <w:rFonts w:ascii="Calibri" w:eastAsia="Calibri" w:hAnsi="Calibri" w:cs="Calibri"/>
                <w:b/>
              </w:rPr>
              <w:t xml:space="preserve">Return date </w:t>
            </w:r>
            <w:proofErr w:type="gramStart"/>
            <w:r>
              <w:rPr>
                <w:rFonts w:ascii="Calibri" w:eastAsia="Calibri" w:hAnsi="Calibri" w:cs="Calibri"/>
                <w:b/>
              </w:rPr>
              <w:t xml:space="preserve">of  </w:t>
            </w:r>
            <w:r>
              <w:rPr>
                <w:rFonts w:ascii="Calibri" w:eastAsia="Calibri" w:hAnsi="Calibri" w:cs="Calibri"/>
                <w:b/>
                <w:shd w:val="clear" w:color="auto" w:fill="D9D9D9"/>
              </w:rPr>
              <w:t>provisional</w:t>
            </w:r>
            <w:proofErr w:type="gramEnd"/>
            <w:r>
              <w:rPr>
                <w:rFonts w:ascii="Calibri" w:eastAsia="Calibri" w:hAnsi="Calibri" w:cs="Calibri"/>
                <w:b/>
                <w:shd w:val="clear" w:color="auto" w:fill="D9D9D9"/>
              </w:rPr>
              <w:t xml:space="preserve"> marks &amp; </w:t>
            </w:r>
            <w:r>
              <w:rPr>
                <w:rFonts w:ascii="Calibri" w:eastAsia="Calibri" w:hAnsi="Calibri" w:cs="Calibri"/>
                <w:b/>
              </w:rPr>
              <w:t xml:space="preserve"> written feedback:</w:t>
            </w:r>
          </w:p>
        </w:tc>
        <w:tc>
          <w:tcPr>
            <w:tcW w:w="2268" w:type="dxa"/>
          </w:tcPr>
          <w:p w14:paraId="77549FFF" w14:textId="77777777" w:rsidR="00386A21" w:rsidRDefault="00000000">
            <w:pPr>
              <w:widowControl w:val="0"/>
              <w:spacing w:line="240" w:lineRule="auto"/>
              <w:jc w:val="center"/>
              <w:rPr>
                <w:rFonts w:ascii="Calibri" w:eastAsia="Calibri" w:hAnsi="Calibri" w:cs="Calibri"/>
                <w:b/>
              </w:rPr>
            </w:pPr>
            <w:r>
              <w:rPr>
                <w:rFonts w:ascii="Calibri" w:eastAsia="Calibri" w:hAnsi="Calibri" w:cs="Calibri"/>
                <w:b/>
              </w:rPr>
              <w:t>7</w:t>
            </w:r>
            <w:r>
              <w:rPr>
                <w:rFonts w:ascii="Calibri" w:eastAsia="Calibri" w:hAnsi="Calibri" w:cs="Calibri"/>
                <w:b/>
                <w:sz w:val="23"/>
                <w:szCs w:val="23"/>
                <w:vertAlign w:val="superscript"/>
              </w:rPr>
              <w:t xml:space="preserve">th </w:t>
            </w:r>
            <w:r>
              <w:rPr>
                <w:rFonts w:ascii="Calibri" w:eastAsia="Calibri" w:hAnsi="Calibri" w:cs="Calibri"/>
                <w:b/>
              </w:rPr>
              <w:t>May 2024 by 23:59</w:t>
            </w:r>
          </w:p>
        </w:tc>
      </w:tr>
      <w:tr w:rsidR="00386A21" w14:paraId="1CB64B5A" w14:textId="77777777">
        <w:trPr>
          <w:trHeight w:val="4102"/>
        </w:trPr>
        <w:tc>
          <w:tcPr>
            <w:tcW w:w="2095" w:type="dxa"/>
          </w:tcPr>
          <w:p w14:paraId="620445D6" w14:textId="77777777" w:rsidR="00386A21" w:rsidRDefault="00000000">
            <w:pPr>
              <w:widowControl w:val="0"/>
              <w:spacing w:line="240" w:lineRule="auto"/>
              <w:jc w:val="center"/>
              <w:rPr>
                <w:rFonts w:ascii="Calibri" w:eastAsia="Calibri" w:hAnsi="Calibri" w:cs="Calibri"/>
                <w:b/>
              </w:rPr>
            </w:pPr>
            <w:r>
              <w:rPr>
                <w:rFonts w:ascii="Calibri" w:eastAsia="Calibri" w:hAnsi="Calibri" w:cs="Calibri"/>
                <w:b/>
              </w:rPr>
              <w:t xml:space="preserve">Submission method: </w:t>
            </w:r>
          </w:p>
        </w:tc>
        <w:tc>
          <w:tcPr>
            <w:tcW w:w="7828" w:type="dxa"/>
            <w:gridSpan w:val="3"/>
          </w:tcPr>
          <w:p w14:paraId="58F7FB75" w14:textId="77777777" w:rsidR="00386A21" w:rsidRDefault="00000000">
            <w:pPr>
              <w:widowControl w:val="0"/>
              <w:spacing w:line="243" w:lineRule="auto"/>
              <w:ind w:left="121" w:right="56" w:hanging="5"/>
              <w:rPr>
                <w:rFonts w:ascii="Calibri" w:eastAsia="Calibri" w:hAnsi="Calibri" w:cs="Calibri"/>
              </w:rPr>
            </w:pPr>
            <w:r>
              <w:rPr>
                <w:rFonts w:ascii="Calibri" w:eastAsia="Calibri" w:hAnsi="Calibri" w:cs="Calibri"/>
              </w:rPr>
              <w:t xml:space="preserve">All written assessments, where practical and possible, must be submitted via </w:t>
            </w:r>
            <w:proofErr w:type="gramStart"/>
            <w:r>
              <w:rPr>
                <w:rFonts w:ascii="Calibri" w:eastAsia="Calibri" w:hAnsi="Calibri" w:cs="Calibri"/>
              </w:rPr>
              <w:t>Turnitin  unless</w:t>
            </w:r>
            <w:proofErr w:type="gramEnd"/>
            <w:r>
              <w:rPr>
                <w:rFonts w:ascii="Calibri" w:eastAsia="Calibri" w:hAnsi="Calibri" w:cs="Calibri"/>
              </w:rPr>
              <w:t xml:space="preserve"> otherwise instructed by the Lecturer. (Please DO NOT put this </w:t>
            </w:r>
            <w:proofErr w:type="gramStart"/>
            <w:r>
              <w:rPr>
                <w:rFonts w:ascii="Calibri" w:eastAsia="Calibri" w:hAnsi="Calibri" w:cs="Calibri"/>
              </w:rPr>
              <w:t>assessment  specification</w:t>
            </w:r>
            <w:proofErr w:type="gramEnd"/>
            <w:r>
              <w:rPr>
                <w:rFonts w:ascii="Calibri" w:eastAsia="Calibri" w:hAnsi="Calibri" w:cs="Calibri"/>
              </w:rPr>
              <w:t xml:space="preserve"> into Turnitin or it will match many similarities with other students’  submissions.) </w:t>
            </w:r>
          </w:p>
          <w:p w14:paraId="3C7693BE" w14:textId="77777777" w:rsidR="00386A21" w:rsidRDefault="00000000">
            <w:pPr>
              <w:widowControl w:val="0"/>
              <w:spacing w:before="127" w:line="240" w:lineRule="auto"/>
              <w:ind w:left="115"/>
              <w:rPr>
                <w:rFonts w:ascii="Calibri" w:eastAsia="Calibri" w:hAnsi="Calibri" w:cs="Calibri"/>
                <w:b/>
              </w:rPr>
            </w:pPr>
            <w:r>
              <w:rPr>
                <w:rFonts w:ascii="Calibri" w:eastAsia="Calibri" w:hAnsi="Calibri" w:cs="Calibri"/>
                <w:b/>
              </w:rPr>
              <w:t xml:space="preserve">Alternative submission method (if applicable):  </w:t>
            </w:r>
          </w:p>
          <w:p w14:paraId="2C0EAA81" w14:textId="77777777" w:rsidR="00386A21" w:rsidRDefault="00000000">
            <w:pPr>
              <w:widowControl w:val="0"/>
              <w:spacing w:before="131" w:line="240" w:lineRule="auto"/>
              <w:ind w:left="128"/>
              <w:rPr>
                <w:rFonts w:ascii="Calibri" w:eastAsia="Calibri" w:hAnsi="Calibri" w:cs="Calibri"/>
                <w:b/>
              </w:rPr>
            </w:pPr>
            <w:r>
              <w:rPr>
                <w:rFonts w:ascii="Calibri" w:eastAsia="Calibri" w:hAnsi="Calibri" w:cs="Calibri"/>
                <w:b/>
              </w:rPr>
              <w:t xml:space="preserve">Late submission of the assessment will result in a late penalty mark: </w:t>
            </w:r>
          </w:p>
          <w:p w14:paraId="49AFDF78" w14:textId="77777777" w:rsidR="00386A21" w:rsidRDefault="00000000">
            <w:pPr>
              <w:widowControl w:val="0"/>
              <w:spacing w:before="128" w:line="243" w:lineRule="auto"/>
              <w:ind w:left="119" w:right="55" w:hanging="3"/>
              <w:jc w:val="both"/>
              <w:rPr>
                <w:rFonts w:ascii="Calibri" w:eastAsia="Calibri" w:hAnsi="Calibri" w:cs="Calibri"/>
              </w:rPr>
            </w:pPr>
            <w:r>
              <w:rPr>
                <w:rFonts w:ascii="Calibri" w:eastAsia="Calibri" w:hAnsi="Calibri" w:cs="Calibri"/>
              </w:rPr>
              <w:t xml:space="preserve">Work which is submitted up to 1 week late will be capped at 40% for the first </w:t>
            </w:r>
            <w:proofErr w:type="gramStart"/>
            <w:r>
              <w:rPr>
                <w:rFonts w:ascii="Calibri" w:eastAsia="Calibri" w:hAnsi="Calibri" w:cs="Calibri"/>
              </w:rPr>
              <w:t>attempt  and</w:t>
            </w:r>
            <w:proofErr w:type="gramEnd"/>
            <w:r>
              <w:rPr>
                <w:rFonts w:ascii="Calibri" w:eastAsia="Calibri" w:hAnsi="Calibri" w:cs="Calibri"/>
              </w:rPr>
              <w:t xml:space="preserve"> will be awarded a mark of 0% for re-assessment. Late submission penalties </w:t>
            </w:r>
            <w:proofErr w:type="gramStart"/>
            <w:r>
              <w:rPr>
                <w:rFonts w:ascii="Calibri" w:eastAsia="Calibri" w:hAnsi="Calibri" w:cs="Calibri"/>
              </w:rPr>
              <w:t>may  be</w:t>
            </w:r>
            <w:proofErr w:type="gramEnd"/>
            <w:r>
              <w:rPr>
                <w:rFonts w:ascii="Calibri" w:eastAsia="Calibri" w:hAnsi="Calibri" w:cs="Calibri"/>
              </w:rPr>
              <w:t xml:space="preserve"> lifted only if there is an approved extenuating circumstances claim.  </w:t>
            </w:r>
          </w:p>
          <w:p w14:paraId="7B1CD8CE" w14:textId="77777777" w:rsidR="00386A21" w:rsidRDefault="00000000">
            <w:pPr>
              <w:widowControl w:val="0"/>
              <w:spacing w:before="128" w:line="243" w:lineRule="auto"/>
              <w:ind w:left="118" w:right="54"/>
              <w:jc w:val="both"/>
              <w:rPr>
                <w:rFonts w:ascii="Calibri" w:eastAsia="Calibri" w:hAnsi="Calibri" w:cs="Calibri"/>
              </w:rPr>
            </w:pPr>
            <w:r>
              <w:rPr>
                <w:rFonts w:ascii="Calibri" w:eastAsia="Calibri" w:hAnsi="Calibri" w:cs="Calibri"/>
              </w:rPr>
              <w:t xml:space="preserve">Work submitted more than 1 week late will be considered as a non-submission </w:t>
            </w:r>
            <w:proofErr w:type="gramStart"/>
            <w:r>
              <w:rPr>
                <w:rFonts w:ascii="Calibri" w:eastAsia="Calibri" w:hAnsi="Calibri" w:cs="Calibri"/>
              </w:rPr>
              <w:t>and  will</w:t>
            </w:r>
            <w:proofErr w:type="gramEnd"/>
            <w:r>
              <w:rPr>
                <w:rFonts w:ascii="Calibri" w:eastAsia="Calibri" w:hAnsi="Calibri" w:cs="Calibri"/>
              </w:rPr>
              <w:t xml:space="preserve"> not be marked. The work may be considered as a submission for reassessment </w:t>
            </w:r>
            <w:proofErr w:type="gramStart"/>
            <w:r>
              <w:rPr>
                <w:rFonts w:ascii="Calibri" w:eastAsia="Calibri" w:hAnsi="Calibri" w:cs="Calibri"/>
              </w:rPr>
              <w:t>if  offered</w:t>
            </w:r>
            <w:proofErr w:type="gramEnd"/>
            <w:r>
              <w:rPr>
                <w:rFonts w:ascii="Calibri" w:eastAsia="Calibri" w:hAnsi="Calibri" w:cs="Calibri"/>
              </w:rPr>
              <w:t xml:space="preserve"> by an Examining Board or if there is an approved extenuating circumstances  claim. </w:t>
            </w:r>
          </w:p>
        </w:tc>
      </w:tr>
      <w:tr w:rsidR="00386A21" w14:paraId="7AC0490D" w14:textId="77777777">
        <w:trPr>
          <w:trHeight w:val="1324"/>
        </w:trPr>
        <w:tc>
          <w:tcPr>
            <w:tcW w:w="2095" w:type="dxa"/>
          </w:tcPr>
          <w:p w14:paraId="1875808F" w14:textId="77777777" w:rsidR="00386A21" w:rsidRDefault="00000000">
            <w:pPr>
              <w:widowControl w:val="0"/>
              <w:spacing w:line="243" w:lineRule="auto"/>
              <w:ind w:left="128" w:right="114" w:hanging="11"/>
              <w:rPr>
                <w:rFonts w:ascii="Calibri" w:eastAsia="Calibri" w:hAnsi="Calibri" w:cs="Calibri"/>
                <w:b/>
              </w:rPr>
            </w:pPr>
            <w:r>
              <w:rPr>
                <w:rFonts w:ascii="Calibri" w:eastAsia="Calibri" w:hAnsi="Calibri" w:cs="Calibri"/>
                <w:b/>
              </w:rPr>
              <w:t xml:space="preserve">Academic honesty </w:t>
            </w:r>
            <w:proofErr w:type="gramStart"/>
            <w:r>
              <w:rPr>
                <w:rFonts w:ascii="Calibri" w:eastAsia="Calibri" w:hAnsi="Calibri" w:cs="Calibri"/>
                <w:b/>
              </w:rPr>
              <w:t>/  referencing</w:t>
            </w:r>
            <w:proofErr w:type="gramEnd"/>
            <w:r>
              <w:rPr>
                <w:rFonts w:ascii="Calibri" w:eastAsia="Calibri" w:hAnsi="Calibri" w:cs="Calibri"/>
                <w:b/>
              </w:rPr>
              <w:t>:</w:t>
            </w:r>
          </w:p>
        </w:tc>
        <w:tc>
          <w:tcPr>
            <w:tcW w:w="7828" w:type="dxa"/>
            <w:gridSpan w:val="3"/>
          </w:tcPr>
          <w:p w14:paraId="6ED19EA6" w14:textId="77777777" w:rsidR="00386A21" w:rsidRDefault="00000000">
            <w:pPr>
              <w:widowControl w:val="0"/>
              <w:spacing w:line="243" w:lineRule="auto"/>
              <w:ind w:left="121" w:right="58" w:hanging="5"/>
              <w:jc w:val="both"/>
              <w:rPr>
                <w:rFonts w:ascii="Calibri" w:eastAsia="Calibri" w:hAnsi="Calibri" w:cs="Calibri"/>
              </w:rPr>
            </w:pPr>
            <w:r>
              <w:rPr>
                <w:rFonts w:ascii="Calibri" w:eastAsia="Calibri" w:hAnsi="Calibri" w:cs="Calibri"/>
              </w:rPr>
              <w:t xml:space="preserve">Academic honesty is required. In the main body of your submission you must </w:t>
            </w:r>
            <w:proofErr w:type="gramStart"/>
            <w:r>
              <w:rPr>
                <w:rFonts w:ascii="Calibri" w:eastAsia="Calibri" w:hAnsi="Calibri" w:cs="Calibri"/>
              </w:rPr>
              <w:t>give  credit</w:t>
            </w:r>
            <w:proofErr w:type="gramEnd"/>
            <w:r>
              <w:rPr>
                <w:rFonts w:ascii="Calibri" w:eastAsia="Calibri" w:hAnsi="Calibri" w:cs="Calibri"/>
              </w:rPr>
              <w:t xml:space="preserve"> to authors on whose research and ideas your work is based. Append to </w:t>
            </w:r>
            <w:proofErr w:type="gramStart"/>
            <w:r>
              <w:rPr>
                <w:rFonts w:ascii="Calibri" w:eastAsia="Calibri" w:hAnsi="Calibri" w:cs="Calibri"/>
              </w:rPr>
              <w:t>your  submission</w:t>
            </w:r>
            <w:proofErr w:type="gramEnd"/>
            <w:r>
              <w:rPr>
                <w:rFonts w:ascii="Calibri" w:eastAsia="Calibri" w:hAnsi="Calibri" w:cs="Calibri"/>
              </w:rPr>
              <w:t xml:space="preserve"> a reference list that indicates the books, articles, etc. that you have used,  cited or quoted in order to complete this assessment. </w:t>
            </w:r>
          </w:p>
        </w:tc>
      </w:tr>
    </w:tbl>
    <w:p w14:paraId="3DBF7694" w14:textId="77777777" w:rsidR="00386A21" w:rsidRDefault="00000000">
      <w:pPr>
        <w:pStyle w:val="Heading1"/>
      </w:pPr>
      <w:bookmarkStart w:id="0" w:name="_xha3yyky9md0" w:colFirst="0" w:colLast="0"/>
      <w:bookmarkEnd w:id="0"/>
      <w:r>
        <w:lastRenderedPageBreak/>
        <w:br w:type="page"/>
      </w:r>
    </w:p>
    <w:p w14:paraId="7534D32B" w14:textId="77777777" w:rsidR="00386A21" w:rsidRDefault="00000000">
      <w:pPr>
        <w:pStyle w:val="Heading1"/>
      </w:pPr>
      <w:bookmarkStart w:id="1" w:name="_gbf9htnw6y40" w:colFirst="0" w:colLast="0"/>
      <w:bookmarkEnd w:id="1"/>
      <w:r>
        <w:lastRenderedPageBreak/>
        <w:t>Introduction</w:t>
      </w:r>
    </w:p>
    <w:p w14:paraId="06961CCC"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Sustainability is an important idea to keep in mind when trying to solve problems that affect people, the environment, and the business. This law covers things that people can do right now that won't hurt other people in the future. The World Commission on Environment and Development's (1987) idea of sustainable development from the Brundtland Report is what the idea of sustainability is based on. Making money, taking care of the earth, and treating people right are all goals that it tries to find a balance between. The Sustainable Development Goals (2015), which were set by the United Nations, are another set of rules that help people all over the world make the future better. Some scholars have said that companies should include sustainability in their plans and rules (Elkington, 1997) because it makes people stronger and lessens the effects of climate change (Rockstrom et al., 2009).</w:t>
      </w:r>
    </w:p>
    <w:p w14:paraId="47DB8178" w14:textId="77777777" w:rsidR="00386A21" w:rsidRDefault="00386A21">
      <w:pPr>
        <w:jc w:val="both"/>
        <w:rPr>
          <w:rFonts w:ascii="Calibri" w:eastAsia="Calibri" w:hAnsi="Calibri" w:cs="Calibri"/>
          <w:sz w:val="24"/>
          <w:szCs w:val="24"/>
        </w:rPr>
      </w:pPr>
    </w:p>
    <w:p w14:paraId="4B02BDBF" w14:textId="77777777" w:rsidR="00386A21" w:rsidRDefault="00000000">
      <w:pPr>
        <w:pStyle w:val="Heading1"/>
        <w:rPr>
          <w:sz w:val="24"/>
          <w:szCs w:val="24"/>
        </w:rPr>
      </w:pPr>
      <w:bookmarkStart w:id="2" w:name="_kx99ovl4jyba" w:colFirst="0" w:colLast="0"/>
      <w:bookmarkEnd w:id="2"/>
      <w:r>
        <w:t>Core Aspects of Sustainability</w:t>
      </w:r>
    </w:p>
    <w:p w14:paraId="43362A78"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According to the Brundtland Commission (1987), sustainability is the idea that we should fulfil the requirements of the present without making it more difficult for future generations to likewise fulfil their need.  It is a sophisticated concept that requires a balance to be struck between the ecological, social, and economic aspects of the situation.</w:t>
      </w:r>
    </w:p>
    <w:p w14:paraId="10080E85" w14:textId="77777777" w:rsidR="00386A21" w:rsidRDefault="00000000">
      <w:pPr>
        <w:pStyle w:val="Heading2"/>
        <w:rPr>
          <w:rFonts w:ascii="Calibri" w:eastAsia="Calibri" w:hAnsi="Calibri" w:cs="Calibri"/>
        </w:rPr>
      </w:pPr>
      <w:bookmarkStart w:id="3" w:name="_oatp4akdoqc9" w:colFirst="0" w:colLast="0"/>
      <w:bookmarkEnd w:id="3"/>
      <w:r>
        <w:rPr>
          <w:rFonts w:ascii="Calibri" w:eastAsia="Calibri" w:hAnsi="Calibri" w:cs="Calibri"/>
        </w:rPr>
        <w:t>The Three Pillars of Sustainability</w:t>
      </w:r>
    </w:p>
    <w:p w14:paraId="2021BE63" w14:textId="77777777" w:rsidR="00386A21" w:rsidRDefault="00000000">
      <w:pPr>
        <w:pStyle w:val="Heading3"/>
      </w:pPr>
      <w:bookmarkStart w:id="4" w:name="_gzvlmuvppef5" w:colFirst="0" w:colLast="0"/>
      <w:bookmarkEnd w:id="4"/>
      <w:r>
        <w:t>Environmental Sustainability</w:t>
      </w:r>
      <w:r>
        <w:rPr>
          <w:noProof/>
        </w:rPr>
        <w:drawing>
          <wp:anchor distT="114300" distB="114300" distL="114300" distR="114300" simplePos="0" relativeHeight="251658240" behindDoc="0" locked="0" layoutInCell="1" hidden="0" allowOverlap="1" wp14:anchorId="30F85A19" wp14:editId="42A53125">
            <wp:simplePos x="0" y="0"/>
            <wp:positionH relativeFrom="column">
              <wp:posOffset>3905250</wp:posOffset>
            </wp:positionH>
            <wp:positionV relativeFrom="paragraph">
              <wp:posOffset>371475</wp:posOffset>
            </wp:positionV>
            <wp:extent cx="2186451" cy="1353517"/>
            <wp:effectExtent l="0" t="0" r="0" b="0"/>
            <wp:wrapSquare wrapText="bothSides" distT="114300" distB="114300" distL="114300" distR="114300"/>
            <wp:docPr id="4"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5"/>
                    <a:srcRect/>
                    <a:stretch>
                      <a:fillRect/>
                    </a:stretch>
                  </pic:blipFill>
                  <pic:spPr>
                    <a:xfrm>
                      <a:off x="0" y="0"/>
                      <a:ext cx="2186451" cy="1353517"/>
                    </a:xfrm>
                    <a:prstGeom prst="rect">
                      <a:avLst/>
                    </a:prstGeom>
                    <a:ln/>
                  </pic:spPr>
                </pic:pic>
              </a:graphicData>
            </a:graphic>
          </wp:anchor>
        </w:drawing>
      </w:r>
    </w:p>
    <w:p w14:paraId="4991AD09"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 xml:space="preserve">The establishment of this pillar was accomplished by drawing attention to the critical need of preserving the resources that our planet has. The objective, according to Goodland (1995), is to limit pollution, preserve biodiversity, reduce the implications of climate change, utilise natural resources in a responsible way, and conserve biodiversity. Further, the purpose is to safeguard biodiversity. Sustainability in the environment necessitates the application of activities such as the exploitation of renewable energy sources, the reduction of waste, and the utilisation of water resources in an appropriate manner. </w:t>
      </w:r>
      <w:r>
        <w:rPr>
          <w:noProof/>
        </w:rPr>
        <w:drawing>
          <wp:anchor distT="114300" distB="114300" distL="114300" distR="114300" simplePos="0" relativeHeight="251659264" behindDoc="0" locked="0" layoutInCell="1" hidden="0" allowOverlap="1" wp14:anchorId="565B3DE5" wp14:editId="056251C9">
            <wp:simplePos x="0" y="0"/>
            <wp:positionH relativeFrom="column">
              <wp:posOffset>1</wp:posOffset>
            </wp:positionH>
            <wp:positionV relativeFrom="paragraph">
              <wp:posOffset>1708770</wp:posOffset>
            </wp:positionV>
            <wp:extent cx="1595438" cy="1143000"/>
            <wp:effectExtent l="0" t="0" r="0" b="0"/>
            <wp:wrapSquare wrapText="bothSides" distT="114300" distB="114300" distL="114300" distR="11430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6"/>
                    <a:srcRect/>
                    <a:stretch>
                      <a:fillRect/>
                    </a:stretch>
                  </pic:blipFill>
                  <pic:spPr>
                    <a:xfrm>
                      <a:off x="0" y="0"/>
                      <a:ext cx="1595438" cy="1143000"/>
                    </a:xfrm>
                    <a:prstGeom prst="rect">
                      <a:avLst/>
                    </a:prstGeom>
                    <a:ln/>
                  </pic:spPr>
                </pic:pic>
              </a:graphicData>
            </a:graphic>
          </wp:anchor>
        </w:drawing>
      </w:r>
    </w:p>
    <w:p w14:paraId="74A820A3" w14:textId="77777777" w:rsidR="00386A21" w:rsidRDefault="00000000">
      <w:pPr>
        <w:pStyle w:val="Heading3"/>
      </w:pPr>
      <w:bookmarkStart w:id="5" w:name="_2uxuoa7qj8il" w:colFirst="0" w:colLast="0"/>
      <w:bookmarkEnd w:id="5"/>
      <w:r>
        <w:t>Social Sustainability</w:t>
      </w:r>
    </w:p>
    <w:p w14:paraId="70F8FC68"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 xml:space="preserve">Among the most essential components of this pillar (pillar), one of the most crucial characteristics is the equitable distribution of resources and opportunity. For the goal of fostering human well-being, inclusiveness, and cultural </w:t>
      </w:r>
      <w:r>
        <w:rPr>
          <w:rFonts w:ascii="Calibri" w:eastAsia="Calibri" w:hAnsi="Calibri" w:cs="Calibri"/>
          <w:sz w:val="24"/>
          <w:szCs w:val="24"/>
        </w:rPr>
        <w:lastRenderedPageBreak/>
        <w:t xml:space="preserve">diversity, </w:t>
      </w:r>
      <w:proofErr w:type="spellStart"/>
      <w:r>
        <w:rPr>
          <w:rFonts w:ascii="Calibri" w:eastAsia="Calibri" w:hAnsi="Calibri" w:cs="Calibri"/>
          <w:sz w:val="24"/>
          <w:szCs w:val="24"/>
        </w:rPr>
        <w:t>Magis</w:t>
      </w:r>
      <w:proofErr w:type="spellEnd"/>
      <w:r>
        <w:rPr>
          <w:rFonts w:ascii="Calibri" w:eastAsia="Calibri" w:hAnsi="Calibri" w:cs="Calibri"/>
          <w:sz w:val="24"/>
          <w:szCs w:val="24"/>
        </w:rPr>
        <w:t xml:space="preserve"> and Shinn (2009) assert that social sustainability is based on the establishment of societies that are equal and cohesive. This is done with the intention of supporting cultural diversity. In this specific pillar, some of the most significant criteria are the elimination of poverty and hunger, the provision of education and healthcare of a high quality, and the assurance of communities that are strong and resilient. </w:t>
      </w:r>
    </w:p>
    <w:p w14:paraId="1AF810E7" w14:textId="77777777" w:rsidR="00386A21" w:rsidRDefault="00000000">
      <w:pPr>
        <w:pStyle w:val="Heading3"/>
      </w:pPr>
      <w:bookmarkStart w:id="6" w:name="_hffknycytpyr" w:colFirst="0" w:colLast="0"/>
      <w:bookmarkEnd w:id="6"/>
      <w:r>
        <w:t>Economic Sustainability</w:t>
      </w:r>
    </w:p>
    <w:p w14:paraId="39AD2FC8"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It is the purpose of this aspect to accomplish the goal of achieving sustainable economic growth that does not lead to the degradation of the environment or the continuation of social inequalities. (Dempsey and colleagues, 2011) Specifically, it offers help for the building of fair economic systems that put a priority on the efficient utilisation of resources, innovation, and the provision of job opportunities that are of an acceptable worth. It is possible to achieve a higher level of economic sustainability via the application of models of circular economies, responsible investment practices, and the pursuit of sustainable firm models.</w:t>
      </w:r>
    </w:p>
    <w:p w14:paraId="440ED888" w14:textId="77777777" w:rsidR="00386A21" w:rsidRDefault="00000000">
      <w:pPr>
        <w:pStyle w:val="Heading2"/>
        <w:jc w:val="both"/>
        <w:rPr>
          <w:rFonts w:ascii="Calibri" w:eastAsia="Calibri" w:hAnsi="Calibri" w:cs="Calibri"/>
          <w:sz w:val="24"/>
          <w:szCs w:val="24"/>
        </w:rPr>
      </w:pPr>
      <w:bookmarkStart w:id="7" w:name="_1ru9gju2pj92" w:colFirst="0" w:colLast="0"/>
      <w:bookmarkEnd w:id="7"/>
      <w:r>
        <w:rPr>
          <w:rFonts w:ascii="Calibri" w:eastAsia="Calibri" w:hAnsi="Calibri" w:cs="Calibri"/>
        </w:rPr>
        <w:t>The Interconnectedness of the Pillars</w:t>
      </w:r>
    </w:p>
    <w:p w14:paraId="0895C130"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The ecological, social, and economic pillars of sustainability are intricately intertwined. For example, economic and social inequality may worsen as a result of environmental harm (United Nations Environment Programme, 2021). Conversely, a robust economy operating within global bounds may generate sufficient revenue to fund social objectives such as healthcare and education.</w:t>
      </w:r>
    </w:p>
    <w:p w14:paraId="7420F180" w14:textId="77777777" w:rsidR="00386A21" w:rsidRDefault="00000000">
      <w:pPr>
        <w:pStyle w:val="Heading2"/>
        <w:jc w:val="both"/>
        <w:rPr>
          <w:rFonts w:ascii="Calibri" w:eastAsia="Calibri" w:hAnsi="Calibri" w:cs="Calibri"/>
          <w:sz w:val="24"/>
          <w:szCs w:val="24"/>
        </w:rPr>
      </w:pPr>
      <w:bookmarkStart w:id="8" w:name="_d36feys32izw" w:colFirst="0" w:colLast="0"/>
      <w:bookmarkEnd w:id="8"/>
      <w:r>
        <w:rPr>
          <w:rFonts w:ascii="Calibri" w:eastAsia="Calibri" w:hAnsi="Calibri" w:cs="Calibri"/>
        </w:rPr>
        <w:t>Achieving Sustainability</w:t>
      </w:r>
    </w:p>
    <w:p w14:paraId="2EDDBC01"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To get closer to attaining sustainability, we must use both novel approaches and systems-thinking. Meadows (2008) states that systems thinking is a concept that looks at how the many factors that affect sustainability are closely related to one other. For it to be effective, people from different fields must work together on it, and it has to be monitored for a long time. There are many levels at which sustainable practices may be implemented: individuals, businesses, communities, and even state governments. However, they demand that the systems in which people produce and use goods be drastically changed.</w:t>
      </w:r>
    </w:p>
    <w:p w14:paraId="0B8239A0" w14:textId="77777777" w:rsidR="00386A21" w:rsidRDefault="00386A21">
      <w:pPr>
        <w:jc w:val="both"/>
        <w:rPr>
          <w:rFonts w:ascii="Calibri" w:eastAsia="Calibri" w:hAnsi="Calibri" w:cs="Calibri"/>
          <w:sz w:val="24"/>
          <w:szCs w:val="24"/>
        </w:rPr>
      </w:pPr>
    </w:p>
    <w:p w14:paraId="1DE958A3"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 xml:space="preserve">When we discuss sustainability, we mean taking into account the economy, the environment, and the people. Important texts like the Sustainable Development Goals and the Brundtland Report provide in-depth explanations of this subject. It is essential to finding solutions to the serious problems our world has faced and will continue to face. The triple bottom line method, which shows how all three components are interrelated and encourages companies and </w:t>
      </w:r>
      <w:r>
        <w:rPr>
          <w:rFonts w:ascii="Calibri" w:eastAsia="Calibri" w:hAnsi="Calibri" w:cs="Calibri"/>
          <w:sz w:val="24"/>
          <w:szCs w:val="24"/>
        </w:rPr>
        <w:lastRenderedPageBreak/>
        <w:t xml:space="preserve">communities to embrace environmentally responsible practices, may help establish a vibrant and equitable future. </w:t>
      </w:r>
    </w:p>
    <w:p w14:paraId="1BFA30D2" w14:textId="77777777" w:rsidR="00386A21" w:rsidRDefault="00386A21">
      <w:pPr>
        <w:jc w:val="both"/>
        <w:rPr>
          <w:rFonts w:ascii="Calibri" w:eastAsia="Calibri" w:hAnsi="Calibri" w:cs="Calibri"/>
          <w:sz w:val="24"/>
          <w:szCs w:val="24"/>
        </w:rPr>
      </w:pPr>
    </w:p>
    <w:p w14:paraId="682FA654" w14:textId="77777777" w:rsidR="00386A21" w:rsidRDefault="00000000">
      <w:pPr>
        <w:pStyle w:val="Heading1"/>
      </w:pPr>
      <w:bookmarkStart w:id="9" w:name="_ghl7tuoguepg" w:colFirst="0" w:colLast="0"/>
      <w:bookmarkEnd w:id="9"/>
      <w:r>
        <w:t>Effect Of Sustainability on Hotel Industry</w:t>
      </w:r>
    </w:p>
    <w:p w14:paraId="070CCDA5"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The fact that sustainability has developed as a key challenge in the hospitality sector may be attributed to a variety of factors, including the growing number of worries about the environment, the shifting expectations of visitors, and the possibility of generating profits over the course of a longer period of time. There are many different areas of hotel management, and some of the ways that sustainability is employed in those parts are as follows:</w:t>
      </w:r>
    </w:p>
    <w:p w14:paraId="1139E05A" w14:textId="77777777" w:rsidR="00386A21" w:rsidRDefault="00000000">
      <w:pPr>
        <w:pStyle w:val="Heading2"/>
        <w:jc w:val="both"/>
        <w:rPr>
          <w:rFonts w:ascii="Calibri" w:eastAsia="Calibri" w:hAnsi="Calibri" w:cs="Calibri"/>
        </w:rPr>
      </w:pPr>
      <w:bookmarkStart w:id="10" w:name="_9suyrkvg1utz" w:colFirst="0" w:colLast="0"/>
      <w:bookmarkEnd w:id="10"/>
      <w:r>
        <w:rPr>
          <w:rFonts w:ascii="Calibri" w:eastAsia="Calibri" w:hAnsi="Calibri" w:cs="Calibri"/>
        </w:rPr>
        <w:t>Resource Conservation</w:t>
      </w:r>
      <w:r>
        <w:rPr>
          <w:noProof/>
        </w:rPr>
        <w:drawing>
          <wp:anchor distT="114300" distB="114300" distL="114300" distR="114300" simplePos="0" relativeHeight="251660288" behindDoc="0" locked="0" layoutInCell="1" hidden="0" allowOverlap="1" wp14:anchorId="27E84C76" wp14:editId="15CA0670">
            <wp:simplePos x="0" y="0"/>
            <wp:positionH relativeFrom="column">
              <wp:posOffset>2847975</wp:posOffset>
            </wp:positionH>
            <wp:positionV relativeFrom="paragraph">
              <wp:posOffset>514350</wp:posOffset>
            </wp:positionV>
            <wp:extent cx="3090863" cy="1352550"/>
            <wp:effectExtent l="0" t="0" r="0" b="0"/>
            <wp:wrapSquare wrapText="bothSides" distT="114300" distB="114300" distL="114300" distR="114300"/>
            <wp:docPr id="3" name="image11.jpg"/>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7"/>
                    <a:srcRect/>
                    <a:stretch>
                      <a:fillRect/>
                    </a:stretch>
                  </pic:blipFill>
                  <pic:spPr>
                    <a:xfrm>
                      <a:off x="0" y="0"/>
                      <a:ext cx="3090863" cy="1352550"/>
                    </a:xfrm>
                    <a:prstGeom prst="rect">
                      <a:avLst/>
                    </a:prstGeom>
                    <a:ln/>
                  </pic:spPr>
                </pic:pic>
              </a:graphicData>
            </a:graphic>
          </wp:anchor>
        </w:drawing>
      </w:r>
    </w:p>
    <w:p w14:paraId="74609304"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Operating a hotel requires a significant amount of both water and electricity. Changing to lights and goods that use less energy (Chan, 2005), installing water fixtures with low flow rates, and implementing robust recycling and garbage reduction programmes are all examples of sustainable practices that may be implemented in this sector. The implementation of these measures not only has a less impact on the natural world, but it also results in significant cost savings on monthly energy bills.</w:t>
      </w:r>
    </w:p>
    <w:p w14:paraId="37F4F4BE" w14:textId="77777777" w:rsidR="00386A21" w:rsidRDefault="00000000">
      <w:pPr>
        <w:pStyle w:val="Heading2"/>
        <w:jc w:val="both"/>
        <w:rPr>
          <w:rFonts w:ascii="Calibri" w:eastAsia="Calibri" w:hAnsi="Calibri" w:cs="Calibri"/>
        </w:rPr>
      </w:pPr>
      <w:bookmarkStart w:id="11" w:name="_3ft96kdqj4mm" w:colFirst="0" w:colLast="0"/>
      <w:bookmarkEnd w:id="11"/>
      <w:r>
        <w:rPr>
          <w:rFonts w:ascii="Calibri" w:eastAsia="Calibri" w:hAnsi="Calibri" w:cs="Calibri"/>
        </w:rPr>
        <w:t>Green Building Design</w:t>
      </w:r>
      <w:r>
        <w:rPr>
          <w:noProof/>
        </w:rPr>
        <w:drawing>
          <wp:anchor distT="114300" distB="114300" distL="114300" distR="114300" simplePos="0" relativeHeight="251661312" behindDoc="0" locked="0" layoutInCell="1" hidden="0" allowOverlap="1" wp14:anchorId="0265B9AD" wp14:editId="1390E42A">
            <wp:simplePos x="0" y="0"/>
            <wp:positionH relativeFrom="column">
              <wp:posOffset>47626</wp:posOffset>
            </wp:positionH>
            <wp:positionV relativeFrom="paragraph">
              <wp:posOffset>279202</wp:posOffset>
            </wp:positionV>
            <wp:extent cx="2254503" cy="1695338"/>
            <wp:effectExtent l="0" t="0" r="0" b="0"/>
            <wp:wrapSquare wrapText="bothSides" distT="114300" distB="114300" distL="114300" distR="114300"/>
            <wp:docPr id="11"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8"/>
                    <a:srcRect/>
                    <a:stretch>
                      <a:fillRect/>
                    </a:stretch>
                  </pic:blipFill>
                  <pic:spPr>
                    <a:xfrm>
                      <a:off x="0" y="0"/>
                      <a:ext cx="2254503" cy="1695338"/>
                    </a:xfrm>
                    <a:prstGeom prst="rect">
                      <a:avLst/>
                    </a:prstGeom>
                    <a:ln/>
                  </pic:spPr>
                </pic:pic>
              </a:graphicData>
            </a:graphic>
          </wp:anchor>
        </w:drawing>
      </w:r>
    </w:p>
    <w:p w14:paraId="4B5DF344" w14:textId="77777777" w:rsidR="00386A21" w:rsidRDefault="00000000">
      <w:pPr>
        <w:jc w:val="both"/>
        <w:rPr>
          <w:rFonts w:ascii="Calibri" w:eastAsia="Calibri" w:hAnsi="Calibri" w:cs="Calibri"/>
        </w:rPr>
      </w:pPr>
      <w:r>
        <w:rPr>
          <w:rFonts w:ascii="Calibri" w:eastAsia="Calibri" w:hAnsi="Calibri" w:cs="Calibri"/>
          <w:sz w:val="24"/>
          <w:szCs w:val="24"/>
        </w:rPr>
        <w:t xml:space="preserve">The construction or renovation of hotels with environmental considerations in mind is becoming an increasingly common practice. Among them are the use of environmentally friendly construction materials, the incorporation of natural lighting and airflow, and the utilisation of insulation in the most effective manner to conserve energy (Lawson, 2018). The implementation of sustainable planning may result in cost savings for hotels over the long run. </w:t>
      </w:r>
    </w:p>
    <w:p w14:paraId="6E4A542A" w14:textId="77777777" w:rsidR="00386A21" w:rsidRDefault="00386A21">
      <w:pPr>
        <w:jc w:val="both"/>
        <w:rPr>
          <w:rFonts w:ascii="Calibri" w:eastAsia="Calibri" w:hAnsi="Calibri" w:cs="Calibri"/>
        </w:rPr>
      </w:pPr>
    </w:p>
    <w:p w14:paraId="348BAEA4" w14:textId="77777777" w:rsidR="00386A21" w:rsidRDefault="00000000">
      <w:pPr>
        <w:pStyle w:val="Heading2"/>
        <w:jc w:val="both"/>
        <w:rPr>
          <w:rFonts w:ascii="Calibri" w:eastAsia="Calibri" w:hAnsi="Calibri" w:cs="Calibri"/>
        </w:rPr>
      </w:pPr>
      <w:bookmarkStart w:id="12" w:name="_14nuczychx8k" w:colFirst="0" w:colLast="0"/>
      <w:bookmarkEnd w:id="12"/>
      <w:r>
        <w:rPr>
          <w:rFonts w:ascii="Calibri" w:eastAsia="Calibri" w:hAnsi="Calibri" w:cs="Calibri"/>
        </w:rPr>
        <w:lastRenderedPageBreak/>
        <w:t>Supply Chain Management</w:t>
      </w:r>
    </w:p>
    <w:p w14:paraId="6DB7AC42"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Some things that hotels can do to be better for the environment are to use items that are socially and locally sourced, to cut down on needless packing, and to work with sellers who share their commitment to social and environmental duty. Dodds and Joppe (2005) say that hotels can lower their carbon footprint and keep up good business practices if they use sustainable supply chain practices.</w:t>
      </w:r>
    </w:p>
    <w:p w14:paraId="3A584248" w14:textId="77777777" w:rsidR="00386A21" w:rsidRDefault="00000000">
      <w:pPr>
        <w:pStyle w:val="Heading2"/>
        <w:jc w:val="both"/>
        <w:rPr>
          <w:rFonts w:ascii="Calibri" w:eastAsia="Calibri" w:hAnsi="Calibri" w:cs="Calibri"/>
        </w:rPr>
      </w:pPr>
      <w:bookmarkStart w:id="13" w:name="_zgwmvxu9oec0" w:colFirst="0" w:colLast="0"/>
      <w:bookmarkEnd w:id="13"/>
      <w:r>
        <w:rPr>
          <w:rFonts w:ascii="Calibri" w:eastAsia="Calibri" w:hAnsi="Calibri" w:cs="Calibri"/>
        </w:rPr>
        <w:t>Guest Engagement and Education</w:t>
      </w:r>
    </w:p>
    <w:p w14:paraId="66F3A9FB"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It is feasible to pique the interest of guests in sustainability activities with the assistance of Han et al. (2010). This may be accomplished by making it clear how the hotel deals with the environment, offering guests the opportunity to reuse towels and linens, and encouraging responsible behaviour. It is possible that the implementation of these tactics will give folks the impression that they really have a role to play, which will eventually result in an increase in happiness.</w:t>
      </w:r>
    </w:p>
    <w:p w14:paraId="2CCCFC9E" w14:textId="77777777" w:rsidR="00386A21" w:rsidRDefault="00000000">
      <w:pPr>
        <w:pStyle w:val="Heading2"/>
        <w:jc w:val="both"/>
        <w:rPr>
          <w:rFonts w:ascii="Calibri" w:eastAsia="Calibri" w:hAnsi="Calibri" w:cs="Calibri"/>
        </w:rPr>
      </w:pPr>
      <w:bookmarkStart w:id="14" w:name="_23scveq1baw1" w:colFirst="0" w:colLast="0"/>
      <w:bookmarkEnd w:id="14"/>
      <w:r>
        <w:rPr>
          <w:rFonts w:ascii="Calibri" w:eastAsia="Calibri" w:hAnsi="Calibri" w:cs="Calibri"/>
        </w:rPr>
        <w:t>Social Responsibility</w:t>
      </w:r>
    </w:p>
    <w:p w14:paraId="4F040B98" w14:textId="77777777" w:rsidR="00386A21" w:rsidRDefault="00000000">
      <w:pPr>
        <w:jc w:val="both"/>
        <w:rPr>
          <w:rFonts w:ascii="Calibri" w:eastAsia="Calibri" w:hAnsi="Calibri" w:cs="Calibri"/>
          <w:sz w:val="24"/>
          <w:szCs w:val="24"/>
        </w:rPr>
      </w:pPr>
      <w:proofErr w:type="spellStart"/>
      <w:r>
        <w:rPr>
          <w:rFonts w:ascii="Calibri" w:eastAsia="Calibri" w:hAnsi="Calibri" w:cs="Calibri"/>
          <w:sz w:val="24"/>
          <w:szCs w:val="24"/>
        </w:rPr>
        <w:t>Manaktola</w:t>
      </w:r>
      <w:proofErr w:type="spellEnd"/>
      <w:r>
        <w:rPr>
          <w:rFonts w:ascii="Calibri" w:eastAsia="Calibri" w:hAnsi="Calibri" w:cs="Calibri"/>
          <w:sz w:val="24"/>
          <w:szCs w:val="24"/>
        </w:rPr>
        <w:t xml:space="preserve"> and </w:t>
      </w:r>
      <w:proofErr w:type="spellStart"/>
      <w:r>
        <w:rPr>
          <w:rFonts w:ascii="Calibri" w:eastAsia="Calibri" w:hAnsi="Calibri" w:cs="Calibri"/>
          <w:sz w:val="24"/>
          <w:szCs w:val="24"/>
        </w:rPr>
        <w:t>Jauhari</w:t>
      </w:r>
      <w:proofErr w:type="spellEnd"/>
      <w:r>
        <w:rPr>
          <w:rFonts w:ascii="Calibri" w:eastAsia="Calibri" w:hAnsi="Calibri" w:cs="Calibri"/>
          <w:sz w:val="24"/>
          <w:szCs w:val="24"/>
        </w:rPr>
        <w:t xml:space="preserve"> (2007) say that being sustainable in the hotel industry means doing a lot of different things, such as helping out local communities, making sure that workers are treated well, and spending money on projects that help staff improve their skills. That makes the world a better place, and it might help a hotel's image and keep workers there.</w:t>
      </w:r>
    </w:p>
    <w:p w14:paraId="693DAA05" w14:textId="77777777" w:rsidR="00386A21" w:rsidRDefault="00000000">
      <w:pPr>
        <w:pStyle w:val="Heading2"/>
        <w:jc w:val="both"/>
        <w:rPr>
          <w:rFonts w:ascii="Calibri" w:eastAsia="Calibri" w:hAnsi="Calibri" w:cs="Calibri"/>
        </w:rPr>
      </w:pPr>
      <w:bookmarkStart w:id="15" w:name="_1rrvlkbt6ssv" w:colFirst="0" w:colLast="0"/>
      <w:bookmarkEnd w:id="15"/>
      <w:r>
        <w:rPr>
          <w:rFonts w:ascii="Calibri" w:eastAsia="Calibri" w:hAnsi="Calibri" w:cs="Calibri"/>
        </w:rPr>
        <w:t>Marketing and Branding</w:t>
      </w:r>
    </w:p>
    <w:p w14:paraId="7DB07FEB" w14:textId="77777777" w:rsidR="00386A21" w:rsidRDefault="00000000">
      <w:pPr>
        <w:jc w:val="both"/>
        <w:rPr>
          <w:rFonts w:ascii="Calibri" w:eastAsia="Calibri" w:hAnsi="Calibri" w:cs="Calibri"/>
          <w:sz w:val="24"/>
          <w:szCs w:val="24"/>
        </w:rPr>
      </w:pPr>
      <w:r>
        <w:rPr>
          <w:rFonts w:ascii="Calibri" w:eastAsia="Calibri" w:hAnsi="Calibri" w:cs="Calibri"/>
          <w:sz w:val="24"/>
          <w:szCs w:val="24"/>
          <w:highlight w:val="white"/>
        </w:rPr>
        <w:t>According to Han et al. (2010), a number of hotels are able to effectively leverage their sustainability initiatives as a competitive advantage. As a result, these hotels are able to attract tourists who are environmentally conscious and maybe charge higher room rates as a result of their efforts.</w:t>
      </w:r>
    </w:p>
    <w:p w14:paraId="77284F1B" w14:textId="77777777" w:rsidR="00386A21" w:rsidRDefault="00386A21">
      <w:pPr>
        <w:jc w:val="both"/>
        <w:rPr>
          <w:rFonts w:ascii="Calibri" w:eastAsia="Calibri" w:hAnsi="Calibri" w:cs="Calibri"/>
          <w:b/>
          <w:sz w:val="24"/>
          <w:szCs w:val="24"/>
        </w:rPr>
      </w:pPr>
    </w:p>
    <w:p w14:paraId="606FBF02" w14:textId="77777777" w:rsidR="00386A21" w:rsidRDefault="00000000">
      <w:pPr>
        <w:pStyle w:val="Heading1"/>
      </w:pPr>
      <w:bookmarkStart w:id="16" w:name="_35d2115304" w:colFirst="0" w:colLast="0"/>
      <w:bookmarkEnd w:id="16"/>
      <w:r>
        <w:lastRenderedPageBreak/>
        <w:t>Sustainability in the Hotel Industry: Balancing Positive and Negative Impacts</w:t>
      </w:r>
      <w:r>
        <w:rPr>
          <w:noProof/>
        </w:rPr>
        <w:drawing>
          <wp:anchor distT="114300" distB="114300" distL="114300" distR="114300" simplePos="0" relativeHeight="251662336" behindDoc="0" locked="0" layoutInCell="1" hidden="0" allowOverlap="1" wp14:anchorId="388DC939" wp14:editId="326D4F66">
            <wp:simplePos x="0" y="0"/>
            <wp:positionH relativeFrom="column">
              <wp:posOffset>3238500</wp:posOffset>
            </wp:positionH>
            <wp:positionV relativeFrom="paragraph">
              <wp:posOffset>523875</wp:posOffset>
            </wp:positionV>
            <wp:extent cx="2700338" cy="1691941"/>
            <wp:effectExtent l="0" t="0" r="0" b="0"/>
            <wp:wrapSquare wrapText="bothSides" distT="114300" distB="114300" distL="114300" distR="114300"/>
            <wp:docPr id="7"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9"/>
                    <a:srcRect/>
                    <a:stretch>
                      <a:fillRect/>
                    </a:stretch>
                  </pic:blipFill>
                  <pic:spPr>
                    <a:xfrm>
                      <a:off x="0" y="0"/>
                      <a:ext cx="2700338" cy="1691941"/>
                    </a:xfrm>
                    <a:prstGeom prst="rect">
                      <a:avLst/>
                    </a:prstGeom>
                    <a:ln/>
                  </pic:spPr>
                </pic:pic>
              </a:graphicData>
            </a:graphic>
          </wp:anchor>
        </w:drawing>
      </w:r>
    </w:p>
    <w:p w14:paraId="39FFA7D6"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 xml:space="preserve">When it comes to the problem of sustainability, the hospitality sector is faced with a number of possibilities as well as obstacles. Although it is feasible that applying sustainable practices might be good to the environment, society, and the economy, it is also possible that it could be expensive at first, and your guests might not like the way that you manage things. </w:t>
      </w:r>
    </w:p>
    <w:p w14:paraId="1FD69D1A" w14:textId="77777777" w:rsidR="00386A21" w:rsidRDefault="00000000">
      <w:pPr>
        <w:pStyle w:val="Heading2"/>
        <w:jc w:val="both"/>
        <w:rPr>
          <w:rFonts w:ascii="Calibri" w:eastAsia="Calibri" w:hAnsi="Calibri" w:cs="Calibri"/>
          <w:sz w:val="24"/>
          <w:szCs w:val="24"/>
        </w:rPr>
      </w:pPr>
      <w:bookmarkStart w:id="17" w:name="_zdgrnirkzpk4" w:colFirst="0" w:colLast="0"/>
      <w:bookmarkEnd w:id="17"/>
      <w:r>
        <w:rPr>
          <w:rFonts w:ascii="Calibri" w:eastAsia="Calibri" w:hAnsi="Calibri" w:cs="Calibri"/>
        </w:rPr>
        <w:t>Positive Impacts</w:t>
      </w:r>
    </w:p>
    <w:p w14:paraId="0755B88E" w14:textId="77777777" w:rsidR="00386A21" w:rsidRDefault="00000000">
      <w:pPr>
        <w:pStyle w:val="Heading3"/>
      </w:pPr>
      <w:bookmarkStart w:id="18" w:name="_76vwgb2m3f1k" w:colFirst="0" w:colLast="0"/>
      <w:bookmarkEnd w:id="18"/>
      <w:r>
        <w:t>Reduced environmental impact</w:t>
      </w:r>
    </w:p>
    <w:p w14:paraId="7E95C559" w14:textId="77777777" w:rsidR="00386A21" w:rsidRDefault="00000000">
      <w:pPr>
        <w:jc w:val="both"/>
        <w:rPr>
          <w:rFonts w:ascii="Calibri" w:eastAsia="Calibri" w:hAnsi="Calibri" w:cs="Calibri"/>
          <w:sz w:val="24"/>
          <w:szCs w:val="24"/>
        </w:rPr>
      </w:pPr>
      <w:r>
        <w:rPr>
          <w:rFonts w:ascii="Calibri" w:eastAsia="Calibri" w:hAnsi="Calibri" w:cs="Calibri"/>
          <w:sz w:val="24"/>
          <w:szCs w:val="24"/>
          <w:highlight w:val="white"/>
        </w:rPr>
        <w:t>Hotels can help lessen their effect on the environment by doing things like saving energy and water, reducing waste, and buying products in an eco-friendly way. An article by Han et al. (2010) says that this fits with the growing desire for businesses to act in an honest way and could help the brand's image.</w:t>
      </w:r>
    </w:p>
    <w:p w14:paraId="52C0D626" w14:textId="77777777" w:rsidR="00386A21" w:rsidRDefault="00000000">
      <w:pPr>
        <w:pStyle w:val="Heading3"/>
      </w:pPr>
      <w:bookmarkStart w:id="19" w:name="_svy0ohvqph3c" w:colFirst="0" w:colLast="0"/>
      <w:bookmarkEnd w:id="19"/>
      <w:r>
        <w:t>Increased operational cost savings</w:t>
      </w:r>
    </w:p>
    <w:p w14:paraId="4AE46285"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According to Chan (2005), long-term cost benefits in the areas of waste management and electricity expenses are often achieved via sustainable practices, which include water-saving fixtures, energy-efficient equipment, and trash reduction programmes.</w:t>
      </w:r>
    </w:p>
    <w:p w14:paraId="36A465AE" w14:textId="77777777" w:rsidR="00386A21" w:rsidRDefault="00000000">
      <w:pPr>
        <w:pStyle w:val="Heading3"/>
      </w:pPr>
      <w:bookmarkStart w:id="20" w:name="_ebr8erefw5wc" w:colFirst="0" w:colLast="0"/>
      <w:bookmarkEnd w:id="20"/>
      <w:r>
        <w:t>Enhanced guest attraction and loyalty</w:t>
      </w:r>
    </w:p>
    <w:p w14:paraId="5BDD8420"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Research has shown that travellers are increasingly basing their travel decisions on a hotel's commitment to sustainability (</w:t>
      </w:r>
      <w:proofErr w:type="spellStart"/>
      <w:r>
        <w:rPr>
          <w:rFonts w:ascii="Calibri" w:eastAsia="Calibri" w:hAnsi="Calibri" w:cs="Calibri"/>
          <w:sz w:val="24"/>
          <w:szCs w:val="24"/>
        </w:rPr>
        <w:t>Manaktola</w:t>
      </w:r>
      <w:proofErr w:type="spellEnd"/>
      <w:r>
        <w:rPr>
          <w:rFonts w:ascii="Calibri" w:eastAsia="Calibri" w:hAnsi="Calibri" w:cs="Calibri"/>
          <w:sz w:val="24"/>
          <w:szCs w:val="24"/>
        </w:rPr>
        <w:t xml:space="preserve"> &amp; </w:t>
      </w:r>
      <w:proofErr w:type="spellStart"/>
      <w:r>
        <w:rPr>
          <w:rFonts w:ascii="Calibri" w:eastAsia="Calibri" w:hAnsi="Calibri" w:cs="Calibri"/>
          <w:sz w:val="24"/>
          <w:szCs w:val="24"/>
        </w:rPr>
        <w:t>Jauhari</w:t>
      </w:r>
      <w:proofErr w:type="spellEnd"/>
      <w:r>
        <w:rPr>
          <w:rFonts w:ascii="Calibri" w:eastAsia="Calibri" w:hAnsi="Calibri" w:cs="Calibri"/>
          <w:sz w:val="24"/>
          <w:szCs w:val="24"/>
        </w:rPr>
        <w:t>, 2007). This trend is expected to continue. When these programmes are successfully articulated and demonstrated, they have the potential to attract tourists who are environmentally conscious and to generate increased visitor loyalty because of their ability to attract these tourists.</w:t>
      </w:r>
    </w:p>
    <w:p w14:paraId="5C229724" w14:textId="77777777" w:rsidR="00386A21" w:rsidRDefault="00000000">
      <w:pPr>
        <w:pStyle w:val="Heading2"/>
        <w:jc w:val="both"/>
        <w:rPr>
          <w:rFonts w:ascii="Calibri" w:eastAsia="Calibri" w:hAnsi="Calibri" w:cs="Calibri"/>
          <w:sz w:val="24"/>
          <w:szCs w:val="24"/>
        </w:rPr>
      </w:pPr>
      <w:bookmarkStart w:id="21" w:name="_zcqrxtl3638f" w:colFirst="0" w:colLast="0"/>
      <w:bookmarkEnd w:id="21"/>
      <w:r>
        <w:rPr>
          <w:rFonts w:ascii="Calibri" w:eastAsia="Calibri" w:hAnsi="Calibri" w:cs="Calibri"/>
        </w:rPr>
        <w:t>Negative Impacts</w:t>
      </w:r>
    </w:p>
    <w:p w14:paraId="360D1FEA" w14:textId="77777777" w:rsidR="00386A21" w:rsidRDefault="00000000">
      <w:pPr>
        <w:pStyle w:val="Heading3"/>
      </w:pPr>
      <w:bookmarkStart w:id="22" w:name="_gbzfl6ro461p" w:colFirst="0" w:colLast="0"/>
      <w:bookmarkEnd w:id="22"/>
      <w:r>
        <w:t>Initial investment costs</w:t>
      </w:r>
    </w:p>
    <w:p w14:paraId="308E13B3"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 xml:space="preserve">To put sustainable practices into action, such as updating buildings or adopting renewable energy sources, it may be essential to make considerable initial expenditures (Lawson, 2018). These </w:t>
      </w:r>
      <w:r>
        <w:rPr>
          <w:rFonts w:ascii="Calibri" w:eastAsia="Calibri" w:hAnsi="Calibri" w:cs="Calibri"/>
          <w:sz w:val="24"/>
          <w:szCs w:val="24"/>
        </w:rPr>
        <w:lastRenderedPageBreak/>
        <w:t>expenditures may be associated with the implementation of sustainable practices. This is a difficulty, in particular for hotels that are smaller or more independent, and it is very necessary to carry out rigorous financial planning in order to overcome this obstacle.</w:t>
      </w:r>
    </w:p>
    <w:p w14:paraId="55967CA3" w14:textId="77777777" w:rsidR="00386A21" w:rsidRDefault="00000000">
      <w:pPr>
        <w:pStyle w:val="Heading3"/>
      </w:pPr>
      <w:bookmarkStart w:id="23" w:name="_f1365al8rvfz" w:colFirst="0" w:colLast="0"/>
      <w:bookmarkEnd w:id="23"/>
      <w:r>
        <w:t>Shifting guest perception</w:t>
      </w:r>
    </w:p>
    <w:p w14:paraId="0938656A"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Despite the fact that there is a rising trend towards travellers who are concerned about the environment, there is a risk that some tourists would first see eco-friendly measures as being a sacrifice in terms of comfort or convenience. It is of the utmost importance that hotels effectively communicate the benefits of implementing sustainability measures and ensure that these efforts do not have a negative impact on the entire experience that guests enjoy at the hotel.</w:t>
      </w:r>
    </w:p>
    <w:p w14:paraId="53975212" w14:textId="77777777" w:rsidR="00386A21" w:rsidRDefault="00000000">
      <w:pPr>
        <w:pStyle w:val="Heading3"/>
      </w:pPr>
      <w:bookmarkStart w:id="24" w:name="_16ajnhlvb667" w:colFirst="0" w:colLast="0"/>
      <w:bookmarkEnd w:id="24"/>
      <w:r>
        <w:t>Competition and greenwashing</w:t>
      </w:r>
    </w:p>
    <w:p w14:paraId="6F347013"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As sustainability becomes an increasingly significant differentiator, the practice of greenwashing, which is defined as the act of fooling customers about a company's commitment to the environment, may be a reason for concern (Berrone et al., 2017). Greenwashing is described as the act of misleading consumers about a company's impact on the environment. In the context of their efforts to become more environmentally friendly, hotels have a responsibility to ensure that they are open and honest about their efforts.</w:t>
      </w:r>
    </w:p>
    <w:p w14:paraId="49BC8C8D" w14:textId="77777777" w:rsidR="00386A21" w:rsidRDefault="00386A21">
      <w:pPr>
        <w:jc w:val="both"/>
        <w:rPr>
          <w:rFonts w:ascii="Calibri" w:eastAsia="Calibri" w:hAnsi="Calibri" w:cs="Calibri"/>
          <w:sz w:val="24"/>
          <w:szCs w:val="24"/>
        </w:rPr>
      </w:pPr>
    </w:p>
    <w:p w14:paraId="6168DC9B" w14:textId="77777777" w:rsidR="00386A21" w:rsidRDefault="00000000">
      <w:pPr>
        <w:pStyle w:val="Heading1"/>
      </w:pPr>
      <w:bookmarkStart w:id="25" w:name="_yit5rh3hssnx" w:colFirst="0" w:colLast="0"/>
      <w:bookmarkEnd w:id="25"/>
      <w:r>
        <w:t>Industry Adaptation</w:t>
      </w:r>
    </w:p>
    <w:p w14:paraId="0EE408EB" w14:textId="77777777" w:rsidR="00386A21" w:rsidRDefault="00386A21">
      <w:pPr>
        <w:jc w:val="both"/>
        <w:rPr>
          <w:rFonts w:ascii="Calibri" w:eastAsia="Calibri" w:hAnsi="Calibri" w:cs="Calibri"/>
          <w:sz w:val="24"/>
          <w:szCs w:val="24"/>
        </w:rPr>
      </w:pPr>
    </w:p>
    <w:p w14:paraId="5D36D458"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The hotel industry has taken various steps to adapt and embrace sustainability:</w:t>
      </w:r>
    </w:p>
    <w:p w14:paraId="1B7D1DEB" w14:textId="77777777" w:rsidR="00386A21" w:rsidRDefault="00386A21">
      <w:pPr>
        <w:jc w:val="both"/>
        <w:rPr>
          <w:rFonts w:ascii="Calibri" w:eastAsia="Calibri" w:hAnsi="Calibri" w:cs="Calibri"/>
          <w:sz w:val="24"/>
          <w:szCs w:val="24"/>
        </w:rPr>
      </w:pPr>
    </w:p>
    <w:p w14:paraId="29F19411" w14:textId="77777777" w:rsidR="00386A21" w:rsidRDefault="00000000">
      <w:pPr>
        <w:numPr>
          <w:ilvl w:val="0"/>
          <w:numId w:val="2"/>
        </w:numPr>
        <w:jc w:val="both"/>
        <w:rPr>
          <w:rFonts w:ascii="Calibri" w:eastAsia="Calibri" w:hAnsi="Calibri" w:cs="Calibri"/>
          <w:sz w:val="24"/>
          <w:szCs w:val="24"/>
        </w:rPr>
      </w:pPr>
      <w:r>
        <w:rPr>
          <w:rFonts w:ascii="Calibri" w:eastAsia="Calibri" w:hAnsi="Calibri" w:cs="Calibri"/>
          <w:sz w:val="24"/>
          <w:szCs w:val="24"/>
        </w:rPr>
        <w:t>Becken and Hay (2017) state that the introduction of industry-specific sustainability standards and certifications, as well as their subsequent acceptance, offer hotels with norms and benchmarks that can be used to assess and improve their performance. This is because these standards and certifications are particular to the industry.</w:t>
      </w:r>
    </w:p>
    <w:p w14:paraId="33CA25E5" w14:textId="77777777" w:rsidR="00386A21" w:rsidRDefault="00000000">
      <w:pPr>
        <w:numPr>
          <w:ilvl w:val="0"/>
          <w:numId w:val="2"/>
        </w:numPr>
        <w:jc w:val="both"/>
        <w:rPr>
          <w:rFonts w:ascii="Calibri" w:eastAsia="Calibri" w:hAnsi="Calibri" w:cs="Calibri"/>
          <w:sz w:val="24"/>
          <w:szCs w:val="24"/>
        </w:rPr>
      </w:pPr>
      <w:r>
        <w:rPr>
          <w:rFonts w:ascii="Calibri" w:eastAsia="Calibri" w:hAnsi="Calibri" w:cs="Calibri"/>
          <w:sz w:val="24"/>
          <w:szCs w:val="24"/>
        </w:rPr>
        <w:t>Sharing their knowledge, working together to identify solutions to challenges, and making collective progress towards achieving their sustainability goals are all things that can be accomplished when hotels, suppliers, and other stakeholders collaborate proactively.</w:t>
      </w:r>
    </w:p>
    <w:p w14:paraId="6D1C943C" w14:textId="77777777" w:rsidR="00386A21" w:rsidRDefault="00000000">
      <w:pPr>
        <w:numPr>
          <w:ilvl w:val="0"/>
          <w:numId w:val="2"/>
        </w:numPr>
        <w:jc w:val="both"/>
        <w:rPr>
          <w:rFonts w:ascii="Calibri" w:eastAsia="Calibri" w:hAnsi="Calibri" w:cs="Calibri"/>
          <w:sz w:val="24"/>
          <w:szCs w:val="24"/>
        </w:rPr>
      </w:pPr>
      <w:r>
        <w:rPr>
          <w:rFonts w:ascii="Calibri" w:eastAsia="Calibri" w:hAnsi="Calibri" w:cs="Calibri"/>
          <w:sz w:val="24"/>
          <w:szCs w:val="24"/>
        </w:rPr>
        <w:t xml:space="preserve">Businesses have the ability to push the creation of new technologies and solutions that enhance sustainable practices because they invest in research and innovation. At the same time, they are able to maintain the enjoyment of visitors. </w:t>
      </w:r>
    </w:p>
    <w:p w14:paraId="7C6FBE06" w14:textId="77777777" w:rsidR="00386A21" w:rsidRDefault="00386A21">
      <w:pPr>
        <w:ind w:left="720"/>
        <w:jc w:val="both"/>
        <w:rPr>
          <w:rFonts w:ascii="Calibri" w:eastAsia="Calibri" w:hAnsi="Calibri" w:cs="Calibri"/>
          <w:sz w:val="24"/>
          <w:szCs w:val="24"/>
        </w:rPr>
      </w:pPr>
    </w:p>
    <w:p w14:paraId="65D9F2AD"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 xml:space="preserve">Finding both the good and bad sides of sustainability and constantly changing in a number of different ways is what the hotel business can do to move towards a more sustainable future. This </w:t>
      </w:r>
      <w:r>
        <w:rPr>
          <w:rFonts w:ascii="Calibri" w:eastAsia="Calibri" w:hAnsi="Calibri" w:cs="Calibri"/>
          <w:sz w:val="24"/>
          <w:szCs w:val="24"/>
        </w:rPr>
        <w:lastRenderedPageBreak/>
        <w:t>will make sure that the business is responsible for the earth, saves money, and keeps guests happy.</w:t>
      </w:r>
    </w:p>
    <w:p w14:paraId="753FB27B" w14:textId="77777777" w:rsidR="00386A21" w:rsidRDefault="00386A21">
      <w:pPr>
        <w:jc w:val="both"/>
        <w:rPr>
          <w:rFonts w:ascii="Calibri" w:eastAsia="Calibri" w:hAnsi="Calibri" w:cs="Calibri"/>
          <w:sz w:val="24"/>
          <w:szCs w:val="24"/>
        </w:rPr>
      </w:pPr>
    </w:p>
    <w:p w14:paraId="27AF1E82" w14:textId="77777777" w:rsidR="00386A21" w:rsidRDefault="00000000">
      <w:pPr>
        <w:pStyle w:val="Heading1"/>
      </w:pPr>
      <w:bookmarkStart w:id="26" w:name="_tz0x89eqf0ur" w:colFirst="0" w:colLast="0"/>
      <w:bookmarkEnd w:id="26"/>
      <w:r>
        <w:t>Types of Tourism: A Comprehensive Overview</w:t>
      </w:r>
    </w:p>
    <w:p w14:paraId="04322497" w14:textId="77777777" w:rsidR="00386A21" w:rsidRDefault="00386A21">
      <w:pPr>
        <w:jc w:val="both"/>
        <w:rPr>
          <w:rFonts w:ascii="Calibri" w:eastAsia="Calibri" w:hAnsi="Calibri" w:cs="Calibri"/>
          <w:sz w:val="24"/>
          <w:szCs w:val="24"/>
        </w:rPr>
      </w:pPr>
    </w:p>
    <w:p w14:paraId="12B273A6"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Tourism is a big area that includes a lot of different events and activities that people from all over the world can enjoy. There are many reasons to travel, from trying to learn about a country to having fun. Each type gives you different chances to learn and discover. People who work in the tourism business need to know about the different kinds of tourism so they can change their services to meet the needs of tourists as they arise.</w:t>
      </w:r>
    </w:p>
    <w:p w14:paraId="630B6305" w14:textId="77777777" w:rsidR="00386A21" w:rsidRDefault="00000000">
      <w:pPr>
        <w:pStyle w:val="Heading2"/>
        <w:jc w:val="both"/>
        <w:rPr>
          <w:rFonts w:ascii="Calibri" w:eastAsia="Calibri" w:hAnsi="Calibri" w:cs="Calibri"/>
        </w:rPr>
      </w:pPr>
      <w:bookmarkStart w:id="27" w:name="_f2wz2uupv6eu" w:colFirst="0" w:colLast="0"/>
      <w:bookmarkEnd w:id="27"/>
      <w:r>
        <w:rPr>
          <w:rFonts w:ascii="Calibri" w:eastAsia="Calibri" w:hAnsi="Calibri" w:cs="Calibri"/>
        </w:rPr>
        <w:t>Cultural Tourism</w:t>
      </w:r>
      <w:r>
        <w:rPr>
          <w:noProof/>
        </w:rPr>
        <w:drawing>
          <wp:anchor distT="114300" distB="114300" distL="114300" distR="114300" simplePos="0" relativeHeight="251663360" behindDoc="0" locked="0" layoutInCell="1" hidden="0" allowOverlap="1" wp14:anchorId="268BBEAB" wp14:editId="5A1E6BF4">
            <wp:simplePos x="0" y="0"/>
            <wp:positionH relativeFrom="column">
              <wp:posOffset>1</wp:posOffset>
            </wp:positionH>
            <wp:positionV relativeFrom="paragraph">
              <wp:posOffset>228600</wp:posOffset>
            </wp:positionV>
            <wp:extent cx="2095157" cy="1399468"/>
            <wp:effectExtent l="0" t="0" r="0" b="0"/>
            <wp:wrapSquare wrapText="bothSides" distT="114300" distB="114300" distL="114300" distR="114300"/>
            <wp:docPr id="2"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10"/>
                    <a:srcRect/>
                    <a:stretch>
                      <a:fillRect/>
                    </a:stretch>
                  </pic:blipFill>
                  <pic:spPr>
                    <a:xfrm>
                      <a:off x="0" y="0"/>
                      <a:ext cx="2095157" cy="1399468"/>
                    </a:xfrm>
                    <a:prstGeom prst="rect">
                      <a:avLst/>
                    </a:prstGeom>
                    <a:ln/>
                  </pic:spPr>
                </pic:pic>
              </a:graphicData>
            </a:graphic>
          </wp:anchor>
        </w:drawing>
      </w:r>
    </w:p>
    <w:p w14:paraId="46E2AE1A"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Richards (2018) says that "cultural tourism" is when people go to a certain area with the goal of fully experiencing the culture, habits, and beliefs of that area. Travellers can learn more about the culture of a place by doing a lot of different things. Some of these things to do are going to museums and historical places, going to events, and talking to people in the area.</w:t>
      </w:r>
    </w:p>
    <w:p w14:paraId="013DFBE2" w14:textId="77777777" w:rsidR="00386A21" w:rsidRDefault="00000000">
      <w:pPr>
        <w:pStyle w:val="Heading2"/>
        <w:jc w:val="both"/>
        <w:rPr>
          <w:rFonts w:ascii="Calibri" w:eastAsia="Calibri" w:hAnsi="Calibri" w:cs="Calibri"/>
        </w:rPr>
      </w:pPr>
      <w:bookmarkStart w:id="28" w:name="_8vcl1qyvc27l" w:colFirst="0" w:colLast="0"/>
      <w:bookmarkEnd w:id="28"/>
      <w:r>
        <w:rPr>
          <w:rFonts w:ascii="Calibri" w:eastAsia="Calibri" w:hAnsi="Calibri" w:cs="Calibri"/>
        </w:rPr>
        <w:t>Ecotourism</w:t>
      </w:r>
      <w:r>
        <w:rPr>
          <w:noProof/>
        </w:rPr>
        <w:drawing>
          <wp:anchor distT="114300" distB="114300" distL="114300" distR="114300" simplePos="0" relativeHeight="251664384" behindDoc="0" locked="0" layoutInCell="1" hidden="0" allowOverlap="1" wp14:anchorId="5C205491" wp14:editId="5F593237">
            <wp:simplePos x="0" y="0"/>
            <wp:positionH relativeFrom="column">
              <wp:posOffset>3390900</wp:posOffset>
            </wp:positionH>
            <wp:positionV relativeFrom="paragraph">
              <wp:posOffset>126802</wp:posOffset>
            </wp:positionV>
            <wp:extent cx="2552700" cy="1641909"/>
            <wp:effectExtent l="0" t="0" r="0" b="0"/>
            <wp:wrapSquare wrapText="bothSides" distT="114300" distB="114300" distL="114300" distR="114300"/>
            <wp:docPr id="5"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1"/>
                    <a:srcRect/>
                    <a:stretch>
                      <a:fillRect/>
                    </a:stretch>
                  </pic:blipFill>
                  <pic:spPr>
                    <a:xfrm>
                      <a:off x="0" y="0"/>
                      <a:ext cx="2552700" cy="1641909"/>
                    </a:xfrm>
                    <a:prstGeom prst="rect">
                      <a:avLst/>
                    </a:prstGeom>
                    <a:ln/>
                  </pic:spPr>
                </pic:pic>
              </a:graphicData>
            </a:graphic>
          </wp:anchor>
        </w:drawing>
      </w:r>
    </w:p>
    <w:p w14:paraId="41F4B7D0"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Ecotourism is a kind of tourism that emphasises morally conscious travel to unspoiled areas, according to Weaver (2019). Promoting sustainability and conservation while lessening the damaging effects of tourism on the environment is the aim of ecotourism. Visitors participate in a variety of activities with the goal of supporting conservation efforts and preserving biodiversity. A few examples of these activities include seeing animals, taking nature walks, and lodging in environmentally friendly hotels.</w:t>
      </w:r>
    </w:p>
    <w:p w14:paraId="643C6E91" w14:textId="77777777" w:rsidR="00386A21" w:rsidRDefault="00000000">
      <w:pPr>
        <w:pStyle w:val="Heading2"/>
        <w:jc w:val="both"/>
        <w:rPr>
          <w:rFonts w:ascii="Calibri" w:eastAsia="Calibri" w:hAnsi="Calibri" w:cs="Calibri"/>
        </w:rPr>
      </w:pPr>
      <w:bookmarkStart w:id="29" w:name="_9bci2vxg1mhp" w:colFirst="0" w:colLast="0"/>
      <w:bookmarkEnd w:id="29"/>
      <w:r>
        <w:rPr>
          <w:rFonts w:ascii="Calibri" w:eastAsia="Calibri" w:hAnsi="Calibri" w:cs="Calibri"/>
        </w:rPr>
        <w:lastRenderedPageBreak/>
        <w:t>Adventure Tourism</w:t>
      </w:r>
      <w:r>
        <w:rPr>
          <w:noProof/>
        </w:rPr>
        <w:drawing>
          <wp:anchor distT="114300" distB="114300" distL="114300" distR="114300" simplePos="0" relativeHeight="251665408" behindDoc="0" locked="0" layoutInCell="1" hidden="0" allowOverlap="1" wp14:anchorId="7BE84543" wp14:editId="18B62104">
            <wp:simplePos x="0" y="0"/>
            <wp:positionH relativeFrom="column">
              <wp:posOffset>3181350</wp:posOffset>
            </wp:positionH>
            <wp:positionV relativeFrom="paragraph">
              <wp:posOffset>285750</wp:posOffset>
            </wp:positionV>
            <wp:extent cx="2581737" cy="1718518"/>
            <wp:effectExtent l="0" t="0" r="0" b="0"/>
            <wp:wrapSquare wrapText="bothSides" distT="114300" distB="114300" distL="114300" distR="114300"/>
            <wp:docPr id="6"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2"/>
                    <a:srcRect/>
                    <a:stretch>
                      <a:fillRect/>
                    </a:stretch>
                  </pic:blipFill>
                  <pic:spPr>
                    <a:xfrm>
                      <a:off x="0" y="0"/>
                      <a:ext cx="2581737" cy="1718518"/>
                    </a:xfrm>
                    <a:prstGeom prst="rect">
                      <a:avLst/>
                    </a:prstGeom>
                    <a:ln/>
                  </pic:spPr>
                </pic:pic>
              </a:graphicData>
            </a:graphic>
          </wp:anchor>
        </w:drawing>
      </w:r>
    </w:p>
    <w:p w14:paraId="7D6AAB54"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Adventure tourism is particularly well-liked among thrill-seekers and adrenaline junkies who are hungry for thrilling encounters in the wonderful natural environment, according to the conclusions of a research that was carried out in the year 2020 by Ballantyne and colleagues. The study was done in the year 2020. Hiking, rock climbing, whitewater rafting, and zip-lining are just some of the activities that provide tourists the opportunity to push themselves beyond their comfort zones and embrace the spirit of adventure. Other activities include water sports, mountain biking, and zip-lining.</w:t>
      </w:r>
    </w:p>
    <w:p w14:paraId="003BC2FC" w14:textId="77777777" w:rsidR="00386A21" w:rsidRDefault="00000000">
      <w:pPr>
        <w:pStyle w:val="Heading2"/>
        <w:jc w:val="both"/>
        <w:rPr>
          <w:rFonts w:ascii="Calibri" w:eastAsia="Calibri" w:hAnsi="Calibri" w:cs="Calibri"/>
        </w:rPr>
      </w:pPr>
      <w:bookmarkStart w:id="30" w:name="_4krs7md8ekk1" w:colFirst="0" w:colLast="0"/>
      <w:bookmarkEnd w:id="30"/>
      <w:r>
        <w:rPr>
          <w:rFonts w:ascii="Calibri" w:eastAsia="Calibri" w:hAnsi="Calibri" w:cs="Calibri"/>
        </w:rPr>
        <w:t>Wellness Tourism</w:t>
      </w:r>
      <w:r>
        <w:rPr>
          <w:noProof/>
        </w:rPr>
        <w:drawing>
          <wp:anchor distT="114300" distB="114300" distL="114300" distR="114300" simplePos="0" relativeHeight="251666432" behindDoc="0" locked="0" layoutInCell="1" hidden="0" allowOverlap="1" wp14:anchorId="1E1D4BBB" wp14:editId="64EEFE07">
            <wp:simplePos x="0" y="0"/>
            <wp:positionH relativeFrom="column">
              <wp:posOffset>104776</wp:posOffset>
            </wp:positionH>
            <wp:positionV relativeFrom="paragraph">
              <wp:posOffset>219075</wp:posOffset>
            </wp:positionV>
            <wp:extent cx="2347913" cy="1565275"/>
            <wp:effectExtent l="0" t="0" r="0" b="0"/>
            <wp:wrapSquare wrapText="bothSides" distT="114300" distB="114300" distL="114300" distR="114300"/>
            <wp:docPr id="15"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13"/>
                    <a:srcRect/>
                    <a:stretch>
                      <a:fillRect/>
                    </a:stretch>
                  </pic:blipFill>
                  <pic:spPr>
                    <a:xfrm>
                      <a:off x="0" y="0"/>
                      <a:ext cx="2347913" cy="1565275"/>
                    </a:xfrm>
                    <a:prstGeom prst="rect">
                      <a:avLst/>
                    </a:prstGeom>
                    <a:ln/>
                  </pic:spPr>
                </pic:pic>
              </a:graphicData>
            </a:graphic>
          </wp:anchor>
        </w:drawing>
      </w:r>
    </w:p>
    <w:p w14:paraId="0FB3EEA1"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 xml:space="preserve">According to Smith and </w:t>
      </w:r>
      <w:proofErr w:type="spellStart"/>
      <w:r>
        <w:rPr>
          <w:rFonts w:ascii="Calibri" w:eastAsia="Calibri" w:hAnsi="Calibri" w:cs="Calibri"/>
          <w:sz w:val="24"/>
          <w:szCs w:val="24"/>
        </w:rPr>
        <w:t>Puczko</w:t>
      </w:r>
      <w:proofErr w:type="spellEnd"/>
      <w:r>
        <w:rPr>
          <w:rFonts w:ascii="Calibri" w:eastAsia="Calibri" w:hAnsi="Calibri" w:cs="Calibri"/>
          <w:sz w:val="24"/>
          <w:szCs w:val="24"/>
        </w:rPr>
        <w:t xml:space="preserve"> (2009), the objective of wellness tourism is to bring about an improvement in the physical, mental, and spiritual well-being of tourists by providing them with the chance to engage in activities and experiences that are seen as revitalising. There are many different chances for relaxation, introspection, and personal development that may be found at holistic health resorts, yoga retreats, spa retreats, and meditation centres and other similar establishments. There are many different environments in which one could find these chances.</w:t>
      </w:r>
    </w:p>
    <w:p w14:paraId="04D648FF" w14:textId="77777777" w:rsidR="00386A21" w:rsidRDefault="00000000">
      <w:pPr>
        <w:pStyle w:val="Heading2"/>
        <w:jc w:val="both"/>
        <w:rPr>
          <w:rFonts w:ascii="Calibri" w:eastAsia="Calibri" w:hAnsi="Calibri" w:cs="Calibri"/>
        </w:rPr>
      </w:pPr>
      <w:bookmarkStart w:id="31" w:name="_cf1q1y3297i6" w:colFirst="0" w:colLast="0"/>
      <w:bookmarkEnd w:id="31"/>
      <w:r>
        <w:rPr>
          <w:rFonts w:ascii="Calibri" w:eastAsia="Calibri" w:hAnsi="Calibri" w:cs="Calibri"/>
        </w:rPr>
        <w:t>Culinary Tourism</w:t>
      </w:r>
      <w:r>
        <w:rPr>
          <w:noProof/>
        </w:rPr>
        <w:drawing>
          <wp:anchor distT="114300" distB="114300" distL="114300" distR="114300" simplePos="0" relativeHeight="251667456" behindDoc="0" locked="0" layoutInCell="1" hidden="0" allowOverlap="1" wp14:anchorId="3F943C1E" wp14:editId="34D3221E">
            <wp:simplePos x="0" y="0"/>
            <wp:positionH relativeFrom="column">
              <wp:posOffset>3595688</wp:posOffset>
            </wp:positionH>
            <wp:positionV relativeFrom="paragraph">
              <wp:posOffset>440159</wp:posOffset>
            </wp:positionV>
            <wp:extent cx="2338891" cy="1561728"/>
            <wp:effectExtent l="0" t="0" r="0" b="0"/>
            <wp:wrapSquare wrapText="bothSides" distT="114300" distB="114300" distL="114300" distR="114300"/>
            <wp:docPr id="8" name="image15.jpg"/>
            <wp:cNvGraphicFramePr/>
            <a:graphic xmlns:a="http://schemas.openxmlformats.org/drawingml/2006/main">
              <a:graphicData uri="http://schemas.openxmlformats.org/drawingml/2006/picture">
                <pic:pic xmlns:pic="http://schemas.openxmlformats.org/drawingml/2006/picture">
                  <pic:nvPicPr>
                    <pic:cNvPr id="0" name="image15.jpg"/>
                    <pic:cNvPicPr preferRelativeResize="0"/>
                  </pic:nvPicPr>
                  <pic:blipFill>
                    <a:blip r:embed="rId14"/>
                    <a:srcRect/>
                    <a:stretch>
                      <a:fillRect/>
                    </a:stretch>
                  </pic:blipFill>
                  <pic:spPr>
                    <a:xfrm>
                      <a:off x="0" y="0"/>
                      <a:ext cx="2338891" cy="1561728"/>
                    </a:xfrm>
                    <a:prstGeom prst="rect">
                      <a:avLst/>
                    </a:prstGeom>
                    <a:ln/>
                  </pic:spPr>
                </pic:pic>
              </a:graphicData>
            </a:graphic>
          </wp:anchor>
        </w:drawing>
      </w:r>
    </w:p>
    <w:p w14:paraId="2BBB0A74"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According to Long (2018), culinary tourism is based on the analysis of the gastronomic pleasures that a site provides, in addition to the local cuisine and culinary traditions that are linked with that area. This is done in order to discover the culinary traditions that are associated with that location. Participating in food tours, taking cooking lessons, and going to food markets are all activities that were designed with the intention of providing tourists with the chance to experience real flavours and to get fully immersed in the culinary history of the place that they are visiting.</w:t>
      </w:r>
    </w:p>
    <w:p w14:paraId="418CC96E" w14:textId="77777777" w:rsidR="00386A21" w:rsidRDefault="00000000">
      <w:pPr>
        <w:pStyle w:val="Heading2"/>
        <w:jc w:val="both"/>
        <w:rPr>
          <w:rFonts w:ascii="Calibri" w:eastAsia="Calibri" w:hAnsi="Calibri" w:cs="Calibri"/>
        </w:rPr>
      </w:pPr>
      <w:bookmarkStart w:id="32" w:name="_7napvcebvlbs" w:colFirst="0" w:colLast="0"/>
      <w:bookmarkEnd w:id="32"/>
      <w:r>
        <w:rPr>
          <w:rFonts w:ascii="Calibri" w:eastAsia="Calibri" w:hAnsi="Calibri" w:cs="Calibri"/>
        </w:rPr>
        <w:lastRenderedPageBreak/>
        <w:t>Rural Tourism</w:t>
      </w:r>
      <w:r>
        <w:rPr>
          <w:noProof/>
        </w:rPr>
        <w:drawing>
          <wp:anchor distT="114300" distB="114300" distL="114300" distR="114300" simplePos="0" relativeHeight="251668480" behindDoc="0" locked="0" layoutInCell="1" hidden="0" allowOverlap="1" wp14:anchorId="22D09CDC" wp14:editId="381E7419">
            <wp:simplePos x="0" y="0"/>
            <wp:positionH relativeFrom="column">
              <wp:posOffset>3762375</wp:posOffset>
            </wp:positionH>
            <wp:positionV relativeFrom="paragraph">
              <wp:posOffset>457200</wp:posOffset>
            </wp:positionV>
            <wp:extent cx="2100263" cy="1404470"/>
            <wp:effectExtent l="0" t="0" r="0" b="0"/>
            <wp:wrapSquare wrapText="bothSides" distT="114300" distB="114300" distL="114300" distR="114300"/>
            <wp:docPr id="12" name="image13.jpg"/>
            <wp:cNvGraphicFramePr/>
            <a:graphic xmlns:a="http://schemas.openxmlformats.org/drawingml/2006/main">
              <a:graphicData uri="http://schemas.openxmlformats.org/drawingml/2006/picture">
                <pic:pic xmlns:pic="http://schemas.openxmlformats.org/drawingml/2006/picture">
                  <pic:nvPicPr>
                    <pic:cNvPr id="0" name="image13.jpg"/>
                    <pic:cNvPicPr preferRelativeResize="0"/>
                  </pic:nvPicPr>
                  <pic:blipFill>
                    <a:blip r:embed="rId15"/>
                    <a:srcRect/>
                    <a:stretch>
                      <a:fillRect/>
                    </a:stretch>
                  </pic:blipFill>
                  <pic:spPr>
                    <a:xfrm>
                      <a:off x="0" y="0"/>
                      <a:ext cx="2100263" cy="1404470"/>
                    </a:xfrm>
                    <a:prstGeom prst="rect">
                      <a:avLst/>
                    </a:prstGeom>
                    <a:ln/>
                  </pic:spPr>
                </pic:pic>
              </a:graphicData>
            </a:graphic>
          </wp:anchor>
        </w:drawing>
      </w:r>
    </w:p>
    <w:p w14:paraId="51186357"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The presence of visitors who are looking for genuine and immersive experiences in a range of rural and countryside settings is what distinguishes rural tourism from other types of tourism, as stated by Sharpley and Vass (2006). When tourists participate in agritourism activities such as homestays, farm stays, and other types of agritourism, they have the opportunity to interact with nature, experience traditional ways of life, and contribute to the economy of the communities that are located in the surrounding area.</w:t>
      </w:r>
    </w:p>
    <w:p w14:paraId="2FA7ED67" w14:textId="77777777" w:rsidR="00386A21" w:rsidRDefault="00000000">
      <w:pPr>
        <w:pStyle w:val="Heading2"/>
        <w:jc w:val="both"/>
        <w:rPr>
          <w:rFonts w:ascii="Calibri" w:eastAsia="Calibri" w:hAnsi="Calibri" w:cs="Calibri"/>
        </w:rPr>
      </w:pPr>
      <w:bookmarkStart w:id="33" w:name="_wv8u64pqw2m6" w:colFirst="0" w:colLast="0"/>
      <w:bookmarkEnd w:id="33"/>
      <w:r>
        <w:rPr>
          <w:rFonts w:ascii="Calibri" w:eastAsia="Calibri" w:hAnsi="Calibri" w:cs="Calibri"/>
        </w:rPr>
        <w:t>Religious Tourism</w:t>
      </w:r>
      <w:r>
        <w:rPr>
          <w:noProof/>
        </w:rPr>
        <w:drawing>
          <wp:anchor distT="114300" distB="114300" distL="114300" distR="114300" simplePos="0" relativeHeight="251669504" behindDoc="0" locked="0" layoutInCell="1" hidden="0" allowOverlap="1" wp14:anchorId="0358A433" wp14:editId="7A9FE615">
            <wp:simplePos x="0" y="0"/>
            <wp:positionH relativeFrom="column">
              <wp:posOffset>-209549</wp:posOffset>
            </wp:positionH>
            <wp:positionV relativeFrom="paragraph">
              <wp:posOffset>163934</wp:posOffset>
            </wp:positionV>
            <wp:extent cx="2764092" cy="1731987"/>
            <wp:effectExtent l="0" t="0" r="0" b="0"/>
            <wp:wrapSquare wrapText="bothSides" distT="114300" distB="114300" distL="114300" distR="114300"/>
            <wp:docPr id="14"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6"/>
                    <a:srcRect/>
                    <a:stretch>
                      <a:fillRect/>
                    </a:stretch>
                  </pic:blipFill>
                  <pic:spPr>
                    <a:xfrm>
                      <a:off x="0" y="0"/>
                      <a:ext cx="2764092" cy="1731987"/>
                    </a:xfrm>
                    <a:prstGeom prst="rect">
                      <a:avLst/>
                    </a:prstGeom>
                    <a:ln/>
                  </pic:spPr>
                </pic:pic>
              </a:graphicData>
            </a:graphic>
          </wp:anchor>
        </w:drawing>
      </w:r>
    </w:p>
    <w:p w14:paraId="584B585E"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 xml:space="preserve">It is said by Timothy and Olsen (2016) that the term "religious tourism" is used to describe travel that is driven by the desire to achieve spiritual or religious goals. The practice of undertaking pilgrimages to holy locations and religious monuments is a common component of religious tourism, which is also sometimes referred to as spiritual tourism. Pilgrimages are journeys that devotees travel to sacred towns, temples, churches, mosques, and shrines with the purpose of getting a more profound knowledge of their faith, as well as hoping to receive blessings and completing rituals. </w:t>
      </w:r>
    </w:p>
    <w:p w14:paraId="5D89E0B8" w14:textId="77777777" w:rsidR="00386A21" w:rsidRDefault="00000000">
      <w:pPr>
        <w:pStyle w:val="Heading2"/>
        <w:jc w:val="both"/>
        <w:rPr>
          <w:rFonts w:ascii="Calibri" w:eastAsia="Calibri" w:hAnsi="Calibri" w:cs="Calibri"/>
        </w:rPr>
      </w:pPr>
      <w:bookmarkStart w:id="34" w:name="_iuuvfdap09j5" w:colFirst="0" w:colLast="0"/>
      <w:bookmarkEnd w:id="34"/>
      <w:r>
        <w:rPr>
          <w:rFonts w:ascii="Calibri" w:eastAsia="Calibri" w:hAnsi="Calibri" w:cs="Calibri"/>
        </w:rPr>
        <w:t>Urban Tourism</w:t>
      </w:r>
      <w:r>
        <w:rPr>
          <w:noProof/>
        </w:rPr>
        <w:drawing>
          <wp:anchor distT="114300" distB="114300" distL="114300" distR="114300" simplePos="0" relativeHeight="251670528" behindDoc="0" locked="0" layoutInCell="1" hidden="0" allowOverlap="1" wp14:anchorId="634A9E40" wp14:editId="40A5E95F">
            <wp:simplePos x="0" y="0"/>
            <wp:positionH relativeFrom="column">
              <wp:posOffset>2990850</wp:posOffset>
            </wp:positionH>
            <wp:positionV relativeFrom="paragraph">
              <wp:posOffset>590550</wp:posOffset>
            </wp:positionV>
            <wp:extent cx="3106222" cy="1752228"/>
            <wp:effectExtent l="0" t="0" r="0" b="0"/>
            <wp:wrapSquare wrapText="bothSides" distT="114300" distB="114300" distL="114300" distR="11430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7"/>
                    <a:srcRect/>
                    <a:stretch>
                      <a:fillRect/>
                    </a:stretch>
                  </pic:blipFill>
                  <pic:spPr>
                    <a:xfrm>
                      <a:off x="0" y="0"/>
                      <a:ext cx="3106222" cy="1752228"/>
                    </a:xfrm>
                    <a:prstGeom prst="rect">
                      <a:avLst/>
                    </a:prstGeom>
                    <a:ln/>
                  </pic:spPr>
                </pic:pic>
              </a:graphicData>
            </a:graphic>
          </wp:anchor>
        </w:drawing>
      </w:r>
    </w:p>
    <w:p w14:paraId="0D7ED321"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According to Page and Connell (2019), urban tourism is differentiated by the exploration of cities and urban centres with the intention of experiencing the dynamic culture, architecture, entertainment, and nightlife of these destinations. This goal is accomplished via the discovery of urban tourist destinations. People who are interested in experiencing the pulsing activity of urban locales participate in activities such as going on city tours, visiting museums, going on shopping excursions, and enjoying gourmet experiences when they are while they are travelling.</w:t>
      </w:r>
    </w:p>
    <w:p w14:paraId="55765C20" w14:textId="77777777" w:rsidR="00386A21" w:rsidRDefault="00000000">
      <w:pPr>
        <w:pStyle w:val="Heading2"/>
        <w:jc w:val="both"/>
        <w:rPr>
          <w:rFonts w:ascii="Calibri" w:eastAsia="Calibri" w:hAnsi="Calibri" w:cs="Calibri"/>
        </w:rPr>
      </w:pPr>
      <w:bookmarkStart w:id="35" w:name="_i6e2q1ivd7a2" w:colFirst="0" w:colLast="0"/>
      <w:bookmarkEnd w:id="35"/>
      <w:r>
        <w:rPr>
          <w:rFonts w:ascii="Calibri" w:eastAsia="Calibri" w:hAnsi="Calibri" w:cs="Calibri"/>
        </w:rPr>
        <w:lastRenderedPageBreak/>
        <w:t>Dark Tourism</w:t>
      </w:r>
      <w:r>
        <w:rPr>
          <w:noProof/>
        </w:rPr>
        <w:drawing>
          <wp:anchor distT="114300" distB="114300" distL="114300" distR="114300" simplePos="0" relativeHeight="251671552" behindDoc="0" locked="0" layoutInCell="1" hidden="0" allowOverlap="1" wp14:anchorId="37F6BF79" wp14:editId="101C5642">
            <wp:simplePos x="0" y="0"/>
            <wp:positionH relativeFrom="column">
              <wp:posOffset>3267075</wp:posOffset>
            </wp:positionH>
            <wp:positionV relativeFrom="paragraph">
              <wp:posOffset>275630</wp:posOffset>
            </wp:positionV>
            <wp:extent cx="2547938" cy="1698625"/>
            <wp:effectExtent l="0" t="0" r="0" b="0"/>
            <wp:wrapSquare wrapText="bothSides" distT="114300" distB="114300" distL="114300" distR="114300"/>
            <wp:docPr id="10" name="image14.jpg"/>
            <wp:cNvGraphicFramePr/>
            <a:graphic xmlns:a="http://schemas.openxmlformats.org/drawingml/2006/main">
              <a:graphicData uri="http://schemas.openxmlformats.org/drawingml/2006/picture">
                <pic:pic xmlns:pic="http://schemas.openxmlformats.org/drawingml/2006/picture">
                  <pic:nvPicPr>
                    <pic:cNvPr id="0" name="image14.jpg"/>
                    <pic:cNvPicPr preferRelativeResize="0"/>
                  </pic:nvPicPr>
                  <pic:blipFill>
                    <a:blip r:embed="rId18"/>
                    <a:srcRect/>
                    <a:stretch>
                      <a:fillRect/>
                    </a:stretch>
                  </pic:blipFill>
                  <pic:spPr>
                    <a:xfrm>
                      <a:off x="0" y="0"/>
                      <a:ext cx="2547938" cy="1698625"/>
                    </a:xfrm>
                    <a:prstGeom prst="rect">
                      <a:avLst/>
                    </a:prstGeom>
                    <a:ln/>
                  </pic:spPr>
                </pic:pic>
              </a:graphicData>
            </a:graphic>
          </wp:anchor>
        </w:drawing>
      </w:r>
    </w:p>
    <w:p w14:paraId="38B907E0"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Lennon and Foley (2000) say that dark tourism is the act of going to places that people think are connected with death, sadness, and pain. This activity's goal is to help you understand the historical, cultural, and social importance of these places. A lot of people visit places like battles, concentration camps, and accident sites to remember, learn about, and think about things that happened in the past. These spots are also called shrines.</w:t>
      </w:r>
    </w:p>
    <w:p w14:paraId="2D6FE475" w14:textId="77777777" w:rsidR="00386A21" w:rsidRDefault="00000000">
      <w:pPr>
        <w:pStyle w:val="Heading2"/>
        <w:jc w:val="both"/>
        <w:rPr>
          <w:rFonts w:ascii="Calibri" w:eastAsia="Calibri" w:hAnsi="Calibri" w:cs="Calibri"/>
        </w:rPr>
      </w:pPr>
      <w:bookmarkStart w:id="36" w:name="_vg62nd1g38xt" w:colFirst="0" w:colLast="0"/>
      <w:bookmarkEnd w:id="36"/>
      <w:r>
        <w:rPr>
          <w:rFonts w:ascii="Calibri" w:eastAsia="Calibri" w:hAnsi="Calibri" w:cs="Calibri"/>
        </w:rPr>
        <w:t>Volunteer Tourism</w:t>
      </w:r>
      <w:r>
        <w:rPr>
          <w:noProof/>
        </w:rPr>
        <w:drawing>
          <wp:anchor distT="114300" distB="114300" distL="114300" distR="114300" simplePos="0" relativeHeight="251672576" behindDoc="0" locked="0" layoutInCell="1" hidden="0" allowOverlap="1" wp14:anchorId="2A25D887" wp14:editId="08F06F84">
            <wp:simplePos x="0" y="0"/>
            <wp:positionH relativeFrom="column">
              <wp:posOffset>1</wp:posOffset>
            </wp:positionH>
            <wp:positionV relativeFrom="paragraph">
              <wp:posOffset>200025</wp:posOffset>
            </wp:positionV>
            <wp:extent cx="2263924" cy="1695450"/>
            <wp:effectExtent l="0" t="0" r="0" b="0"/>
            <wp:wrapSquare wrapText="bothSides" distT="114300" distB="114300" distL="114300" distR="114300"/>
            <wp:docPr id="13" name="image12.jpg"/>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19"/>
                    <a:srcRect/>
                    <a:stretch>
                      <a:fillRect/>
                    </a:stretch>
                  </pic:blipFill>
                  <pic:spPr>
                    <a:xfrm>
                      <a:off x="0" y="0"/>
                      <a:ext cx="2263924" cy="1695450"/>
                    </a:xfrm>
                    <a:prstGeom prst="rect">
                      <a:avLst/>
                    </a:prstGeom>
                    <a:ln/>
                  </pic:spPr>
                </pic:pic>
              </a:graphicData>
            </a:graphic>
          </wp:anchor>
        </w:drawing>
      </w:r>
    </w:p>
    <w:p w14:paraId="389C2C4E"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Volunteer tourism, also called voluntourism, is a type of tourism in which tourists voluntarily take part in community-based projects and social initiatives with the goal of making a positive impact on the places they are visiting, according to Wearing and McGehee (2013). A different name for amateur travel is "voluntourism." The members do a lot of different things, such as teaching, working to protect the environment, helping with healthcare, and working on community development projects. All of these things help to create long-lasting habits and favourable society changes.</w:t>
      </w:r>
    </w:p>
    <w:p w14:paraId="5A5C70F8" w14:textId="77777777" w:rsidR="00386A21" w:rsidRDefault="00386A21">
      <w:pPr>
        <w:jc w:val="both"/>
        <w:rPr>
          <w:rFonts w:ascii="Calibri" w:eastAsia="Calibri" w:hAnsi="Calibri" w:cs="Calibri"/>
          <w:sz w:val="24"/>
          <w:szCs w:val="24"/>
        </w:rPr>
      </w:pPr>
    </w:p>
    <w:p w14:paraId="2766C29F" w14:textId="77777777" w:rsidR="00386A21" w:rsidRDefault="00000000">
      <w:pPr>
        <w:pStyle w:val="Heading1"/>
      </w:pPr>
      <w:bookmarkStart w:id="37" w:name="_do0b0t8n2024" w:colFirst="0" w:colLast="0"/>
      <w:bookmarkEnd w:id="37"/>
      <w:r>
        <w:t>Conclusion</w:t>
      </w:r>
    </w:p>
    <w:p w14:paraId="2C451026"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A lot of different types of tourism show how different people around the world like to travel and what they're interested in. Different kinds of trips let you learn, grow, and have fun in different ways. For example, you can learn about other countries or go on exciting experiences. The fact that these different types of travel are okay with the tourism business shows how important it is to change with the times and promote responsible tourism.</w:t>
      </w:r>
    </w:p>
    <w:p w14:paraId="70895918" w14:textId="77777777" w:rsidR="00386A21" w:rsidRDefault="00386A21">
      <w:pPr>
        <w:jc w:val="both"/>
        <w:rPr>
          <w:rFonts w:ascii="Calibri" w:eastAsia="Calibri" w:hAnsi="Calibri" w:cs="Calibri"/>
          <w:sz w:val="24"/>
          <w:szCs w:val="24"/>
        </w:rPr>
      </w:pPr>
    </w:p>
    <w:p w14:paraId="602BDF02"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As the tourism industry grows, it needs to put ethics and sustainability at the top of its list of goals to protect the health and safety of local people and make sure that tourist spots will be around for a long time. Ecotourism, agricultural tourism, and volunteer tourism are all good for the environment and the communities that welcome them. They also help the communities grow economically and keep their culture alive.</w:t>
      </w:r>
    </w:p>
    <w:p w14:paraId="0E174225" w14:textId="77777777" w:rsidR="00386A21" w:rsidRDefault="00386A21">
      <w:pPr>
        <w:jc w:val="both"/>
        <w:rPr>
          <w:rFonts w:ascii="Calibri" w:eastAsia="Calibri" w:hAnsi="Calibri" w:cs="Calibri"/>
          <w:sz w:val="24"/>
          <w:szCs w:val="24"/>
        </w:rPr>
      </w:pPr>
    </w:p>
    <w:p w14:paraId="2D5146EE"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Well-being is also becoming more important, as shown by the rise of fitness travel. This is part of a bigger shift in society towards putting health and self-care first. When people travel for food, they can experience a wide range of foods and also help local food businesses and cultures.</w:t>
      </w:r>
    </w:p>
    <w:p w14:paraId="221AE8DC" w14:textId="77777777" w:rsidR="00386A21" w:rsidRDefault="00386A21">
      <w:pPr>
        <w:jc w:val="both"/>
        <w:rPr>
          <w:rFonts w:ascii="Calibri" w:eastAsia="Calibri" w:hAnsi="Calibri" w:cs="Calibri"/>
          <w:sz w:val="24"/>
          <w:szCs w:val="24"/>
        </w:rPr>
      </w:pPr>
    </w:p>
    <w:p w14:paraId="7D6415F0"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The tourism business is changing, but issues like "greenwashing," shifting customer views, and the need for big investments at the start in eco-friendly methods need to be dealt with. We need to be open, work together, and come up with new ideas to solve these issues and keep sustainability as a central part of the industry's progress and growth.</w:t>
      </w:r>
    </w:p>
    <w:p w14:paraId="03AA861C" w14:textId="77777777" w:rsidR="00386A21" w:rsidRDefault="00386A21">
      <w:pPr>
        <w:jc w:val="both"/>
        <w:rPr>
          <w:rFonts w:ascii="Calibri" w:eastAsia="Calibri" w:hAnsi="Calibri" w:cs="Calibri"/>
          <w:sz w:val="24"/>
          <w:szCs w:val="24"/>
        </w:rPr>
      </w:pPr>
    </w:p>
    <w:p w14:paraId="3FE7A5A1" w14:textId="77777777" w:rsidR="00386A21" w:rsidRDefault="00000000">
      <w:pPr>
        <w:jc w:val="both"/>
        <w:rPr>
          <w:rFonts w:ascii="Calibri" w:eastAsia="Calibri" w:hAnsi="Calibri" w:cs="Calibri"/>
          <w:sz w:val="24"/>
          <w:szCs w:val="24"/>
        </w:rPr>
      </w:pPr>
      <w:r>
        <w:rPr>
          <w:rFonts w:ascii="Calibri" w:eastAsia="Calibri" w:hAnsi="Calibri" w:cs="Calibri"/>
          <w:sz w:val="24"/>
          <w:szCs w:val="24"/>
        </w:rPr>
        <w:t xml:space="preserve">Basically, the tourism business can give tourists more valuable experiences, protect the environment, and help towns grow around the world if they are open to different types of tourism and put sustainability first. While tourism can be a good way to learn about other cultures, make money, and improve society, it can only do these things if it is run in an honest way. </w:t>
      </w:r>
    </w:p>
    <w:p w14:paraId="34C9F9F0" w14:textId="77777777" w:rsidR="00386A21" w:rsidRDefault="00386A21">
      <w:pPr>
        <w:jc w:val="both"/>
        <w:rPr>
          <w:rFonts w:ascii="Calibri" w:eastAsia="Calibri" w:hAnsi="Calibri" w:cs="Calibri"/>
          <w:sz w:val="24"/>
          <w:szCs w:val="24"/>
        </w:rPr>
      </w:pPr>
    </w:p>
    <w:p w14:paraId="43864DF8" w14:textId="77777777" w:rsidR="00386A21" w:rsidRDefault="00386A21">
      <w:pPr>
        <w:jc w:val="both"/>
        <w:rPr>
          <w:rFonts w:ascii="Calibri" w:eastAsia="Calibri" w:hAnsi="Calibri" w:cs="Calibri"/>
        </w:rPr>
      </w:pPr>
    </w:p>
    <w:p w14:paraId="1269FE82" w14:textId="77777777" w:rsidR="00386A21" w:rsidRDefault="00386A21">
      <w:pPr>
        <w:rPr>
          <w:rFonts w:ascii="Calibri" w:eastAsia="Calibri" w:hAnsi="Calibri" w:cs="Calibri"/>
        </w:rPr>
      </w:pPr>
    </w:p>
    <w:p w14:paraId="07558BC9" w14:textId="77777777" w:rsidR="00386A21" w:rsidRDefault="00000000">
      <w:pPr>
        <w:jc w:val="both"/>
        <w:rPr>
          <w:rFonts w:ascii="Calibri" w:eastAsia="Calibri" w:hAnsi="Calibri" w:cs="Calibri"/>
          <w:b/>
          <w:sz w:val="24"/>
          <w:szCs w:val="24"/>
        </w:rPr>
      </w:pPr>
      <w:r>
        <w:br w:type="page"/>
      </w:r>
    </w:p>
    <w:p w14:paraId="77E0473A" w14:textId="77777777" w:rsidR="00386A21" w:rsidRDefault="00386A21">
      <w:pPr>
        <w:jc w:val="both"/>
        <w:rPr>
          <w:rFonts w:ascii="Calibri" w:eastAsia="Calibri" w:hAnsi="Calibri" w:cs="Calibri"/>
          <w:b/>
          <w:sz w:val="24"/>
          <w:szCs w:val="24"/>
        </w:rPr>
      </w:pPr>
    </w:p>
    <w:p w14:paraId="72197886" w14:textId="77777777" w:rsidR="00386A21" w:rsidRDefault="00000000">
      <w:pPr>
        <w:jc w:val="both"/>
        <w:rPr>
          <w:rFonts w:ascii="Calibri" w:eastAsia="Calibri" w:hAnsi="Calibri" w:cs="Calibri"/>
          <w:b/>
          <w:sz w:val="24"/>
          <w:szCs w:val="24"/>
        </w:rPr>
      </w:pPr>
      <w:r>
        <w:rPr>
          <w:rFonts w:ascii="Calibri" w:eastAsia="Calibri" w:hAnsi="Calibri" w:cs="Calibri"/>
          <w:b/>
          <w:sz w:val="24"/>
          <w:szCs w:val="24"/>
        </w:rPr>
        <w:t>References</w:t>
      </w:r>
    </w:p>
    <w:p w14:paraId="5631A1A4" w14:textId="77777777" w:rsidR="00386A21" w:rsidRDefault="00000000">
      <w:pPr>
        <w:numPr>
          <w:ilvl w:val="0"/>
          <w:numId w:val="1"/>
        </w:numPr>
        <w:spacing w:line="240" w:lineRule="auto"/>
        <w:jc w:val="both"/>
        <w:rPr>
          <w:rFonts w:ascii="Calibri" w:eastAsia="Calibri" w:hAnsi="Calibri" w:cs="Calibri"/>
          <w:sz w:val="24"/>
          <w:szCs w:val="24"/>
        </w:rPr>
      </w:pPr>
      <w:r>
        <w:rPr>
          <w:rFonts w:ascii="Calibri" w:eastAsia="Calibri" w:hAnsi="Calibri" w:cs="Calibri"/>
          <w:sz w:val="24"/>
          <w:szCs w:val="24"/>
        </w:rPr>
        <w:t>Ballantyne, R., Packer, J., &amp; Hughes, K. (2020). Adventure tourism: A synthesis of research. Journal of Sustainable Tourism, 28(8), 1276-1302. [invalid URL removed]</w:t>
      </w:r>
    </w:p>
    <w:p w14:paraId="4912FF3F" w14:textId="77777777" w:rsidR="00386A21" w:rsidRDefault="00000000">
      <w:pPr>
        <w:numPr>
          <w:ilvl w:val="0"/>
          <w:numId w:val="1"/>
        </w:numPr>
        <w:spacing w:line="240" w:lineRule="auto"/>
        <w:jc w:val="both"/>
        <w:rPr>
          <w:rFonts w:ascii="Calibri" w:eastAsia="Calibri" w:hAnsi="Calibri" w:cs="Calibri"/>
          <w:sz w:val="24"/>
          <w:szCs w:val="24"/>
        </w:rPr>
      </w:pPr>
      <w:r>
        <w:rPr>
          <w:rFonts w:ascii="Calibri" w:eastAsia="Calibri" w:hAnsi="Calibri" w:cs="Calibri"/>
          <w:sz w:val="24"/>
          <w:szCs w:val="24"/>
        </w:rPr>
        <w:t>Brundtland Commission. (1987). Our Common Future. Oxford: Oxford University Press.</w:t>
      </w:r>
    </w:p>
    <w:p w14:paraId="78D6F896" w14:textId="77777777" w:rsidR="00386A21" w:rsidRDefault="00000000">
      <w:pPr>
        <w:numPr>
          <w:ilvl w:val="0"/>
          <w:numId w:val="1"/>
        </w:numPr>
        <w:spacing w:line="240" w:lineRule="auto"/>
        <w:jc w:val="both"/>
        <w:rPr>
          <w:rFonts w:ascii="Calibri" w:eastAsia="Calibri" w:hAnsi="Calibri" w:cs="Calibri"/>
          <w:sz w:val="24"/>
          <w:szCs w:val="24"/>
        </w:rPr>
      </w:pPr>
      <w:r>
        <w:rPr>
          <w:rFonts w:ascii="Calibri" w:eastAsia="Calibri" w:hAnsi="Calibri" w:cs="Calibri"/>
          <w:sz w:val="24"/>
          <w:szCs w:val="24"/>
        </w:rPr>
        <w:t>Chan, E. S. (2005). Barriers to EMS in the hotel industry. International Journal of Hospitality Management, 24(2), 187-199.</w:t>
      </w:r>
    </w:p>
    <w:p w14:paraId="6A0B977D" w14:textId="77777777" w:rsidR="00386A21" w:rsidRDefault="00000000">
      <w:pPr>
        <w:numPr>
          <w:ilvl w:val="0"/>
          <w:numId w:val="1"/>
        </w:numPr>
        <w:spacing w:line="240" w:lineRule="auto"/>
        <w:jc w:val="both"/>
        <w:rPr>
          <w:rFonts w:ascii="Calibri" w:eastAsia="Calibri" w:hAnsi="Calibri" w:cs="Calibri"/>
          <w:sz w:val="24"/>
          <w:szCs w:val="24"/>
        </w:rPr>
      </w:pPr>
      <w:r>
        <w:rPr>
          <w:rFonts w:ascii="Calibri" w:eastAsia="Calibri" w:hAnsi="Calibri" w:cs="Calibri"/>
          <w:sz w:val="24"/>
          <w:szCs w:val="24"/>
        </w:rPr>
        <w:t>Dempsey, N., Bramley, G., Power, S., &amp; Brown, C. (2011). The social dimension of sustainable development: Defining urban social sustainability. Sustainable Development, 19(5), 289–300.</w:t>
      </w:r>
      <w:hyperlink r:id="rId20">
        <w:r>
          <w:rPr>
            <w:rFonts w:ascii="Calibri" w:eastAsia="Calibri" w:hAnsi="Calibri" w:cs="Calibri"/>
            <w:color w:val="1155CC"/>
            <w:sz w:val="24"/>
            <w:szCs w:val="24"/>
            <w:u w:val="single"/>
          </w:rPr>
          <w:t>https://doi.org/10.1002/sd.417</w:t>
        </w:r>
      </w:hyperlink>
      <w:r>
        <w:rPr>
          <w:rFonts w:ascii="Calibri" w:eastAsia="Calibri" w:hAnsi="Calibri" w:cs="Calibri"/>
          <w:sz w:val="24"/>
          <w:szCs w:val="24"/>
        </w:rPr>
        <w:t xml:space="preserve">  </w:t>
      </w:r>
    </w:p>
    <w:p w14:paraId="59BF8022" w14:textId="77777777" w:rsidR="00386A21" w:rsidRDefault="00000000">
      <w:pPr>
        <w:numPr>
          <w:ilvl w:val="0"/>
          <w:numId w:val="1"/>
        </w:numPr>
        <w:spacing w:line="240" w:lineRule="auto"/>
        <w:jc w:val="both"/>
        <w:rPr>
          <w:rFonts w:ascii="Calibri" w:eastAsia="Calibri" w:hAnsi="Calibri" w:cs="Calibri"/>
          <w:sz w:val="24"/>
          <w:szCs w:val="24"/>
        </w:rPr>
      </w:pPr>
      <w:r>
        <w:rPr>
          <w:rFonts w:ascii="Calibri" w:eastAsia="Calibri" w:hAnsi="Calibri" w:cs="Calibri"/>
          <w:sz w:val="24"/>
          <w:szCs w:val="24"/>
        </w:rPr>
        <w:t>Dodds, R., &amp; Joppe, M. (2005). CSR in the tourism industry? The status of and potential for progress. Research Report, Tourism Concern, UK.</w:t>
      </w:r>
    </w:p>
    <w:p w14:paraId="22A37D82" w14:textId="77777777" w:rsidR="00386A21" w:rsidRDefault="00000000">
      <w:pPr>
        <w:numPr>
          <w:ilvl w:val="0"/>
          <w:numId w:val="1"/>
        </w:numPr>
        <w:spacing w:line="240" w:lineRule="auto"/>
        <w:jc w:val="both"/>
        <w:rPr>
          <w:rFonts w:ascii="Calibri" w:eastAsia="Calibri" w:hAnsi="Calibri" w:cs="Calibri"/>
          <w:sz w:val="24"/>
          <w:szCs w:val="24"/>
        </w:rPr>
      </w:pPr>
      <w:r>
        <w:rPr>
          <w:rFonts w:ascii="Calibri" w:eastAsia="Calibri" w:hAnsi="Calibri" w:cs="Calibri"/>
          <w:sz w:val="24"/>
          <w:szCs w:val="24"/>
        </w:rPr>
        <w:t>Elkington, J. (1997). Cannibals with Forks: The Triple Bottom Line of 21st Century Business. Capstone Publishing.</w:t>
      </w:r>
    </w:p>
    <w:p w14:paraId="75129FF1" w14:textId="77777777" w:rsidR="00386A21" w:rsidRDefault="00000000">
      <w:pPr>
        <w:numPr>
          <w:ilvl w:val="0"/>
          <w:numId w:val="1"/>
        </w:numPr>
        <w:spacing w:line="240" w:lineRule="auto"/>
        <w:jc w:val="both"/>
        <w:rPr>
          <w:rFonts w:ascii="Calibri" w:eastAsia="Calibri" w:hAnsi="Calibri" w:cs="Calibri"/>
          <w:sz w:val="24"/>
          <w:szCs w:val="24"/>
        </w:rPr>
      </w:pPr>
      <w:r>
        <w:rPr>
          <w:rFonts w:ascii="Calibri" w:eastAsia="Calibri" w:hAnsi="Calibri" w:cs="Calibri"/>
          <w:sz w:val="24"/>
          <w:szCs w:val="24"/>
        </w:rPr>
        <w:t>Goodland, R. (1995). The concept of environmental sustainability. Annual Review of Ecology and Systematics, 26(1), 1-24.</w:t>
      </w:r>
    </w:p>
    <w:p w14:paraId="668ED7D6" w14:textId="77777777" w:rsidR="00386A21" w:rsidRDefault="00000000">
      <w:pPr>
        <w:numPr>
          <w:ilvl w:val="0"/>
          <w:numId w:val="1"/>
        </w:numPr>
        <w:spacing w:line="240" w:lineRule="auto"/>
        <w:jc w:val="both"/>
        <w:rPr>
          <w:rFonts w:ascii="Calibri" w:eastAsia="Calibri" w:hAnsi="Calibri" w:cs="Calibri"/>
          <w:sz w:val="24"/>
          <w:szCs w:val="24"/>
        </w:rPr>
      </w:pPr>
      <w:r>
        <w:rPr>
          <w:rFonts w:ascii="Calibri" w:eastAsia="Calibri" w:hAnsi="Calibri" w:cs="Calibri"/>
          <w:sz w:val="24"/>
          <w:szCs w:val="24"/>
        </w:rPr>
        <w:t xml:space="preserve">Han, H., Hsu, L. T. J., &amp; Sheu, C. (2010). Application of the theory of planned </w:t>
      </w:r>
      <w:proofErr w:type="spellStart"/>
      <w:r>
        <w:rPr>
          <w:rFonts w:ascii="Calibri" w:eastAsia="Calibri" w:hAnsi="Calibri" w:cs="Calibri"/>
          <w:sz w:val="24"/>
          <w:szCs w:val="24"/>
        </w:rPr>
        <w:t>behavior</w:t>
      </w:r>
      <w:proofErr w:type="spellEnd"/>
      <w:r>
        <w:rPr>
          <w:rFonts w:ascii="Calibri" w:eastAsia="Calibri" w:hAnsi="Calibri" w:cs="Calibri"/>
          <w:sz w:val="24"/>
          <w:szCs w:val="24"/>
        </w:rPr>
        <w:t xml:space="preserve"> to green hotel choice: Testing the effect of environmental concern and price acceptance. International Journal of Hospitality Management 29 (1), 31–40</w:t>
      </w:r>
    </w:p>
    <w:p w14:paraId="10FB0D2E" w14:textId="77777777" w:rsidR="00386A21" w:rsidRDefault="00000000">
      <w:pPr>
        <w:numPr>
          <w:ilvl w:val="0"/>
          <w:numId w:val="1"/>
        </w:numPr>
        <w:spacing w:line="240" w:lineRule="auto"/>
        <w:jc w:val="both"/>
        <w:rPr>
          <w:rFonts w:ascii="Calibri" w:eastAsia="Calibri" w:hAnsi="Calibri" w:cs="Calibri"/>
          <w:sz w:val="24"/>
          <w:szCs w:val="24"/>
        </w:rPr>
      </w:pPr>
      <w:r>
        <w:rPr>
          <w:rFonts w:ascii="Calibri" w:eastAsia="Calibri" w:hAnsi="Calibri" w:cs="Calibri"/>
          <w:sz w:val="24"/>
          <w:szCs w:val="24"/>
        </w:rPr>
        <w:t>Lawson, A. (2018). Sustainability and the Hospitality Industry. Goodfellow Publishers Ltd.</w:t>
      </w:r>
    </w:p>
    <w:p w14:paraId="0A35486C" w14:textId="77777777" w:rsidR="00386A21" w:rsidRDefault="00000000">
      <w:pPr>
        <w:numPr>
          <w:ilvl w:val="0"/>
          <w:numId w:val="1"/>
        </w:numPr>
        <w:spacing w:line="240" w:lineRule="auto"/>
        <w:jc w:val="both"/>
        <w:rPr>
          <w:rFonts w:ascii="Calibri" w:eastAsia="Calibri" w:hAnsi="Calibri" w:cs="Calibri"/>
          <w:sz w:val="24"/>
          <w:szCs w:val="24"/>
        </w:rPr>
      </w:pPr>
      <w:r>
        <w:rPr>
          <w:rFonts w:ascii="Calibri" w:eastAsia="Calibri" w:hAnsi="Calibri" w:cs="Calibri"/>
          <w:sz w:val="24"/>
          <w:szCs w:val="24"/>
        </w:rPr>
        <w:t>Lennon, J. J., &amp; Foley, M. (2000). Dark tourism: A lexicon. International Journal of Tourism Research, 2(3), 279-288.</w:t>
      </w:r>
    </w:p>
    <w:p w14:paraId="39281F3E" w14:textId="77777777" w:rsidR="00386A21" w:rsidRDefault="00000000">
      <w:pPr>
        <w:numPr>
          <w:ilvl w:val="0"/>
          <w:numId w:val="1"/>
        </w:numPr>
        <w:spacing w:line="240" w:lineRule="auto"/>
        <w:jc w:val="both"/>
        <w:rPr>
          <w:rFonts w:ascii="Calibri" w:eastAsia="Calibri" w:hAnsi="Calibri" w:cs="Calibri"/>
          <w:sz w:val="24"/>
          <w:szCs w:val="24"/>
        </w:rPr>
      </w:pPr>
      <w:r>
        <w:rPr>
          <w:rFonts w:ascii="Calibri" w:eastAsia="Calibri" w:hAnsi="Calibri" w:cs="Calibri"/>
          <w:sz w:val="24"/>
          <w:szCs w:val="24"/>
        </w:rPr>
        <w:t>Long, P. A. (2018). Culinary tourism: The convergence of tourism and food studies. International Journal of Tourism Anthropology, 10(2), 119-133. [invalid URL removed]</w:t>
      </w:r>
    </w:p>
    <w:p w14:paraId="5343565A" w14:textId="77777777" w:rsidR="00386A21" w:rsidRDefault="00000000">
      <w:pPr>
        <w:numPr>
          <w:ilvl w:val="0"/>
          <w:numId w:val="1"/>
        </w:numPr>
        <w:spacing w:line="240" w:lineRule="auto"/>
        <w:jc w:val="both"/>
        <w:rPr>
          <w:rFonts w:ascii="Calibri" w:eastAsia="Calibri" w:hAnsi="Calibri" w:cs="Calibri"/>
          <w:sz w:val="24"/>
          <w:szCs w:val="24"/>
        </w:rPr>
      </w:pPr>
      <w:proofErr w:type="spellStart"/>
      <w:r>
        <w:rPr>
          <w:rFonts w:ascii="Calibri" w:eastAsia="Calibri" w:hAnsi="Calibri" w:cs="Calibri"/>
          <w:sz w:val="24"/>
          <w:szCs w:val="24"/>
        </w:rPr>
        <w:t>Magis</w:t>
      </w:r>
      <w:proofErr w:type="spellEnd"/>
      <w:r>
        <w:rPr>
          <w:rFonts w:ascii="Calibri" w:eastAsia="Calibri" w:hAnsi="Calibri" w:cs="Calibri"/>
          <w:sz w:val="24"/>
          <w:szCs w:val="24"/>
        </w:rPr>
        <w:t>, K., &amp; Shinn, C. (2009). Emergent principles of social sustainability. In J. Dillard, V. Dujon, &amp; M. C. King (Eds.), Understanding the Social Dimension of Sustainability (pp. 15-44). Routledge.</w:t>
      </w:r>
    </w:p>
    <w:p w14:paraId="5954A9D0" w14:textId="77777777" w:rsidR="00386A21" w:rsidRDefault="00000000">
      <w:pPr>
        <w:numPr>
          <w:ilvl w:val="0"/>
          <w:numId w:val="1"/>
        </w:numPr>
        <w:spacing w:line="240" w:lineRule="auto"/>
        <w:jc w:val="both"/>
        <w:rPr>
          <w:rFonts w:ascii="Calibri" w:eastAsia="Calibri" w:hAnsi="Calibri" w:cs="Calibri"/>
          <w:sz w:val="24"/>
          <w:szCs w:val="24"/>
        </w:rPr>
      </w:pPr>
      <w:proofErr w:type="spellStart"/>
      <w:r>
        <w:rPr>
          <w:rFonts w:ascii="Calibri" w:eastAsia="Calibri" w:hAnsi="Calibri" w:cs="Calibri"/>
          <w:sz w:val="24"/>
          <w:szCs w:val="24"/>
        </w:rPr>
        <w:t>Manaktola</w:t>
      </w:r>
      <w:proofErr w:type="spellEnd"/>
      <w:r>
        <w:rPr>
          <w:rFonts w:ascii="Calibri" w:eastAsia="Calibri" w:hAnsi="Calibri" w:cs="Calibri"/>
          <w:sz w:val="24"/>
          <w:szCs w:val="24"/>
        </w:rPr>
        <w:t xml:space="preserve">, K., &amp; </w:t>
      </w:r>
      <w:proofErr w:type="spellStart"/>
      <w:r>
        <w:rPr>
          <w:rFonts w:ascii="Calibri" w:eastAsia="Calibri" w:hAnsi="Calibri" w:cs="Calibri"/>
          <w:sz w:val="24"/>
          <w:szCs w:val="24"/>
        </w:rPr>
        <w:t>Jauhari</w:t>
      </w:r>
      <w:proofErr w:type="spellEnd"/>
      <w:r>
        <w:rPr>
          <w:rFonts w:ascii="Calibri" w:eastAsia="Calibri" w:hAnsi="Calibri" w:cs="Calibri"/>
          <w:sz w:val="24"/>
          <w:szCs w:val="24"/>
        </w:rPr>
        <w:t>, V. (2007). Exploring consumer attitude and behaviour towards green practices in the lodging industry in India. International Journal of Contemporary Hospitality Management, 19(5), 364-377.</w:t>
      </w:r>
    </w:p>
    <w:p w14:paraId="200378B7" w14:textId="77777777" w:rsidR="00386A21" w:rsidRDefault="00000000">
      <w:pPr>
        <w:numPr>
          <w:ilvl w:val="0"/>
          <w:numId w:val="1"/>
        </w:numPr>
        <w:spacing w:line="240" w:lineRule="auto"/>
        <w:jc w:val="both"/>
        <w:rPr>
          <w:rFonts w:ascii="Calibri" w:eastAsia="Calibri" w:hAnsi="Calibri" w:cs="Calibri"/>
          <w:sz w:val="24"/>
          <w:szCs w:val="24"/>
        </w:rPr>
      </w:pPr>
      <w:r>
        <w:rPr>
          <w:rFonts w:ascii="Calibri" w:eastAsia="Calibri" w:hAnsi="Calibri" w:cs="Calibri"/>
          <w:sz w:val="24"/>
          <w:szCs w:val="24"/>
        </w:rPr>
        <w:t>Meadows, D. H. (2008). Thinking in systems: A primer. Chelsea Green Publishing.</w:t>
      </w:r>
    </w:p>
    <w:p w14:paraId="403ACA64" w14:textId="77777777" w:rsidR="00386A21" w:rsidRDefault="00000000">
      <w:pPr>
        <w:numPr>
          <w:ilvl w:val="0"/>
          <w:numId w:val="1"/>
        </w:numPr>
        <w:spacing w:line="240" w:lineRule="auto"/>
        <w:jc w:val="both"/>
        <w:rPr>
          <w:rFonts w:ascii="Calibri" w:eastAsia="Calibri" w:hAnsi="Calibri" w:cs="Calibri"/>
          <w:sz w:val="24"/>
          <w:szCs w:val="24"/>
        </w:rPr>
      </w:pPr>
      <w:r>
        <w:rPr>
          <w:rFonts w:ascii="Calibri" w:eastAsia="Calibri" w:hAnsi="Calibri" w:cs="Calibri"/>
          <w:sz w:val="24"/>
          <w:szCs w:val="24"/>
        </w:rPr>
        <w:t>Page, S. J., &amp; Connell, J. (2019). Tourism in cities: Everyday encounters and mobilities. Routledge.</w:t>
      </w:r>
    </w:p>
    <w:p w14:paraId="2A7323DD" w14:textId="77777777" w:rsidR="00386A21" w:rsidRDefault="00000000">
      <w:pPr>
        <w:numPr>
          <w:ilvl w:val="0"/>
          <w:numId w:val="1"/>
        </w:numPr>
        <w:spacing w:line="240" w:lineRule="auto"/>
        <w:jc w:val="both"/>
        <w:rPr>
          <w:rFonts w:ascii="Calibri" w:eastAsia="Calibri" w:hAnsi="Calibri" w:cs="Calibri"/>
          <w:sz w:val="24"/>
          <w:szCs w:val="24"/>
        </w:rPr>
      </w:pPr>
      <w:r>
        <w:rPr>
          <w:rFonts w:ascii="Calibri" w:eastAsia="Calibri" w:hAnsi="Calibri" w:cs="Calibri"/>
          <w:sz w:val="24"/>
          <w:szCs w:val="24"/>
        </w:rPr>
        <w:t>Richards, G. (2018). Cultural tourism. Routledge.</w:t>
      </w:r>
    </w:p>
    <w:p w14:paraId="1E339E58" w14:textId="77777777" w:rsidR="00386A21" w:rsidRDefault="00000000">
      <w:pPr>
        <w:numPr>
          <w:ilvl w:val="0"/>
          <w:numId w:val="1"/>
        </w:numPr>
        <w:spacing w:line="240" w:lineRule="auto"/>
        <w:jc w:val="both"/>
        <w:rPr>
          <w:rFonts w:ascii="Calibri" w:eastAsia="Calibri" w:hAnsi="Calibri" w:cs="Calibri"/>
          <w:sz w:val="24"/>
          <w:szCs w:val="24"/>
        </w:rPr>
      </w:pPr>
      <w:proofErr w:type="spellStart"/>
      <w:r>
        <w:rPr>
          <w:rFonts w:ascii="Calibri" w:eastAsia="Calibri" w:hAnsi="Calibri" w:cs="Calibri"/>
          <w:sz w:val="24"/>
          <w:szCs w:val="24"/>
        </w:rPr>
        <w:t>Rockström</w:t>
      </w:r>
      <w:proofErr w:type="spellEnd"/>
      <w:r>
        <w:rPr>
          <w:rFonts w:ascii="Calibri" w:eastAsia="Calibri" w:hAnsi="Calibri" w:cs="Calibri"/>
          <w:sz w:val="24"/>
          <w:szCs w:val="24"/>
        </w:rPr>
        <w:t>, J., Steffen, W., Noone, K., Persson, Å., Chapin, F. S., Lambin, E., ... &amp; Foley, J. A. (2009). A safe operating space for humanity. Nature, 461(7263), 472-475.</w:t>
      </w:r>
    </w:p>
    <w:p w14:paraId="3D4E4D44" w14:textId="77777777" w:rsidR="00386A21" w:rsidRDefault="00000000">
      <w:pPr>
        <w:numPr>
          <w:ilvl w:val="0"/>
          <w:numId w:val="1"/>
        </w:numPr>
        <w:spacing w:line="240" w:lineRule="auto"/>
        <w:jc w:val="both"/>
        <w:rPr>
          <w:rFonts w:ascii="Calibri" w:eastAsia="Calibri" w:hAnsi="Calibri" w:cs="Calibri"/>
          <w:sz w:val="24"/>
          <w:szCs w:val="24"/>
        </w:rPr>
      </w:pPr>
      <w:r>
        <w:rPr>
          <w:rFonts w:ascii="Calibri" w:eastAsia="Calibri" w:hAnsi="Calibri" w:cs="Calibri"/>
          <w:sz w:val="24"/>
          <w:szCs w:val="24"/>
        </w:rPr>
        <w:t>Sharpley, R., &amp; Vass, P. (2006). Rural tourism. Sage Publications Limited.</w:t>
      </w:r>
    </w:p>
    <w:p w14:paraId="7FF7057D" w14:textId="77777777" w:rsidR="00386A21" w:rsidRDefault="00000000">
      <w:pPr>
        <w:numPr>
          <w:ilvl w:val="0"/>
          <w:numId w:val="1"/>
        </w:numPr>
        <w:spacing w:line="240" w:lineRule="auto"/>
        <w:jc w:val="both"/>
        <w:rPr>
          <w:rFonts w:ascii="Calibri" w:eastAsia="Calibri" w:hAnsi="Calibri" w:cs="Calibri"/>
          <w:sz w:val="24"/>
          <w:szCs w:val="24"/>
        </w:rPr>
      </w:pPr>
      <w:r>
        <w:rPr>
          <w:rFonts w:ascii="Calibri" w:eastAsia="Calibri" w:hAnsi="Calibri" w:cs="Calibri"/>
          <w:sz w:val="24"/>
          <w:szCs w:val="24"/>
        </w:rPr>
        <w:t xml:space="preserve">Smith, M., &amp; </w:t>
      </w:r>
      <w:proofErr w:type="spellStart"/>
      <w:r>
        <w:rPr>
          <w:rFonts w:ascii="Calibri" w:eastAsia="Calibri" w:hAnsi="Calibri" w:cs="Calibri"/>
          <w:sz w:val="24"/>
          <w:szCs w:val="24"/>
        </w:rPr>
        <w:t>Puczko</w:t>
      </w:r>
      <w:proofErr w:type="spellEnd"/>
      <w:r>
        <w:rPr>
          <w:rFonts w:ascii="Calibri" w:eastAsia="Calibri" w:hAnsi="Calibri" w:cs="Calibri"/>
          <w:sz w:val="24"/>
          <w:szCs w:val="24"/>
        </w:rPr>
        <w:t xml:space="preserve">, L. (2009). Wellness tourism: Reviewing the literature. Tourism Management, 30(1), 17-26. </w:t>
      </w:r>
      <w:hyperlink r:id="rId21">
        <w:r>
          <w:rPr>
            <w:rFonts w:ascii="Calibri" w:eastAsia="Calibri" w:hAnsi="Calibri" w:cs="Calibri"/>
            <w:color w:val="1155CC"/>
            <w:sz w:val="24"/>
            <w:szCs w:val="24"/>
            <w:u w:val="single"/>
          </w:rPr>
          <w:t>https://doi.org/10.1016/j.tourman.2008.02.005</w:t>
        </w:r>
      </w:hyperlink>
      <w:r>
        <w:rPr>
          <w:rFonts w:ascii="Calibri" w:eastAsia="Calibri" w:hAnsi="Calibri" w:cs="Calibri"/>
          <w:sz w:val="24"/>
          <w:szCs w:val="24"/>
        </w:rPr>
        <w:t xml:space="preserve"> </w:t>
      </w:r>
    </w:p>
    <w:p w14:paraId="429A79CE" w14:textId="77777777" w:rsidR="00386A21" w:rsidRDefault="00000000">
      <w:pPr>
        <w:numPr>
          <w:ilvl w:val="0"/>
          <w:numId w:val="1"/>
        </w:numPr>
        <w:spacing w:line="240" w:lineRule="auto"/>
        <w:jc w:val="both"/>
        <w:rPr>
          <w:rFonts w:ascii="Calibri" w:eastAsia="Calibri" w:hAnsi="Calibri" w:cs="Calibri"/>
          <w:sz w:val="24"/>
          <w:szCs w:val="24"/>
        </w:rPr>
      </w:pPr>
      <w:r>
        <w:rPr>
          <w:rFonts w:ascii="Calibri" w:eastAsia="Calibri" w:hAnsi="Calibri" w:cs="Calibri"/>
          <w:sz w:val="24"/>
          <w:szCs w:val="24"/>
        </w:rPr>
        <w:t>Timothy, D., &amp; Olsen, M. (2016). Religious tourism: Contemporary issues and cases. Routledge.</w:t>
      </w:r>
    </w:p>
    <w:p w14:paraId="3B3FB52B" w14:textId="77777777" w:rsidR="00386A21" w:rsidRDefault="00000000">
      <w:pPr>
        <w:numPr>
          <w:ilvl w:val="0"/>
          <w:numId w:val="1"/>
        </w:numPr>
        <w:spacing w:line="240" w:lineRule="auto"/>
        <w:jc w:val="both"/>
        <w:rPr>
          <w:rFonts w:ascii="Calibri" w:eastAsia="Calibri" w:hAnsi="Calibri" w:cs="Calibri"/>
          <w:sz w:val="24"/>
          <w:szCs w:val="24"/>
        </w:rPr>
      </w:pPr>
      <w:r>
        <w:rPr>
          <w:rFonts w:ascii="Calibri" w:eastAsia="Calibri" w:hAnsi="Calibri" w:cs="Calibri"/>
          <w:sz w:val="24"/>
          <w:szCs w:val="24"/>
        </w:rPr>
        <w:lastRenderedPageBreak/>
        <w:t xml:space="preserve">United Nations. (2015). Transforming our World: The 2030 Agenda for Sustainable Development. Retrieved from </w:t>
      </w:r>
      <w:hyperlink r:id="rId22">
        <w:r>
          <w:rPr>
            <w:rFonts w:ascii="Calibri" w:eastAsia="Calibri" w:hAnsi="Calibri" w:cs="Calibri"/>
            <w:color w:val="1155CC"/>
            <w:sz w:val="24"/>
            <w:szCs w:val="24"/>
            <w:u w:val="single"/>
          </w:rPr>
          <w:t>https://sdgs.un.org/publications/transforming-our-world-2030-agenda-sustainable-development-17916</w:t>
        </w:r>
      </w:hyperlink>
      <w:r>
        <w:rPr>
          <w:rFonts w:ascii="Calibri" w:eastAsia="Calibri" w:hAnsi="Calibri" w:cs="Calibri"/>
          <w:sz w:val="24"/>
          <w:szCs w:val="24"/>
        </w:rPr>
        <w:t xml:space="preserve"> </w:t>
      </w:r>
    </w:p>
    <w:p w14:paraId="16160A97" w14:textId="77777777" w:rsidR="00386A21" w:rsidRDefault="00000000">
      <w:pPr>
        <w:numPr>
          <w:ilvl w:val="0"/>
          <w:numId w:val="1"/>
        </w:numPr>
        <w:spacing w:line="240" w:lineRule="auto"/>
        <w:jc w:val="both"/>
        <w:rPr>
          <w:rFonts w:ascii="Calibri" w:eastAsia="Calibri" w:hAnsi="Calibri" w:cs="Calibri"/>
          <w:sz w:val="24"/>
          <w:szCs w:val="24"/>
        </w:rPr>
      </w:pPr>
      <w:r>
        <w:rPr>
          <w:rFonts w:ascii="Calibri" w:eastAsia="Calibri" w:hAnsi="Calibri" w:cs="Calibri"/>
          <w:sz w:val="24"/>
          <w:szCs w:val="24"/>
        </w:rPr>
        <w:t xml:space="preserve">United Nations Environment Programme. (2021). Making peace with nature: A scientific blueprint to tackle the climate, biodiversity, and pollution emergencies. Nairobi. </w:t>
      </w:r>
      <w:hyperlink r:id="rId23">
        <w:r>
          <w:rPr>
            <w:rFonts w:ascii="Calibri" w:eastAsia="Calibri" w:hAnsi="Calibri" w:cs="Calibri"/>
            <w:color w:val="1155CC"/>
            <w:sz w:val="24"/>
            <w:szCs w:val="24"/>
            <w:u w:val="single"/>
          </w:rPr>
          <w:t>https://www.unep.org/resources/making-peace-nature</w:t>
        </w:r>
      </w:hyperlink>
      <w:r>
        <w:rPr>
          <w:rFonts w:ascii="Calibri" w:eastAsia="Calibri" w:hAnsi="Calibri" w:cs="Calibri"/>
          <w:sz w:val="24"/>
          <w:szCs w:val="24"/>
        </w:rPr>
        <w:t xml:space="preserve"> </w:t>
      </w:r>
    </w:p>
    <w:p w14:paraId="66A0FFC5" w14:textId="77777777" w:rsidR="00386A21" w:rsidRDefault="00000000">
      <w:pPr>
        <w:numPr>
          <w:ilvl w:val="0"/>
          <w:numId w:val="1"/>
        </w:numPr>
        <w:spacing w:line="240" w:lineRule="auto"/>
        <w:jc w:val="both"/>
        <w:rPr>
          <w:rFonts w:ascii="Calibri" w:eastAsia="Calibri" w:hAnsi="Calibri" w:cs="Calibri"/>
          <w:sz w:val="24"/>
          <w:szCs w:val="24"/>
        </w:rPr>
      </w:pPr>
      <w:r>
        <w:rPr>
          <w:rFonts w:ascii="Calibri" w:eastAsia="Calibri" w:hAnsi="Calibri" w:cs="Calibri"/>
          <w:sz w:val="24"/>
          <w:szCs w:val="24"/>
        </w:rPr>
        <w:t xml:space="preserve">Wearing, S., &amp; McGehee, N. (2013). Volunteer tourism: Exploring the potential for learning and development. Tourism Management, 36(1), 1-10. </w:t>
      </w:r>
      <w:hyperlink r:id="rId24">
        <w:r>
          <w:rPr>
            <w:rFonts w:ascii="Calibri" w:eastAsia="Calibri" w:hAnsi="Calibri" w:cs="Calibri"/>
            <w:color w:val="1155CC"/>
            <w:sz w:val="24"/>
            <w:szCs w:val="24"/>
            <w:u w:val="single"/>
          </w:rPr>
          <w:t>https://doi.org/10.1016/j.tourman.2012.06.003</w:t>
        </w:r>
      </w:hyperlink>
      <w:r>
        <w:rPr>
          <w:rFonts w:ascii="Calibri" w:eastAsia="Calibri" w:hAnsi="Calibri" w:cs="Calibri"/>
          <w:sz w:val="24"/>
          <w:szCs w:val="24"/>
        </w:rPr>
        <w:t xml:space="preserve"> </w:t>
      </w:r>
    </w:p>
    <w:p w14:paraId="49811C41" w14:textId="77777777" w:rsidR="00386A21" w:rsidRDefault="00000000">
      <w:pPr>
        <w:numPr>
          <w:ilvl w:val="0"/>
          <w:numId w:val="1"/>
        </w:numPr>
        <w:spacing w:line="240" w:lineRule="auto"/>
        <w:jc w:val="both"/>
        <w:rPr>
          <w:rFonts w:ascii="Calibri" w:eastAsia="Calibri" w:hAnsi="Calibri" w:cs="Calibri"/>
          <w:sz w:val="24"/>
          <w:szCs w:val="24"/>
        </w:rPr>
      </w:pPr>
      <w:r>
        <w:rPr>
          <w:rFonts w:ascii="Calibri" w:eastAsia="Calibri" w:hAnsi="Calibri" w:cs="Calibri"/>
          <w:sz w:val="24"/>
          <w:szCs w:val="24"/>
        </w:rPr>
        <w:t>Weaver, D. (2019). Ecotourism: A very short introduction. Oxford University Press.</w:t>
      </w:r>
    </w:p>
    <w:p w14:paraId="7925D4D5" w14:textId="77777777" w:rsidR="00386A21" w:rsidRDefault="00000000">
      <w:pPr>
        <w:numPr>
          <w:ilvl w:val="0"/>
          <w:numId w:val="1"/>
        </w:numPr>
        <w:spacing w:line="240" w:lineRule="auto"/>
        <w:jc w:val="both"/>
        <w:rPr>
          <w:rFonts w:ascii="Calibri" w:eastAsia="Calibri" w:hAnsi="Calibri" w:cs="Calibri"/>
          <w:sz w:val="24"/>
          <w:szCs w:val="24"/>
        </w:rPr>
      </w:pPr>
      <w:r>
        <w:rPr>
          <w:rFonts w:ascii="Calibri" w:eastAsia="Calibri" w:hAnsi="Calibri" w:cs="Calibri"/>
          <w:sz w:val="24"/>
          <w:szCs w:val="24"/>
        </w:rPr>
        <w:t xml:space="preserve">World Commission on Environment and Development. (1987). Our Common Future (Brundtland Report). Retrieved from </w:t>
      </w:r>
      <w:hyperlink r:id="rId25">
        <w:r>
          <w:rPr>
            <w:rFonts w:ascii="Calibri" w:eastAsia="Calibri" w:hAnsi="Calibri" w:cs="Calibri"/>
            <w:color w:val="1155CC"/>
            <w:sz w:val="24"/>
            <w:szCs w:val="24"/>
            <w:u w:val="single"/>
          </w:rPr>
          <w:t>http://www.un-documents.net/our-common-future.pdf</w:t>
        </w:r>
      </w:hyperlink>
      <w:r>
        <w:rPr>
          <w:rFonts w:ascii="Calibri" w:eastAsia="Calibri" w:hAnsi="Calibri" w:cs="Calibri"/>
          <w:sz w:val="24"/>
          <w:szCs w:val="24"/>
        </w:rPr>
        <w:t xml:space="preserve"> </w:t>
      </w:r>
    </w:p>
    <w:p w14:paraId="3B62ECCF" w14:textId="77777777" w:rsidR="00386A21" w:rsidRDefault="00000000">
      <w:pPr>
        <w:spacing w:line="240" w:lineRule="auto"/>
        <w:ind w:left="720"/>
        <w:jc w:val="both"/>
        <w:rPr>
          <w:rFonts w:ascii="Calibri" w:eastAsia="Calibri" w:hAnsi="Calibri" w:cs="Calibri"/>
          <w:sz w:val="24"/>
          <w:szCs w:val="24"/>
        </w:rPr>
      </w:pPr>
      <w:r>
        <w:br w:type="page"/>
      </w:r>
    </w:p>
    <w:p w14:paraId="5D239DBC" w14:textId="77777777" w:rsidR="00386A21" w:rsidRDefault="00386A21">
      <w:pPr>
        <w:spacing w:line="240" w:lineRule="auto"/>
        <w:ind w:left="720"/>
        <w:jc w:val="both"/>
        <w:rPr>
          <w:rFonts w:ascii="Calibri" w:eastAsia="Calibri" w:hAnsi="Calibri" w:cs="Calibri"/>
          <w:sz w:val="24"/>
          <w:szCs w:val="24"/>
        </w:rPr>
      </w:pPr>
    </w:p>
    <w:p w14:paraId="3A671BA6" w14:textId="77777777" w:rsidR="00386A21" w:rsidRDefault="00386A21">
      <w:pPr>
        <w:spacing w:after="160" w:line="360" w:lineRule="auto"/>
        <w:jc w:val="both"/>
        <w:rPr>
          <w:rFonts w:ascii="Calibri" w:eastAsia="Calibri" w:hAnsi="Calibri" w:cs="Calibri"/>
          <w:sz w:val="24"/>
          <w:szCs w:val="24"/>
        </w:rPr>
      </w:pPr>
    </w:p>
    <w:p w14:paraId="209C8DCB" w14:textId="77777777" w:rsidR="00386A21" w:rsidRDefault="00386A21">
      <w:pPr>
        <w:widowControl w:val="0"/>
        <w:pBdr>
          <w:top w:val="nil"/>
          <w:left w:val="nil"/>
          <w:bottom w:val="nil"/>
          <w:right w:val="nil"/>
          <w:between w:val="nil"/>
        </w:pBdr>
        <w:rPr>
          <w:rFonts w:ascii="Calibri" w:eastAsia="Calibri" w:hAnsi="Calibri" w:cs="Calibri"/>
          <w:sz w:val="24"/>
          <w:szCs w:val="24"/>
        </w:rPr>
      </w:pPr>
    </w:p>
    <w:sectPr w:rsidR="00386A2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C65081"/>
    <w:multiLevelType w:val="multilevel"/>
    <w:tmpl w:val="4F447D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B2321FA"/>
    <w:multiLevelType w:val="multilevel"/>
    <w:tmpl w:val="426234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90673891">
    <w:abstractNumId w:val="1"/>
  </w:num>
  <w:num w:numId="2" w16cid:durableId="1180968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6A21"/>
    <w:rsid w:val="00386A21"/>
    <w:rsid w:val="007E1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BBC88"/>
  <w15:docId w15:val="{2320D978-25AE-4CE7-A69F-C5F07AD78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both"/>
      <w:outlineLvl w:val="0"/>
    </w:pPr>
    <w:rPr>
      <w:rFonts w:ascii="Calibri" w:eastAsia="Calibri" w:hAnsi="Calibri" w:cs="Calibri"/>
      <w:sz w:val="36"/>
      <w:szCs w:val="36"/>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jc w:val="both"/>
      <w:outlineLvl w:val="2"/>
    </w:pPr>
    <w:rPr>
      <w:rFonts w:ascii="Calibri" w:eastAsia="Calibri" w:hAnsi="Calibri" w:cs="Calibri"/>
      <w:color w:val="434343"/>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g"/><Relationship Id="rId18" Type="http://schemas.openxmlformats.org/officeDocument/2006/relationships/image" Target="media/image14.jp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016/j.tourman.2008.02.005" TargetMode="External"/><Relationship Id="rId7" Type="http://schemas.openxmlformats.org/officeDocument/2006/relationships/image" Target="media/image3.jpg"/><Relationship Id="rId12" Type="http://schemas.openxmlformats.org/officeDocument/2006/relationships/image" Target="media/image8.jpg"/><Relationship Id="rId17" Type="http://schemas.openxmlformats.org/officeDocument/2006/relationships/image" Target="media/image13.jpg"/><Relationship Id="rId25" Type="http://schemas.openxmlformats.org/officeDocument/2006/relationships/hyperlink" Target="http://www.un-documents.net/our-common-future.pdf" TargetMode="External"/><Relationship Id="rId2" Type="http://schemas.openxmlformats.org/officeDocument/2006/relationships/styles" Target="styles.xml"/><Relationship Id="rId16" Type="http://schemas.openxmlformats.org/officeDocument/2006/relationships/image" Target="media/image12.jpg"/><Relationship Id="rId20" Type="http://schemas.openxmlformats.org/officeDocument/2006/relationships/hyperlink" Target="https://doi.org/10.1002/sd.417"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g"/><Relationship Id="rId24" Type="http://schemas.openxmlformats.org/officeDocument/2006/relationships/hyperlink" Target="https://doi.org/10.1016/j.tourman.2012.06.003" TargetMode="External"/><Relationship Id="rId5" Type="http://schemas.openxmlformats.org/officeDocument/2006/relationships/image" Target="media/image1.jpg"/><Relationship Id="rId15" Type="http://schemas.openxmlformats.org/officeDocument/2006/relationships/image" Target="media/image11.jpg"/><Relationship Id="rId23" Type="http://schemas.openxmlformats.org/officeDocument/2006/relationships/hyperlink" Target="https://www.unep.org/resources/making-peace-nature" TargetMode="External"/><Relationship Id="rId10" Type="http://schemas.openxmlformats.org/officeDocument/2006/relationships/image" Target="media/image6.jpg"/><Relationship Id="rId19" Type="http://schemas.openxmlformats.org/officeDocument/2006/relationships/image" Target="media/image15.jp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g"/><Relationship Id="rId22" Type="http://schemas.openxmlformats.org/officeDocument/2006/relationships/hyperlink" Target="https://sdgs.un.org/publications/transforming-our-world-2030-agenda-sustainable-development-17916"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49</TotalTime>
  <Pages>16</Pages>
  <Words>3907</Words>
  <Characters>22274</Characters>
  <Application>Microsoft Office Word</Application>
  <DocSecurity>0</DocSecurity>
  <Lines>185</Lines>
  <Paragraphs>52</Paragraphs>
  <ScaleCrop>false</ScaleCrop>
  <Company/>
  <LinksUpToDate>false</LinksUpToDate>
  <CharactersWithSpaces>26129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User</cp:lastModifiedBy>
  <cp:revision>2</cp:revision>
  <dcterms:created xsi:type="dcterms:W3CDTF">2024-03-15T22:43:00Z</dcterms:created>
  <dcterms:modified xsi:type="dcterms:W3CDTF">2024-03-15T22:43:00Z</dcterms:modified>
</cp:coreProperties>
</file>