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17DAA" w:rsidRPr="00F17DAA" w:rsidRDefault="006F6BD0">
      <w:pPr>
        <w:rPr>
          <w:rFonts w:cstheme="minorHAnsi"/>
          <w:sz w:val="28"/>
          <w:szCs w:val="28"/>
          <w:shd w:val="clear" w:color="auto" w:fill="FFFFFF"/>
        </w:rPr>
      </w:pPr>
      <w:r w:rsidRPr="00F17DAA">
        <w:rPr>
          <w:rFonts w:cstheme="minorHAnsi"/>
          <w:sz w:val="28"/>
          <w:szCs w:val="28"/>
          <w:u w:val="single"/>
          <w:shd w:val="clear" w:color="auto" w:fill="FFFFFF"/>
        </w:rPr>
        <w:t>Outline and assess the suggestion that it is </w:t>
      </w:r>
      <w:r w:rsidRPr="00F17DAA">
        <w:rPr>
          <w:rFonts w:cstheme="minorHAnsi"/>
          <w:i/>
          <w:iCs/>
          <w:sz w:val="28"/>
          <w:szCs w:val="28"/>
          <w:u w:val="single"/>
          <w:shd w:val="clear" w:color="auto" w:fill="FFFFFF"/>
        </w:rPr>
        <w:t>memory</w:t>
      </w:r>
      <w:r w:rsidRPr="00F17DAA">
        <w:rPr>
          <w:rFonts w:cstheme="minorHAnsi"/>
          <w:sz w:val="28"/>
          <w:szCs w:val="28"/>
          <w:u w:val="single"/>
          <w:shd w:val="clear" w:color="auto" w:fill="FFFFFF"/>
        </w:rPr>
        <w:t xml:space="preserve"> that is crucial to </w:t>
      </w:r>
      <w:proofErr w:type="gramStart"/>
      <w:r w:rsidRPr="00F17DAA">
        <w:rPr>
          <w:rFonts w:cstheme="minorHAnsi"/>
          <w:sz w:val="28"/>
          <w:szCs w:val="28"/>
          <w:u w:val="single"/>
          <w:shd w:val="clear" w:color="auto" w:fill="FFFFFF"/>
        </w:rPr>
        <w:t>being</w:t>
      </w:r>
      <w:proofErr w:type="gramEnd"/>
      <w:r w:rsidRPr="00F17DAA">
        <w:rPr>
          <w:rFonts w:cstheme="minorHAnsi"/>
          <w:sz w:val="28"/>
          <w:szCs w:val="28"/>
          <w:u w:val="single"/>
          <w:shd w:val="clear" w:color="auto" w:fill="FFFFFF"/>
        </w:rPr>
        <w:t xml:space="preserve"> the same person over time.</w:t>
      </w:r>
      <w:r w:rsidRPr="00F17DAA">
        <w:rPr>
          <w:rFonts w:cstheme="minorHAnsi"/>
          <w:sz w:val="28"/>
          <w:szCs w:val="28"/>
          <w:u w:val="single"/>
          <w:shd w:val="clear" w:color="auto" w:fill="FFFFFF"/>
        </w:rPr>
        <w:br/>
      </w:r>
    </w:p>
    <w:p w:rsidR="0012197D" w:rsidRPr="0012197D" w:rsidRDefault="0012197D">
      <w:pPr>
        <w:rPr>
          <w:rFonts w:cstheme="minorHAnsi"/>
          <w:sz w:val="28"/>
          <w:szCs w:val="28"/>
          <w:u w:val="single"/>
          <w:shd w:val="clear" w:color="auto" w:fill="FFFFFF"/>
        </w:rPr>
      </w:pPr>
      <w:r>
        <w:rPr>
          <w:rFonts w:cstheme="minorHAnsi"/>
          <w:shd w:val="clear" w:color="auto" w:fill="FFFFFF"/>
        </w:rPr>
        <w:br/>
        <w:t xml:space="preserve">That memory should be the crucial factor in the continuity of persons is an attractive suggestion, </w:t>
      </w:r>
      <w:r w:rsidR="00226166">
        <w:rPr>
          <w:rFonts w:cstheme="minorHAnsi"/>
          <w:shd w:val="clear" w:color="auto" w:fill="FFFFFF"/>
        </w:rPr>
        <w:t xml:space="preserve">the assumption of which under many individuals </w:t>
      </w:r>
      <w:r>
        <w:rPr>
          <w:rFonts w:cstheme="minorHAnsi"/>
          <w:shd w:val="clear" w:color="auto" w:fill="FFFFFF"/>
        </w:rPr>
        <w:t>operate. However, in the assessment of this</w:t>
      </w:r>
      <w:r w:rsidR="00226166">
        <w:rPr>
          <w:rFonts w:cstheme="minorHAnsi"/>
          <w:shd w:val="clear" w:color="auto" w:fill="FFFFFF"/>
        </w:rPr>
        <w:t xml:space="preserve"> position</w:t>
      </w:r>
      <w:r>
        <w:rPr>
          <w:rFonts w:cstheme="minorHAnsi"/>
          <w:shd w:val="clear" w:color="auto" w:fill="FFFFFF"/>
        </w:rPr>
        <w:t xml:space="preserve"> there are problems to uncover, and perhaps issues which prevent the suggestion from applying universally. </w:t>
      </w:r>
      <w:r w:rsidR="00226166">
        <w:rPr>
          <w:rFonts w:cstheme="minorHAnsi"/>
          <w:shd w:val="clear" w:color="auto" w:fill="FFFFFF"/>
        </w:rPr>
        <w:t>By</w:t>
      </w:r>
      <w:r>
        <w:rPr>
          <w:rFonts w:cstheme="minorHAnsi"/>
          <w:shd w:val="clear" w:color="auto" w:fill="FFFFFF"/>
        </w:rPr>
        <w:t xml:space="preserve"> uncovering these issues, we might adjust the suggestion to point in a more suitable direction, in the pursuit of personal identity criteria.</w:t>
      </w:r>
    </w:p>
    <w:p w:rsidR="00392D04" w:rsidRPr="0012197D" w:rsidRDefault="00244BFE">
      <w:pPr>
        <w:rPr>
          <w:rFonts w:cstheme="minorHAnsi"/>
          <w:shd w:val="clear" w:color="auto" w:fill="FFFFFF"/>
        </w:rPr>
      </w:pPr>
      <w:r w:rsidRPr="00392D04">
        <w:rPr>
          <w:rFonts w:cstheme="minorHAnsi"/>
          <w:shd w:val="clear" w:color="auto" w:fill="FFFFFF"/>
        </w:rPr>
        <w:t xml:space="preserve">The assertion that </w:t>
      </w:r>
      <w:r w:rsidR="00B364F0" w:rsidRPr="00392D04">
        <w:rPr>
          <w:rFonts w:cstheme="minorHAnsi"/>
          <w:shd w:val="clear" w:color="auto" w:fill="FFFFFF"/>
        </w:rPr>
        <w:t xml:space="preserve">memory is crucial to </w:t>
      </w:r>
      <w:proofErr w:type="gramStart"/>
      <w:r w:rsidR="00B364F0" w:rsidRPr="00392D04">
        <w:rPr>
          <w:rFonts w:cstheme="minorHAnsi"/>
          <w:shd w:val="clear" w:color="auto" w:fill="FFFFFF"/>
        </w:rPr>
        <w:t>being</w:t>
      </w:r>
      <w:proofErr w:type="gramEnd"/>
      <w:r w:rsidR="00B364F0" w:rsidRPr="00392D04">
        <w:rPr>
          <w:rFonts w:cstheme="minorHAnsi"/>
          <w:shd w:val="clear" w:color="auto" w:fill="FFFFFF"/>
        </w:rPr>
        <w:t xml:space="preserve"> the same person over time is principally attributed to John Locke, who assessed the problem of personal identity in his work, ‘An Essay Concerning Human Understanding’. In distinguishing between the human organism, and the person, Locke sheds the physical continuity criterion from his theory of personal identity, the basis of which appears to be that the </w:t>
      </w:r>
      <w:r w:rsidR="00D25780" w:rsidRPr="00392D04">
        <w:rPr>
          <w:rFonts w:cstheme="minorHAnsi"/>
          <w:shd w:val="clear" w:color="auto" w:fill="FFFFFF"/>
        </w:rPr>
        <w:t xml:space="preserve">material </w:t>
      </w:r>
      <w:r w:rsidR="00B364F0" w:rsidRPr="00392D04">
        <w:rPr>
          <w:rFonts w:cstheme="minorHAnsi"/>
          <w:shd w:val="clear" w:color="auto" w:fill="FFFFFF"/>
        </w:rPr>
        <w:t xml:space="preserve">organism </w:t>
      </w:r>
      <w:r w:rsidR="00D25780" w:rsidRPr="00392D04">
        <w:rPr>
          <w:rFonts w:cstheme="minorHAnsi"/>
          <w:shd w:val="clear" w:color="auto" w:fill="FFFFFF"/>
        </w:rPr>
        <w:t>is but a host to a non-material consciousness</w:t>
      </w:r>
      <w:r w:rsidR="00D25780" w:rsidRPr="00392D04">
        <w:rPr>
          <w:rStyle w:val="FootnoteReference"/>
          <w:rFonts w:cstheme="minorHAnsi"/>
          <w:shd w:val="clear" w:color="auto" w:fill="FFFFFF"/>
        </w:rPr>
        <w:footnoteReference w:id="1"/>
      </w:r>
      <w:r w:rsidR="00D25780" w:rsidRPr="00392D04">
        <w:rPr>
          <w:rFonts w:cstheme="minorHAnsi"/>
          <w:shd w:val="clear" w:color="auto" w:fill="FFFFFF"/>
        </w:rPr>
        <w:t xml:space="preserve">. Since Locke believed that, ‘what makes a man be himself </w:t>
      </w:r>
      <w:r w:rsidR="00D25780" w:rsidRPr="00392D04">
        <w:rPr>
          <w:rFonts w:cstheme="minorHAnsi"/>
          <w:i/>
          <w:shd w:val="clear" w:color="auto" w:fill="FFFFFF"/>
        </w:rPr>
        <w:t>to himself</w:t>
      </w:r>
      <w:r w:rsidR="00D25780" w:rsidRPr="00392D04">
        <w:rPr>
          <w:rFonts w:cstheme="minorHAnsi"/>
          <w:shd w:val="clear" w:color="auto" w:fill="FFFFFF"/>
        </w:rPr>
        <w:t xml:space="preserve"> is sameness of consciousness</w:t>
      </w:r>
      <w:r w:rsidR="00D25780" w:rsidRPr="00392D04">
        <w:rPr>
          <w:rStyle w:val="FootnoteReference"/>
          <w:rFonts w:cstheme="minorHAnsi"/>
          <w:shd w:val="clear" w:color="auto" w:fill="FFFFFF"/>
        </w:rPr>
        <w:footnoteReference w:id="2"/>
      </w:r>
      <w:r w:rsidR="00D25780" w:rsidRPr="00392D04">
        <w:rPr>
          <w:rFonts w:cstheme="minorHAnsi"/>
          <w:shd w:val="clear" w:color="auto" w:fill="FFFFFF"/>
        </w:rPr>
        <w:t>’, his focus for determining what constitutes a continued personal identity was that which constitutes a continued consciousness – memories.</w:t>
      </w:r>
      <w:r w:rsidR="00392D04" w:rsidRPr="00392D04">
        <w:rPr>
          <w:rFonts w:cstheme="minorHAnsi"/>
          <w:shd w:val="clear" w:color="auto" w:fill="FFFFFF"/>
        </w:rPr>
        <w:t xml:space="preserve"> </w:t>
      </w:r>
      <w:r w:rsidR="00392D04">
        <w:rPr>
          <w:rFonts w:cstheme="minorHAnsi"/>
          <w:shd w:val="clear" w:color="auto" w:fill="FFFFFF"/>
        </w:rPr>
        <w:t>To Locke, a person is,</w:t>
      </w:r>
    </w:p>
    <w:p w:rsidR="00405A07" w:rsidRDefault="00392D04" w:rsidP="00392D04">
      <w:pPr>
        <w:ind w:left="567" w:right="567"/>
        <w:rPr>
          <w:rFonts w:cstheme="minorHAnsi"/>
        </w:rPr>
      </w:pPr>
      <w:r>
        <w:rPr>
          <w:rFonts w:cstheme="minorHAnsi"/>
        </w:rPr>
        <w:t>‘</w:t>
      </w:r>
      <w:r w:rsidRPr="00392D04">
        <w:rPr>
          <w:rFonts w:cstheme="minorHAnsi"/>
        </w:rPr>
        <w:t xml:space="preserve">a thinking intelligent being, that has reason and reflection, and can consider itself as itself, the same thinking thing at </w:t>
      </w:r>
      <w:proofErr w:type="gramStart"/>
      <w:r w:rsidRPr="00392D04">
        <w:rPr>
          <w:rFonts w:cstheme="minorHAnsi"/>
        </w:rPr>
        <w:t>different times</w:t>
      </w:r>
      <w:proofErr w:type="gramEnd"/>
      <w:r w:rsidRPr="00392D04">
        <w:rPr>
          <w:rFonts w:cstheme="minorHAnsi"/>
        </w:rPr>
        <w:t xml:space="preserve"> and places</w:t>
      </w:r>
      <w:r>
        <w:rPr>
          <w:rStyle w:val="FootnoteReference"/>
          <w:rFonts w:cstheme="minorHAnsi"/>
        </w:rPr>
        <w:footnoteReference w:id="3"/>
      </w:r>
      <w:r>
        <w:rPr>
          <w:rFonts w:cstheme="minorHAnsi"/>
        </w:rPr>
        <w:t>.’</w:t>
      </w:r>
    </w:p>
    <w:p w:rsidR="00C157EC" w:rsidRDefault="00392D04" w:rsidP="00392D04">
      <w:pPr>
        <w:rPr>
          <w:rFonts w:cstheme="minorHAnsi"/>
        </w:rPr>
      </w:pPr>
      <w:r>
        <w:rPr>
          <w:rFonts w:cstheme="minorHAnsi"/>
        </w:rPr>
        <w:t>The way this rational being conceives of themselves as persisting over time is by recalling the past in a first-person perspective</w:t>
      </w:r>
      <w:r>
        <w:rPr>
          <w:rStyle w:val="FootnoteReference"/>
          <w:rFonts w:cstheme="minorHAnsi"/>
        </w:rPr>
        <w:footnoteReference w:id="4"/>
      </w:r>
      <w:r>
        <w:rPr>
          <w:rFonts w:cstheme="minorHAnsi"/>
        </w:rPr>
        <w:t xml:space="preserve">, </w:t>
      </w:r>
      <w:r w:rsidR="00EA370C">
        <w:rPr>
          <w:rFonts w:cstheme="minorHAnsi"/>
        </w:rPr>
        <w:t xml:space="preserve">and so it is that Locke asserts that the relationship between personal identity and memory is crucial. </w:t>
      </w:r>
      <w:r w:rsidR="00EA370C">
        <w:rPr>
          <w:rFonts w:cstheme="minorHAnsi"/>
        </w:rPr>
        <w:br/>
      </w:r>
      <w:r w:rsidR="00EA370C">
        <w:rPr>
          <w:rFonts w:cstheme="minorHAnsi"/>
        </w:rPr>
        <w:br/>
        <w:t xml:space="preserve">There are several areas in which it appears Locke’s simple memory theory can be scrutinised, primarily his positions on the necessary criteria for personhood qualification, and the question of consistency and reliability concerning the function of </w:t>
      </w:r>
      <w:r w:rsidR="006B3750">
        <w:rPr>
          <w:rFonts w:cstheme="minorHAnsi"/>
        </w:rPr>
        <w:t>consciousness, memory and recall</w:t>
      </w:r>
      <w:r w:rsidR="00EA370C">
        <w:rPr>
          <w:rFonts w:cstheme="minorHAnsi"/>
        </w:rPr>
        <w:t>.</w:t>
      </w:r>
      <w:r w:rsidR="006B3750">
        <w:rPr>
          <w:rFonts w:cstheme="minorHAnsi"/>
        </w:rPr>
        <w:t xml:space="preserve"> Locke seems to argue that a person </w:t>
      </w:r>
      <w:r w:rsidR="006B3750">
        <w:rPr>
          <w:rFonts w:cstheme="minorHAnsi"/>
          <w:i/>
        </w:rPr>
        <w:t xml:space="preserve">must </w:t>
      </w:r>
      <w:r w:rsidR="006B3750">
        <w:rPr>
          <w:rFonts w:cstheme="minorHAnsi"/>
        </w:rPr>
        <w:t xml:space="preserve">be able to identify themselves as the nexus of their own conscious activities to </w:t>
      </w:r>
      <w:r w:rsidR="00C157EC">
        <w:rPr>
          <w:rFonts w:cstheme="minorHAnsi"/>
        </w:rPr>
        <w:t xml:space="preserve">access their memories and </w:t>
      </w:r>
      <w:r w:rsidR="006B3750">
        <w:rPr>
          <w:rFonts w:cstheme="minorHAnsi"/>
        </w:rPr>
        <w:t>even</w:t>
      </w:r>
      <w:r w:rsidR="00C157EC">
        <w:rPr>
          <w:rFonts w:cstheme="minorHAnsi"/>
        </w:rPr>
        <w:t xml:space="preserve"> qualify as </w:t>
      </w:r>
      <w:r w:rsidR="006B3750">
        <w:rPr>
          <w:rFonts w:cstheme="minorHAnsi"/>
        </w:rPr>
        <w:t xml:space="preserve">a person, </w:t>
      </w:r>
      <w:r w:rsidR="00127C47">
        <w:rPr>
          <w:rFonts w:cstheme="minorHAnsi"/>
        </w:rPr>
        <w:t xml:space="preserve">which </w:t>
      </w:r>
      <w:r w:rsidR="006B3750">
        <w:rPr>
          <w:rFonts w:cstheme="minorHAnsi"/>
        </w:rPr>
        <w:t xml:space="preserve">works as some constant measure for which his idea can be universally applied. </w:t>
      </w:r>
    </w:p>
    <w:p w:rsidR="00D52A99" w:rsidRDefault="00243FD8" w:rsidP="00392D04">
      <w:pPr>
        <w:rPr>
          <w:rFonts w:cstheme="minorHAnsi"/>
        </w:rPr>
      </w:pPr>
      <w:r>
        <w:rPr>
          <w:rFonts w:cstheme="minorHAnsi"/>
        </w:rPr>
        <w:t xml:space="preserve">Not unlike a </w:t>
      </w:r>
      <w:r w:rsidR="006B3750">
        <w:rPr>
          <w:rFonts w:cstheme="minorHAnsi"/>
        </w:rPr>
        <w:t>predator who feels the desire to hunt</w:t>
      </w:r>
      <w:r>
        <w:rPr>
          <w:rFonts w:cstheme="minorHAnsi"/>
        </w:rPr>
        <w:t>,</w:t>
      </w:r>
      <w:r w:rsidR="006B3750">
        <w:rPr>
          <w:rFonts w:cstheme="minorHAnsi"/>
        </w:rPr>
        <w:t xml:space="preserve"> but not </w:t>
      </w:r>
      <w:r>
        <w:rPr>
          <w:rFonts w:cstheme="minorHAnsi"/>
        </w:rPr>
        <w:t xml:space="preserve">that they are the subject of </w:t>
      </w:r>
      <w:r w:rsidR="00C157EC">
        <w:rPr>
          <w:rFonts w:cstheme="minorHAnsi"/>
        </w:rPr>
        <w:t>that</w:t>
      </w:r>
      <w:r>
        <w:rPr>
          <w:rFonts w:cstheme="minorHAnsi"/>
        </w:rPr>
        <w:t xml:space="preserve"> desire</w:t>
      </w:r>
      <w:r>
        <w:rPr>
          <w:rStyle w:val="FootnoteReference"/>
          <w:rFonts w:cstheme="minorHAnsi"/>
        </w:rPr>
        <w:footnoteReference w:id="5"/>
      </w:r>
      <w:r>
        <w:rPr>
          <w:rFonts w:cstheme="minorHAnsi"/>
        </w:rPr>
        <w:t xml:space="preserve">, it would seem quite possible that some human beings of limited ability may also fail to qualify as persons under Locke’s definition. In caring for such people, </w:t>
      </w:r>
      <w:r>
        <w:rPr>
          <w:rFonts w:cstheme="minorHAnsi"/>
        </w:rPr>
        <w:t>aware of their mental activities yet unaware of themselves as themselves</w:t>
      </w:r>
      <w:r>
        <w:rPr>
          <w:rFonts w:cstheme="minorHAnsi"/>
        </w:rPr>
        <w:t xml:space="preserve">, I’ve little doubt that strong emotions are felt, and difficult challenges </w:t>
      </w:r>
      <w:r w:rsidR="00127C47">
        <w:rPr>
          <w:rFonts w:cstheme="minorHAnsi"/>
        </w:rPr>
        <w:t>faced. I believe this is</w:t>
      </w:r>
      <w:r>
        <w:rPr>
          <w:rFonts w:cstheme="minorHAnsi"/>
        </w:rPr>
        <w:t xml:space="preserve"> principally because we attribute a </w:t>
      </w:r>
      <w:r w:rsidR="00C157EC">
        <w:rPr>
          <w:rFonts w:cstheme="minorHAnsi"/>
        </w:rPr>
        <w:t xml:space="preserve">persisting </w:t>
      </w:r>
      <w:r>
        <w:rPr>
          <w:rFonts w:cstheme="minorHAnsi"/>
        </w:rPr>
        <w:t>‘self’ to such individuals</w:t>
      </w:r>
      <w:r w:rsidR="00C157EC">
        <w:rPr>
          <w:rFonts w:cstheme="minorHAnsi"/>
        </w:rPr>
        <w:t>, and consider them persons as we are</w:t>
      </w:r>
      <w:r>
        <w:rPr>
          <w:rFonts w:cstheme="minorHAnsi"/>
        </w:rPr>
        <w:t>. If we did no</w:t>
      </w:r>
      <w:r w:rsidR="00C157EC">
        <w:rPr>
          <w:rFonts w:cstheme="minorHAnsi"/>
        </w:rPr>
        <w:t xml:space="preserve">t, how would we possibly administer care to them, or even feel the need to do so, if we were unsure whether they persisted as individuals from one day to the next? </w:t>
      </w:r>
    </w:p>
    <w:p w:rsidR="00C5429B" w:rsidRDefault="00C157EC" w:rsidP="00392D04">
      <w:pPr>
        <w:rPr>
          <w:rFonts w:cstheme="minorHAnsi"/>
        </w:rPr>
      </w:pPr>
      <w:r>
        <w:rPr>
          <w:rFonts w:cstheme="minorHAnsi"/>
        </w:rPr>
        <w:lastRenderedPageBreak/>
        <w:t>In</w:t>
      </w:r>
      <w:r w:rsidR="001C42FC">
        <w:rPr>
          <w:rFonts w:cstheme="minorHAnsi"/>
        </w:rPr>
        <w:t xml:space="preserve"> his </w:t>
      </w:r>
      <w:r w:rsidR="00C5429B">
        <w:rPr>
          <w:rFonts w:cstheme="minorHAnsi"/>
        </w:rPr>
        <w:t xml:space="preserve">‘Treatise of Human Nature’, David Hume writes </w:t>
      </w:r>
    </w:p>
    <w:p w:rsidR="00392D04" w:rsidRDefault="00C5429B" w:rsidP="00C5429B">
      <w:pPr>
        <w:ind w:left="567" w:right="567"/>
        <w:rPr>
          <w:rFonts w:cstheme="minorHAnsi"/>
          <w:shd w:val="clear" w:color="auto" w:fill="FFFFFF"/>
        </w:rPr>
      </w:pPr>
      <w:r>
        <w:rPr>
          <w:rFonts w:cstheme="minorHAnsi"/>
          <w:shd w:val="clear" w:color="auto" w:fill="FFFFFF"/>
        </w:rPr>
        <w:t>‘</w:t>
      </w:r>
      <w:r w:rsidRPr="00C5429B">
        <w:rPr>
          <w:rFonts w:cstheme="minorHAnsi"/>
          <w:shd w:val="clear" w:color="auto" w:fill="FFFFFF"/>
        </w:rPr>
        <w:t xml:space="preserve">If any impression gives rise to the idea of self, that impression must continue invariably the same, thro’ the whole course of our lives; since self is </w:t>
      </w:r>
      <w:proofErr w:type="spellStart"/>
      <w:r w:rsidRPr="00C5429B">
        <w:rPr>
          <w:rFonts w:cstheme="minorHAnsi"/>
          <w:shd w:val="clear" w:color="auto" w:fill="FFFFFF"/>
        </w:rPr>
        <w:t>suppos’d</w:t>
      </w:r>
      <w:proofErr w:type="spellEnd"/>
      <w:r w:rsidRPr="00C5429B">
        <w:rPr>
          <w:rFonts w:cstheme="minorHAnsi"/>
          <w:shd w:val="clear" w:color="auto" w:fill="FFFFFF"/>
        </w:rPr>
        <w:t xml:space="preserve"> to exist after that manner. But there is no impression constant and invariable</w:t>
      </w:r>
      <w:r>
        <w:rPr>
          <w:rStyle w:val="FootnoteReference"/>
          <w:rFonts w:cstheme="minorHAnsi"/>
          <w:shd w:val="clear" w:color="auto" w:fill="FFFFFF"/>
        </w:rPr>
        <w:footnoteReference w:id="6"/>
      </w:r>
      <w:r w:rsidRPr="00C5429B">
        <w:rPr>
          <w:rFonts w:cstheme="minorHAnsi"/>
          <w:shd w:val="clear" w:color="auto" w:fill="FFFFFF"/>
        </w:rPr>
        <w:t>. </w:t>
      </w:r>
      <w:r>
        <w:rPr>
          <w:rFonts w:cstheme="minorHAnsi"/>
          <w:shd w:val="clear" w:color="auto" w:fill="FFFFFF"/>
        </w:rPr>
        <w:t>‘</w:t>
      </w:r>
    </w:p>
    <w:p w:rsidR="00C5429B" w:rsidRDefault="00D52A99" w:rsidP="00C5429B">
      <w:pPr>
        <w:rPr>
          <w:rFonts w:cstheme="minorHAnsi"/>
        </w:rPr>
      </w:pPr>
      <w:r>
        <w:rPr>
          <w:rFonts w:cstheme="minorHAnsi"/>
        </w:rPr>
        <w:t xml:space="preserve">Here, </w:t>
      </w:r>
      <w:r w:rsidR="00C5429B">
        <w:rPr>
          <w:rFonts w:cstheme="minorHAnsi"/>
        </w:rPr>
        <w:t xml:space="preserve">Hume also sees no constant </w:t>
      </w:r>
      <w:r>
        <w:rPr>
          <w:rFonts w:cstheme="minorHAnsi"/>
        </w:rPr>
        <w:t>to</w:t>
      </w:r>
      <w:r w:rsidR="00C5429B">
        <w:rPr>
          <w:rFonts w:cstheme="minorHAnsi"/>
        </w:rPr>
        <w:t xml:space="preserve"> which</w:t>
      </w:r>
      <w:r>
        <w:rPr>
          <w:rFonts w:cstheme="minorHAnsi"/>
        </w:rPr>
        <w:t xml:space="preserve"> we might</w:t>
      </w:r>
      <w:r w:rsidR="00C5429B">
        <w:rPr>
          <w:rFonts w:cstheme="minorHAnsi"/>
        </w:rPr>
        <w:t xml:space="preserve"> anchor Locke’s view</w:t>
      </w:r>
      <w:r w:rsidR="000E4F74">
        <w:rPr>
          <w:rFonts w:cstheme="minorHAnsi"/>
        </w:rPr>
        <w:t xml:space="preserve"> that memory is crucial to the continuing identity of person</w:t>
      </w:r>
      <w:r w:rsidR="00226166">
        <w:rPr>
          <w:rFonts w:cstheme="minorHAnsi"/>
        </w:rPr>
        <w:t>s</w:t>
      </w:r>
      <w:r>
        <w:rPr>
          <w:rFonts w:cstheme="minorHAnsi"/>
        </w:rPr>
        <w:t xml:space="preserve">. </w:t>
      </w:r>
      <w:r>
        <w:rPr>
          <w:rFonts w:cstheme="minorHAnsi"/>
        </w:rPr>
        <w:t>Perhaps, if Locke’s constant is not really a constant at all, there is not a position, related to memory, from which to begin crafting a universally applic</w:t>
      </w:r>
      <w:r w:rsidR="00226166">
        <w:rPr>
          <w:rFonts w:cstheme="minorHAnsi"/>
        </w:rPr>
        <w:t>abl</w:t>
      </w:r>
      <w:r>
        <w:rPr>
          <w:rFonts w:cstheme="minorHAnsi"/>
        </w:rPr>
        <w:t>e theory of continuing personal identity.</w:t>
      </w:r>
    </w:p>
    <w:p w:rsidR="00D52A99" w:rsidRDefault="00D52A99" w:rsidP="00C5429B">
      <w:pPr>
        <w:rPr>
          <w:rFonts w:cstheme="minorHAnsi"/>
        </w:rPr>
      </w:pPr>
      <w:r>
        <w:rPr>
          <w:rFonts w:cstheme="minorHAnsi"/>
        </w:rPr>
        <w:t>In considering the reliability of the memory, I see a distinct possibility that Locke’s adherence to it’s importance is flawed. Not only are we plagued by forgetfulness, but it also stands that creating false memories and false correlations between our memories could become a barrier for us, should we rely on memory as the crucial factor in all of this</w:t>
      </w:r>
      <w:r w:rsidR="008A5292">
        <w:rPr>
          <w:rFonts w:cstheme="minorHAnsi"/>
        </w:rPr>
        <w:t xml:space="preserve">. Locke appears to assert that if a person should undertake an action, </w:t>
      </w:r>
      <w:r w:rsidR="00742AF2">
        <w:rPr>
          <w:rFonts w:cstheme="minorHAnsi"/>
        </w:rPr>
        <w:t>and</w:t>
      </w:r>
      <w:r w:rsidR="008A5292">
        <w:rPr>
          <w:rFonts w:cstheme="minorHAnsi"/>
        </w:rPr>
        <w:t xml:space="preserve"> </w:t>
      </w:r>
      <w:proofErr w:type="gramStart"/>
      <w:r w:rsidR="008A5292">
        <w:rPr>
          <w:rFonts w:cstheme="minorHAnsi"/>
        </w:rPr>
        <w:t>at a later time</w:t>
      </w:r>
      <w:proofErr w:type="gramEnd"/>
      <w:r w:rsidR="008A5292">
        <w:rPr>
          <w:rFonts w:cstheme="minorHAnsi"/>
        </w:rPr>
        <w:t xml:space="preserve"> remember undertaking that action, tha</w:t>
      </w:r>
      <w:r w:rsidR="00742AF2">
        <w:rPr>
          <w:rFonts w:cstheme="minorHAnsi"/>
        </w:rPr>
        <w:t>n</w:t>
      </w:r>
      <w:r w:rsidR="008A5292">
        <w:rPr>
          <w:rFonts w:cstheme="minorHAnsi"/>
        </w:rPr>
        <w:t xml:space="preserve"> the identity of those two persons is continuous. How though, can we be sure that these memories are accurate reflections of past events? If I were to imagine that I had undertaken an action, then in a confusion falsely recalled undertaking that action, it would</w:t>
      </w:r>
      <w:r w:rsidR="00742AF2">
        <w:rPr>
          <w:rFonts w:cstheme="minorHAnsi"/>
        </w:rPr>
        <w:t>n’t</w:t>
      </w:r>
      <w:r w:rsidR="008A5292">
        <w:rPr>
          <w:rFonts w:cstheme="minorHAnsi"/>
        </w:rPr>
        <w:t xml:space="preserve"> make sense to conclude that I had really undertaken that action at some point. Hume </w:t>
      </w:r>
      <w:r w:rsidR="002E321A">
        <w:rPr>
          <w:rFonts w:cstheme="minorHAnsi"/>
        </w:rPr>
        <w:t>tries to distinguish between memory and imagination, stating that whilst the function of the former is to preserve intact impressions, the lat</w:t>
      </w:r>
      <w:r w:rsidR="00226166">
        <w:rPr>
          <w:rFonts w:cstheme="minorHAnsi"/>
        </w:rPr>
        <w:t>t</w:t>
      </w:r>
      <w:r w:rsidR="002E321A">
        <w:rPr>
          <w:rFonts w:cstheme="minorHAnsi"/>
        </w:rPr>
        <w:t>er functions to alter</w:t>
      </w:r>
      <w:r w:rsidR="00742AF2">
        <w:rPr>
          <w:rFonts w:cstheme="minorHAnsi"/>
        </w:rPr>
        <w:t xml:space="preserve"> them</w:t>
      </w:r>
      <w:r w:rsidR="002E321A">
        <w:rPr>
          <w:rFonts w:cstheme="minorHAnsi"/>
        </w:rPr>
        <w:t>, and can therefore embellish</w:t>
      </w:r>
      <w:r w:rsidR="00742AF2">
        <w:rPr>
          <w:rFonts w:cstheme="minorHAnsi"/>
        </w:rPr>
        <w:t xml:space="preserve"> and even corrupt </w:t>
      </w:r>
      <w:r w:rsidR="002E321A">
        <w:rPr>
          <w:rFonts w:cstheme="minorHAnsi"/>
        </w:rPr>
        <w:t xml:space="preserve">our </w:t>
      </w:r>
      <w:r w:rsidR="00742AF2">
        <w:rPr>
          <w:rFonts w:cstheme="minorHAnsi"/>
        </w:rPr>
        <w:t>memories</w:t>
      </w:r>
      <w:r w:rsidR="002E321A">
        <w:rPr>
          <w:rStyle w:val="FootnoteReference"/>
          <w:rFonts w:cstheme="minorHAnsi"/>
        </w:rPr>
        <w:footnoteReference w:id="7"/>
      </w:r>
      <w:r w:rsidR="002E321A">
        <w:rPr>
          <w:rFonts w:cstheme="minorHAnsi"/>
        </w:rPr>
        <w:t>. He speaks of the degeneration of memories, and their vulnerability to our own creative influences, noting that,</w:t>
      </w:r>
    </w:p>
    <w:p w:rsidR="002E321A" w:rsidRDefault="002E321A" w:rsidP="002E321A">
      <w:pPr>
        <w:ind w:left="567" w:right="567"/>
        <w:rPr>
          <w:rFonts w:cstheme="minorHAnsi"/>
          <w:shd w:val="clear" w:color="auto" w:fill="FFFFFF"/>
        </w:rPr>
      </w:pPr>
      <w:r w:rsidRPr="002E321A">
        <w:rPr>
          <w:rFonts w:cstheme="minorHAnsi"/>
          <w:shd w:val="clear" w:color="auto" w:fill="FFFFFF"/>
        </w:rPr>
        <w:t> </w:t>
      </w:r>
      <w:r>
        <w:rPr>
          <w:rFonts w:cstheme="minorHAnsi"/>
          <w:shd w:val="clear" w:color="auto" w:fill="FFFFFF"/>
        </w:rPr>
        <w:t>‘</w:t>
      </w:r>
      <w:r w:rsidRPr="002E321A">
        <w:rPr>
          <w:rFonts w:cstheme="minorHAnsi"/>
          <w:shd w:val="clear" w:color="auto" w:fill="FFFFFF"/>
        </w:rPr>
        <w:t>in the case of liars; who by the frequent repetition of their lies, come at last to believe and remember them, as realities</w:t>
      </w:r>
      <w:r>
        <w:rPr>
          <w:rStyle w:val="FootnoteReference"/>
          <w:rFonts w:cstheme="minorHAnsi"/>
          <w:shd w:val="clear" w:color="auto" w:fill="FFFFFF"/>
        </w:rPr>
        <w:footnoteReference w:id="8"/>
      </w:r>
      <w:r>
        <w:rPr>
          <w:rFonts w:cstheme="minorHAnsi"/>
          <w:shd w:val="clear" w:color="auto" w:fill="FFFFFF"/>
        </w:rPr>
        <w:t>.’</w:t>
      </w:r>
    </w:p>
    <w:p w:rsidR="002E321A" w:rsidRDefault="002E321A" w:rsidP="002E321A">
      <w:pPr>
        <w:rPr>
          <w:rFonts w:cstheme="minorHAnsi"/>
        </w:rPr>
      </w:pPr>
      <w:r>
        <w:rPr>
          <w:rFonts w:cstheme="minorHAnsi"/>
        </w:rPr>
        <w:t xml:space="preserve">The force of our own ability to internalise our habits and adopt fiction as fact </w:t>
      </w:r>
      <w:r w:rsidR="00742AF2">
        <w:rPr>
          <w:rFonts w:cstheme="minorHAnsi"/>
        </w:rPr>
        <w:t xml:space="preserve">reveal an opening in the memory theory. If my memory is so easily hijacked by imagination and falsehood, how can it be a measure of my continuing personal identity? </w:t>
      </w:r>
    </w:p>
    <w:p w:rsidR="00742AF2" w:rsidRDefault="00742AF2" w:rsidP="002E321A">
      <w:pPr>
        <w:rPr>
          <w:rFonts w:cstheme="minorHAnsi"/>
        </w:rPr>
      </w:pPr>
      <w:r>
        <w:rPr>
          <w:rFonts w:cstheme="minorHAnsi"/>
        </w:rPr>
        <w:t xml:space="preserve">Locke attempts to address the issue of </w:t>
      </w:r>
      <w:r w:rsidR="00B859EE">
        <w:rPr>
          <w:rFonts w:cstheme="minorHAnsi"/>
        </w:rPr>
        <w:t>flawed memory, and does make some concessions. He supposes that whether a change in memory, or ‘thinking substance’ as he terms it, effects the continuity of persons rests on the assumption that consciousness is genuinely transferred through recollection</w:t>
      </w:r>
      <w:r w:rsidR="00B859EE">
        <w:rPr>
          <w:rStyle w:val="FootnoteReference"/>
          <w:rFonts w:cstheme="minorHAnsi"/>
        </w:rPr>
        <w:footnoteReference w:id="9"/>
      </w:r>
      <w:r w:rsidR="00B859EE">
        <w:rPr>
          <w:rFonts w:cstheme="minorHAnsi"/>
        </w:rPr>
        <w:t>. He acknowledges that a memory is only a representation of the past, and asks us to consider that an individual must have an exclusive relationship with their memory for it to contribute to their continued personal identity</w:t>
      </w:r>
      <w:r w:rsidR="00B859EE">
        <w:rPr>
          <w:rStyle w:val="FootnoteReference"/>
          <w:rFonts w:cstheme="minorHAnsi"/>
        </w:rPr>
        <w:footnoteReference w:id="10"/>
      </w:r>
      <w:r w:rsidR="00B859EE">
        <w:rPr>
          <w:rFonts w:cstheme="minorHAnsi"/>
        </w:rPr>
        <w:t>. This in turn, rests on his reasoning that</w:t>
      </w:r>
      <w:r w:rsidR="006C17F9">
        <w:rPr>
          <w:rFonts w:cstheme="minorHAnsi"/>
        </w:rPr>
        <w:t xml:space="preserve"> a person cannot act, physically or psychologically, without perceiving themselves as themselves acting. Of this I remain unconvinced, </w:t>
      </w:r>
      <w:proofErr w:type="gramStart"/>
      <w:r w:rsidR="006C17F9">
        <w:rPr>
          <w:rFonts w:cstheme="minorHAnsi"/>
        </w:rPr>
        <w:t>on account of</w:t>
      </w:r>
      <w:proofErr w:type="gramEnd"/>
      <w:r w:rsidR="006C17F9">
        <w:rPr>
          <w:rFonts w:cstheme="minorHAnsi"/>
        </w:rPr>
        <w:t xml:space="preserve"> </w:t>
      </w:r>
      <w:r w:rsidR="007B52A7">
        <w:rPr>
          <w:rFonts w:cstheme="minorHAnsi"/>
        </w:rPr>
        <w:t>my thoughts</w:t>
      </w:r>
      <w:r w:rsidR="006C17F9">
        <w:rPr>
          <w:rFonts w:cstheme="minorHAnsi"/>
        </w:rPr>
        <w:t xml:space="preserve"> concerning people of limited mental activity </w:t>
      </w:r>
      <w:r w:rsidR="007B52A7">
        <w:rPr>
          <w:rFonts w:cstheme="minorHAnsi"/>
        </w:rPr>
        <w:t xml:space="preserve">as </w:t>
      </w:r>
      <w:r w:rsidR="006C17F9">
        <w:rPr>
          <w:rFonts w:cstheme="minorHAnsi"/>
        </w:rPr>
        <w:t>previously mentioned.</w:t>
      </w:r>
      <w:r w:rsidR="007B52A7">
        <w:rPr>
          <w:rFonts w:cstheme="minorHAnsi"/>
        </w:rPr>
        <w:t xml:space="preserve"> </w:t>
      </w:r>
    </w:p>
    <w:p w:rsidR="007B52A7" w:rsidRDefault="007B52A7" w:rsidP="002E321A">
      <w:pPr>
        <w:rPr>
          <w:rFonts w:cstheme="minorHAnsi"/>
        </w:rPr>
      </w:pPr>
      <w:r>
        <w:rPr>
          <w:rFonts w:cstheme="minorHAnsi"/>
        </w:rPr>
        <w:t>With some adjustments, however, Locke’s model can be made into something more workable. Locke’s principles</w:t>
      </w:r>
      <w:r w:rsidR="00E60D19">
        <w:rPr>
          <w:rFonts w:cstheme="minorHAnsi"/>
        </w:rPr>
        <w:t xml:space="preserve"> can be reconstituted</w:t>
      </w:r>
      <w:r>
        <w:rPr>
          <w:rFonts w:cstheme="minorHAnsi"/>
        </w:rPr>
        <w:t xml:space="preserve"> </w:t>
      </w:r>
      <w:r w:rsidR="00E60D19">
        <w:rPr>
          <w:rFonts w:cstheme="minorHAnsi"/>
        </w:rPr>
        <w:t>if we change</w:t>
      </w:r>
      <w:r>
        <w:rPr>
          <w:rFonts w:cstheme="minorHAnsi"/>
        </w:rPr>
        <w:t xml:space="preserve"> the key concept to which continuity is </w:t>
      </w:r>
      <w:r>
        <w:rPr>
          <w:rFonts w:cstheme="minorHAnsi"/>
        </w:rPr>
        <w:lastRenderedPageBreak/>
        <w:t>anchored</w:t>
      </w:r>
      <w:r>
        <w:rPr>
          <w:rStyle w:val="FootnoteReference"/>
          <w:rFonts w:cstheme="minorHAnsi"/>
        </w:rPr>
        <w:footnoteReference w:id="11"/>
      </w:r>
      <w:r w:rsidR="00287280">
        <w:rPr>
          <w:rFonts w:cstheme="minorHAnsi"/>
        </w:rPr>
        <w:t xml:space="preserve">. In his work </w:t>
      </w:r>
      <w:r w:rsidR="00287280">
        <w:rPr>
          <w:rFonts w:cstheme="minorHAnsi"/>
          <w:i/>
        </w:rPr>
        <w:t>Reasons and Persons</w:t>
      </w:r>
      <w:r w:rsidR="00E60D19">
        <w:rPr>
          <w:rFonts w:cstheme="minorHAnsi"/>
          <w:i/>
        </w:rPr>
        <w:t>,</w:t>
      </w:r>
      <w:r w:rsidR="00287280">
        <w:rPr>
          <w:rFonts w:cstheme="minorHAnsi"/>
        </w:rPr>
        <w:t xml:space="preserve"> </w:t>
      </w:r>
      <w:r w:rsidR="00E60D19">
        <w:rPr>
          <w:rFonts w:cstheme="minorHAnsi"/>
        </w:rPr>
        <w:t xml:space="preserve">Derek </w:t>
      </w:r>
      <w:r w:rsidR="00287280">
        <w:rPr>
          <w:rFonts w:cstheme="minorHAnsi"/>
        </w:rPr>
        <w:t>Parfit quotes Bishop Joseph Butler’s assessment of Locke’s contradiction.</w:t>
      </w:r>
    </w:p>
    <w:p w:rsidR="00287280" w:rsidRDefault="00287280" w:rsidP="00287280">
      <w:pPr>
        <w:ind w:left="567" w:right="567"/>
        <w:rPr>
          <w:rFonts w:cstheme="minorHAnsi"/>
          <w:color w:val="000000"/>
          <w:shd w:val="clear" w:color="auto" w:fill="FFFFFF"/>
        </w:rPr>
      </w:pPr>
      <w:r>
        <w:rPr>
          <w:rFonts w:cstheme="minorHAnsi"/>
          <w:color w:val="000000"/>
          <w:shd w:val="clear" w:color="auto" w:fill="FFFFFF"/>
        </w:rPr>
        <w:t>‘</w:t>
      </w:r>
      <w:r w:rsidRPr="00287280">
        <w:rPr>
          <w:rFonts w:cstheme="minorHAnsi"/>
          <w:color w:val="000000"/>
          <w:shd w:val="clear" w:color="auto" w:fill="FFFFFF"/>
        </w:rPr>
        <w:t>It is, he wrote, ‘self‐evident, that consciousness of personal identity presupposes, and therefore cannot constitute personal identity, any more than knowledge in any other case, can constitute truth, which it presupposes</w:t>
      </w:r>
      <w:r>
        <w:rPr>
          <w:rFonts w:cstheme="minorHAnsi"/>
          <w:color w:val="000000"/>
          <w:shd w:val="clear" w:color="auto" w:fill="FFFFFF"/>
        </w:rPr>
        <w:t>.</w:t>
      </w:r>
      <w:r w:rsidRPr="00287280">
        <w:rPr>
          <w:rFonts w:cstheme="minorHAnsi"/>
          <w:color w:val="000000"/>
          <w:shd w:val="clear" w:color="auto" w:fill="FFFFFF"/>
        </w:rPr>
        <w:t>’</w:t>
      </w:r>
      <w:r>
        <w:rPr>
          <w:rStyle w:val="FootnoteReference"/>
          <w:rFonts w:cstheme="minorHAnsi"/>
          <w:color w:val="000000"/>
          <w:shd w:val="clear" w:color="auto" w:fill="FFFFFF"/>
        </w:rPr>
        <w:footnoteReference w:id="12"/>
      </w:r>
    </w:p>
    <w:p w:rsidR="00287280" w:rsidRDefault="00E60D19" w:rsidP="00287280">
      <w:pPr>
        <w:rPr>
          <w:rFonts w:cstheme="minorHAnsi"/>
        </w:rPr>
      </w:pPr>
      <w:r>
        <w:rPr>
          <w:rFonts w:cstheme="minorHAnsi"/>
        </w:rPr>
        <w:t>Considering</w:t>
      </w:r>
      <w:r>
        <w:rPr>
          <w:rFonts w:cstheme="minorHAnsi"/>
        </w:rPr>
        <w:t xml:space="preserve"> the circular nature of Locke’s original proposal</w:t>
      </w:r>
      <w:r>
        <w:rPr>
          <w:rFonts w:cstheme="minorHAnsi"/>
        </w:rPr>
        <w:t xml:space="preserve"> so</w:t>
      </w:r>
      <w:r w:rsidR="007E4D3E">
        <w:rPr>
          <w:rFonts w:cstheme="minorHAnsi"/>
        </w:rPr>
        <w:t xml:space="preserve"> deftly</w:t>
      </w:r>
      <w:r>
        <w:rPr>
          <w:rFonts w:cstheme="minorHAnsi"/>
        </w:rPr>
        <w:t xml:space="preserve"> highlighted by Butler,</w:t>
      </w:r>
      <w:r w:rsidR="00B84A56">
        <w:rPr>
          <w:rFonts w:cstheme="minorHAnsi"/>
        </w:rPr>
        <w:t xml:space="preserve"> </w:t>
      </w:r>
      <w:r>
        <w:rPr>
          <w:rFonts w:cstheme="minorHAnsi"/>
        </w:rPr>
        <w:t xml:space="preserve">and </w:t>
      </w:r>
      <w:r w:rsidR="007E4D3E">
        <w:rPr>
          <w:rFonts w:cstheme="minorHAnsi"/>
        </w:rPr>
        <w:t>we might begin detaching</w:t>
      </w:r>
      <w:r>
        <w:rPr>
          <w:rFonts w:cstheme="minorHAnsi"/>
        </w:rPr>
        <w:t xml:space="preserve"> ourselves</w:t>
      </w:r>
      <w:r w:rsidR="007E4D3E">
        <w:rPr>
          <w:rFonts w:cstheme="minorHAnsi"/>
        </w:rPr>
        <w:t xml:space="preserve"> from </w:t>
      </w:r>
      <w:r w:rsidR="00B84A56">
        <w:rPr>
          <w:rFonts w:cstheme="minorHAnsi"/>
        </w:rPr>
        <w:t>the form of single memories</w:t>
      </w:r>
      <w:r w:rsidR="007E4D3E">
        <w:rPr>
          <w:rFonts w:cstheme="minorHAnsi"/>
        </w:rPr>
        <w:t>,</w:t>
      </w:r>
      <w:r w:rsidR="00B84A56">
        <w:rPr>
          <w:rFonts w:cstheme="minorHAnsi"/>
        </w:rPr>
        <w:t xml:space="preserve"> </w:t>
      </w:r>
      <w:r w:rsidR="007E4D3E">
        <w:rPr>
          <w:rFonts w:cstheme="minorHAnsi"/>
        </w:rPr>
        <w:t>created</w:t>
      </w:r>
      <w:r w:rsidR="00B84A56">
        <w:rPr>
          <w:rFonts w:cstheme="minorHAnsi"/>
        </w:rPr>
        <w:t xml:space="preserve"> in the past and recalled in the present as part of a conscious process</w:t>
      </w:r>
      <w:r w:rsidR="007E4D3E">
        <w:rPr>
          <w:rFonts w:cstheme="minorHAnsi"/>
        </w:rPr>
        <w:t>.</w:t>
      </w:r>
      <w:r w:rsidR="00B84A56">
        <w:rPr>
          <w:rFonts w:cstheme="minorHAnsi"/>
        </w:rPr>
        <w:t xml:space="preserve"> </w:t>
      </w:r>
      <w:r w:rsidR="007E4D3E">
        <w:rPr>
          <w:rFonts w:cstheme="minorHAnsi"/>
        </w:rPr>
        <w:t xml:space="preserve">Instead </w:t>
      </w:r>
      <w:r w:rsidR="00B84A56">
        <w:rPr>
          <w:rFonts w:cstheme="minorHAnsi"/>
        </w:rPr>
        <w:t>we can look instead to the continuity of memories through all previous points up until now</w:t>
      </w:r>
      <w:r w:rsidR="00B84A56">
        <w:rPr>
          <w:rStyle w:val="FootnoteReference"/>
          <w:rFonts w:cstheme="minorHAnsi"/>
        </w:rPr>
        <w:footnoteReference w:id="13"/>
      </w:r>
      <w:r w:rsidR="002C21CD">
        <w:rPr>
          <w:rFonts w:cstheme="minorHAnsi"/>
        </w:rPr>
        <w:t xml:space="preserve">. If this instead serves as our crucial factor, then we can look at continued personal identity not as a single thread that runs chronologically through </w:t>
      </w:r>
      <w:proofErr w:type="gramStart"/>
      <w:r w:rsidR="002C21CD">
        <w:rPr>
          <w:rFonts w:cstheme="minorHAnsi"/>
        </w:rPr>
        <w:t>all</w:t>
      </w:r>
      <w:r w:rsidR="00702EFF">
        <w:rPr>
          <w:rFonts w:cstheme="minorHAnsi"/>
        </w:rPr>
        <w:t xml:space="preserve"> of</w:t>
      </w:r>
      <w:proofErr w:type="gramEnd"/>
      <w:r w:rsidR="002C21CD">
        <w:rPr>
          <w:rFonts w:cstheme="minorHAnsi"/>
        </w:rPr>
        <w:t xml:space="preserve"> our memories, but as a chain that links them to one another from past to present. </w:t>
      </w:r>
      <w:r>
        <w:rPr>
          <w:rFonts w:cstheme="minorHAnsi"/>
        </w:rPr>
        <w:t>F</w:t>
      </w:r>
      <w:r w:rsidR="002C21CD">
        <w:rPr>
          <w:rFonts w:cstheme="minorHAnsi"/>
        </w:rPr>
        <w:t>or example, a person who suffers a brain injury</w:t>
      </w:r>
      <w:r w:rsidR="007E4D3E">
        <w:rPr>
          <w:rFonts w:cstheme="minorHAnsi"/>
        </w:rPr>
        <w:t>,</w:t>
      </w:r>
      <w:r w:rsidR="002C21CD">
        <w:rPr>
          <w:rFonts w:cstheme="minorHAnsi"/>
        </w:rPr>
        <w:t xml:space="preserve"> </w:t>
      </w:r>
      <w:r w:rsidR="007E4D3E">
        <w:rPr>
          <w:rFonts w:cstheme="minorHAnsi"/>
        </w:rPr>
        <w:t>then</w:t>
      </w:r>
      <w:r w:rsidR="002C21CD">
        <w:rPr>
          <w:rFonts w:cstheme="minorHAnsi"/>
        </w:rPr>
        <w:t xml:space="preserve"> subsequent</w:t>
      </w:r>
      <w:r w:rsidR="007E4D3E">
        <w:rPr>
          <w:rFonts w:cstheme="minorHAnsi"/>
        </w:rPr>
        <w:t>ly a</w:t>
      </w:r>
      <w:r w:rsidR="002C21CD">
        <w:rPr>
          <w:rFonts w:cstheme="minorHAnsi"/>
        </w:rPr>
        <w:t xml:space="preserve"> loss of </w:t>
      </w:r>
      <w:r w:rsidR="007E4D3E">
        <w:rPr>
          <w:rFonts w:cstheme="minorHAnsi"/>
        </w:rPr>
        <w:t>memory</w:t>
      </w:r>
      <w:r w:rsidR="002C21CD">
        <w:rPr>
          <w:rFonts w:cstheme="minorHAnsi"/>
        </w:rPr>
        <w:t xml:space="preserve"> function</w:t>
      </w:r>
      <w:r w:rsidR="007E4D3E">
        <w:rPr>
          <w:rFonts w:cstheme="minorHAnsi"/>
        </w:rPr>
        <w:t>,</w:t>
      </w:r>
      <w:r w:rsidR="002C21CD">
        <w:rPr>
          <w:rFonts w:cstheme="minorHAnsi"/>
        </w:rPr>
        <w:t xml:space="preserve"> need not possess the ability to directly recall their past experiences </w:t>
      </w:r>
      <w:r>
        <w:rPr>
          <w:rFonts w:cstheme="minorHAnsi"/>
        </w:rPr>
        <w:t>to</w:t>
      </w:r>
      <w:r w:rsidR="002C21CD">
        <w:rPr>
          <w:rFonts w:cstheme="minorHAnsi"/>
        </w:rPr>
        <w:t xml:space="preserve"> qualify for a continuous identity</w:t>
      </w:r>
      <w:r w:rsidR="007E4D3E">
        <w:rPr>
          <w:rFonts w:cstheme="minorHAnsi"/>
        </w:rPr>
        <w:t xml:space="preserve"> with their past </w:t>
      </w:r>
      <w:r w:rsidR="002C21CD">
        <w:rPr>
          <w:rFonts w:cstheme="minorHAnsi"/>
        </w:rPr>
        <w:t>self. Instead</w:t>
      </w:r>
      <w:r>
        <w:rPr>
          <w:rFonts w:cstheme="minorHAnsi"/>
        </w:rPr>
        <w:t>, they need only have sufficient continuous threads to link their present self with their past</w:t>
      </w:r>
      <w:r>
        <w:rPr>
          <w:rStyle w:val="FootnoteReference"/>
          <w:rFonts w:cstheme="minorHAnsi"/>
        </w:rPr>
        <w:footnoteReference w:id="14"/>
      </w:r>
      <w:r w:rsidR="0012197D">
        <w:rPr>
          <w:rFonts w:cstheme="minorHAnsi"/>
        </w:rPr>
        <w:t>. So, perhaps, do we all act as third parties for one another, buffering each other’s psychological continuity and becoming references in the make up of other people’s selves.</w:t>
      </w:r>
    </w:p>
    <w:p w:rsidR="009F17F6" w:rsidRDefault="007E4D3E" w:rsidP="002E321A">
      <w:pPr>
        <w:rPr>
          <w:rFonts w:cstheme="minorHAnsi"/>
        </w:rPr>
      </w:pPr>
      <w:r>
        <w:rPr>
          <w:rFonts w:cstheme="minorHAnsi"/>
        </w:rPr>
        <w:t xml:space="preserve">The prevalence of Locke’s position in our everyday lives does seems strangely contradictory </w:t>
      </w:r>
      <w:r w:rsidR="009E353D">
        <w:rPr>
          <w:rFonts w:cstheme="minorHAnsi"/>
        </w:rPr>
        <w:t>after assessing</w:t>
      </w:r>
      <w:r>
        <w:rPr>
          <w:rFonts w:cstheme="minorHAnsi"/>
        </w:rPr>
        <w:t xml:space="preserve"> its extrapolated issues. </w:t>
      </w:r>
      <w:r w:rsidR="009E353D">
        <w:rPr>
          <w:rFonts w:cstheme="minorHAnsi"/>
        </w:rPr>
        <w:t>Whilst memory does function as the primary gateway to our past thoughts and actions, it appears to be a fickle gateway which does not consistently lead where it purports to. However, the framework of Locke’s ideas can be readily applied to modern perspectives, and sets a course for a more holistic concept of the self, incorporating a new focus on the continuity between our memories</w:t>
      </w:r>
      <w:r w:rsidR="005F19AC">
        <w:rPr>
          <w:rFonts w:cstheme="minorHAnsi"/>
        </w:rPr>
        <w:t xml:space="preserve"> and relationships to one another</w:t>
      </w:r>
      <w:r w:rsidR="009E353D">
        <w:rPr>
          <w:rFonts w:cstheme="minorHAnsi"/>
        </w:rPr>
        <w:t xml:space="preserve">. </w:t>
      </w:r>
    </w:p>
    <w:p w:rsidR="009F17F6" w:rsidRDefault="009F17F6">
      <w:pPr>
        <w:rPr>
          <w:rFonts w:cstheme="minorHAnsi"/>
        </w:rPr>
      </w:pPr>
      <w:r>
        <w:rPr>
          <w:rFonts w:cstheme="minorHAnsi"/>
        </w:rPr>
        <w:br w:type="page"/>
      </w:r>
    </w:p>
    <w:p w:rsidR="001577AA" w:rsidRPr="001577AA" w:rsidRDefault="001577AA" w:rsidP="001577AA">
      <w:pPr>
        <w:rPr>
          <w:rFonts w:cstheme="minorHAnsi"/>
          <w:color w:val="000000"/>
          <w:sz w:val="24"/>
          <w:szCs w:val="24"/>
          <w:u w:val="single"/>
          <w:shd w:val="clear" w:color="auto" w:fill="FFFFFF"/>
        </w:rPr>
      </w:pPr>
      <w:r>
        <w:rPr>
          <w:rFonts w:cstheme="minorHAnsi"/>
          <w:color w:val="000000"/>
          <w:sz w:val="24"/>
          <w:szCs w:val="24"/>
          <w:u w:val="single"/>
          <w:shd w:val="clear" w:color="auto" w:fill="FFFFFF"/>
        </w:rPr>
        <w:lastRenderedPageBreak/>
        <w:t>Bibliography</w:t>
      </w:r>
    </w:p>
    <w:p w:rsidR="001577AA" w:rsidRPr="001577AA" w:rsidRDefault="001577AA" w:rsidP="001577AA">
      <w:pPr>
        <w:rPr>
          <w:sz w:val="24"/>
          <w:szCs w:val="24"/>
        </w:rPr>
      </w:pPr>
      <w:r w:rsidRPr="001577AA">
        <w:rPr>
          <w:sz w:val="24"/>
          <w:szCs w:val="24"/>
        </w:rPr>
        <w:t>David Hume</w:t>
      </w:r>
      <w:r w:rsidRPr="001577AA">
        <w:rPr>
          <w:i/>
          <w:sz w:val="24"/>
          <w:szCs w:val="24"/>
        </w:rPr>
        <w:t>, A Treatise of Human Nature</w:t>
      </w:r>
      <w:r w:rsidRPr="001577AA">
        <w:rPr>
          <w:sz w:val="24"/>
          <w:szCs w:val="24"/>
        </w:rPr>
        <w:t xml:space="preserve"> (Oxford: Clarendon Press, 1896) pg.251 [Online] available from </w:t>
      </w:r>
      <w:hyperlink r:id="rId7" w:history="1">
        <w:r w:rsidR="00D431B9" w:rsidRPr="00AF139A">
          <w:rPr>
            <w:rStyle w:val="Hyperlink"/>
            <w:sz w:val="24"/>
            <w:szCs w:val="24"/>
          </w:rPr>
          <w:t>http://oll.libertyfund.org/titles/342</w:t>
        </w:r>
      </w:hyperlink>
      <w:r w:rsidR="00D431B9">
        <w:rPr>
          <w:sz w:val="24"/>
          <w:szCs w:val="24"/>
        </w:rPr>
        <w:t>,</w:t>
      </w:r>
      <w:bookmarkStart w:id="0" w:name="_GoBack"/>
      <w:bookmarkEnd w:id="0"/>
      <w:r w:rsidRPr="001577AA">
        <w:rPr>
          <w:sz w:val="24"/>
          <w:szCs w:val="24"/>
        </w:rPr>
        <w:t xml:space="preserve"> accessed 19/11/2017</w:t>
      </w:r>
    </w:p>
    <w:p w:rsidR="001577AA" w:rsidRPr="001577AA" w:rsidRDefault="001577AA" w:rsidP="001577AA">
      <w:pPr>
        <w:rPr>
          <w:rFonts w:cstheme="minorHAnsi"/>
          <w:color w:val="000000"/>
          <w:sz w:val="24"/>
          <w:szCs w:val="24"/>
          <w:shd w:val="clear" w:color="auto" w:fill="FFFFFF"/>
        </w:rPr>
      </w:pPr>
      <w:r w:rsidRPr="001577AA">
        <w:rPr>
          <w:sz w:val="24"/>
          <w:szCs w:val="24"/>
        </w:rPr>
        <w:t xml:space="preserve">John Locke, ‘An Essay Concerning Human Understanding’, </w:t>
      </w:r>
      <w:r w:rsidRPr="001577AA">
        <w:rPr>
          <w:i/>
          <w:sz w:val="24"/>
          <w:szCs w:val="24"/>
        </w:rPr>
        <w:t xml:space="preserve">Early Modern Texts, </w:t>
      </w:r>
      <w:r w:rsidRPr="001577AA">
        <w:rPr>
          <w:sz w:val="24"/>
          <w:szCs w:val="24"/>
        </w:rPr>
        <w:t>written: 1690, uploaded: 2004,</w:t>
      </w:r>
      <w:r w:rsidRPr="001577AA">
        <w:rPr>
          <w:i/>
          <w:sz w:val="24"/>
          <w:szCs w:val="24"/>
        </w:rPr>
        <w:t xml:space="preserve"> </w:t>
      </w:r>
      <w:hyperlink r:id="rId8" w:history="1">
        <w:r w:rsidRPr="001577AA">
          <w:rPr>
            <w:rStyle w:val="Hyperlink"/>
            <w:sz w:val="24"/>
            <w:szCs w:val="24"/>
          </w:rPr>
          <w:t>http://www.earlymoderntexts.com/assets/pdfs/locke1690book2.pdf</w:t>
        </w:r>
      </w:hyperlink>
      <w:r w:rsidRPr="001577AA">
        <w:rPr>
          <w:sz w:val="24"/>
          <w:szCs w:val="24"/>
        </w:rPr>
        <w:t>, accessed: 5/11/2017</w:t>
      </w:r>
    </w:p>
    <w:p w:rsidR="001577AA" w:rsidRDefault="001577AA" w:rsidP="001577AA">
      <w:pPr>
        <w:rPr>
          <w:rFonts w:cstheme="minorHAnsi"/>
          <w:color w:val="000000"/>
          <w:sz w:val="24"/>
          <w:szCs w:val="24"/>
          <w:shd w:val="clear" w:color="auto" w:fill="FFFFFF"/>
        </w:rPr>
      </w:pPr>
      <w:r w:rsidRPr="001577AA">
        <w:rPr>
          <w:rFonts w:cstheme="minorHAnsi"/>
          <w:color w:val="000000"/>
          <w:sz w:val="24"/>
          <w:szCs w:val="24"/>
          <w:shd w:val="clear" w:color="auto" w:fill="FFFFFF"/>
        </w:rPr>
        <w:t xml:space="preserve">Derek Parfit, </w:t>
      </w:r>
      <w:r w:rsidRPr="001577AA">
        <w:rPr>
          <w:rFonts w:cstheme="minorHAnsi"/>
          <w:i/>
          <w:color w:val="000000"/>
          <w:sz w:val="24"/>
          <w:szCs w:val="24"/>
          <w:shd w:val="clear" w:color="auto" w:fill="FFFFFF"/>
        </w:rPr>
        <w:t xml:space="preserve">Reasons and Persons </w:t>
      </w:r>
      <w:r w:rsidRPr="001577AA">
        <w:rPr>
          <w:rFonts w:cstheme="minorHAnsi"/>
          <w:color w:val="000000"/>
          <w:sz w:val="24"/>
          <w:szCs w:val="24"/>
          <w:shd w:val="clear" w:color="auto" w:fill="FFFFFF"/>
        </w:rPr>
        <w:t>(Oxford: Oxford University Press, 1986)</w:t>
      </w:r>
    </w:p>
    <w:p w:rsidR="001577AA" w:rsidRPr="001577AA" w:rsidRDefault="001577AA" w:rsidP="001577AA">
      <w:pPr>
        <w:rPr>
          <w:rFonts w:cstheme="minorHAnsi"/>
          <w:color w:val="000000"/>
          <w:sz w:val="24"/>
          <w:szCs w:val="24"/>
          <w:shd w:val="clear" w:color="auto" w:fill="FFFFFF"/>
        </w:rPr>
      </w:pPr>
      <w:r w:rsidRPr="001577AA">
        <w:rPr>
          <w:rFonts w:cstheme="minorHAnsi"/>
          <w:color w:val="000000"/>
          <w:sz w:val="24"/>
          <w:szCs w:val="24"/>
          <w:shd w:val="clear" w:color="auto" w:fill="FFFFFF"/>
        </w:rPr>
        <w:t xml:space="preserve">Matthew Stuart, </w:t>
      </w:r>
      <w:r w:rsidRPr="001577AA">
        <w:rPr>
          <w:rFonts w:cstheme="minorHAnsi"/>
          <w:i/>
          <w:color w:val="000000"/>
          <w:sz w:val="24"/>
          <w:szCs w:val="24"/>
          <w:shd w:val="clear" w:color="auto" w:fill="FFFFFF"/>
        </w:rPr>
        <w:t xml:space="preserve">Locke’s Metaphysics </w:t>
      </w:r>
      <w:r w:rsidRPr="001577AA">
        <w:rPr>
          <w:rFonts w:cstheme="minorHAnsi"/>
          <w:color w:val="000000"/>
          <w:sz w:val="24"/>
          <w:szCs w:val="24"/>
          <w:shd w:val="clear" w:color="auto" w:fill="FFFFFF"/>
        </w:rPr>
        <w:t>(Oxford, Oxford University Press, 2016)</w:t>
      </w:r>
    </w:p>
    <w:p w:rsidR="007B52A7" w:rsidRPr="002E321A" w:rsidRDefault="007B52A7" w:rsidP="002E321A">
      <w:pPr>
        <w:rPr>
          <w:rFonts w:cstheme="minorHAnsi"/>
        </w:rPr>
      </w:pPr>
    </w:p>
    <w:sectPr w:rsidR="007B52A7" w:rsidRPr="002E321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781E2A" w:rsidRDefault="00781E2A" w:rsidP="00D25780">
      <w:pPr>
        <w:spacing w:after="0" w:line="240" w:lineRule="auto"/>
      </w:pPr>
      <w:r>
        <w:separator/>
      </w:r>
    </w:p>
  </w:endnote>
  <w:endnote w:type="continuationSeparator" w:id="0">
    <w:p w:rsidR="00781E2A" w:rsidRDefault="00781E2A" w:rsidP="00D2578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781E2A" w:rsidRDefault="00781E2A" w:rsidP="00D25780">
      <w:pPr>
        <w:spacing w:after="0" w:line="240" w:lineRule="auto"/>
      </w:pPr>
      <w:r>
        <w:separator/>
      </w:r>
    </w:p>
  </w:footnote>
  <w:footnote w:type="continuationSeparator" w:id="0">
    <w:p w:rsidR="00781E2A" w:rsidRDefault="00781E2A" w:rsidP="00D25780">
      <w:pPr>
        <w:spacing w:after="0" w:line="240" w:lineRule="auto"/>
      </w:pPr>
      <w:r>
        <w:continuationSeparator/>
      </w:r>
    </w:p>
  </w:footnote>
  <w:footnote w:id="1">
    <w:p w:rsidR="00D25780" w:rsidRDefault="00D25780">
      <w:pPr>
        <w:pStyle w:val="FootnoteText"/>
      </w:pPr>
      <w:r>
        <w:rPr>
          <w:rStyle w:val="FootnoteReference"/>
        </w:rPr>
        <w:footnoteRef/>
      </w:r>
      <w:r>
        <w:t xml:space="preserve"> </w:t>
      </w:r>
      <w:r>
        <w:t xml:space="preserve">Matthew Stuart, </w:t>
      </w:r>
      <w:r>
        <w:rPr>
          <w:i/>
        </w:rPr>
        <w:t xml:space="preserve">Locke’s Metaphysics </w:t>
      </w:r>
      <w:r>
        <w:t>(Oxford: Oxford University Press, 2013</w:t>
      </w:r>
      <w:r>
        <w:t>) pg.340</w:t>
      </w:r>
    </w:p>
  </w:footnote>
  <w:footnote w:id="2">
    <w:p w:rsidR="00D25780" w:rsidRDefault="00D25780">
      <w:pPr>
        <w:pStyle w:val="FootnoteText"/>
      </w:pPr>
      <w:r>
        <w:rPr>
          <w:rStyle w:val="FootnoteReference"/>
        </w:rPr>
        <w:footnoteRef/>
      </w:r>
      <w:r>
        <w:t xml:space="preserve"> </w:t>
      </w:r>
      <w:r>
        <w:t>John Locke, ‘An Essay Concerning Human Understanding</w:t>
      </w:r>
      <w:r>
        <w:t xml:space="preserve"> xxvii 10</w:t>
      </w:r>
      <w:r>
        <w:t xml:space="preserve">’, </w:t>
      </w:r>
      <w:r>
        <w:rPr>
          <w:i/>
        </w:rPr>
        <w:t xml:space="preserve">Early Modern Texts, </w:t>
      </w:r>
      <w:r w:rsidRPr="00994AB5">
        <w:t>written: 1690, uploaded: 2004,</w:t>
      </w:r>
      <w:r>
        <w:rPr>
          <w:i/>
        </w:rPr>
        <w:t xml:space="preserve"> </w:t>
      </w:r>
      <w:hyperlink r:id="rId1" w:history="1">
        <w:r w:rsidRPr="00073B32">
          <w:rPr>
            <w:rStyle w:val="Hyperlink"/>
          </w:rPr>
          <w:t>http://www.earlymoderntexts.com/assets/pdfs/locke1690book2.pdf</w:t>
        </w:r>
      </w:hyperlink>
      <w:r>
        <w:t>, accessed:</w:t>
      </w:r>
      <w:r>
        <w:t xml:space="preserve"> 19/11/2017</w:t>
      </w:r>
    </w:p>
  </w:footnote>
  <w:footnote w:id="3">
    <w:p w:rsidR="00392D04" w:rsidRDefault="00392D04">
      <w:pPr>
        <w:pStyle w:val="FootnoteText"/>
      </w:pPr>
      <w:r>
        <w:rPr>
          <w:rStyle w:val="FootnoteReference"/>
        </w:rPr>
        <w:footnoteRef/>
      </w:r>
      <w:r>
        <w:t xml:space="preserve"> John Locke, </w:t>
      </w:r>
      <w:r>
        <w:t xml:space="preserve">‘An Essay Concerning Human Understanding xxvii </w:t>
      </w:r>
      <w:r>
        <w:t>9</w:t>
      </w:r>
      <w:r>
        <w:t>’,</w:t>
      </w:r>
      <w:r>
        <w:t xml:space="preserve"> </w:t>
      </w:r>
      <w:r>
        <w:t>accessed: 19/11/2017</w:t>
      </w:r>
    </w:p>
  </w:footnote>
  <w:footnote w:id="4">
    <w:p w:rsidR="00392D04" w:rsidRPr="00392D04" w:rsidRDefault="00392D04">
      <w:pPr>
        <w:pStyle w:val="FootnoteText"/>
      </w:pPr>
      <w:r>
        <w:rPr>
          <w:rStyle w:val="FootnoteReference"/>
        </w:rPr>
        <w:footnoteRef/>
      </w:r>
      <w:r>
        <w:t xml:space="preserve"> Matthew Stuart, </w:t>
      </w:r>
      <w:r>
        <w:rPr>
          <w:i/>
        </w:rPr>
        <w:t>Locke’s Metaphysics</w:t>
      </w:r>
      <w:r>
        <w:rPr>
          <w:i/>
        </w:rPr>
        <w:t xml:space="preserve"> </w:t>
      </w:r>
      <w:r>
        <w:t>pg.339</w:t>
      </w:r>
    </w:p>
  </w:footnote>
  <w:footnote w:id="5">
    <w:p w:rsidR="00243FD8" w:rsidRDefault="00243FD8">
      <w:pPr>
        <w:pStyle w:val="FootnoteText"/>
      </w:pPr>
      <w:r>
        <w:rPr>
          <w:rStyle w:val="FootnoteReference"/>
        </w:rPr>
        <w:footnoteRef/>
      </w:r>
      <w:r>
        <w:t xml:space="preserve"> Matthew Stuart, </w:t>
      </w:r>
      <w:r>
        <w:rPr>
          <w:i/>
        </w:rPr>
        <w:t xml:space="preserve">Locke’s Metaphysics </w:t>
      </w:r>
      <w:r>
        <w:t>pg.3</w:t>
      </w:r>
      <w:r>
        <w:t>42</w:t>
      </w:r>
    </w:p>
  </w:footnote>
  <w:footnote w:id="6">
    <w:p w:rsidR="00C5429B" w:rsidRPr="00C5429B" w:rsidRDefault="00C5429B">
      <w:pPr>
        <w:pStyle w:val="FootnoteText"/>
        <w:rPr>
          <w:rFonts w:cstheme="minorHAnsi"/>
        </w:rPr>
      </w:pPr>
      <w:r w:rsidRPr="00C5429B">
        <w:rPr>
          <w:rStyle w:val="FootnoteReference"/>
        </w:rPr>
        <w:footnoteRef/>
      </w:r>
      <w:r w:rsidRPr="00C5429B">
        <w:t xml:space="preserve"> David Hume</w:t>
      </w:r>
      <w:r w:rsidRPr="00C5429B">
        <w:rPr>
          <w:i/>
        </w:rPr>
        <w:t>, A Treatise of Human Nature</w:t>
      </w:r>
      <w:r w:rsidRPr="00C5429B">
        <w:t xml:space="preserve"> (Oxford: Clarendon Press, 1896)</w:t>
      </w:r>
      <w:r>
        <w:t xml:space="preserve"> pg.251</w:t>
      </w:r>
      <w:r w:rsidRPr="00C5429B">
        <w:t xml:space="preserve"> [Online] available from http://oll.libertyfund.org/titles/342; accessed </w:t>
      </w:r>
      <w:r>
        <w:t>19</w:t>
      </w:r>
      <w:r w:rsidRPr="00C5429B">
        <w:t>/11/2017</w:t>
      </w:r>
    </w:p>
  </w:footnote>
  <w:footnote w:id="7">
    <w:p w:rsidR="002E321A" w:rsidRPr="002E321A" w:rsidRDefault="002E321A">
      <w:pPr>
        <w:pStyle w:val="FootnoteText"/>
      </w:pPr>
      <w:r>
        <w:rPr>
          <w:rStyle w:val="FootnoteReference"/>
        </w:rPr>
        <w:footnoteRef/>
      </w:r>
      <w:r>
        <w:t xml:space="preserve"> </w:t>
      </w:r>
      <w:r w:rsidRPr="00C5429B">
        <w:t>David Hume</w:t>
      </w:r>
      <w:r w:rsidRPr="00C5429B">
        <w:rPr>
          <w:i/>
        </w:rPr>
        <w:t>, A Treatise of Human Nature</w:t>
      </w:r>
      <w:r>
        <w:t xml:space="preserve"> pg.85</w:t>
      </w:r>
    </w:p>
  </w:footnote>
  <w:footnote w:id="8">
    <w:p w:rsidR="002E321A" w:rsidRDefault="002E321A">
      <w:pPr>
        <w:pStyle w:val="FootnoteText"/>
      </w:pPr>
      <w:r>
        <w:rPr>
          <w:rStyle w:val="FootnoteReference"/>
        </w:rPr>
        <w:footnoteRef/>
      </w:r>
      <w:r>
        <w:t xml:space="preserve"> </w:t>
      </w:r>
      <w:r w:rsidRPr="00C5429B">
        <w:t>David Hume</w:t>
      </w:r>
      <w:r w:rsidRPr="00C5429B">
        <w:rPr>
          <w:i/>
        </w:rPr>
        <w:t>, A Treatise of Human Nature</w:t>
      </w:r>
      <w:r>
        <w:t xml:space="preserve"> pg.8</w:t>
      </w:r>
      <w:r>
        <w:t>6</w:t>
      </w:r>
    </w:p>
  </w:footnote>
  <w:footnote w:id="9">
    <w:p w:rsidR="00B859EE" w:rsidRDefault="00B859EE">
      <w:pPr>
        <w:pStyle w:val="FootnoteText"/>
      </w:pPr>
      <w:r>
        <w:rPr>
          <w:rStyle w:val="FootnoteReference"/>
        </w:rPr>
        <w:footnoteRef/>
      </w:r>
      <w:r>
        <w:t xml:space="preserve"> J</w:t>
      </w:r>
      <w:r>
        <w:t xml:space="preserve">ohn Locke, ‘An Essay Concerning Human Understanding xxvii </w:t>
      </w:r>
      <w:r>
        <w:t>13</w:t>
      </w:r>
      <w:r>
        <w:t>’, accessed: 19/11/2017</w:t>
      </w:r>
    </w:p>
  </w:footnote>
  <w:footnote w:id="10">
    <w:p w:rsidR="00B859EE" w:rsidRDefault="00B859EE">
      <w:pPr>
        <w:pStyle w:val="FootnoteText"/>
      </w:pPr>
      <w:r>
        <w:rPr>
          <w:rStyle w:val="FootnoteReference"/>
        </w:rPr>
        <w:footnoteRef/>
      </w:r>
      <w:r>
        <w:t xml:space="preserve"> </w:t>
      </w:r>
      <w:r>
        <w:t>John Locke, ‘An Essay Concerning Human Understanding xxvii 13’, accessed: 19/11/2017</w:t>
      </w:r>
    </w:p>
  </w:footnote>
  <w:footnote w:id="11">
    <w:p w:rsidR="007B52A7" w:rsidRDefault="007B52A7">
      <w:pPr>
        <w:pStyle w:val="FootnoteText"/>
      </w:pPr>
      <w:r>
        <w:rPr>
          <w:rStyle w:val="FootnoteReference"/>
        </w:rPr>
        <w:footnoteRef/>
      </w:r>
      <w:r>
        <w:t xml:space="preserve"> </w:t>
      </w:r>
      <w:r>
        <w:t xml:space="preserve">Derek Parfit, </w:t>
      </w:r>
      <w:r>
        <w:rPr>
          <w:i/>
        </w:rPr>
        <w:t xml:space="preserve">Reasons and Persons </w:t>
      </w:r>
      <w:r>
        <w:t>(Oxford: Oxford University Press, 1986) pg.</w:t>
      </w:r>
      <w:r w:rsidR="00287280">
        <w:t>219</w:t>
      </w:r>
    </w:p>
  </w:footnote>
  <w:footnote w:id="12">
    <w:p w:rsidR="00287280" w:rsidRPr="00287280" w:rsidRDefault="00287280">
      <w:pPr>
        <w:pStyle w:val="FootnoteText"/>
      </w:pPr>
      <w:r>
        <w:rPr>
          <w:rStyle w:val="FootnoteReference"/>
        </w:rPr>
        <w:footnoteRef/>
      </w:r>
      <w:r>
        <w:t xml:space="preserve"> </w:t>
      </w:r>
      <w:r>
        <w:t xml:space="preserve">Derek Parfit, </w:t>
      </w:r>
      <w:r>
        <w:rPr>
          <w:i/>
        </w:rPr>
        <w:t>Reasons and</w:t>
      </w:r>
      <w:r>
        <w:rPr>
          <w:i/>
        </w:rPr>
        <w:t xml:space="preserve"> Persons </w:t>
      </w:r>
      <w:r>
        <w:t>pg.219</w:t>
      </w:r>
    </w:p>
  </w:footnote>
  <w:footnote w:id="13">
    <w:p w:rsidR="00B84A56" w:rsidRPr="002C21CD" w:rsidRDefault="00B84A56">
      <w:pPr>
        <w:pStyle w:val="FootnoteText"/>
      </w:pPr>
      <w:r>
        <w:rPr>
          <w:rStyle w:val="FootnoteReference"/>
        </w:rPr>
        <w:footnoteRef/>
      </w:r>
      <w:r>
        <w:t xml:space="preserve"> </w:t>
      </w:r>
      <w:r w:rsidR="002C21CD">
        <w:t xml:space="preserve">Matthew Stuart, </w:t>
      </w:r>
      <w:r w:rsidR="002C21CD">
        <w:rPr>
          <w:i/>
        </w:rPr>
        <w:t>Locke’</w:t>
      </w:r>
      <w:r w:rsidR="002C21CD">
        <w:rPr>
          <w:i/>
        </w:rPr>
        <w:t xml:space="preserve">s Metaphysics </w:t>
      </w:r>
      <w:r w:rsidR="002C21CD">
        <w:t>pg.339</w:t>
      </w:r>
    </w:p>
  </w:footnote>
  <w:footnote w:id="14">
    <w:p w:rsidR="00E60D19" w:rsidRDefault="00E60D19">
      <w:pPr>
        <w:pStyle w:val="FootnoteText"/>
      </w:pPr>
      <w:r>
        <w:rPr>
          <w:rStyle w:val="FootnoteReference"/>
        </w:rPr>
        <w:footnoteRef/>
      </w:r>
      <w:r>
        <w:t xml:space="preserve"> </w:t>
      </w:r>
      <w:r>
        <w:t xml:space="preserve">Matthew Stuart, </w:t>
      </w:r>
      <w:r>
        <w:rPr>
          <w:i/>
        </w:rPr>
        <w:t xml:space="preserve">Locke’s Metaphysics </w:t>
      </w:r>
      <w:r>
        <w:t>pg.3</w:t>
      </w:r>
      <w:r>
        <w:t>53</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6BD0"/>
    <w:rsid w:val="000E4F74"/>
    <w:rsid w:val="0012197D"/>
    <w:rsid w:val="00127C47"/>
    <w:rsid w:val="001577AA"/>
    <w:rsid w:val="001C42FC"/>
    <w:rsid w:val="00226166"/>
    <w:rsid w:val="00243FD8"/>
    <w:rsid w:val="00244BFE"/>
    <w:rsid w:val="00287280"/>
    <w:rsid w:val="002C21CD"/>
    <w:rsid w:val="002E321A"/>
    <w:rsid w:val="00392D04"/>
    <w:rsid w:val="00396CB4"/>
    <w:rsid w:val="004F00A5"/>
    <w:rsid w:val="005F19AC"/>
    <w:rsid w:val="006B3750"/>
    <w:rsid w:val="006C17F9"/>
    <w:rsid w:val="006F6BD0"/>
    <w:rsid w:val="00702EFF"/>
    <w:rsid w:val="00742AF2"/>
    <w:rsid w:val="00781E2A"/>
    <w:rsid w:val="007B52A7"/>
    <w:rsid w:val="007E4D3E"/>
    <w:rsid w:val="008A5292"/>
    <w:rsid w:val="009E353D"/>
    <w:rsid w:val="009F17F6"/>
    <w:rsid w:val="00AB5670"/>
    <w:rsid w:val="00B364F0"/>
    <w:rsid w:val="00B557C9"/>
    <w:rsid w:val="00B84A56"/>
    <w:rsid w:val="00B859EE"/>
    <w:rsid w:val="00C157EC"/>
    <w:rsid w:val="00C5429B"/>
    <w:rsid w:val="00CB5CE1"/>
    <w:rsid w:val="00D25780"/>
    <w:rsid w:val="00D431B9"/>
    <w:rsid w:val="00D52A99"/>
    <w:rsid w:val="00E60D19"/>
    <w:rsid w:val="00E6710E"/>
    <w:rsid w:val="00EA370C"/>
    <w:rsid w:val="00EB22E6"/>
    <w:rsid w:val="00F17D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D5E75A"/>
  <w15:chartTrackingRefBased/>
  <w15:docId w15:val="{01F76E9D-827E-41B8-9B93-C4DE7D8757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D25780"/>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D25780"/>
    <w:rPr>
      <w:sz w:val="20"/>
      <w:szCs w:val="20"/>
    </w:rPr>
  </w:style>
  <w:style w:type="character" w:styleId="FootnoteReference">
    <w:name w:val="footnote reference"/>
    <w:basedOn w:val="DefaultParagraphFont"/>
    <w:uiPriority w:val="99"/>
    <w:semiHidden/>
    <w:unhideWhenUsed/>
    <w:rsid w:val="00D25780"/>
    <w:rPr>
      <w:vertAlign w:val="superscript"/>
    </w:rPr>
  </w:style>
  <w:style w:type="character" w:styleId="Hyperlink">
    <w:name w:val="Hyperlink"/>
    <w:basedOn w:val="DefaultParagraphFont"/>
    <w:uiPriority w:val="99"/>
    <w:unhideWhenUsed/>
    <w:rsid w:val="00D25780"/>
    <w:rPr>
      <w:color w:val="0563C1" w:themeColor="hyperlink"/>
      <w:u w:val="single"/>
    </w:rPr>
  </w:style>
  <w:style w:type="character" w:styleId="Emphasis">
    <w:name w:val="Emphasis"/>
    <w:basedOn w:val="DefaultParagraphFont"/>
    <w:uiPriority w:val="20"/>
    <w:qFormat/>
    <w:rsid w:val="00C5429B"/>
    <w:rPr>
      <w:i/>
      <w:iCs/>
    </w:rPr>
  </w:style>
  <w:style w:type="character" w:customStyle="1" w:styleId="url">
    <w:name w:val="url"/>
    <w:basedOn w:val="DefaultParagraphFont"/>
    <w:rsid w:val="00C5429B"/>
  </w:style>
  <w:style w:type="character" w:styleId="UnresolvedMention">
    <w:name w:val="Unresolved Mention"/>
    <w:basedOn w:val="DefaultParagraphFont"/>
    <w:uiPriority w:val="99"/>
    <w:semiHidden/>
    <w:unhideWhenUsed/>
    <w:rsid w:val="00D431B9"/>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earlymoderntexts.com/assets/pdfs/locke1690book2.pdf" TargetMode="External"/><Relationship Id="rId3" Type="http://schemas.openxmlformats.org/officeDocument/2006/relationships/settings" Target="settings.xml"/><Relationship Id="rId7" Type="http://schemas.openxmlformats.org/officeDocument/2006/relationships/hyperlink" Target="http://oll.libertyfund.org/titles/342"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footnotes.xml.rels><?xml version="1.0" encoding="UTF-8" standalone="yes"?>
<Relationships xmlns="http://schemas.openxmlformats.org/package/2006/relationships"><Relationship Id="rId1" Type="http://schemas.openxmlformats.org/officeDocument/2006/relationships/hyperlink" Target="http://www.earlymoderntexts.com/assets/pdfs/locke1690book2.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25EDE16-F746-4601-B85E-52D184CB4AD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389</TotalTime>
  <Pages>4</Pages>
  <Words>1304</Words>
  <Characters>7439</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8726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Stephen Singh</dc:creator>
  <cp:keywords/>
  <dc:description/>
  <cp:lastModifiedBy>Stephen Singh</cp:lastModifiedBy>
  <cp:revision>7</cp:revision>
  <dcterms:created xsi:type="dcterms:W3CDTF">2017-11-22T15:00:00Z</dcterms:created>
  <dcterms:modified xsi:type="dcterms:W3CDTF">2017-11-22T21:54:00Z</dcterms:modified>
</cp:coreProperties>
</file>