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26C4" w:rsidRDefault="00CF732F">
      <w:pPr>
        <w:jc w:val="center"/>
        <w:rPr>
          <w:b/>
          <w:bCs/>
          <w:sz w:val="36"/>
          <w:szCs w:val="36"/>
        </w:rPr>
      </w:pPr>
      <w:r w:rsidRPr="008B7850">
        <w:rPr>
          <w:b/>
          <w:bCs/>
          <w:noProof/>
          <w:sz w:val="36"/>
          <w:szCs w:val="36"/>
          <w:lang w:val="en-US" w:eastAsia="en-US"/>
        </w:rPr>
        <w:drawing>
          <wp:anchor distT="0" distB="0" distL="114300" distR="114300" simplePos="0" relativeHeight="251661312" behindDoc="0" locked="0" layoutInCell="1" allowOverlap="1" wp14:anchorId="2C0BE8EE" wp14:editId="5FF3C6D4">
            <wp:simplePos x="0" y="0"/>
            <wp:positionH relativeFrom="column">
              <wp:posOffset>1139434</wp:posOffset>
            </wp:positionH>
            <wp:positionV relativeFrom="paragraph">
              <wp:posOffset>133350</wp:posOffset>
            </wp:positionV>
            <wp:extent cx="3509010" cy="1631315"/>
            <wp:effectExtent l="0" t="0" r="0" b="0"/>
            <wp:wrapSquare wrapText="bothSides"/>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59815"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09010" cy="1631315"/>
                    </a:xfrm>
                    <a:prstGeom prst="rect">
                      <a:avLst/>
                    </a:prstGeom>
                  </pic:spPr>
                </pic:pic>
              </a:graphicData>
            </a:graphic>
            <wp14:sizeRelH relativeFrom="margin">
              <wp14:pctWidth>0</wp14:pctWidth>
            </wp14:sizeRelH>
            <wp14:sizeRelV relativeFrom="margin">
              <wp14:pctHeight>0</wp14:pctHeight>
            </wp14:sizeRelV>
          </wp:anchor>
        </w:drawing>
      </w:r>
    </w:p>
    <w:p w:rsidR="00FC2769" w:rsidRDefault="00FC2769" w:rsidP="006A784D">
      <w:pPr>
        <w:rPr>
          <w:b/>
          <w:bCs/>
          <w:sz w:val="36"/>
          <w:szCs w:val="36"/>
        </w:rPr>
      </w:pPr>
    </w:p>
    <w:p w:rsidR="00FC2769" w:rsidRDefault="00FC2769">
      <w:pPr>
        <w:jc w:val="center"/>
        <w:rPr>
          <w:b/>
          <w:bCs/>
          <w:sz w:val="36"/>
          <w:szCs w:val="36"/>
        </w:rPr>
      </w:pPr>
    </w:p>
    <w:p w:rsidR="00CF732F" w:rsidRDefault="00CF732F">
      <w:pPr>
        <w:jc w:val="center"/>
        <w:rPr>
          <w:b/>
          <w:bCs/>
          <w:sz w:val="36"/>
          <w:szCs w:val="36"/>
        </w:rPr>
      </w:pPr>
    </w:p>
    <w:p w:rsidR="00B526C4" w:rsidRDefault="00215C0A">
      <w:pPr>
        <w:jc w:val="center"/>
        <w:rPr>
          <w:b/>
          <w:bCs/>
          <w:sz w:val="36"/>
          <w:szCs w:val="36"/>
        </w:rPr>
      </w:pPr>
      <w:r>
        <w:rPr>
          <w:b/>
          <w:bCs/>
          <w:sz w:val="36"/>
          <w:szCs w:val="36"/>
        </w:rPr>
        <w:t>Assign</w:t>
      </w:r>
      <w:bookmarkStart w:id="0" w:name="_GoBack"/>
      <w:bookmarkEnd w:id="0"/>
      <w:r w:rsidR="00CF732F">
        <w:rPr>
          <w:b/>
          <w:bCs/>
          <w:sz w:val="36"/>
          <w:szCs w:val="36"/>
        </w:rPr>
        <w:t xml:space="preserve">ment Title: </w:t>
      </w:r>
      <w:r w:rsidR="00990314">
        <w:rPr>
          <w:b/>
          <w:bCs/>
          <w:sz w:val="36"/>
          <w:szCs w:val="36"/>
        </w:rPr>
        <w:t>Strategic International Expansion Plan for Square Textiles Ltd: A Comprehensive Strategic Analysis and Market Entry Strategy</w:t>
      </w:r>
    </w:p>
    <w:p w:rsidR="00377B5C" w:rsidRPr="00377B5C" w:rsidRDefault="00377B5C" w:rsidP="00377B5C">
      <w:pPr>
        <w:rPr>
          <w:b/>
          <w:bCs/>
          <w:sz w:val="32"/>
          <w:szCs w:val="32"/>
        </w:rPr>
      </w:pPr>
    </w:p>
    <w:p w:rsidR="00377B5C" w:rsidRPr="005A66BD" w:rsidRDefault="00377B5C" w:rsidP="00377B5C">
      <w:pPr>
        <w:jc w:val="center"/>
        <w:rPr>
          <w:sz w:val="28"/>
          <w:szCs w:val="28"/>
        </w:rPr>
      </w:pPr>
      <w:r w:rsidRPr="005A66BD">
        <w:rPr>
          <w:b/>
          <w:sz w:val="28"/>
          <w:szCs w:val="28"/>
        </w:rPr>
        <w:t>Module name:</w:t>
      </w:r>
      <w:r w:rsidRPr="005A66BD">
        <w:rPr>
          <w:sz w:val="28"/>
          <w:szCs w:val="28"/>
        </w:rPr>
        <w:t xml:space="preserve"> Strategic Management</w:t>
      </w:r>
    </w:p>
    <w:p w:rsidR="00377B5C" w:rsidRPr="005A66BD" w:rsidRDefault="00377B5C" w:rsidP="00377B5C">
      <w:pPr>
        <w:jc w:val="center"/>
        <w:rPr>
          <w:sz w:val="28"/>
          <w:szCs w:val="28"/>
        </w:rPr>
      </w:pPr>
      <w:r w:rsidRPr="005A66BD">
        <w:rPr>
          <w:b/>
          <w:sz w:val="28"/>
          <w:szCs w:val="28"/>
        </w:rPr>
        <w:t xml:space="preserve">Module code: </w:t>
      </w:r>
      <w:r w:rsidRPr="005A66BD">
        <w:rPr>
          <w:sz w:val="28"/>
          <w:szCs w:val="28"/>
        </w:rPr>
        <w:t>LCMB7003</w:t>
      </w:r>
    </w:p>
    <w:p w:rsidR="00377B5C" w:rsidRPr="005A66BD" w:rsidRDefault="00377B5C" w:rsidP="00377B5C">
      <w:pPr>
        <w:jc w:val="center"/>
        <w:rPr>
          <w:sz w:val="28"/>
          <w:szCs w:val="28"/>
        </w:rPr>
      </w:pPr>
      <w:r w:rsidRPr="005A66BD">
        <w:rPr>
          <w:b/>
          <w:sz w:val="28"/>
          <w:szCs w:val="28"/>
        </w:rPr>
        <w:t xml:space="preserve">Lecture name: </w:t>
      </w:r>
      <w:r w:rsidRPr="005A66BD">
        <w:rPr>
          <w:sz w:val="28"/>
          <w:szCs w:val="28"/>
        </w:rPr>
        <w:t>Amare Desta</w:t>
      </w:r>
    </w:p>
    <w:p w:rsidR="00377B5C" w:rsidRPr="005A66BD" w:rsidRDefault="00377B5C" w:rsidP="00377B5C">
      <w:pPr>
        <w:jc w:val="center"/>
        <w:rPr>
          <w:sz w:val="28"/>
          <w:szCs w:val="28"/>
        </w:rPr>
      </w:pPr>
      <w:r w:rsidRPr="005A66BD">
        <w:rPr>
          <w:b/>
          <w:sz w:val="28"/>
          <w:szCs w:val="28"/>
        </w:rPr>
        <w:t>Chosen company :</w:t>
      </w:r>
      <w:r w:rsidRPr="005A66BD">
        <w:rPr>
          <w:sz w:val="28"/>
          <w:szCs w:val="28"/>
        </w:rPr>
        <w:t xml:space="preserve"> Square Textiles Ltd</w:t>
      </w:r>
    </w:p>
    <w:p w:rsidR="00377B5C" w:rsidRPr="005A66BD" w:rsidRDefault="00377B5C" w:rsidP="00377B5C">
      <w:pPr>
        <w:jc w:val="center"/>
        <w:rPr>
          <w:sz w:val="28"/>
          <w:szCs w:val="28"/>
        </w:rPr>
      </w:pPr>
      <w:r w:rsidRPr="005A66BD">
        <w:rPr>
          <w:b/>
          <w:sz w:val="28"/>
          <w:szCs w:val="28"/>
        </w:rPr>
        <w:t>Student name</w:t>
      </w:r>
      <w:r w:rsidRPr="005A66BD">
        <w:rPr>
          <w:sz w:val="28"/>
          <w:szCs w:val="28"/>
        </w:rPr>
        <w:t>: md abdul aziz kamil</w:t>
      </w:r>
    </w:p>
    <w:p w:rsidR="00377B5C" w:rsidRPr="005A66BD" w:rsidRDefault="00377B5C" w:rsidP="00377B5C">
      <w:pPr>
        <w:jc w:val="center"/>
        <w:rPr>
          <w:sz w:val="28"/>
          <w:szCs w:val="28"/>
        </w:rPr>
      </w:pPr>
      <w:r w:rsidRPr="005A66BD">
        <w:rPr>
          <w:b/>
          <w:sz w:val="28"/>
          <w:szCs w:val="28"/>
        </w:rPr>
        <w:t>Student id:</w:t>
      </w:r>
      <w:r w:rsidRPr="005A66BD">
        <w:rPr>
          <w:sz w:val="28"/>
          <w:szCs w:val="28"/>
        </w:rPr>
        <w:t xml:space="preserve"> 2427474</w:t>
      </w:r>
    </w:p>
    <w:p w:rsidR="00377B5C" w:rsidRPr="005A66BD" w:rsidRDefault="00377B5C" w:rsidP="00377B5C">
      <w:pPr>
        <w:jc w:val="center"/>
        <w:rPr>
          <w:b/>
          <w:sz w:val="28"/>
          <w:szCs w:val="28"/>
        </w:rPr>
      </w:pPr>
      <w:r w:rsidRPr="005A66BD">
        <w:rPr>
          <w:b/>
          <w:sz w:val="28"/>
          <w:szCs w:val="28"/>
        </w:rPr>
        <w:t xml:space="preserve">Word count: </w:t>
      </w:r>
      <w:r w:rsidRPr="005A66BD">
        <w:rPr>
          <w:sz w:val="28"/>
          <w:szCs w:val="28"/>
        </w:rPr>
        <w:t>5056</w:t>
      </w:r>
    </w:p>
    <w:p w:rsidR="00377B5C" w:rsidRPr="005A66BD" w:rsidRDefault="00377B5C" w:rsidP="00377B5C">
      <w:pPr>
        <w:jc w:val="center"/>
        <w:rPr>
          <w:sz w:val="28"/>
          <w:szCs w:val="28"/>
        </w:rPr>
      </w:pPr>
      <w:r w:rsidRPr="005A66BD">
        <w:rPr>
          <w:b/>
          <w:sz w:val="28"/>
          <w:szCs w:val="28"/>
        </w:rPr>
        <w:t xml:space="preserve">Submission date: </w:t>
      </w:r>
      <w:r w:rsidR="00E21CAD">
        <w:rPr>
          <w:sz w:val="28"/>
          <w:szCs w:val="28"/>
        </w:rPr>
        <w:t>21</w:t>
      </w:r>
      <w:r w:rsidRPr="005A66BD">
        <w:rPr>
          <w:sz w:val="28"/>
          <w:szCs w:val="28"/>
        </w:rPr>
        <w:t>/12/25</w:t>
      </w:r>
    </w:p>
    <w:p w:rsidR="00FC2769" w:rsidRPr="00377B5C" w:rsidRDefault="00FC2769" w:rsidP="00377B5C">
      <w:pPr>
        <w:jc w:val="center"/>
        <w:rPr>
          <w:b/>
        </w:rPr>
      </w:pPr>
    </w:p>
    <w:p w:rsidR="00377B5C" w:rsidRDefault="00377B5C" w:rsidP="00377B5C">
      <w:pPr>
        <w:jc w:val="center"/>
      </w:pPr>
    </w:p>
    <w:p w:rsidR="00377B5C" w:rsidRDefault="00377B5C" w:rsidP="00377B5C">
      <w:pPr>
        <w:jc w:val="center"/>
      </w:pPr>
    </w:p>
    <w:p w:rsidR="00B526C4" w:rsidRDefault="00990314" w:rsidP="00377B5C">
      <w:pPr>
        <w:jc w:val="center"/>
        <w:rPr>
          <w:b/>
          <w:bCs/>
          <w:sz w:val="28"/>
          <w:szCs w:val="28"/>
        </w:rPr>
      </w:pPr>
      <w:r>
        <w:br w:type="page"/>
      </w:r>
    </w:p>
    <w:p w:rsidR="00990314" w:rsidRDefault="00990314">
      <w:pPr>
        <w:jc w:val="center"/>
        <w:rPr>
          <w:b/>
          <w:bCs/>
          <w:sz w:val="28"/>
          <w:szCs w:val="28"/>
        </w:rPr>
      </w:pPr>
      <w:r>
        <w:rPr>
          <w:b/>
          <w:bCs/>
          <w:sz w:val="28"/>
          <w:szCs w:val="28"/>
        </w:rPr>
        <w:lastRenderedPageBreak/>
        <w:t>Table of Contents</w:t>
      </w:r>
    </w:p>
    <w:sdt>
      <w:sdtPr>
        <w:rPr>
          <w:rFonts w:ascii="Times New Roman" w:eastAsia="Times New Roman" w:hAnsi="Times New Roman" w:cs="Times New Roman"/>
          <w:color w:val="auto"/>
          <w:sz w:val="24"/>
          <w:szCs w:val="24"/>
          <w:lang w:val="en-GB"/>
        </w:rPr>
        <w:id w:val="556751937"/>
        <w:docPartObj>
          <w:docPartGallery w:val="Table of Contents"/>
          <w:docPartUnique/>
        </w:docPartObj>
      </w:sdtPr>
      <w:sdtEndPr>
        <w:rPr>
          <w:b/>
          <w:bCs/>
        </w:rPr>
      </w:sdtEndPr>
      <w:sdtContent>
        <w:p w:rsidR="00990314" w:rsidRDefault="00990314">
          <w:pPr>
            <w:pStyle w:val="TOCHeading"/>
          </w:pPr>
        </w:p>
        <w:p w:rsidR="00990314" w:rsidRDefault="00563D1B">
          <w:pPr>
            <w:pStyle w:val="TOC1"/>
            <w:tabs>
              <w:tab w:val="right" w:leader="dot" w:pos="9019"/>
            </w:tabs>
            <w:rPr>
              <w:rFonts w:asciiTheme="minorHAnsi" w:eastAsiaTheme="minorEastAsia" w:hAnsiTheme="minorHAnsi" w:cstheme="minorBidi"/>
              <w:noProof/>
              <w:kern w:val="2"/>
              <w:lang w:val="en-IN"/>
            </w:rPr>
          </w:pPr>
          <w:r>
            <w:fldChar w:fldCharType="begin"/>
          </w:r>
          <w:r w:rsidR="00990314">
            <w:instrText xml:space="preserve"> TOC \o "1-3" \h \z \u </w:instrText>
          </w:r>
          <w:r>
            <w:fldChar w:fldCharType="separate"/>
          </w:r>
          <w:hyperlink w:anchor="_Toc215770596" w:history="1">
            <w:r w:rsidR="00990314" w:rsidRPr="00206EE6">
              <w:rPr>
                <w:rStyle w:val="Hyperlink"/>
                <w:noProof/>
              </w:rPr>
              <w:t>1. Introduction</w:t>
            </w:r>
            <w:r w:rsidR="00990314">
              <w:rPr>
                <w:noProof/>
                <w:webHidden/>
              </w:rPr>
              <w:tab/>
            </w:r>
            <w:r>
              <w:rPr>
                <w:noProof/>
                <w:webHidden/>
              </w:rPr>
              <w:fldChar w:fldCharType="begin"/>
            </w:r>
            <w:r w:rsidR="00990314">
              <w:rPr>
                <w:noProof/>
                <w:webHidden/>
              </w:rPr>
              <w:instrText xml:space="preserve"> PAGEREF _Toc215770596 \h </w:instrText>
            </w:r>
            <w:r>
              <w:rPr>
                <w:noProof/>
                <w:webHidden/>
              </w:rPr>
            </w:r>
            <w:r>
              <w:rPr>
                <w:noProof/>
                <w:webHidden/>
              </w:rPr>
              <w:fldChar w:fldCharType="separate"/>
            </w:r>
            <w:r w:rsidR="00895F21">
              <w:rPr>
                <w:noProof/>
                <w:webHidden/>
              </w:rPr>
              <w:t>4</w:t>
            </w:r>
            <w:r>
              <w:rPr>
                <w:noProof/>
                <w:webHidden/>
              </w:rPr>
              <w:fldChar w:fldCharType="end"/>
            </w:r>
          </w:hyperlink>
        </w:p>
        <w:p w:rsidR="00990314" w:rsidRDefault="00B629B2">
          <w:pPr>
            <w:pStyle w:val="TOC1"/>
            <w:tabs>
              <w:tab w:val="right" w:leader="dot" w:pos="9019"/>
            </w:tabs>
            <w:rPr>
              <w:rFonts w:asciiTheme="minorHAnsi" w:eastAsiaTheme="minorEastAsia" w:hAnsiTheme="minorHAnsi" w:cstheme="minorBidi"/>
              <w:noProof/>
              <w:kern w:val="2"/>
              <w:lang w:val="en-IN"/>
            </w:rPr>
          </w:pPr>
          <w:hyperlink w:anchor="_Toc215770597" w:history="1">
            <w:r w:rsidR="00990314" w:rsidRPr="00206EE6">
              <w:rPr>
                <w:rStyle w:val="Hyperlink"/>
                <w:noProof/>
              </w:rPr>
              <w:t>2. Selection of Organisation and Target Market</w:t>
            </w:r>
            <w:r w:rsidR="00990314">
              <w:rPr>
                <w:noProof/>
                <w:webHidden/>
              </w:rPr>
              <w:tab/>
            </w:r>
            <w:r w:rsidR="00563D1B">
              <w:rPr>
                <w:noProof/>
                <w:webHidden/>
              </w:rPr>
              <w:fldChar w:fldCharType="begin"/>
            </w:r>
            <w:r w:rsidR="00990314">
              <w:rPr>
                <w:noProof/>
                <w:webHidden/>
              </w:rPr>
              <w:instrText xml:space="preserve"> PAGEREF _Toc215770597 \h </w:instrText>
            </w:r>
            <w:r w:rsidR="00563D1B">
              <w:rPr>
                <w:noProof/>
                <w:webHidden/>
              </w:rPr>
            </w:r>
            <w:r w:rsidR="00563D1B">
              <w:rPr>
                <w:noProof/>
                <w:webHidden/>
              </w:rPr>
              <w:fldChar w:fldCharType="separate"/>
            </w:r>
            <w:r w:rsidR="00895F21">
              <w:rPr>
                <w:noProof/>
                <w:webHidden/>
              </w:rPr>
              <w:t>4</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598" w:history="1">
            <w:r w:rsidR="00990314" w:rsidRPr="00206EE6">
              <w:rPr>
                <w:rStyle w:val="Hyperlink"/>
                <w:noProof/>
              </w:rPr>
              <w:t>2.1 Justification for Choosing Square Textiles Ltd</w:t>
            </w:r>
            <w:r w:rsidR="00990314">
              <w:rPr>
                <w:noProof/>
                <w:webHidden/>
              </w:rPr>
              <w:tab/>
            </w:r>
            <w:r w:rsidR="00563D1B">
              <w:rPr>
                <w:noProof/>
                <w:webHidden/>
              </w:rPr>
              <w:fldChar w:fldCharType="begin"/>
            </w:r>
            <w:r w:rsidR="00990314">
              <w:rPr>
                <w:noProof/>
                <w:webHidden/>
              </w:rPr>
              <w:instrText xml:space="preserve"> PAGEREF _Toc215770598 \h </w:instrText>
            </w:r>
            <w:r w:rsidR="00563D1B">
              <w:rPr>
                <w:noProof/>
                <w:webHidden/>
              </w:rPr>
            </w:r>
            <w:r w:rsidR="00563D1B">
              <w:rPr>
                <w:noProof/>
                <w:webHidden/>
              </w:rPr>
              <w:fldChar w:fldCharType="separate"/>
            </w:r>
            <w:r w:rsidR="00895F21">
              <w:rPr>
                <w:noProof/>
                <w:webHidden/>
              </w:rPr>
              <w:t>4</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599" w:history="1">
            <w:r w:rsidR="00990314" w:rsidRPr="00206EE6">
              <w:rPr>
                <w:rStyle w:val="Hyperlink"/>
                <w:noProof/>
              </w:rPr>
              <w:t>2.2 Identification of Potential International Markets</w:t>
            </w:r>
            <w:r w:rsidR="00990314">
              <w:rPr>
                <w:noProof/>
                <w:webHidden/>
              </w:rPr>
              <w:tab/>
            </w:r>
            <w:r w:rsidR="00563D1B">
              <w:rPr>
                <w:noProof/>
                <w:webHidden/>
              </w:rPr>
              <w:fldChar w:fldCharType="begin"/>
            </w:r>
            <w:r w:rsidR="00990314">
              <w:rPr>
                <w:noProof/>
                <w:webHidden/>
              </w:rPr>
              <w:instrText xml:space="preserve"> PAGEREF _Toc215770599 \h </w:instrText>
            </w:r>
            <w:r w:rsidR="00563D1B">
              <w:rPr>
                <w:noProof/>
                <w:webHidden/>
              </w:rPr>
            </w:r>
            <w:r w:rsidR="00563D1B">
              <w:rPr>
                <w:noProof/>
                <w:webHidden/>
              </w:rPr>
              <w:fldChar w:fldCharType="separate"/>
            </w:r>
            <w:r w:rsidR="00895F21">
              <w:rPr>
                <w:noProof/>
                <w:webHidden/>
              </w:rPr>
              <w:t>5</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00" w:history="1">
            <w:r w:rsidR="00990314" w:rsidRPr="00206EE6">
              <w:rPr>
                <w:rStyle w:val="Hyperlink"/>
                <w:noProof/>
              </w:rPr>
              <w:t>2.3 Selection of the Target Market</w:t>
            </w:r>
            <w:r w:rsidR="00990314">
              <w:rPr>
                <w:noProof/>
                <w:webHidden/>
              </w:rPr>
              <w:tab/>
            </w:r>
            <w:r w:rsidR="00563D1B">
              <w:rPr>
                <w:noProof/>
                <w:webHidden/>
              </w:rPr>
              <w:fldChar w:fldCharType="begin"/>
            </w:r>
            <w:r w:rsidR="00990314">
              <w:rPr>
                <w:noProof/>
                <w:webHidden/>
              </w:rPr>
              <w:instrText xml:space="preserve"> PAGEREF _Toc215770600 \h </w:instrText>
            </w:r>
            <w:r w:rsidR="00563D1B">
              <w:rPr>
                <w:noProof/>
                <w:webHidden/>
              </w:rPr>
            </w:r>
            <w:r w:rsidR="00563D1B">
              <w:rPr>
                <w:noProof/>
                <w:webHidden/>
              </w:rPr>
              <w:fldChar w:fldCharType="separate"/>
            </w:r>
            <w:r w:rsidR="00895F21">
              <w:rPr>
                <w:noProof/>
                <w:webHidden/>
              </w:rPr>
              <w:t>6</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01" w:history="1">
            <w:r w:rsidR="00990314" w:rsidRPr="00206EE6">
              <w:rPr>
                <w:rStyle w:val="Hyperlink"/>
                <w:noProof/>
              </w:rPr>
              <w:t>2.4 Strategic Rationale for Selecting the Market</w:t>
            </w:r>
            <w:r w:rsidR="00990314">
              <w:rPr>
                <w:noProof/>
                <w:webHidden/>
              </w:rPr>
              <w:tab/>
            </w:r>
            <w:r w:rsidR="00563D1B">
              <w:rPr>
                <w:noProof/>
                <w:webHidden/>
              </w:rPr>
              <w:fldChar w:fldCharType="begin"/>
            </w:r>
            <w:r w:rsidR="00990314">
              <w:rPr>
                <w:noProof/>
                <w:webHidden/>
              </w:rPr>
              <w:instrText xml:space="preserve"> PAGEREF _Toc215770601 \h </w:instrText>
            </w:r>
            <w:r w:rsidR="00563D1B">
              <w:rPr>
                <w:noProof/>
                <w:webHidden/>
              </w:rPr>
            </w:r>
            <w:r w:rsidR="00563D1B">
              <w:rPr>
                <w:noProof/>
                <w:webHidden/>
              </w:rPr>
              <w:fldChar w:fldCharType="separate"/>
            </w:r>
            <w:r w:rsidR="00895F21">
              <w:rPr>
                <w:noProof/>
                <w:webHidden/>
              </w:rPr>
              <w:t>6</w:t>
            </w:r>
            <w:r w:rsidR="00563D1B">
              <w:rPr>
                <w:noProof/>
                <w:webHidden/>
              </w:rPr>
              <w:fldChar w:fldCharType="end"/>
            </w:r>
          </w:hyperlink>
        </w:p>
        <w:p w:rsidR="00990314" w:rsidRDefault="00B629B2">
          <w:pPr>
            <w:pStyle w:val="TOC1"/>
            <w:tabs>
              <w:tab w:val="right" w:leader="dot" w:pos="9019"/>
            </w:tabs>
            <w:rPr>
              <w:rFonts w:asciiTheme="minorHAnsi" w:eastAsiaTheme="minorEastAsia" w:hAnsiTheme="minorHAnsi" w:cstheme="minorBidi"/>
              <w:noProof/>
              <w:kern w:val="2"/>
              <w:lang w:val="en-IN"/>
            </w:rPr>
          </w:pPr>
          <w:hyperlink w:anchor="_Toc215770602" w:history="1">
            <w:r w:rsidR="00990314" w:rsidRPr="00206EE6">
              <w:rPr>
                <w:rStyle w:val="Hyperlink"/>
                <w:noProof/>
              </w:rPr>
              <w:t>3. Comprehensive Strategic Analysis</w:t>
            </w:r>
            <w:r w:rsidR="00990314">
              <w:rPr>
                <w:noProof/>
                <w:webHidden/>
              </w:rPr>
              <w:tab/>
            </w:r>
            <w:r w:rsidR="00563D1B">
              <w:rPr>
                <w:noProof/>
                <w:webHidden/>
              </w:rPr>
              <w:fldChar w:fldCharType="begin"/>
            </w:r>
            <w:r w:rsidR="00990314">
              <w:rPr>
                <w:noProof/>
                <w:webHidden/>
              </w:rPr>
              <w:instrText xml:space="preserve"> PAGEREF _Toc215770602 \h </w:instrText>
            </w:r>
            <w:r w:rsidR="00563D1B">
              <w:rPr>
                <w:noProof/>
                <w:webHidden/>
              </w:rPr>
            </w:r>
            <w:r w:rsidR="00563D1B">
              <w:rPr>
                <w:noProof/>
                <w:webHidden/>
              </w:rPr>
              <w:fldChar w:fldCharType="separate"/>
            </w:r>
            <w:r w:rsidR="00895F21">
              <w:rPr>
                <w:noProof/>
                <w:webHidden/>
              </w:rPr>
              <w:t>7</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03" w:history="1">
            <w:r w:rsidR="00990314" w:rsidRPr="00206EE6">
              <w:rPr>
                <w:rStyle w:val="Hyperlink"/>
                <w:noProof/>
              </w:rPr>
              <w:t>3.1 Macro-Environmental Analysis</w:t>
            </w:r>
            <w:r w:rsidR="00990314">
              <w:rPr>
                <w:noProof/>
                <w:webHidden/>
              </w:rPr>
              <w:tab/>
            </w:r>
            <w:r w:rsidR="00563D1B">
              <w:rPr>
                <w:noProof/>
                <w:webHidden/>
              </w:rPr>
              <w:fldChar w:fldCharType="begin"/>
            </w:r>
            <w:r w:rsidR="00990314">
              <w:rPr>
                <w:noProof/>
                <w:webHidden/>
              </w:rPr>
              <w:instrText xml:space="preserve"> PAGEREF _Toc215770603 \h </w:instrText>
            </w:r>
            <w:r w:rsidR="00563D1B">
              <w:rPr>
                <w:noProof/>
                <w:webHidden/>
              </w:rPr>
            </w:r>
            <w:r w:rsidR="00563D1B">
              <w:rPr>
                <w:noProof/>
                <w:webHidden/>
              </w:rPr>
              <w:fldChar w:fldCharType="separate"/>
            </w:r>
            <w:r w:rsidR="00895F21">
              <w:rPr>
                <w:noProof/>
                <w:webHidden/>
              </w:rPr>
              <w:t>7</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04" w:history="1">
            <w:r w:rsidR="00990314" w:rsidRPr="00206EE6">
              <w:rPr>
                <w:rStyle w:val="Hyperlink"/>
                <w:noProof/>
              </w:rPr>
              <w:t>3.2 Industry Competitiveness</w:t>
            </w:r>
            <w:r w:rsidR="00990314">
              <w:rPr>
                <w:noProof/>
                <w:webHidden/>
              </w:rPr>
              <w:tab/>
            </w:r>
            <w:r w:rsidR="00563D1B">
              <w:rPr>
                <w:noProof/>
                <w:webHidden/>
              </w:rPr>
              <w:fldChar w:fldCharType="begin"/>
            </w:r>
            <w:r w:rsidR="00990314">
              <w:rPr>
                <w:noProof/>
                <w:webHidden/>
              </w:rPr>
              <w:instrText xml:space="preserve"> PAGEREF _Toc215770604 \h </w:instrText>
            </w:r>
            <w:r w:rsidR="00563D1B">
              <w:rPr>
                <w:noProof/>
                <w:webHidden/>
              </w:rPr>
            </w:r>
            <w:r w:rsidR="00563D1B">
              <w:rPr>
                <w:noProof/>
                <w:webHidden/>
              </w:rPr>
              <w:fldChar w:fldCharType="separate"/>
            </w:r>
            <w:r w:rsidR="00895F21">
              <w:rPr>
                <w:noProof/>
                <w:webHidden/>
              </w:rPr>
              <w:t>10</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05" w:history="1">
            <w:r w:rsidR="00990314" w:rsidRPr="00206EE6">
              <w:rPr>
                <w:rStyle w:val="Hyperlink"/>
                <w:noProof/>
              </w:rPr>
              <w:t>3.3 Effectiveness and Limitations of the Tools</w:t>
            </w:r>
            <w:r w:rsidR="00990314">
              <w:rPr>
                <w:noProof/>
                <w:webHidden/>
              </w:rPr>
              <w:tab/>
            </w:r>
            <w:r w:rsidR="00563D1B">
              <w:rPr>
                <w:noProof/>
                <w:webHidden/>
              </w:rPr>
              <w:fldChar w:fldCharType="begin"/>
            </w:r>
            <w:r w:rsidR="00990314">
              <w:rPr>
                <w:noProof/>
                <w:webHidden/>
              </w:rPr>
              <w:instrText xml:space="preserve"> PAGEREF _Toc215770605 \h </w:instrText>
            </w:r>
            <w:r w:rsidR="00563D1B">
              <w:rPr>
                <w:noProof/>
                <w:webHidden/>
              </w:rPr>
            </w:r>
            <w:r w:rsidR="00563D1B">
              <w:rPr>
                <w:noProof/>
                <w:webHidden/>
              </w:rPr>
              <w:fldChar w:fldCharType="separate"/>
            </w:r>
            <w:r w:rsidR="00895F21">
              <w:rPr>
                <w:noProof/>
                <w:webHidden/>
              </w:rPr>
              <w:t>12</w:t>
            </w:r>
            <w:r w:rsidR="00563D1B">
              <w:rPr>
                <w:noProof/>
                <w:webHidden/>
              </w:rPr>
              <w:fldChar w:fldCharType="end"/>
            </w:r>
          </w:hyperlink>
        </w:p>
        <w:p w:rsidR="00990314" w:rsidRDefault="00B629B2">
          <w:pPr>
            <w:pStyle w:val="TOC1"/>
            <w:tabs>
              <w:tab w:val="right" w:leader="dot" w:pos="9019"/>
            </w:tabs>
            <w:rPr>
              <w:rFonts w:asciiTheme="minorHAnsi" w:eastAsiaTheme="minorEastAsia" w:hAnsiTheme="minorHAnsi" w:cstheme="minorBidi"/>
              <w:noProof/>
              <w:kern w:val="2"/>
              <w:lang w:val="en-IN"/>
            </w:rPr>
          </w:pPr>
          <w:hyperlink w:anchor="_Toc215770606" w:history="1">
            <w:r w:rsidR="00990314" w:rsidRPr="00206EE6">
              <w:rPr>
                <w:rStyle w:val="Hyperlink"/>
                <w:noProof/>
              </w:rPr>
              <w:t>4. Strategy Development and Formulation</w:t>
            </w:r>
            <w:r w:rsidR="00990314">
              <w:rPr>
                <w:noProof/>
                <w:webHidden/>
              </w:rPr>
              <w:tab/>
            </w:r>
            <w:r w:rsidR="00563D1B">
              <w:rPr>
                <w:noProof/>
                <w:webHidden/>
              </w:rPr>
              <w:fldChar w:fldCharType="begin"/>
            </w:r>
            <w:r w:rsidR="00990314">
              <w:rPr>
                <w:noProof/>
                <w:webHidden/>
              </w:rPr>
              <w:instrText xml:space="preserve"> PAGEREF _Toc215770606 \h </w:instrText>
            </w:r>
            <w:r w:rsidR="00563D1B">
              <w:rPr>
                <w:noProof/>
                <w:webHidden/>
              </w:rPr>
            </w:r>
            <w:r w:rsidR="00563D1B">
              <w:rPr>
                <w:noProof/>
                <w:webHidden/>
              </w:rPr>
              <w:fldChar w:fldCharType="separate"/>
            </w:r>
            <w:r w:rsidR="00895F21">
              <w:rPr>
                <w:noProof/>
                <w:webHidden/>
              </w:rPr>
              <w:t>13</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07" w:history="1">
            <w:r w:rsidR="00990314" w:rsidRPr="00206EE6">
              <w:rPr>
                <w:rStyle w:val="Hyperlink"/>
                <w:noProof/>
              </w:rPr>
              <w:t>4.1 Evaluation of Strategic Options</w:t>
            </w:r>
            <w:r w:rsidR="00990314">
              <w:rPr>
                <w:noProof/>
                <w:webHidden/>
              </w:rPr>
              <w:tab/>
            </w:r>
            <w:r w:rsidR="00563D1B">
              <w:rPr>
                <w:noProof/>
                <w:webHidden/>
              </w:rPr>
              <w:fldChar w:fldCharType="begin"/>
            </w:r>
            <w:r w:rsidR="00990314">
              <w:rPr>
                <w:noProof/>
                <w:webHidden/>
              </w:rPr>
              <w:instrText xml:space="preserve"> PAGEREF _Toc215770607 \h </w:instrText>
            </w:r>
            <w:r w:rsidR="00563D1B">
              <w:rPr>
                <w:noProof/>
                <w:webHidden/>
              </w:rPr>
            </w:r>
            <w:r w:rsidR="00563D1B">
              <w:rPr>
                <w:noProof/>
                <w:webHidden/>
              </w:rPr>
              <w:fldChar w:fldCharType="separate"/>
            </w:r>
            <w:r w:rsidR="00895F21">
              <w:rPr>
                <w:noProof/>
                <w:webHidden/>
              </w:rPr>
              <w:t>13</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08" w:history="1">
            <w:r w:rsidR="00990314" w:rsidRPr="00206EE6">
              <w:rPr>
                <w:rStyle w:val="Hyperlink"/>
                <w:noProof/>
              </w:rPr>
              <w:t>4.2 Entry Mode Strategy</w:t>
            </w:r>
            <w:r w:rsidR="00990314">
              <w:rPr>
                <w:noProof/>
                <w:webHidden/>
              </w:rPr>
              <w:tab/>
            </w:r>
            <w:r w:rsidR="00563D1B">
              <w:rPr>
                <w:noProof/>
                <w:webHidden/>
              </w:rPr>
              <w:fldChar w:fldCharType="begin"/>
            </w:r>
            <w:r w:rsidR="00990314">
              <w:rPr>
                <w:noProof/>
                <w:webHidden/>
              </w:rPr>
              <w:instrText xml:space="preserve"> PAGEREF _Toc215770608 \h </w:instrText>
            </w:r>
            <w:r w:rsidR="00563D1B">
              <w:rPr>
                <w:noProof/>
                <w:webHidden/>
              </w:rPr>
            </w:r>
            <w:r w:rsidR="00563D1B">
              <w:rPr>
                <w:noProof/>
                <w:webHidden/>
              </w:rPr>
              <w:fldChar w:fldCharType="separate"/>
            </w:r>
            <w:r w:rsidR="00895F21">
              <w:rPr>
                <w:noProof/>
                <w:webHidden/>
              </w:rPr>
              <w:t>14</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09" w:history="1">
            <w:r w:rsidR="00990314" w:rsidRPr="00206EE6">
              <w:rPr>
                <w:rStyle w:val="Hyperlink"/>
                <w:noProof/>
              </w:rPr>
              <w:t>4.3 Competitive Advantage Strategy</w:t>
            </w:r>
            <w:r w:rsidR="00990314">
              <w:rPr>
                <w:noProof/>
                <w:webHidden/>
              </w:rPr>
              <w:tab/>
            </w:r>
            <w:r w:rsidR="00563D1B">
              <w:rPr>
                <w:noProof/>
                <w:webHidden/>
              </w:rPr>
              <w:fldChar w:fldCharType="begin"/>
            </w:r>
            <w:r w:rsidR="00990314">
              <w:rPr>
                <w:noProof/>
                <w:webHidden/>
              </w:rPr>
              <w:instrText xml:space="preserve"> PAGEREF _Toc215770609 \h </w:instrText>
            </w:r>
            <w:r w:rsidR="00563D1B">
              <w:rPr>
                <w:noProof/>
                <w:webHidden/>
              </w:rPr>
            </w:r>
            <w:r w:rsidR="00563D1B">
              <w:rPr>
                <w:noProof/>
                <w:webHidden/>
              </w:rPr>
              <w:fldChar w:fldCharType="separate"/>
            </w:r>
            <w:r w:rsidR="00895F21">
              <w:rPr>
                <w:noProof/>
                <w:webHidden/>
              </w:rPr>
              <w:t>16</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10" w:history="1">
            <w:r w:rsidR="00990314" w:rsidRPr="00206EE6">
              <w:rPr>
                <w:rStyle w:val="Hyperlink"/>
                <w:noProof/>
              </w:rPr>
              <w:t>4.4 Strategic Risk Analysis</w:t>
            </w:r>
            <w:r w:rsidR="00990314">
              <w:rPr>
                <w:noProof/>
                <w:webHidden/>
              </w:rPr>
              <w:tab/>
            </w:r>
            <w:r w:rsidR="00563D1B">
              <w:rPr>
                <w:noProof/>
                <w:webHidden/>
              </w:rPr>
              <w:fldChar w:fldCharType="begin"/>
            </w:r>
            <w:r w:rsidR="00990314">
              <w:rPr>
                <w:noProof/>
                <w:webHidden/>
              </w:rPr>
              <w:instrText xml:space="preserve"> PAGEREF _Toc215770610 \h </w:instrText>
            </w:r>
            <w:r w:rsidR="00563D1B">
              <w:rPr>
                <w:noProof/>
                <w:webHidden/>
              </w:rPr>
            </w:r>
            <w:r w:rsidR="00563D1B">
              <w:rPr>
                <w:noProof/>
                <w:webHidden/>
              </w:rPr>
              <w:fldChar w:fldCharType="separate"/>
            </w:r>
            <w:r w:rsidR="00895F21">
              <w:rPr>
                <w:noProof/>
                <w:webHidden/>
              </w:rPr>
              <w:t>17</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11" w:history="1">
            <w:r w:rsidR="00990314" w:rsidRPr="00206EE6">
              <w:rPr>
                <w:rStyle w:val="Hyperlink"/>
                <w:noProof/>
              </w:rPr>
              <w:t>4.5 Corporate Social Responsibility Integration</w:t>
            </w:r>
            <w:r w:rsidR="00990314">
              <w:rPr>
                <w:noProof/>
                <w:webHidden/>
              </w:rPr>
              <w:tab/>
            </w:r>
            <w:r w:rsidR="00563D1B">
              <w:rPr>
                <w:noProof/>
                <w:webHidden/>
              </w:rPr>
              <w:fldChar w:fldCharType="begin"/>
            </w:r>
            <w:r w:rsidR="00990314">
              <w:rPr>
                <w:noProof/>
                <w:webHidden/>
              </w:rPr>
              <w:instrText xml:space="preserve"> PAGEREF _Toc215770611 \h </w:instrText>
            </w:r>
            <w:r w:rsidR="00563D1B">
              <w:rPr>
                <w:noProof/>
                <w:webHidden/>
              </w:rPr>
            </w:r>
            <w:r w:rsidR="00563D1B">
              <w:rPr>
                <w:noProof/>
                <w:webHidden/>
              </w:rPr>
              <w:fldChar w:fldCharType="separate"/>
            </w:r>
            <w:r w:rsidR="00895F21">
              <w:rPr>
                <w:noProof/>
                <w:webHidden/>
              </w:rPr>
              <w:t>18</w:t>
            </w:r>
            <w:r w:rsidR="00563D1B">
              <w:rPr>
                <w:noProof/>
                <w:webHidden/>
              </w:rPr>
              <w:fldChar w:fldCharType="end"/>
            </w:r>
          </w:hyperlink>
        </w:p>
        <w:p w:rsidR="00990314" w:rsidRDefault="00B629B2">
          <w:pPr>
            <w:pStyle w:val="TOC1"/>
            <w:tabs>
              <w:tab w:val="right" w:leader="dot" w:pos="9019"/>
            </w:tabs>
            <w:rPr>
              <w:rFonts w:asciiTheme="minorHAnsi" w:eastAsiaTheme="minorEastAsia" w:hAnsiTheme="minorHAnsi" w:cstheme="minorBidi"/>
              <w:noProof/>
              <w:kern w:val="2"/>
              <w:lang w:val="en-IN"/>
            </w:rPr>
          </w:pPr>
          <w:hyperlink w:anchor="_Toc215770612" w:history="1">
            <w:r w:rsidR="00990314" w:rsidRPr="00206EE6">
              <w:rPr>
                <w:rStyle w:val="Hyperlink"/>
                <w:noProof/>
              </w:rPr>
              <w:t>5. Performance Evaluation Framework</w:t>
            </w:r>
            <w:r w:rsidR="00990314">
              <w:rPr>
                <w:noProof/>
                <w:webHidden/>
              </w:rPr>
              <w:tab/>
            </w:r>
            <w:r w:rsidR="00563D1B">
              <w:rPr>
                <w:noProof/>
                <w:webHidden/>
              </w:rPr>
              <w:fldChar w:fldCharType="begin"/>
            </w:r>
            <w:r w:rsidR="00990314">
              <w:rPr>
                <w:noProof/>
                <w:webHidden/>
              </w:rPr>
              <w:instrText xml:space="preserve"> PAGEREF _Toc215770612 \h </w:instrText>
            </w:r>
            <w:r w:rsidR="00563D1B">
              <w:rPr>
                <w:noProof/>
                <w:webHidden/>
              </w:rPr>
            </w:r>
            <w:r w:rsidR="00563D1B">
              <w:rPr>
                <w:noProof/>
                <w:webHidden/>
              </w:rPr>
              <w:fldChar w:fldCharType="separate"/>
            </w:r>
            <w:r w:rsidR="00895F21">
              <w:rPr>
                <w:noProof/>
                <w:webHidden/>
              </w:rPr>
              <w:t>19</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13" w:history="1">
            <w:r w:rsidR="00990314" w:rsidRPr="00206EE6">
              <w:rPr>
                <w:rStyle w:val="Hyperlink"/>
                <w:noProof/>
              </w:rPr>
              <w:t>5.1 Selection of Measurement System</w:t>
            </w:r>
            <w:r w:rsidR="00990314">
              <w:rPr>
                <w:noProof/>
                <w:webHidden/>
              </w:rPr>
              <w:tab/>
            </w:r>
            <w:r w:rsidR="00563D1B">
              <w:rPr>
                <w:noProof/>
                <w:webHidden/>
              </w:rPr>
              <w:fldChar w:fldCharType="begin"/>
            </w:r>
            <w:r w:rsidR="00990314">
              <w:rPr>
                <w:noProof/>
                <w:webHidden/>
              </w:rPr>
              <w:instrText xml:space="preserve"> PAGEREF _Toc215770613 \h </w:instrText>
            </w:r>
            <w:r w:rsidR="00563D1B">
              <w:rPr>
                <w:noProof/>
                <w:webHidden/>
              </w:rPr>
            </w:r>
            <w:r w:rsidR="00563D1B">
              <w:rPr>
                <w:noProof/>
                <w:webHidden/>
              </w:rPr>
              <w:fldChar w:fldCharType="separate"/>
            </w:r>
            <w:r w:rsidR="00895F21">
              <w:rPr>
                <w:noProof/>
                <w:webHidden/>
              </w:rPr>
              <w:t>19</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14" w:history="1">
            <w:r w:rsidR="00990314" w:rsidRPr="00206EE6">
              <w:rPr>
                <w:rStyle w:val="Hyperlink"/>
                <w:noProof/>
              </w:rPr>
              <w:t>5.2 Balanced Scorecard for Square Textiles Ltd.'s Expansion in canada</w:t>
            </w:r>
            <w:r w:rsidR="00990314">
              <w:rPr>
                <w:noProof/>
                <w:webHidden/>
              </w:rPr>
              <w:tab/>
            </w:r>
            <w:r w:rsidR="00563D1B">
              <w:rPr>
                <w:noProof/>
                <w:webHidden/>
              </w:rPr>
              <w:fldChar w:fldCharType="begin"/>
            </w:r>
            <w:r w:rsidR="00990314">
              <w:rPr>
                <w:noProof/>
                <w:webHidden/>
              </w:rPr>
              <w:instrText xml:space="preserve"> PAGEREF _Toc215770614 \h </w:instrText>
            </w:r>
            <w:r w:rsidR="00563D1B">
              <w:rPr>
                <w:noProof/>
                <w:webHidden/>
              </w:rPr>
            </w:r>
            <w:r w:rsidR="00563D1B">
              <w:rPr>
                <w:noProof/>
                <w:webHidden/>
              </w:rPr>
              <w:fldChar w:fldCharType="separate"/>
            </w:r>
            <w:r w:rsidR="00895F21">
              <w:rPr>
                <w:noProof/>
                <w:webHidden/>
              </w:rPr>
              <w:t>20</w:t>
            </w:r>
            <w:r w:rsidR="00563D1B">
              <w:rPr>
                <w:noProof/>
                <w:webHidden/>
              </w:rPr>
              <w:fldChar w:fldCharType="end"/>
            </w:r>
          </w:hyperlink>
        </w:p>
        <w:p w:rsidR="00990314" w:rsidRDefault="00B629B2">
          <w:pPr>
            <w:pStyle w:val="TOC2"/>
            <w:tabs>
              <w:tab w:val="right" w:leader="dot" w:pos="9019"/>
            </w:tabs>
            <w:rPr>
              <w:rFonts w:asciiTheme="minorHAnsi" w:eastAsiaTheme="minorEastAsia" w:hAnsiTheme="minorHAnsi" w:cstheme="minorBidi"/>
              <w:noProof/>
              <w:kern w:val="2"/>
              <w:lang w:val="en-IN"/>
            </w:rPr>
          </w:pPr>
          <w:hyperlink w:anchor="_Toc215770615" w:history="1">
            <w:r w:rsidR="00990314" w:rsidRPr="00206EE6">
              <w:rPr>
                <w:rStyle w:val="Hyperlink"/>
                <w:noProof/>
              </w:rPr>
              <w:t>5.3 Success Metrics &amp; Monitoring Approach</w:t>
            </w:r>
            <w:r w:rsidR="00990314">
              <w:rPr>
                <w:noProof/>
                <w:webHidden/>
              </w:rPr>
              <w:tab/>
            </w:r>
            <w:r w:rsidR="00563D1B">
              <w:rPr>
                <w:noProof/>
                <w:webHidden/>
              </w:rPr>
              <w:fldChar w:fldCharType="begin"/>
            </w:r>
            <w:r w:rsidR="00990314">
              <w:rPr>
                <w:noProof/>
                <w:webHidden/>
              </w:rPr>
              <w:instrText xml:space="preserve"> PAGEREF _Toc215770615 \h </w:instrText>
            </w:r>
            <w:r w:rsidR="00563D1B">
              <w:rPr>
                <w:noProof/>
                <w:webHidden/>
              </w:rPr>
            </w:r>
            <w:r w:rsidR="00563D1B">
              <w:rPr>
                <w:noProof/>
                <w:webHidden/>
              </w:rPr>
              <w:fldChar w:fldCharType="separate"/>
            </w:r>
            <w:r w:rsidR="00895F21">
              <w:rPr>
                <w:noProof/>
                <w:webHidden/>
              </w:rPr>
              <w:t>22</w:t>
            </w:r>
            <w:r w:rsidR="00563D1B">
              <w:rPr>
                <w:noProof/>
                <w:webHidden/>
              </w:rPr>
              <w:fldChar w:fldCharType="end"/>
            </w:r>
          </w:hyperlink>
        </w:p>
        <w:p w:rsidR="00990314" w:rsidRDefault="00B629B2">
          <w:pPr>
            <w:pStyle w:val="TOC1"/>
            <w:tabs>
              <w:tab w:val="right" w:leader="dot" w:pos="9019"/>
            </w:tabs>
            <w:rPr>
              <w:rFonts w:asciiTheme="minorHAnsi" w:eastAsiaTheme="minorEastAsia" w:hAnsiTheme="minorHAnsi" w:cstheme="minorBidi"/>
              <w:noProof/>
              <w:kern w:val="2"/>
              <w:lang w:val="en-IN"/>
            </w:rPr>
          </w:pPr>
          <w:hyperlink w:anchor="_Toc215770616" w:history="1">
            <w:r w:rsidR="00990314" w:rsidRPr="00206EE6">
              <w:rPr>
                <w:rStyle w:val="Hyperlink"/>
                <w:noProof/>
              </w:rPr>
              <w:t>6. Conclusion</w:t>
            </w:r>
            <w:r w:rsidR="00990314">
              <w:rPr>
                <w:noProof/>
                <w:webHidden/>
              </w:rPr>
              <w:tab/>
            </w:r>
            <w:r w:rsidR="00563D1B">
              <w:rPr>
                <w:noProof/>
                <w:webHidden/>
              </w:rPr>
              <w:fldChar w:fldCharType="begin"/>
            </w:r>
            <w:r w:rsidR="00990314">
              <w:rPr>
                <w:noProof/>
                <w:webHidden/>
              </w:rPr>
              <w:instrText xml:space="preserve"> PAGEREF _Toc215770616 \h </w:instrText>
            </w:r>
            <w:r w:rsidR="00563D1B">
              <w:rPr>
                <w:noProof/>
                <w:webHidden/>
              </w:rPr>
            </w:r>
            <w:r w:rsidR="00563D1B">
              <w:rPr>
                <w:noProof/>
                <w:webHidden/>
              </w:rPr>
              <w:fldChar w:fldCharType="separate"/>
            </w:r>
            <w:r w:rsidR="00895F21">
              <w:rPr>
                <w:noProof/>
                <w:webHidden/>
              </w:rPr>
              <w:t>23</w:t>
            </w:r>
            <w:r w:rsidR="00563D1B">
              <w:rPr>
                <w:noProof/>
                <w:webHidden/>
              </w:rPr>
              <w:fldChar w:fldCharType="end"/>
            </w:r>
          </w:hyperlink>
        </w:p>
        <w:p w:rsidR="00990314" w:rsidRDefault="00B629B2">
          <w:pPr>
            <w:pStyle w:val="TOC1"/>
            <w:tabs>
              <w:tab w:val="right" w:leader="dot" w:pos="9019"/>
            </w:tabs>
            <w:rPr>
              <w:rFonts w:asciiTheme="minorHAnsi" w:eastAsiaTheme="minorEastAsia" w:hAnsiTheme="minorHAnsi" w:cstheme="minorBidi"/>
              <w:noProof/>
              <w:kern w:val="2"/>
              <w:lang w:val="en-IN"/>
            </w:rPr>
          </w:pPr>
          <w:hyperlink w:anchor="_Toc215770617" w:history="1">
            <w:r w:rsidR="00990314" w:rsidRPr="00206EE6">
              <w:rPr>
                <w:rStyle w:val="Hyperlink"/>
                <w:noProof/>
              </w:rPr>
              <w:t>References</w:t>
            </w:r>
            <w:r w:rsidR="00990314">
              <w:rPr>
                <w:noProof/>
                <w:webHidden/>
              </w:rPr>
              <w:tab/>
            </w:r>
            <w:r w:rsidR="00563D1B">
              <w:rPr>
                <w:noProof/>
                <w:webHidden/>
              </w:rPr>
              <w:fldChar w:fldCharType="begin"/>
            </w:r>
            <w:r w:rsidR="00990314">
              <w:rPr>
                <w:noProof/>
                <w:webHidden/>
              </w:rPr>
              <w:instrText xml:space="preserve"> PAGEREF _Toc215770617 \h </w:instrText>
            </w:r>
            <w:r w:rsidR="00563D1B">
              <w:rPr>
                <w:noProof/>
                <w:webHidden/>
              </w:rPr>
            </w:r>
            <w:r w:rsidR="00563D1B">
              <w:rPr>
                <w:noProof/>
                <w:webHidden/>
              </w:rPr>
              <w:fldChar w:fldCharType="separate"/>
            </w:r>
            <w:r w:rsidR="00895F21">
              <w:rPr>
                <w:noProof/>
                <w:webHidden/>
              </w:rPr>
              <w:t>24</w:t>
            </w:r>
            <w:r w:rsidR="00563D1B">
              <w:rPr>
                <w:noProof/>
                <w:webHidden/>
              </w:rPr>
              <w:fldChar w:fldCharType="end"/>
            </w:r>
          </w:hyperlink>
        </w:p>
        <w:p w:rsidR="00990314" w:rsidRDefault="00563D1B">
          <w:r>
            <w:rPr>
              <w:b/>
              <w:bCs/>
            </w:rPr>
            <w:fldChar w:fldCharType="end"/>
          </w:r>
        </w:p>
      </w:sdtContent>
    </w:sdt>
    <w:p w:rsidR="00B526C4" w:rsidRDefault="00990314">
      <w:pPr>
        <w:jc w:val="center"/>
        <w:rPr>
          <w:b/>
          <w:bCs/>
          <w:sz w:val="28"/>
          <w:szCs w:val="28"/>
        </w:rPr>
      </w:pPr>
      <w:r>
        <w:br w:type="page"/>
      </w:r>
    </w:p>
    <w:p w:rsidR="00B526C4" w:rsidRDefault="00990314">
      <w:pPr>
        <w:pStyle w:val="Heading1"/>
      </w:pPr>
      <w:bookmarkStart w:id="1" w:name="_y7860a88xekl" w:colFirst="0" w:colLast="0"/>
      <w:bookmarkStart w:id="2" w:name="_Toc215770596"/>
      <w:bookmarkEnd w:id="1"/>
      <w:r>
        <w:lastRenderedPageBreak/>
        <w:t>1. Introduction</w:t>
      </w:r>
      <w:bookmarkEnd w:id="2"/>
      <w:r>
        <w:t xml:space="preserve"> </w:t>
      </w:r>
    </w:p>
    <w:p w:rsidR="00B526C4" w:rsidRPr="00036205" w:rsidRDefault="00990314" w:rsidP="00036205">
      <w:pPr>
        <w:rPr>
          <w:rFonts w:ascii="Arial" w:hAnsi="Arial" w:cs="Arial"/>
        </w:rPr>
      </w:pPr>
      <w:r w:rsidRPr="00036205">
        <w:rPr>
          <w:rFonts w:ascii="Arial" w:hAnsi="Arial" w:cs="Arial"/>
        </w:rPr>
        <w:t>The textile sector is constantly changing, with globalisation boosting supply chain integration, sustainability redefining sourcing behaviours, and consumers increasingly prioritising ethical manufacturing (Rahaman and Khan, 2024). These changes also heighten competition pressures, particularly in markets where regulatory structures are progressively required to enforce reduced carbon emissions, responsible labour, and verifiable traceability. For example, the Corporate Sustainability Due Diligence Directive implemented by the EU and the forced-labour importation ban in Canada have greatly changed the competitive landscape, as suppliers with developed compliance skills are now prioritised (European Parliament, 2022). At the same time, the rapid adoption of technology, including AI-powered supply chain forecasting and monitoring, increases strategic agility, compelling companies to respond promptly to market volatility (Culot, Podrecca, and Nassimbeni, 2024).</w:t>
      </w:r>
    </w:p>
    <w:p w:rsidR="00B526C4" w:rsidRPr="00036205" w:rsidRDefault="00990314" w:rsidP="00036205">
      <w:pPr>
        <w:rPr>
          <w:rFonts w:ascii="Arial" w:hAnsi="Arial" w:cs="Arial"/>
        </w:rPr>
      </w:pPr>
      <w:r w:rsidRPr="00036205">
        <w:rPr>
          <w:rFonts w:ascii="Arial" w:hAnsi="Arial" w:cs="Arial"/>
        </w:rPr>
        <w:t>Square Textiles Ltd is one of the subsidiaries of the diversified Square Group, which specialises in manufacturing textiles and is among the leading producers of products in Bangladesh, demonstrating its ability to respond to emerging global demands (Square Textiles Plc., 2025). The company is established to serve export-oriented markets for textile products and specialises in the production of high-quality yarn and knit fabrics, supported by modern machinery, strong quality assurance programmes, and internationally recognised sustainability certifications. These attributes help companies satisfy the increasingly demanding preferences of international consumers, especially those in developed economies, where socially responsible and green products are currently among the most popular choices (Osei et al., 2023). Furthermore, the company's operational efficiency and high financial performance make it competitive in a sphere characterised by thin margins and intense competition (Hassan, 2023). The report seeks to devise a strategic expansion plan for Square Textiles Ltd. It is divided into four main parts: organisational and market selection, strategic analysis, strategy formulation, and performance evaluation. The sections will together contribute to the rationale for why a sound internationalisation strategy is necessary for continued competitiveness.</w:t>
      </w:r>
    </w:p>
    <w:p w:rsidR="00B526C4" w:rsidRPr="00036205" w:rsidRDefault="00990314" w:rsidP="00036205">
      <w:pPr>
        <w:pStyle w:val="Heading1"/>
        <w:rPr>
          <w:rFonts w:ascii="Arial" w:hAnsi="Arial" w:cs="Arial"/>
          <w:sz w:val="24"/>
          <w:szCs w:val="24"/>
        </w:rPr>
      </w:pPr>
      <w:bookmarkStart w:id="3" w:name="_akck7p6mih2j" w:colFirst="0" w:colLast="0"/>
      <w:bookmarkStart w:id="4" w:name="_Toc215770597"/>
      <w:bookmarkEnd w:id="3"/>
      <w:r w:rsidRPr="00036205">
        <w:rPr>
          <w:rFonts w:ascii="Arial" w:hAnsi="Arial" w:cs="Arial"/>
          <w:sz w:val="24"/>
          <w:szCs w:val="24"/>
        </w:rPr>
        <w:lastRenderedPageBreak/>
        <w:t>2. Selection of Organisation and Target Market</w:t>
      </w:r>
      <w:bookmarkEnd w:id="4"/>
      <w:r w:rsidRPr="00036205">
        <w:rPr>
          <w:rFonts w:ascii="Arial" w:hAnsi="Arial" w:cs="Arial"/>
          <w:sz w:val="24"/>
          <w:szCs w:val="24"/>
        </w:rPr>
        <w:t xml:space="preserve"> </w:t>
      </w:r>
    </w:p>
    <w:p w:rsidR="00B526C4" w:rsidRPr="00036205" w:rsidRDefault="00990314" w:rsidP="00036205">
      <w:pPr>
        <w:pStyle w:val="Heading2"/>
        <w:rPr>
          <w:rFonts w:ascii="Arial" w:hAnsi="Arial" w:cs="Arial"/>
        </w:rPr>
      </w:pPr>
      <w:bookmarkStart w:id="5" w:name="_179pv5luozhr" w:colFirst="0" w:colLast="0"/>
      <w:bookmarkStart w:id="6" w:name="_Toc215770598"/>
      <w:bookmarkEnd w:id="5"/>
      <w:r w:rsidRPr="00036205">
        <w:rPr>
          <w:rFonts w:ascii="Arial" w:hAnsi="Arial" w:cs="Arial"/>
        </w:rPr>
        <w:t>2.1 Justification for Choosing Square Textiles Ltd</w:t>
      </w:r>
      <w:bookmarkEnd w:id="6"/>
    </w:p>
    <w:p w:rsidR="00B526C4" w:rsidRPr="00036205" w:rsidRDefault="00990314" w:rsidP="00036205">
      <w:pPr>
        <w:rPr>
          <w:rFonts w:ascii="Arial" w:hAnsi="Arial" w:cs="Arial"/>
        </w:rPr>
      </w:pPr>
      <w:r w:rsidRPr="00036205">
        <w:rPr>
          <w:rFonts w:ascii="Arial" w:hAnsi="Arial" w:cs="Arial"/>
        </w:rPr>
        <w:t>Square Textiles Ltd is an analytically strong option to consider for international expansion due to its size, operational maturity, and presence in the global value chain. The company has demonstrated a steady increase in revenue and export potential, with Bangladesh reaching USD 47.38 billion in textile exports in FY2023, of which major players such as Square have played prominent roles in maintaining uninterrupted supply agreements with foreign apparel companies (The Daily Star, 2024). Its vertically integrated manufacturing structure, including yarn production, knitting, dyeing, and finishing, enhances cost-effectiveness and facilitates high standards of buyer compliance (Fernandez-Stark et al., 2022). The concept of sustainability is inherent in the firm's strategy, reflected in the use of friendly dyeing processes and wastewater treatment, which reflect changes in the world towards greener procurement (Gök, Selcuk and Feyzioglu, 2025). Also, the availability of rich secondary data, such as financial reports and CSR disclosures, enables rigorous academic research by leveraging modern industry insights (Khan et al., 2020). Such a combination of transparency in operations and information transparency provides a sound basis for evaluating preparedness for expansion.</w:t>
      </w:r>
    </w:p>
    <w:p w:rsidR="00B526C4" w:rsidRPr="00036205" w:rsidRDefault="00990314" w:rsidP="00036205">
      <w:pPr>
        <w:pStyle w:val="Heading2"/>
        <w:rPr>
          <w:rFonts w:ascii="Arial" w:hAnsi="Arial" w:cs="Arial"/>
        </w:rPr>
      </w:pPr>
      <w:bookmarkStart w:id="7" w:name="_2gkvreg6111l" w:colFirst="0" w:colLast="0"/>
      <w:bookmarkStart w:id="8" w:name="_Toc215770599"/>
      <w:bookmarkEnd w:id="7"/>
      <w:r w:rsidRPr="00036205">
        <w:rPr>
          <w:rFonts w:ascii="Arial" w:hAnsi="Arial" w:cs="Arial"/>
        </w:rPr>
        <w:t>2.2 Identification of Potential International Markets</w:t>
      </w:r>
      <w:bookmarkEnd w:id="8"/>
    </w:p>
    <w:p w:rsidR="00B526C4" w:rsidRPr="00036205" w:rsidRDefault="00990314" w:rsidP="00036205">
      <w:pPr>
        <w:rPr>
          <w:rFonts w:ascii="Arial" w:hAnsi="Arial" w:cs="Arial"/>
        </w:rPr>
      </w:pPr>
      <w:r w:rsidRPr="00036205">
        <w:rPr>
          <w:rFonts w:ascii="Arial" w:hAnsi="Arial" w:cs="Arial"/>
        </w:rPr>
        <w:t xml:space="preserve">Various foreign markets are strategically significant for textile exporters due to the growing demand for sustainable clothing, regulatory changes, and purchasing power. The European Union remains a high-value market, with more than 41% of Bangladesh's apparel exports in 2023, owing to high demand for ethically sourced garments (GSP, 2025). The UK also demonstrates continuous growth in demand, with total apparel imports reaching over GBP 23 billion annually and greater interest in supply-chain transparency (UKFT, 2023). Canada is a developing market where clothing imports increased by 13.8% in 2022, driven by trade ties with Bangladesh and zero-duty under its General Preferential Tariff programme (Fibre2Fashion, 2025). Japan also has opportunities in its high-quality textile division and multi-year sourcing agreements with companies in Bangladesh (Apparel Views, 2025). To screen these regions, it is most important to critically assess the tariff structures, market size, regulatory barriers, and level of competitive intensity to identify the best </w:t>
      </w:r>
      <w:r w:rsidRPr="00036205">
        <w:rPr>
          <w:rFonts w:ascii="Arial" w:hAnsi="Arial" w:cs="Arial"/>
        </w:rPr>
        <w:lastRenderedPageBreak/>
        <w:t>market to enter strategically. The comparative analysis thus justifies the choice of the best market that aligns most closely with demand trends and organisational capabilities.</w:t>
      </w:r>
    </w:p>
    <w:p w:rsidR="00B526C4" w:rsidRPr="00036205" w:rsidRDefault="00990314" w:rsidP="00036205">
      <w:pPr>
        <w:jc w:val="center"/>
        <w:rPr>
          <w:rFonts w:ascii="Arial" w:hAnsi="Arial" w:cs="Arial"/>
        </w:rPr>
      </w:pPr>
      <w:r w:rsidRPr="00036205">
        <w:rPr>
          <w:rFonts w:ascii="Arial" w:hAnsi="Arial" w:cs="Arial"/>
          <w:noProof/>
          <w:lang w:val="en-US" w:eastAsia="en-US"/>
        </w:rPr>
        <w:drawing>
          <wp:inline distT="114300" distB="114300" distL="114300" distR="114300">
            <wp:extent cx="5731200" cy="1790700"/>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print"/>
                    <a:srcRect/>
                    <a:stretch>
                      <a:fillRect/>
                    </a:stretch>
                  </pic:blipFill>
                  <pic:spPr>
                    <a:xfrm>
                      <a:off x="0" y="0"/>
                      <a:ext cx="5731200" cy="1790700"/>
                    </a:xfrm>
                    <a:prstGeom prst="rect">
                      <a:avLst/>
                    </a:prstGeom>
                    <a:ln w="12700">
                      <a:solidFill>
                        <a:srgbClr val="000000"/>
                      </a:solidFill>
                      <a:prstDash val="solid"/>
                    </a:ln>
                  </pic:spPr>
                </pic:pic>
              </a:graphicData>
            </a:graphic>
          </wp:inline>
        </w:drawing>
      </w:r>
    </w:p>
    <w:p w:rsidR="00B526C4" w:rsidRPr="00036205" w:rsidRDefault="00990314" w:rsidP="00036205">
      <w:pPr>
        <w:jc w:val="center"/>
        <w:rPr>
          <w:rFonts w:ascii="Arial" w:hAnsi="Arial" w:cs="Arial"/>
          <w:b/>
          <w:bCs/>
        </w:rPr>
      </w:pPr>
      <w:r w:rsidRPr="00036205">
        <w:rPr>
          <w:rFonts w:ascii="Arial" w:hAnsi="Arial" w:cs="Arial"/>
          <w:b/>
          <w:bCs/>
        </w:rPr>
        <w:t>Figure 1: Apparel Exchange of Bangladesh with Japan</w:t>
      </w:r>
    </w:p>
    <w:p w:rsidR="00B526C4" w:rsidRPr="00036205" w:rsidRDefault="00990314" w:rsidP="00036205">
      <w:pPr>
        <w:jc w:val="center"/>
        <w:rPr>
          <w:rFonts w:ascii="Arial" w:hAnsi="Arial" w:cs="Arial"/>
        </w:rPr>
      </w:pPr>
      <w:r w:rsidRPr="00036205">
        <w:rPr>
          <w:rFonts w:ascii="Arial" w:hAnsi="Arial" w:cs="Arial"/>
        </w:rPr>
        <w:t>(Source: Apparel Views, 2025)</w:t>
      </w:r>
    </w:p>
    <w:p w:rsidR="00B526C4" w:rsidRPr="00036205" w:rsidRDefault="00990314" w:rsidP="00036205">
      <w:pPr>
        <w:pStyle w:val="Heading2"/>
        <w:rPr>
          <w:rFonts w:ascii="Arial" w:hAnsi="Arial" w:cs="Arial"/>
        </w:rPr>
      </w:pPr>
      <w:bookmarkStart w:id="9" w:name="_ukt192nfaugp" w:colFirst="0" w:colLast="0"/>
      <w:bookmarkStart w:id="10" w:name="_Toc215770600"/>
      <w:bookmarkEnd w:id="9"/>
      <w:r w:rsidRPr="00036205">
        <w:rPr>
          <w:rFonts w:ascii="Arial" w:hAnsi="Arial" w:cs="Arial"/>
        </w:rPr>
        <w:t>2.3 Selection of the Target Market</w:t>
      </w:r>
      <w:bookmarkEnd w:id="10"/>
    </w:p>
    <w:p w:rsidR="00B526C4" w:rsidRPr="00036205" w:rsidRDefault="00990314" w:rsidP="00036205">
      <w:pPr>
        <w:rPr>
          <w:rFonts w:ascii="Arial" w:hAnsi="Arial" w:cs="Arial"/>
        </w:rPr>
      </w:pPr>
      <w:r w:rsidRPr="00036205">
        <w:rPr>
          <w:rFonts w:ascii="Arial" w:hAnsi="Arial" w:cs="Arial"/>
        </w:rPr>
        <w:t>Canada is the most strategically appropriate market because of its growing demand for sustainable and ethically sourced textiles, a favourable trade environment, and increasing dependence on imports. In 2022, clothing imports into Canada reached USD 12 billion, and sourcing from South Asian manufacturers with inexpensive production processes that reduce carbon emissions was significant (F2F, 2023). The forced-labour laws and sustainability reporting in the country transform sourcing priorities, favouring suppliers with a sophisticated compliance mechanism, such as Square Textiles (Ndure, 2025). In addition, Bangladesh has preferential access to duty under the GPT scheme in Canada, which allows the country to compete more cost-effectively than Chinese and Vietnamese exporters (BTJ, 2023). Consumer surveys also show an increase in environmental awareness, as 67% of Canadian consumers are willing to use sustainably produced garments (Sherry, 2025). The combination of these three regulatory, economic, and consumer-based forces shows that Canada is a target market with a market opportunity and a competitive advantage alignment for Square Textiles. Thus, strategic coherence is the most appropriate market target.</w:t>
      </w:r>
    </w:p>
    <w:p w:rsidR="00B526C4" w:rsidRPr="00036205" w:rsidRDefault="00990314" w:rsidP="00036205">
      <w:pPr>
        <w:pStyle w:val="Heading2"/>
        <w:rPr>
          <w:rFonts w:ascii="Arial" w:hAnsi="Arial" w:cs="Arial"/>
        </w:rPr>
      </w:pPr>
      <w:bookmarkStart w:id="11" w:name="_y9rwz0gq6so0" w:colFirst="0" w:colLast="0"/>
      <w:bookmarkStart w:id="12" w:name="_Toc215770601"/>
      <w:bookmarkEnd w:id="11"/>
      <w:r w:rsidRPr="00036205">
        <w:rPr>
          <w:rFonts w:ascii="Arial" w:hAnsi="Arial" w:cs="Arial"/>
        </w:rPr>
        <w:lastRenderedPageBreak/>
        <w:t>2.4 Strategic Rationale for Selecting the Market</w:t>
      </w:r>
      <w:bookmarkEnd w:id="12"/>
    </w:p>
    <w:p w:rsidR="00B526C4" w:rsidRPr="00036205" w:rsidRDefault="00990314" w:rsidP="00036205">
      <w:pPr>
        <w:rPr>
          <w:rFonts w:ascii="Arial" w:hAnsi="Arial" w:cs="Arial"/>
        </w:rPr>
      </w:pPr>
      <w:r w:rsidRPr="00036205">
        <w:rPr>
          <w:rFonts w:ascii="Arial" w:hAnsi="Arial" w:cs="Arial"/>
        </w:rPr>
        <w:t>The attractiveness of the Canadian market of Canada is reinforced by the presence of steady growth in the apparel consumption, a high level of sustainability orientation and restructuring of the supply chain due to policy reforms. The Canadian clothing retail industry is estimated to have a CAGR of 3.2% from 2024 to 2028, indicating no significant changes in long-term demand for imported textiles (GVR, 2025). The regulatory landscape of the country is moving towards more transparent, traceable, and ethically sourced materials, which offers room for manufacturers whose operations are more compliance-based, such as Square Textiles (Government of Canada, 2024). Competitionally, Canadian retailers are moving out of China due to geopolitical and cost pressures, which is opening up opportunities for producers in Bangladesh with strong sustainability credentials (TextileToday, 2025). Moreover, most Canadian brands, including Lululemon and Roots, are actively incorporating sustainability metrics into their procurement activities, benefiting suppliers of certified low-impact materials (McMillan, 2025). All these sectoral, regulatory, and competitive trends indicate that the Canadian market is a strategic fit for Square Textiles' operations and long-term internationalisation goals.</w:t>
      </w:r>
    </w:p>
    <w:p w:rsidR="00B526C4" w:rsidRPr="00036205" w:rsidRDefault="00990314" w:rsidP="00036205">
      <w:pPr>
        <w:jc w:val="center"/>
        <w:rPr>
          <w:rFonts w:ascii="Arial" w:hAnsi="Arial" w:cs="Arial"/>
        </w:rPr>
      </w:pPr>
      <w:r w:rsidRPr="00036205">
        <w:rPr>
          <w:rFonts w:ascii="Arial" w:hAnsi="Arial" w:cs="Arial"/>
          <w:noProof/>
          <w:lang w:val="en-US" w:eastAsia="en-US"/>
        </w:rPr>
        <w:drawing>
          <wp:inline distT="114300" distB="114300" distL="114300" distR="114300">
            <wp:extent cx="5731200" cy="3454400"/>
            <wp:effectExtent l="12700" t="12700" r="12700" b="12700"/>
            <wp:docPr id="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9" cstate="print"/>
                    <a:srcRect/>
                    <a:stretch>
                      <a:fillRect/>
                    </a:stretch>
                  </pic:blipFill>
                  <pic:spPr>
                    <a:xfrm>
                      <a:off x="0" y="0"/>
                      <a:ext cx="5731200" cy="3454400"/>
                    </a:xfrm>
                    <a:prstGeom prst="rect">
                      <a:avLst/>
                    </a:prstGeom>
                    <a:ln w="12700">
                      <a:solidFill>
                        <a:srgbClr val="000000"/>
                      </a:solidFill>
                      <a:prstDash val="solid"/>
                    </a:ln>
                  </pic:spPr>
                </pic:pic>
              </a:graphicData>
            </a:graphic>
          </wp:inline>
        </w:drawing>
      </w:r>
    </w:p>
    <w:p w:rsidR="00B526C4" w:rsidRPr="00036205" w:rsidRDefault="00990314" w:rsidP="00036205">
      <w:pPr>
        <w:jc w:val="center"/>
        <w:rPr>
          <w:rFonts w:ascii="Arial" w:hAnsi="Arial" w:cs="Arial"/>
          <w:b/>
          <w:bCs/>
        </w:rPr>
      </w:pPr>
      <w:r w:rsidRPr="00036205">
        <w:rPr>
          <w:rFonts w:ascii="Arial" w:hAnsi="Arial" w:cs="Arial"/>
          <w:b/>
          <w:bCs/>
        </w:rPr>
        <w:t>Figure 2: Textile Market of Canada</w:t>
      </w:r>
    </w:p>
    <w:p w:rsidR="00B526C4" w:rsidRPr="00036205" w:rsidRDefault="00990314" w:rsidP="00036205">
      <w:pPr>
        <w:jc w:val="center"/>
        <w:rPr>
          <w:rFonts w:ascii="Arial" w:hAnsi="Arial" w:cs="Arial"/>
        </w:rPr>
      </w:pPr>
      <w:r w:rsidRPr="00036205">
        <w:rPr>
          <w:rFonts w:ascii="Arial" w:hAnsi="Arial" w:cs="Arial"/>
        </w:rPr>
        <w:lastRenderedPageBreak/>
        <w:t>(Source: GVR, 2025)</w:t>
      </w:r>
    </w:p>
    <w:p w:rsidR="00B526C4" w:rsidRPr="00036205" w:rsidRDefault="00990314" w:rsidP="00036205">
      <w:pPr>
        <w:pStyle w:val="Heading1"/>
        <w:rPr>
          <w:rFonts w:ascii="Arial" w:hAnsi="Arial" w:cs="Arial"/>
          <w:sz w:val="24"/>
          <w:szCs w:val="24"/>
        </w:rPr>
      </w:pPr>
      <w:bookmarkStart w:id="13" w:name="_fy8g5wqpyue" w:colFirst="0" w:colLast="0"/>
      <w:bookmarkStart w:id="14" w:name="_Toc215770602"/>
      <w:bookmarkEnd w:id="13"/>
      <w:r w:rsidRPr="00036205">
        <w:rPr>
          <w:rFonts w:ascii="Arial" w:hAnsi="Arial" w:cs="Arial"/>
          <w:sz w:val="24"/>
          <w:szCs w:val="24"/>
        </w:rPr>
        <w:t>3. Comprehensive Strategic Analysis</w:t>
      </w:r>
      <w:bookmarkEnd w:id="14"/>
      <w:r w:rsidRPr="00036205">
        <w:rPr>
          <w:rFonts w:ascii="Arial" w:hAnsi="Arial" w:cs="Arial"/>
          <w:sz w:val="24"/>
          <w:szCs w:val="24"/>
        </w:rPr>
        <w:t xml:space="preserve"> </w:t>
      </w:r>
    </w:p>
    <w:p w:rsidR="00B526C4" w:rsidRPr="00036205" w:rsidRDefault="00990314" w:rsidP="00036205">
      <w:pPr>
        <w:pStyle w:val="Heading2"/>
        <w:rPr>
          <w:rFonts w:ascii="Arial" w:hAnsi="Arial" w:cs="Arial"/>
        </w:rPr>
      </w:pPr>
      <w:bookmarkStart w:id="15" w:name="_5rfwcs2oz2zs" w:colFirst="0" w:colLast="0"/>
      <w:bookmarkStart w:id="16" w:name="_Toc215770603"/>
      <w:bookmarkEnd w:id="15"/>
      <w:r w:rsidRPr="00036205">
        <w:rPr>
          <w:rFonts w:ascii="Arial" w:hAnsi="Arial" w:cs="Arial"/>
        </w:rPr>
        <w:t>3.1 Macro-Environmental Analysis</w:t>
      </w:r>
      <w:bookmarkEnd w:id="16"/>
    </w:p>
    <w:tbl>
      <w:tblPr>
        <w:tblStyle w:val="a"/>
        <w:tblW w:w="9285" w:type="dxa"/>
        <w:tblInd w:w="-1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4800"/>
        <w:gridCol w:w="2730"/>
      </w:tblGrid>
      <w:tr w:rsidR="00B526C4" w:rsidRPr="00036205">
        <w:tc>
          <w:tcPr>
            <w:tcW w:w="1755" w:type="dxa"/>
            <w:tcBorders>
              <w:top w:val="single" w:sz="8" w:space="0" w:color="FFFFFF"/>
              <w:left w:val="single" w:sz="8" w:space="0" w:color="FFFFFF"/>
              <w:bottom w:val="single" w:sz="8" w:space="0" w:color="FFFFFF"/>
              <w:right w:val="single" w:sz="8" w:space="0" w:color="FFFFFF"/>
            </w:tcBorders>
            <w:shd w:val="clear" w:color="auto" w:fill="0C343D"/>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center"/>
              <w:rPr>
                <w:rFonts w:ascii="Arial" w:hAnsi="Arial" w:cs="Arial"/>
                <w:b/>
                <w:bCs/>
                <w:color w:val="FFFFFF"/>
              </w:rPr>
            </w:pPr>
            <w:r w:rsidRPr="00036205">
              <w:rPr>
                <w:rFonts w:ascii="Arial" w:hAnsi="Arial" w:cs="Arial"/>
                <w:b/>
                <w:bCs/>
                <w:color w:val="FFFFFF"/>
              </w:rPr>
              <w:t>Factor</w:t>
            </w:r>
          </w:p>
        </w:tc>
        <w:tc>
          <w:tcPr>
            <w:tcW w:w="4800" w:type="dxa"/>
            <w:tcBorders>
              <w:top w:val="single" w:sz="8" w:space="0" w:color="FFFFFF"/>
              <w:left w:val="single" w:sz="8" w:space="0" w:color="FFFFFF"/>
              <w:bottom w:val="single" w:sz="8" w:space="0" w:color="FFFFFF"/>
              <w:right w:val="single" w:sz="8" w:space="0" w:color="FFFFFF"/>
            </w:tcBorders>
            <w:shd w:val="clear" w:color="auto" w:fill="0C343D"/>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center"/>
              <w:rPr>
                <w:rFonts w:ascii="Arial" w:hAnsi="Arial" w:cs="Arial"/>
                <w:b/>
                <w:bCs/>
                <w:color w:val="FFFFFF"/>
              </w:rPr>
            </w:pPr>
            <w:r w:rsidRPr="00036205">
              <w:rPr>
                <w:rFonts w:ascii="Arial" w:hAnsi="Arial" w:cs="Arial"/>
                <w:b/>
                <w:bCs/>
                <w:color w:val="FFFFFF"/>
              </w:rPr>
              <w:t>Analysis</w:t>
            </w:r>
          </w:p>
        </w:tc>
        <w:tc>
          <w:tcPr>
            <w:tcW w:w="2730" w:type="dxa"/>
            <w:tcBorders>
              <w:top w:val="single" w:sz="8" w:space="0" w:color="FFFFFF"/>
              <w:left w:val="single" w:sz="8" w:space="0" w:color="FFFFFF"/>
              <w:bottom w:val="single" w:sz="8" w:space="0" w:color="FFFFFF"/>
              <w:right w:val="single" w:sz="8" w:space="0" w:color="FFFFFF"/>
            </w:tcBorders>
            <w:shd w:val="clear" w:color="auto" w:fill="0C343D"/>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center"/>
              <w:rPr>
                <w:rFonts w:ascii="Arial" w:hAnsi="Arial" w:cs="Arial"/>
                <w:b/>
                <w:bCs/>
                <w:color w:val="FFFFFF"/>
              </w:rPr>
            </w:pPr>
            <w:r w:rsidRPr="00036205">
              <w:rPr>
                <w:rFonts w:ascii="Arial" w:hAnsi="Arial" w:cs="Arial"/>
                <w:b/>
                <w:bCs/>
                <w:color w:val="FFFFFF"/>
              </w:rPr>
              <w:t>Impact</w:t>
            </w:r>
          </w:p>
        </w:tc>
      </w:tr>
      <w:tr w:rsidR="00B526C4" w:rsidRPr="00036205">
        <w:tc>
          <w:tcPr>
            <w:tcW w:w="1755"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left"/>
              <w:rPr>
                <w:rFonts w:ascii="Arial" w:hAnsi="Arial" w:cs="Arial"/>
                <w:b/>
                <w:bCs/>
              </w:rPr>
            </w:pPr>
            <w:r w:rsidRPr="00036205">
              <w:rPr>
                <w:rFonts w:ascii="Arial" w:hAnsi="Arial" w:cs="Arial"/>
                <w:b/>
                <w:bCs/>
              </w:rPr>
              <w:t>Political</w:t>
            </w:r>
          </w:p>
        </w:tc>
        <w:tc>
          <w:tcPr>
            <w:tcW w:w="480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rPr>
              <w:t>Canada has a stable political context and trade policies that are favourable to low-income exporters through the General Preferential Tariff (GPT), which provides duty-free entry for Bangladeshi textile products (BTJ, 2023). The revisions of the Customs Tariff Act in 2022 led to more scrutiny of documentation, which also made retailers prioritise open suppliers.</w:t>
            </w:r>
          </w:p>
        </w:tc>
        <w:tc>
          <w:tcPr>
            <w:tcW w:w="273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b/>
                <w:bCs/>
                <w:i/>
                <w:iCs/>
              </w:rPr>
              <w:t>Positive:</w:t>
            </w:r>
            <w:r w:rsidRPr="00036205">
              <w:rPr>
                <w:rFonts w:ascii="Arial" w:hAnsi="Arial" w:cs="Arial"/>
              </w:rPr>
              <w:t xml:space="preserve"> Open markets and favouritism toward compliant firms increase export opportunities for transparent firms.</w:t>
            </w:r>
          </w:p>
        </w:tc>
      </w:tr>
      <w:tr w:rsidR="00B526C4" w:rsidRPr="00036205">
        <w:tc>
          <w:tcPr>
            <w:tcW w:w="175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left"/>
              <w:rPr>
                <w:rFonts w:ascii="Arial" w:hAnsi="Arial" w:cs="Arial"/>
                <w:b/>
                <w:bCs/>
              </w:rPr>
            </w:pPr>
            <w:r w:rsidRPr="00036205">
              <w:rPr>
                <w:rFonts w:ascii="Arial" w:hAnsi="Arial" w:cs="Arial"/>
                <w:b/>
                <w:bCs/>
              </w:rPr>
              <w:t>Economic</w:t>
            </w:r>
          </w:p>
        </w:tc>
        <w:tc>
          <w:tcPr>
            <w:tcW w:w="480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rPr>
              <w:t>In 2023, the GDP of Canada was USD 2.14 trillion, which is also fueled by high household spending, which increased the demand for apparel (Statista, 2023). Inflation increases consumer price sensitivity, and the fact that 16.3% of imports in 2022 are apparel means that dependence on external suppliers is maintained (F2F, 2022).</w:t>
            </w:r>
          </w:p>
        </w:tc>
        <w:tc>
          <w:tcPr>
            <w:tcW w:w="273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b/>
                <w:bCs/>
                <w:i/>
                <w:iCs/>
              </w:rPr>
              <w:t>Positive:</w:t>
            </w:r>
            <w:r w:rsidRPr="00036205">
              <w:rPr>
                <w:rFonts w:ascii="Arial" w:hAnsi="Arial" w:cs="Arial"/>
              </w:rPr>
              <w:t xml:space="preserve"> High import dependency and cost-based retail demand favour efficient and competitive exporters.</w:t>
            </w:r>
          </w:p>
        </w:tc>
      </w:tr>
      <w:tr w:rsidR="00B526C4" w:rsidRPr="00036205">
        <w:tc>
          <w:tcPr>
            <w:tcW w:w="1755"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left"/>
              <w:rPr>
                <w:rFonts w:ascii="Arial" w:hAnsi="Arial" w:cs="Arial"/>
                <w:b/>
                <w:bCs/>
              </w:rPr>
            </w:pPr>
            <w:r w:rsidRPr="00036205">
              <w:rPr>
                <w:rFonts w:ascii="Arial" w:hAnsi="Arial" w:cs="Arial"/>
                <w:b/>
                <w:bCs/>
              </w:rPr>
              <w:t>Social</w:t>
            </w:r>
          </w:p>
        </w:tc>
        <w:tc>
          <w:tcPr>
            <w:tcW w:w="480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rPr>
              <w:t>Ethical and sustainable clothing is becoming popular among Canadian consumers, with 67% willing to pay higher prices for sustainably made clothing (Sherry, 2025). The discourse on labour ethics affects retail selection practices.</w:t>
            </w:r>
          </w:p>
        </w:tc>
        <w:tc>
          <w:tcPr>
            <w:tcW w:w="273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b/>
                <w:bCs/>
                <w:i/>
                <w:iCs/>
              </w:rPr>
              <w:t>Positive:</w:t>
            </w:r>
            <w:r w:rsidRPr="00036205">
              <w:rPr>
                <w:rFonts w:ascii="Arial" w:hAnsi="Arial" w:cs="Arial"/>
              </w:rPr>
              <w:t xml:space="preserve"> Sustainability and labour-compliance expectations, which aim to attract responsible suppliers, increase their appeal.</w:t>
            </w:r>
          </w:p>
        </w:tc>
      </w:tr>
      <w:tr w:rsidR="00B526C4" w:rsidRPr="00036205">
        <w:tc>
          <w:tcPr>
            <w:tcW w:w="175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left"/>
              <w:rPr>
                <w:rFonts w:ascii="Arial" w:hAnsi="Arial" w:cs="Arial"/>
                <w:b/>
                <w:bCs/>
              </w:rPr>
            </w:pPr>
            <w:r w:rsidRPr="00036205">
              <w:rPr>
                <w:rFonts w:ascii="Arial" w:hAnsi="Arial" w:cs="Arial"/>
                <w:b/>
                <w:bCs/>
              </w:rPr>
              <w:t>Technological</w:t>
            </w:r>
          </w:p>
        </w:tc>
        <w:tc>
          <w:tcPr>
            <w:tcW w:w="480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rPr>
              <w:t xml:space="preserve">Retailers are also embracing AI-powered forecasting and blockchain traceability </w:t>
            </w:r>
            <w:r w:rsidRPr="00036205">
              <w:rPr>
                <w:rFonts w:ascii="Arial" w:hAnsi="Arial" w:cs="Arial"/>
              </w:rPr>
              <w:lastRenderedPageBreak/>
              <w:t>solutions, similar to Lululemon's case (Xiao, 2025). Automation of industries 4.0, digital monitoring and compliance tracking have become a competitive standard.</w:t>
            </w:r>
          </w:p>
        </w:tc>
        <w:tc>
          <w:tcPr>
            <w:tcW w:w="273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b/>
                <w:bCs/>
                <w:i/>
                <w:iCs/>
              </w:rPr>
              <w:lastRenderedPageBreak/>
              <w:t>Negative:</w:t>
            </w:r>
            <w:r w:rsidRPr="00036205">
              <w:rPr>
                <w:rFonts w:ascii="Arial" w:hAnsi="Arial" w:cs="Arial"/>
              </w:rPr>
              <w:t xml:space="preserve"> Suppliers that are not </w:t>
            </w:r>
            <w:r w:rsidRPr="00036205">
              <w:rPr>
                <w:rFonts w:ascii="Arial" w:hAnsi="Arial" w:cs="Arial"/>
              </w:rPr>
              <w:lastRenderedPageBreak/>
              <w:t>technologically integrated have limited access to digital supply chains.</w:t>
            </w:r>
          </w:p>
        </w:tc>
      </w:tr>
      <w:tr w:rsidR="00B526C4" w:rsidRPr="00036205">
        <w:tc>
          <w:tcPr>
            <w:tcW w:w="1755"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left"/>
              <w:rPr>
                <w:rFonts w:ascii="Arial" w:hAnsi="Arial" w:cs="Arial"/>
                <w:b/>
                <w:bCs/>
              </w:rPr>
            </w:pPr>
            <w:r w:rsidRPr="00036205">
              <w:rPr>
                <w:rFonts w:ascii="Arial" w:hAnsi="Arial" w:cs="Arial"/>
                <w:b/>
                <w:bCs/>
              </w:rPr>
              <w:lastRenderedPageBreak/>
              <w:t>Legal</w:t>
            </w:r>
          </w:p>
        </w:tc>
        <w:tc>
          <w:tcPr>
            <w:tcW w:w="480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rPr>
              <w:t>Canada has stringent import requirements, including labelling legislation, a ban on certain chemicals, and disclosure requirements for high-risk supply chains (Government of Canada, 2022). Forced-labour regulations have led to shipment detentions due to insufficient documentation.</w:t>
            </w:r>
          </w:p>
        </w:tc>
        <w:tc>
          <w:tcPr>
            <w:tcW w:w="273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b/>
                <w:bCs/>
                <w:i/>
                <w:iCs/>
              </w:rPr>
              <w:t>Negative:</w:t>
            </w:r>
            <w:r w:rsidRPr="00036205">
              <w:rPr>
                <w:rFonts w:ascii="Arial" w:hAnsi="Arial" w:cs="Arial"/>
              </w:rPr>
              <w:t xml:space="preserve"> High compliance would raise operational costs and expose exporters to greater risks of import approval.</w:t>
            </w:r>
          </w:p>
        </w:tc>
      </w:tr>
      <w:tr w:rsidR="00B526C4" w:rsidRPr="00036205">
        <w:tc>
          <w:tcPr>
            <w:tcW w:w="175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widowControl w:val="0"/>
              <w:pBdr>
                <w:top w:val="nil"/>
                <w:left w:val="nil"/>
                <w:bottom w:val="nil"/>
                <w:right w:val="nil"/>
                <w:between w:val="nil"/>
              </w:pBdr>
              <w:spacing w:before="0"/>
              <w:jc w:val="left"/>
              <w:rPr>
                <w:rFonts w:ascii="Arial" w:hAnsi="Arial" w:cs="Arial"/>
                <w:b/>
                <w:bCs/>
              </w:rPr>
            </w:pPr>
            <w:r w:rsidRPr="00036205">
              <w:rPr>
                <w:rFonts w:ascii="Arial" w:hAnsi="Arial" w:cs="Arial"/>
                <w:b/>
                <w:bCs/>
              </w:rPr>
              <w:t>Environmental</w:t>
            </w:r>
          </w:p>
        </w:tc>
        <w:tc>
          <w:tcPr>
            <w:tcW w:w="480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rPr>
              <w:t>Canada is accelerating policies to support a low-carbon transition and reduce waste in textile imports (Government of Canada, 2024). Regulators highlight circularity and extended producer responsibility in response to high levels of textile waste.</w:t>
            </w:r>
          </w:p>
        </w:tc>
        <w:tc>
          <w:tcPr>
            <w:tcW w:w="273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rsidR="00B526C4" w:rsidRPr="00036205" w:rsidRDefault="00990314" w:rsidP="00036205">
            <w:pPr>
              <w:spacing w:before="0"/>
              <w:rPr>
                <w:rFonts w:ascii="Arial" w:hAnsi="Arial" w:cs="Arial"/>
              </w:rPr>
            </w:pPr>
            <w:r w:rsidRPr="00036205">
              <w:rPr>
                <w:rFonts w:ascii="Arial" w:hAnsi="Arial" w:cs="Arial"/>
                <w:b/>
                <w:bCs/>
                <w:i/>
                <w:iCs/>
              </w:rPr>
              <w:t>Positive:</w:t>
            </w:r>
            <w:r w:rsidRPr="00036205">
              <w:rPr>
                <w:rFonts w:ascii="Arial" w:hAnsi="Arial" w:cs="Arial"/>
              </w:rPr>
              <w:t xml:space="preserve"> Canadian retailers are becoming more willing to work with manufacturers that have low emissions and strong waste-management practices.</w:t>
            </w:r>
          </w:p>
        </w:tc>
      </w:tr>
    </w:tbl>
    <w:p w:rsidR="00B526C4" w:rsidRPr="00036205" w:rsidRDefault="00990314" w:rsidP="00036205">
      <w:pPr>
        <w:jc w:val="center"/>
        <w:rPr>
          <w:rFonts w:ascii="Arial" w:hAnsi="Arial" w:cs="Arial"/>
          <w:b/>
          <w:bCs/>
        </w:rPr>
      </w:pPr>
      <w:r w:rsidRPr="00036205">
        <w:rPr>
          <w:rFonts w:ascii="Arial" w:hAnsi="Arial" w:cs="Arial"/>
          <w:b/>
          <w:bCs/>
        </w:rPr>
        <w:t>Table 1: PESTLE Analysis</w:t>
      </w:r>
    </w:p>
    <w:p w:rsidR="00B526C4" w:rsidRPr="00036205" w:rsidRDefault="00990314" w:rsidP="00036205">
      <w:pPr>
        <w:jc w:val="center"/>
        <w:rPr>
          <w:rFonts w:ascii="Arial" w:hAnsi="Arial" w:cs="Arial"/>
        </w:rPr>
      </w:pPr>
      <w:r w:rsidRPr="00036205">
        <w:rPr>
          <w:rFonts w:ascii="Arial" w:hAnsi="Arial" w:cs="Arial"/>
        </w:rPr>
        <w:t>(Source: Author)</w:t>
      </w:r>
    </w:p>
    <w:p w:rsidR="00B526C4" w:rsidRPr="00036205" w:rsidRDefault="00990314" w:rsidP="00036205">
      <w:pPr>
        <w:jc w:val="center"/>
        <w:rPr>
          <w:rFonts w:ascii="Arial" w:hAnsi="Arial" w:cs="Arial"/>
        </w:rPr>
      </w:pPr>
      <w:r w:rsidRPr="00036205">
        <w:rPr>
          <w:rFonts w:ascii="Arial" w:hAnsi="Arial" w:cs="Arial"/>
          <w:noProof/>
          <w:lang w:val="en-US" w:eastAsia="en-US"/>
        </w:rPr>
        <w:lastRenderedPageBreak/>
        <w:drawing>
          <wp:inline distT="114300" distB="114300" distL="114300" distR="114300">
            <wp:extent cx="5731200" cy="36322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731200" cy="3632200"/>
                    </a:xfrm>
                    <a:prstGeom prst="rect">
                      <a:avLst/>
                    </a:prstGeom>
                    <a:ln/>
                  </pic:spPr>
                </pic:pic>
              </a:graphicData>
            </a:graphic>
          </wp:inline>
        </w:drawing>
      </w:r>
    </w:p>
    <w:p w:rsidR="00B526C4" w:rsidRPr="00036205" w:rsidRDefault="00990314" w:rsidP="00036205">
      <w:pPr>
        <w:jc w:val="center"/>
        <w:rPr>
          <w:rFonts w:ascii="Arial" w:hAnsi="Arial" w:cs="Arial"/>
          <w:b/>
          <w:bCs/>
        </w:rPr>
      </w:pPr>
      <w:r w:rsidRPr="00036205">
        <w:rPr>
          <w:rFonts w:ascii="Arial" w:hAnsi="Arial" w:cs="Arial"/>
          <w:b/>
          <w:bCs/>
        </w:rPr>
        <w:t>Figure 3: GDP of Canada</w:t>
      </w:r>
    </w:p>
    <w:p w:rsidR="00B526C4" w:rsidRPr="00036205" w:rsidRDefault="00990314" w:rsidP="00036205">
      <w:pPr>
        <w:jc w:val="center"/>
        <w:rPr>
          <w:rFonts w:ascii="Arial" w:hAnsi="Arial" w:cs="Arial"/>
        </w:rPr>
      </w:pPr>
      <w:r w:rsidRPr="00036205">
        <w:rPr>
          <w:rFonts w:ascii="Arial" w:hAnsi="Arial" w:cs="Arial"/>
        </w:rPr>
        <w:t>(Source: Statista, 2023)</w:t>
      </w:r>
    </w:p>
    <w:p w:rsidR="00B526C4" w:rsidRPr="00036205" w:rsidRDefault="00990314" w:rsidP="00036205">
      <w:pPr>
        <w:jc w:val="left"/>
        <w:rPr>
          <w:rFonts w:ascii="Arial" w:hAnsi="Arial" w:cs="Arial"/>
          <w:b/>
          <w:bCs/>
          <w:i/>
          <w:iCs/>
        </w:rPr>
      </w:pPr>
      <w:r w:rsidRPr="00036205">
        <w:rPr>
          <w:rFonts w:ascii="Arial" w:hAnsi="Arial" w:cs="Arial"/>
          <w:b/>
          <w:bCs/>
          <w:i/>
          <w:iCs/>
        </w:rPr>
        <w:t>Analysis:</w:t>
      </w:r>
    </w:p>
    <w:p w:rsidR="00B526C4" w:rsidRPr="00036205" w:rsidRDefault="00990314" w:rsidP="00036205">
      <w:pPr>
        <w:rPr>
          <w:rFonts w:ascii="Arial" w:hAnsi="Arial" w:cs="Arial"/>
        </w:rPr>
      </w:pPr>
      <w:r w:rsidRPr="00036205">
        <w:rPr>
          <w:rFonts w:ascii="Arial" w:hAnsi="Arial" w:cs="Arial"/>
        </w:rPr>
        <w:t>The PESTLE analysis has shown that Canada offers a strategically favourable environment to ethically compliant and technologically capable textile exporters. Clear opportunities are driven by political motivations, strong economic demand, and sustainability-driven consumer behaviour, whereas technological and legal pressures on capabilities create entry barriers. The market is enthusiastic about openness, emission-free production, and affordability, as it may imply that companies with progressive compliance and production frameworks will gain a competitive edge and fit well within the expansion agenda.</w:t>
      </w:r>
    </w:p>
    <w:p w:rsidR="00B526C4" w:rsidRPr="00036205" w:rsidRDefault="00990314" w:rsidP="00036205">
      <w:pPr>
        <w:jc w:val="left"/>
        <w:rPr>
          <w:rFonts w:ascii="Arial" w:hAnsi="Arial" w:cs="Arial"/>
          <w:b/>
          <w:bCs/>
          <w:i/>
          <w:iCs/>
        </w:rPr>
      </w:pPr>
      <w:r w:rsidRPr="00036205">
        <w:rPr>
          <w:rFonts w:ascii="Arial" w:hAnsi="Arial" w:cs="Arial"/>
          <w:b/>
          <w:bCs/>
          <w:i/>
          <w:iCs/>
        </w:rPr>
        <w:t>Effectiveness and Limitations of PESTLE Analysis</w:t>
      </w:r>
    </w:p>
    <w:p w:rsidR="00B526C4" w:rsidRPr="00036205" w:rsidRDefault="00990314" w:rsidP="00036205">
      <w:pPr>
        <w:rPr>
          <w:rFonts w:ascii="Arial" w:hAnsi="Arial" w:cs="Arial"/>
        </w:rPr>
      </w:pPr>
      <w:r w:rsidRPr="00036205">
        <w:rPr>
          <w:rFonts w:ascii="Arial" w:hAnsi="Arial" w:cs="Arial"/>
        </w:rPr>
        <w:t xml:space="preserve">The PESTLE framework provides a systematic perspective on the external environment relevant to Square Textiles Ltd's expansion into Canada. It can therefore serve as a good starting point for gaining insight into macro-level forces. It provides a systematic classification of the political, economic, social, technological, </w:t>
      </w:r>
      <w:r w:rsidRPr="00036205">
        <w:rPr>
          <w:rFonts w:ascii="Arial" w:hAnsi="Arial" w:cs="Arial"/>
        </w:rPr>
        <w:lastRenderedPageBreak/>
        <w:t>legal, and environmental forces that enables a thorough evaluation of regulatory expectations, sustainability pressures, and market dynamics influencing international entry decisions. This generalised view is especially helpful when textile exporters are part of the multifaceted global value chains, with external volatility directly related to sourcing preferences, trade conditions, and trade compliance requirements (Fernandez-Stark et al., 2022). By emphasising aspects like sustainable consumer behaviour in Canada and strict labour laws, the framework assists in positioning the competitive advantages of Square Textiles, its transparency, certifications and efficiency, in line with the expectations of the market.</w:t>
      </w:r>
    </w:p>
    <w:p w:rsidR="00B526C4" w:rsidRPr="00036205" w:rsidRDefault="00990314" w:rsidP="00036205">
      <w:pPr>
        <w:rPr>
          <w:rFonts w:ascii="Arial" w:hAnsi="Arial" w:cs="Arial"/>
        </w:rPr>
      </w:pPr>
      <w:r w:rsidRPr="00036205">
        <w:rPr>
          <w:rFonts w:ascii="Arial" w:hAnsi="Arial" w:cs="Arial"/>
        </w:rPr>
        <w:t>Nevertheless, the PESTLE model has significant flaws. It is descriptive in nature and lacks explicit information on the relative intensity or strategic importance of each factor, which presents difficulties for prioritisation in highly dynamic settings (Mostafa, 2025). The assumption of stability in the external environment is problematic in the context of changing trade regulations, digitalisation trends and disruptions in the global supply chain. Moreover, PESTLE separates the dimensions and ignores interdependencies, such as how regulatory pressure increases technological adoption or how environmental regulations affect consumer behaviour. These relations are essential to the modern textile industry (Hill and Jones, 2020). Nevertheless, these shortcomings do not render PESTLE useless when paired with more analytical instruments, which enable clearer interpretation of the strategy and, in this case, decisions grounded in evidence to expand Square Textiles internationally.</w:t>
      </w:r>
    </w:p>
    <w:p w:rsidR="00B526C4" w:rsidRPr="00036205" w:rsidRDefault="00990314" w:rsidP="00036205">
      <w:pPr>
        <w:pStyle w:val="Heading2"/>
        <w:rPr>
          <w:rFonts w:ascii="Arial" w:hAnsi="Arial" w:cs="Arial"/>
        </w:rPr>
      </w:pPr>
      <w:bookmarkStart w:id="17" w:name="_stoc1qqwvnqm" w:colFirst="0" w:colLast="0"/>
      <w:bookmarkStart w:id="18" w:name="_Toc215770604"/>
      <w:bookmarkEnd w:id="17"/>
      <w:r w:rsidRPr="00036205">
        <w:rPr>
          <w:rFonts w:ascii="Arial" w:hAnsi="Arial" w:cs="Arial"/>
        </w:rPr>
        <w:t>3.2 Industry Competitiveness</w:t>
      </w:r>
      <w:bookmarkEnd w:id="18"/>
    </w:p>
    <w:p w:rsidR="00B526C4" w:rsidRPr="00036205" w:rsidRDefault="00990314" w:rsidP="00036205">
      <w:pPr>
        <w:rPr>
          <w:rFonts w:ascii="Arial" w:hAnsi="Arial" w:cs="Arial"/>
          <w:b/>
          <w:bCs/>
          <w:i/>
          <w:iCs/>
        </w:rPr>
      </w:pPr>
      <w:r w:rsidRPr="00036205">
        <w:rPr>
          <w:rFonts w:ascii="Arial" w:hAnsi="Arial" w:cs="Arial"/>
          <w:b/>
          <w:bCs/>
          <w:i/>
          <w:iCs/>
        </w:rPr>
        <w:t>Threat of New Entrants</w:t>
      </w:r>
    </w:p>
    <w:p w:rsidR="00B526C4" w:rsidRPr="00036205" w:rsidRDefault="00990314" w:rsidP="00036205">
      <w:pPr>
        <w:rPr>
          <w:rFonts w:ascii="Arial" w:hAnsi="Arial" w:cs="Arial"/>
        </w:rPr>
      </w:pPr>
      <w:r w:rsidRPr="00036205">
        <w:rPr>
          <w:rFonts w:ascii="Arial" w:hAnsi="Arial" w:cs="Arial"/>
        </w:rPr>
        <w:t xml:space="preserve">The clothing manufacturing sector worldwide requires substantial capital investment in contemporary production plants, adherence to labour and sustainability requirements, and effective supply chains, all of which discourage potential entrants. The cost of building a comparable facility, as with the established firms, could be multi-million-dollar expenditures on technology, quality arrangements, and certifications. Scale economies support the big players in the global apparel market. As the apparel industry is projected to be worth USD 1.84 trillion in 2025, new players will find it hard to compete amid price wars, given these economies </w:t>
      </w:r>
      <w:r w:rsidRPr="00036205">
        <w:rPr>
          <w:rFonts w:ascii="Arial" w:hAnsi="Arial" w:cs="Arial"/>
        </w:rPr>
        <w:lastRenderedPageBreak/>
        <w:t>(Fiber2Fashion, 2025). As a result, potential entrants to vertically integrated exporters such as Square Textiles Ltd have a low to moderate threat.</w:t>
      </w:r>
    </w:p>
    <w:p w:rsidR="00B526C4" w:rsidRPr="00036205" w:rsidRDefault="00990314" w:rsidP="00036205">
      <w:pPr>
        <w:rPr>
          <w:rFonts w:ascii="Arial" w:hAnsi="Arial" w:cs="Arial"/>
          <w:b/>
          <w:bCs/>
          <w:i/>
          <w:iCs/>
        </w:rPr>
      </w:pPr>
      <w:r w:rsidRPr="00036205">
        <w:rPr>
          <w:rFonts w:ascii="Arial" w:hAnsi="Arial" w:cs="Arial"/>
          <w:b/>
          <w:bCs/>
          <w:i/>
          <w:iCs/>
        </w:rPr>
        <w:t>Supplier Bargaining Power.</w:t>
      </w:r>
    </w:p>
    <w:p w:rsidR="00B526C4" w:rsidRPr="00036205" w:rsidRDefault="00990314" w:rsidP="00036205">
      <w:pPr>
        <w:rPr>
          <w:rFonts w:ascii="Arial" w:hAnsi="Arial" w:cs="Arial"/>
        </w:rPr>
      </w:pPr>
      <w:r w:rsidRPr="00036205">
        <w:rPr>
          <w:rFonts w:ascii="Arial" w:hAnsi="Arial" w:cs="Arial"/>
        </w:rPr>
        <w:t>When it comes to speciality yarns, sustainable fibre or certified dyes, suppliers possess considerable power in situations where there is no choice. As an example, PVH Corp. procures 45% of its premium fabrics from only 12 specialised suppliers, indicating the leverage that concentrated suppliers possess (DCF, 2025). Companies such as Square Textiles that take sustainability and compliance seriously could experience moderate or high supplier power due to switching costs and the limited availability of certified inputs.</w:t>
      </w:r>
    </w:p>
    <w:p w:rsidR="00B526C4" w:rsidRPr="00036205" w:rsidRDefault="00990314" w:rsidP="00036205">
      <w:pPr>
        <w:rPr>
          <w:rFonts w:ascii="Arial" w:hAnsi="Arial" w:cs="Arial"/>
          <w:b/>
          <w:bCs/>
          <w:i/>
          <w:iCs/>
        </w:rPr>
      </w:pPr>
      <w:r w:rsidRPr="00036205">
        <w:rPr>
          <w:rFonts w:ascii="Arial" w:hAnsi="Arial" w:cs="Arial"/>
          <w:b/>
          <w:bCs/>
          <w:i/>
          <w:iCs/>
        </w:rPr>
        <w:t>Bargaining Power of Buyers</w:t>
      </w:r>
    </w:p>
    <w:p w:rsidR="00B526C4" w:rsidRPr="00036205" w:rsidRDefault="00990314" w:rsidP="00036205">
      <w:pPr>
        <w:rPr>
          <w:rFonts w:ascii="Arial" w:hAnsi="Arial" w:cs="Arial"/>
        </w:rPr>
      </w:pPr>
      <w:r w:rsidRPr="00036205">
        <w:rPr>
          <w:rFonts w:ascii="Arial" w:hAnsi="Arial" w:cs="Arial"/>
        </w:rPr>
        <w:t>Brands and importers have high bargaining power because there are more than 432,000 manufacturing companies worldwide (Takacs et al., 2022). Buyer power is strong in high-volume products that can be readily differentiated, such as standard knitwear, where buyers can insist on tight margins and exert price pressure.</w:t>
      </w:r>
    </w:p>
    <w:p w:rsidR="00B526C4" w:rsidRPr="00036205" w:rsidRDefault="00990314" w:rsidP="00036205">
      <w:pPr>
        <w:rPr>
          <w:rFonts w:ascii="Arial" w:hAnsi="Arial" w:cs="Arial"/>
          <w:b/>
          <w:bCs/>
          <w:i/>
          <w:iCs/>
        </w:rPr>
      </w:pPr>
      <w:r w:rsidRPr="00036205">
        <w:rPr>
          <w:rFonts w:ascii="Arial" w:hAnsi="Arial" w:cs="Arial"/>
          <w:b/>
          <w:bCs/>
          <w:i/>
          <w:iCs/>
        </w:rPr>
        <w:t>Threat of Substitutes</w:t>
      </w:r>
    </w:p>
    <w:p w:rsidR="00B526C4" w:rsidRPr="00036205" w:rsidRDefault="00990314" w:rsidP="00036205">
      <w:pPr>
        <w:rPr>
          <w:rFonts w:ascii="Arial" w:hAnsi="Arial" w:cs="Arial"/>
        </w:rPr>
      </w:pPr>
      <w:r w:rsidRPr="00036205">
        <w:rPr>
          <w:rFonts w:ascii="Arial" w:hAnsi="Arial" w:cs="Arial"/>
        </w:rPr>
        <w:t>Second-hand clothes, rental fashion, and fast-fashion products are substitutes. The rising resale market, estimated to reach hundreds of billions of dollars by the mid-2020s, and low-priced fast-fashion solutions pose a serious threat, especially regarding commoditised, low-quality textiles (F2F, 2021). This puts strain on companies to be innovative and competitive.</w:t>
      </w:r>
    </w:p>
    <w:p w:rsidR="00B526C4" w:rsidRPr="00036205" w:rsidRDefault="00990314" w:rsidP="00036205">
      <w:pPr>
        <w:rPr>
          <w:rFonts w:ascii="Arial" w:hAnsi="Arial" w:cs="Arial"/>
          <w:b/>
          <w:bCs/>
          <w:i/>
          <w:iCs/>
        </w:rPr>
      </w:pPr>
      <w:r w:rsidRPr="00036205">
        <w:rPr>
          <w:rFonts w:ascii="Arial" w:hAnsi="Arial" w:cs="Arial"/>
          <w:b/>
          <w:bCs/>
          <w:i/>
          <w:iCs/>
        </w:rPr>
        <w:t>Competitive Rivalry</w:t>
      </w:r>
    </w:p>
    <w:p w:rsidR="00B526C4" w:rsidRPr="00036205" w:rsidRDefault="00990314" w:rsidP="00036205">
      <w:pPr>
        <w:rPr>
          <w:rFonts w:ascii="Arial" w:hAnsi="Arial" w:cs="Arial"/>
        </w:rPr>
      </w:pPr>
      <w:r w:rsidRPr="00036205">
        <w:rPr>
          <w:rFonts w:ascii="Arial" w:hAnsi="Arial" w:cs="Arial"/>
        </w:rPr>
        <w:t>The global clothing market is highly competitive, and several manufacturers in Bangladesh, Vietnam, and China produce similar fabrics. Competition is based on price, conformity, speed and reliability. Competition is intense in a USD 1.84 trillion market, motivating companies to differentiate through sustainability, efficiency, and technological potential (Fiber2Fashion, 2025). This renders strategic innovation a key to long-term competitive survival.</w:t>
      </w:r>
    </w:p>
    <w:p w:rsidR="00B526C4" w:rsidRPr="00036205" w:rsidRDefault="00990314" w:rsidP="00036205">
      <w:pPr>
        <w:rPr>
          <w:rFonts w:ascii="Arial" w:hAnsi="Arial" w:cs="Arial"/>
          <w:b/>
          <w:bCs/>
        </w:rPr>
      </w:pPr>
      <w:r w:rsidRPr="00036205">
        <w:rPr>
          <w:rFonts w:ascii="Arial" w:hAnsi="Arial" w:cs="Arial"/>
          <w:b/>
          <w:bCs/>
        </w:rPr>
        <w:t>Critical Evaluation:</w:t>
      </w:r>
    </w:p>
    <w:p w:rsidR="00B526C4" w:rsidRPr="00036205" w:rsidRDefault="00990314" w:rsidP="00036205">
      <w:pPr>
        <w:rPr>
          <w:rFonts w:ascii="Arial" w:hAnsi="Arial" w:cs="Arial"/>
        </w:rPr>
      </w:pPr>
      <w:r w:rsidRPr="00036205">
        <w:rPr>
          <w:rFonts w:ascii="Arial" w:hAnsi="Arial" w:cs="Arial"/>
        </w:rPr>
        <w:lastRenderedPageBreak/>
        <w:t>Porter's Five Forces analysis will reveal that the strategic environment of firms like Square Textiles Ltd is highly competitive. These are moderate-to-low risks of new entrants due to the high capital requirements, strict compliance standards, and scale economies inherent in an industry worth USD 1.84 trillion (Fiber2Fashion, 2025). Although this evaluation assumes that barriers to entry will not decrease in the near future, as technological changes such as automated manufacturing or digital supply chain tools are implemented. With increased access to production technology, future entrants may be able to enter the market at a lower cost, thereby changing the level of threat. Supplier bargaining power is rightly described as moderate to high in companies that use specialised or certified inputs. The suppliers are concentrated, as mentioned in the case of PVH Corp., which utilised 12 suppliers alone to supply 45% of premium fabrics (DCF, 2025). Nevertheless, the assessment can continue to examine how long-term contracts, vertical integration into spinning, or strategic alliances can neutralise this dependence among companies such as Square Textiles.</w:t>
      </w:r>
    </w:p>
    <w:p w:rsidR="00B526C4" w:rsidRPr="00036205" w:rsidRDefault="00990314" w:rsidP="00036205">
      <w:pPr>
        <w:rPr>
          <w:rFonts w:ascii="Arial" w:hAnsi="Arial" w:cs="Arial"/>
        </w:rPr>
      </w:pPr>
      <w:r w:rsidRPr="00036205">
        <w:rPr>
          <w:rFonts w:ascii="Arial" w:hAnsi="Arial" w:cs="Arial"/>
        </w:rPr>
        <w:t>Buyer power is described as high, as there are over 432,000 manufacturers worldwide (Takacs et al., 2022). The criticism, in this case, is that not all buyers face the same level of pressure: premium brands do not necessarily have to negotiate in the same way as fast-fashion customers, so buyer power should be segmented. The initial analysis does not take this fact into account. The intensity of the threat from substitutes and competition is rightly assessed as high, and resale-market and fast-fashion substitutes are growing rapidly (F2F, 2021; Fiber2Fashion, 2025). Nevertheless, the analysis would be even more useful if we consider that firms with a high level of innovation or sustainability can partially cushion these pressures, showing that industry forces do not necessarily limit all players.</w:t>
      </w:r>
    </w:p>
    <w:p w:rsidR="00B526C4" w:rsidRPr="00036205" w:rsidRDefault="00990314" w:rsidP="00036205">
      <w:pPr>
        <w:pStyle w:val="Heading2"/>
        <w:rPr>
          <w:rFonts w:ascii="Arial" w:hAnsi="Arial" w:cs="Arial"/>
        </w:rPr>
      </w:pPr>
      <w:bookmarkStart w:id="19" w:name="_sm1on2ndjql7" w:colFirst="0" w:colLast="0"/>
      <w:bookmarkStart w:id="20" w:name="_Toc215770605"/>
      <w:bookmarkEnd w:id="19"/>
      <w:r w:rsidRPr="00036205">
        <w:rPr>
          <w:rFonts w:ascii="Arial" w:hAnsi="Arial" w:cs="Arial"/>
        </w:rPr>
        <w:t>3.3 Effectiveness and Limitations of the Tools</w:t>
      </w:r>
      <w:bookmarkEnd w:id="20"/>
    </w:p>
    <w:p w:rsidR="00B526C4" w:rsidRPr="00036205" w:rsidRDefault="00990314" w:rsidP="00036205">
      <w:pPr>
        <w:rPr>
          <w:rFonts w:ascii="Arial" w:hAnsi="Arial" w:cs="Arial"/>
        </w:rPr>
      </w:pPr>
      <w:r w:rsidRPr="00036205">
        <w:rPr>
          <w:rFonts w:ascii="Arial" w:hAnsi="Arial" w:cs="Arial"/>
        </w:rPr>
        <w:t xml:space="preserve">Both PESTLE and Porter's Five Forces are useful background knowledge for evaluating the external environment and the competitiveness of Square Textiles in the industry, and for determining regulatory, market, and competitive pressures. Nevertheless, the two tools have the weakness of being cumbersome and descriptive, with minimal advice on prioritisation or adaptation in swiftly changing global textile markets. They also simplify interdependencies, including the role of </w:t>
      </w:r>
      <w:r w:rsidRPr="00036205">
        <w:rPr>
          <w:rFonts w:ascii="Arial" w:hAnsi="Arial" w:cs="Arial"/>
        </w:rPr>
        <w:lastRenderedPageBreak/>
        <w:t>legal pressures in technological demands, and emphasise the necessity of complementing them with dynamic and integrative strategic frameworks to make decisions more resilient.</w:t>
      </w:r>
    </w:p>
    <w:p w:rsidR="00B526C4" w:rsidRPr="00036205" w:rsidRDefault="00990314" w:rsidP="00036205">
      <w:pPr>
        <w:pStyle w:val="Heading1"/>
        <w:rPr>
          <w:rFonts w:ascii="Arial" w:hAnsi="Arial" w:cs="Arial"/>
          <w:sz w:val="24"/>
          <w:szCs w:val="24"/>
        </w:rPr>
      </w:pPr>
      <w:bookmarkStart w:id="21" w:name="_adxgifl6s0o4" w:colFirst="0" w:colLast="0"/>
      <w:bookmarkStart w:id="22" w:name="_Toc215770606"/>
      <w:bookmarkEnd w:id="21"/>
      <w:r w:rsidRPr="00036205">
        <w:rPr>
          <w:rFonts w:ascii="Arial" w:hAnsi="Arial" w:cs="Arial"/>
          <w:sz w:val="24"/>
          <w:szCs w:val="24"/>
        </w:rPr>
        <w:t>4. Strategy Development and Formulation</w:t>
      </w:r>
      <w:bookmarkEnd w:id="22"/>
      <w:r w:rsidRPr="00036205">
        <w:rPr>
          <w:rFonts w:ascii="Arial" w:hAnsi="Arial" w:cs="Arial"/>
          <w:sz w:val="24"/>
          <w:szCs w:val="24"/>
        </w:rPr>
        <w:t xml:space="preserve"> </w:t>
      </w:r>
    </w:p>
    <w:p w:rsidR="00B526C4" w:rsidRPr="00036205" w:rsidRDefault="00990314" w:rsidP="00036205">
      <w:pPr>
        <w:pStyle w:val="Heading2"/>
        <w:rPr>
          <w:rFonts w:ascii="Arial" w:hAnsi="Arial" w:cs="Arial"/>
        </w:rPr>
      </w:pPr>
      <w:bookmarkStart w:id="23" w:name="_6iorxty1089" w:colFirst="0" w:colLast="0"/>
      <w:bookmarkStart w:id="24" w:name="_Toc215770607"/>
      <w:bookmarkEnd w:id="23"/>
      <w:r w:rsidRPr="00036205">
        <w:rPr>
          <w:rFonts w:ascii="Arial" w:hAnsi="Arial" w:cs="Arial"/>
        </w:rPr>
        <w:t>4.1 Evaluation of Strategic Options</w:t>
      </w:r>
      <w:bookmarkEnd w:id="24"/>
      <w:r w:rsidRPr="00036205">
        <w:rPr>
          <w:rFonts w:ascii="Arial" w:hAnsi="Arial" w:cs="Arial"/>
        </w:rPr>
        <w:t xml:space="preserve"> </w:t>
      </w:r>
    </w:p>
    <w:p w:rsidR="00B526C4" w:rsidRPr="00036205" w:rsidRDefault="00990314" w:rsidP="00036205">
      <w:pPr>
        <w:rPr>
          <w:rFonts w:ascii="Arial" w:hAnsi="Arial" w:cs="Arial"/>
        </w:rPr>
      </w:pPr>
      <w:r w:rsidRPr="00036205">
        <w:rPr>
          <w:rFonts w:ascii="Arial" w:hAnsi="Arial" w:cs="Arial"/>
        </w:rPr>
        <w:t>Square Textiles Ltd can choose among three effective strategic expansion courses for Canada: directly exporting, entering into a strategic partnership with Canadian retailers, or opening a representative office to facilitate long-term market development. The safest choice is direct exporting, which is suitable and in accordance with the current export skills of the firm. In 2022, Canada imported USD 12 billion in apparel, and more than 16.3% of it came from low-cost Asian suppliers, indicating that it remains reliant on external producers (WITS, 2020). This is the best alternative that would enable Square Textiles to enjoy the advantage of the GPT scheme of duty-free access in the country to enhance its competitiveness in price as compared to the Chinese suppliers who will experience increased tariff exposure.</w:t>
      </w:r>
    </w:p>
    <w:p w:rsidR="00B526C4" w:rsidRPr="00036205" w:rsidRDefault="00990314" w:rsidP="00036205">
      <w:pPr>
        <w:jc w:val="center"/>
        <w:rPr>
          <w:rFonts w:ascii="Arial" w:hAnsi="Arial" w:cs="Arial"/>
        </w:rPr>
      </w:pPr>
      <w:r w:rsidRPr="00036205">
        <w:rPr>
          <w:rFonts w:ascii="Arial" w:hAnsi="Arial" w:cs="Arial"/>
          <w:noProof/>
          <w:lang w:val="en-US" w:eastAsia="en-US"/>
        </w:rPr>
        <w:lastRenderedPageBreak/>
        <w:drawing>
          <wp:inline distT="114300" distB="114300" distL="114300" distR="114300">
            <wp:extent cx="4581525" cy="4857477"/>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cstate="print"/>
                    <a:srcRect/>
                    <a:stretch>
                      <a:fillRect/>
                    </a:stretch>
                  </pic:blipFill>
                  <pic:spPr>
                    <a:xfrm>
                      <a:off x="0" y="0"/>
                      <a:ext cx="4581525" cy="4857477"/>
                    </a:xfrm>
                    <a:prstGeom prst="rect">
                      <a:avLst/>
                    </a:prstGeom>
                    <a:ln w="25400">
                      <a:solidFill>
                        <a:srgbClr val="000000"/>
                      </a:solidFill>
                      <a:prstDash val="solid"/>
                    </a:ln>
                  </pic:spPr>
                </pic:pic>
              </a:graphicData>
            </a:graphic>
          </wp:inline>
        </w:drawing>
      </w:r>
    </w:p>
    <w:p w:rsidR="00B526C4" w:rsidRPr="00036205" w:rsidRDefault="00990314" w:rsidP="00036205">
      <w:pPr>
        <w:jc w:val="center"/>
        <w:rPr>
          <w:rFonts w:ascii="Arial" w:hAnsi="Arial" w:cs="Arial"/>
          <w:b/>
          <w:bCs/>
        </w:rPr>
      </w:pPr>
      <w:r w:rsidRPr="00036205">
        <w:rPr>
          <w:rFonts w:ascii="Arial" w:hAnsi="Arial" w:cs="Arial"/>
          <w:b/>
          <w:bCs/>
        </w:rPr>
        <w:t>Figure 4: Statement of Value Added of Square Textiles PLC</w:t>
      </w:r>
    </w:p>
    <w:p w:rsidR="00B526C4" w:rsidRPr="00036205" w:rsidRDefault="00990314" w:rsidP="00036205">
      <w:pPr>
        <w:jc w:val="center"/>
        <w:rPr>
          <w:rFonts w:ascii="Arial" w:hAnsi="Arial" w:cs="Arial"/>
        </w:rPr>
      </w:pPr>
      <w:r w:rsidRPr="00036205">
        <w:rPr>
          <w:rFonts w:ascii="Arial" w:hAnsi="Arial" w:cs="Arial"/>
        </w:rPr>
        <w:t>(Source: Square Textile PLC, 2024)</w:t>
      </w:r>
    </w:p>
    <w:p w:rsidR="00B526C4" w:rsidRPr="00036205" w:rsidRDefault="00990314" w:rsidP="00036205">
      <w:pPr>
        <w:rPr>
          <w:rFonts w:ascii="Arial" w:hAnsi="Arial" w:cs="Arial"/>
        </w:rPr>
      </w:pPr>
      <w:r w:rsidRPr="00036205">
        <w:rPr>
          <w:rFonts w:ascii="Arial" w:hAnsi="Arial" w:cs="Arial"/>
        </w:rPr>
        <w:t xml:space="preserve">The figure above shows the Statement of Value Added for Square Textiles PLC. According to recent data, net turnover is around 22.650 billion and employee headcount is 15.527 billion in 2024 to 2025 (Square Textile PLC, 2024). A moderately risky option would be to form strategic alliances with Canadian brands such as Lululemon, Aritzia, and Roots. The fact that Lululemon is determined to reduce Scope 1 and 2 emissions by 60% by 2030 is another indication that these companies also need sustainable yarn manufacturers (Lululemon, 2025). The best strategic option proposed involves a representative office in Toronto or Vancouver, which allows relationship management, quality monitoring, and quicker response times, but the fixed costs increase (Sharif et al., 2023). All in all, the direct exporting coupled with retailer relationships is the most viable and logically compatible </w:t>
      </w:r>
      <w:r w:rsidRPr="00036205">
        <w:rPr>
          <w:rFonts w:ascii="Arial" w:hAnsi="Arial" w:cs="Arial"/>
        </w:rPr>
        <w:lastRenderedPageBreak/>
        <w:t>alternative, with the lowest risk, and the utilisation of the operational efficiency of Square Textiles, its compliance advantages, and its portfolio of sustainability certifications.</w:t>
      </w:r>
    </w:p>
    <w:p w:rsidR="00B526C4" w:rsidRPr="00036205" w:rsidRDefault="00990314" w:rsidP="00036205">
      <w:pPr>
        <w:pStyle w:val="Heading2"/>
        <w:rPr>
          <w:rFonts w:ascii="Arial" w:hAnsi="Arial" w:cs="Arial"/>
        </w:rPr>
      </w:pPr>
      <w:bookmarkStart w:id="25" w:name="_omzosp3m5r2o" w:colFirst="0" w:colLast="0"/>
      <w:bookmarkStart w:id="26" w:name="_Toc215770608"/>
      <w:bookmarkEnd w:id="25"/>
      <w:r w:rsidRPr="00036205">
        <w:rPr>
          <w:rFonts w:ascii="Arial" w:hAnsi="Arial" w:cs="Arial"/>
        </w:rPr>
        <w:t>4.2 Entry Mode Strategy</w:t>
      </w:r>
      <w:bookmarkEnd w:id="26"/>
      <w:r w:rsidRPr="00036205">
        <w:rPr>
          <w:rFonts w:ascii="Arial" w:hAnsi="Arial" w:cs="Arial"/>
        </w:rPr>
        <w:t xml:space="preserve"> </w:t>
      </w:r>
    </w:p>
    <w:p w:rsidR="00B526C4" w:rsidRPr="00036205" w:rsidRDefault="00990314" w:rsidP="00036205">
      <w:pPr>
        <w:rPr>
          <w:rFonts w:ascii="Arial" w:hAnsi="Arial" w:cs="Arial"/>
        </w:rPr>
      </w:pPr>
      <w:r w:rsidRPr="00036205">
        <w:rPr>
          <w:rFonts w:ascii="Arial" w:hAnsi="Arial" w:cs="Arial"/>
        </w:rPr>
        <w:t xml:space="preserve">According to the evaluation of strategic options, the best entry mode for Square Textile Ltd is direct exporting with long-term contractual arrangements with leading apparel retailers in Canada. Direct exporting is consistent with the advantageous tariff system in Canada, establishing a duty-free treatment of Bangladesh under the General Preferential Tariff, giving the country a 10% to 18% price advantage compared to suppliers in the non-GPT countries (UNCTAD, 2020). This is also a cost-effective way to circumvent the heavy capital investment required to operate foreign manufacturing or distribution centres, which, in such an industry with volatile 4-6% average margins, is vital (OECD, 2025). Supply chain stability and uncertain demand in contractual partnerships enhance supply chain stability and minimise demand uncertainty. </w:t>
      </w:r>
    </w:p>
    <w:p w:rsidR="00B526C4" w:rsidRPr="00036205" w:rsidRDefault="00990314" w:rsidP="00036205">
      <w:pPr>
        <w:jc w:val="center"/>
        <w:rPr>
          <w:rFonts w:ascii="Arial" w:hAnsi="Arial" w:cs="Arial"/>
        </w:rPr>
      </w:pPr>
      <w:r w:rsidRPr="00036205">
        <w:rPr>
          <w:rFonts w:ascii="Arial" w:hAnsi="Arial" w:cs="Arial"/>
          <w:noProof/>
          <w:lang w:val="en-US" w:eastAsia="en-US"/>
        </w:rPr>
        <w:drawing>
          <wp:inline distT="114300" distB="114300" distL="114300" distR="114300">
            <wp:extent cx="3830475" cy="4476750"/>
            <wp:effectExtent l="25400" t="25400" r="25400" b="254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cstate="print"/>
                    <a:srcRect/>
                    <a:stretch>
                      <a:fillRect/>
                    </a:stretch>
                  </pic:blipFill>
                  <pic:spPr>
                    <a:xfrm>
                      <a:off x="0" y="0"/>
                      <a:ext cx="3830475" cy="4476750"/>
                    </a:xfrm>
                    <a:prstGeom prst="rect">
                      <a:avLst/>
                    </a:prstGeom>
                    <a:ln w="25400">
                      <a:solidFill>
                        <a:srgbClr val="000000"/>
                      </a:solidFill>
                      <a:prstDash val="solid"/>
                    </a:ln>
                  </pic:spPr>
                </pic:pic>
              </a:graphicData>
            </a:graphic>
          </wp:inline>
        </w:drawing>
      </w:r>
    </w:p>
    <w:p w:rsidR="00B526C4" w:rsidRPr="00036205" w:rsidRDefault="00990314" w:rsidP="00036205">
      <w:pPr>
        <w:jc w:val="center"/>
        <w:rPr>
          <w:rFonts w:ascii="Arial" w:hAnsi="Arial" w:cs="Arial"/>
          <w:b/>
          <w:bCs/>
        </w:rPr>
      </w:pPr>
      <w:r w:rsidRPr="00036205">
        <w:rPr>
          <w:rFonts w:ascii="Arial" w:hAnsi="Arial" w:cs="Arial"/>
          <w:b/>
          <w:bCs/>
        </w:rPr>
        <w:lastRenderedPageBreak/>
        <w:t>Figure 5: Square Textiles Net Revenue</w:t>
      </w:r>
    </w:p>
    <w:p w:rsidR="00B526C4" w:rsidRPr="00036205" w:rsidRDefault="00990314" w:rsidP="00036205">
      <w:pPr>
        <w:jc w:val="center"/>
        <w:rPr>
          <w:rFonts w:ascii="Arial" w:hAnsi="Arial" w:cs="Arial"/>
        </w:rPr>
      </w:pPr>
      <w:r w:rsidRPr="00036205">
        <w:rPr>
          <w:rFonts w:ascii="Arial" w:hAnsi="Arial" w:cs="Arial"/>
        </w:rPr>
        <w:t>(Source: Square Textile PLC, 2024)</w:t>
      </w:r>
    </w:p>
    <w:p w:rsidR="00B526C4" w:rsidRPr="00036205" w:rsidRDefault="00990314" w:rsidP="00036205">
      <w:pPr>
        <w:rPr>
          <w:rFonts w:ascii="Arial" w:hAnsi="Arial" w:cs="Arial"/>
        </w:rPr>
      </w:pPr>
      <w:r w:rsidRPr="00036205">
        <w:rPr>
          <w:rFonts w:ascii="Arial" w:hAnsi="Arial" w:cs="Arial"/>
        </w:rPr>
        <w:t>The above figure shows the net revenue of Square Textiles PLC worldwide. According to recent data, around 19.67% of sales were exported, with a net profit of approximately 17.67 billion in 2024 (Square Textile PLC, 2024). Companies like Aritzia, which have seen an increase in revenue from CAD 43.5% in Q4 2022 to $637.6 million, are increasingly relying on long-term sourcing relationships to accommodate growing product lines (Aritzia, 2023). These partnerships would enable Square Textiles to secure predictable production volumes and address the transparency and traceability requirements of Canadian retailers. Moreover, such a mixed entry mode allows gradual capability development in the market without subjecting the firm to the regulatory risks associated with setting up local subsidiaries (UNECE, 2024). Thus, direct exporting with the support of the strategic sourcing collaboration offers the best cost-effectiveness, market penetration, and risk avoidance, which is why it is the most appropriate entry mode for the Canadian expansion.</w:t>
      </w:r>
    </w:p>
    <w:p w:rsidR="00B526C4" w:rsidRPr="00036205" w:rsidRDefault="00990314" w:rsidP="00036205">
      <w:pPr>
        <w:pStyle w:val="Heading2"/>
        <w:rPr>
          <w:rFonts w:ascii="Arial" w:hAnsi="Arial" w:cs="Arial"/>
        </w:rPr>
      </w:pPr>
      <w:bookmarkStart w:id="27" w:name="_habmd5dfhn3q" w:colFirst="0" w:colLast="0"/>
      <w:bookmarkStart w:id="28" w:name="_Toc215770609"/>
      <w:bookmarkEnd w:id="27"/>
      <w:r w:rsidRPr="00036205">
        <w:rPr>
          <w:rFonts w:ascii="Arial" w:hAnsi="Arial" w:cs="Arial"/>
        </w:rPr>
        <w:t>4.3 Competitive Advantage Strategy</w:t>
      </w:r>
      <w:bookmarkEnd w:id="28"/>
      <w:r w:rsidRPr="00036205">
        <w:rPr>
          <w:rFonts w:ascii="Arial" w:hAnsi="Arial" w:cs="Arial"/>
        </w:rPr>
        <w:t xml:space="preserve"> </w:t>
      </w:r>
    </w:p>
    <w:p w:rsidR="00B526C4" w:rsidRPr="00036205" w:rsidRDefault="00990314" w:rsidP="00036205">
      <w:pPr>
        <w:rPr>
          <w:rFonts w:ascii="Arial" w:hAnsi="Arial" w:cs="Arial"/>
        </w:rPr>
      </w:pPr>
      <w:r w:rsidRPr="00036205">
        <w:rPr>
          <w:rFonts w:ascii="Arial" w:hAnsi="Arial" w:cs="Arial"/>
        </w:rPr>
        <w:t>The company can create a sustainable competitive advantage in Canada by integrating its vertical integration and cost efficiency with eco-certified production and sustainability. Square Textile manufactures up to 36,288 spindles, with a daily production capacity of 20,000 kg (Square Textiles Ltd, 2025). It can use the entire vertical integration process from spinning to finishing, reducing the cost per unit and enhancing production control. Certified sustainable textile producers worldwide and customers globally are more likely to purchase products (Indian Retailers, 2025). This scale and sustainability enable Square Textiles to provide competitively priced fabrics that meet the growing demand for ethical sourcing, reduce lead time, and increase supply chain reliability for large retailers. Nevertheless, Rahaman et al. (2024) stated that sustainable clothing remains a niche in all clothing in the world today considered eco-friendly.</w:t>
      </w:r>
    </w:p>
    <w:p w:rsidR="00B526C4" w:rsidRPr="00036205" w:rsidRDefault="00990314" w:rsidP="00036205">
      <w:pPr>
        <w:jc w:val="center"/>
        <w:rPr>
          <w:rFonts w:ascii="Arial" w:hAnsi="Arial" w:cs="Arial"/>
        </w:rPr>
      </w:pPr>
      <w:r w:rsidRPr="00036205">
        <w:rPr>
          <w:rFonts w:ascii="Arial" w:hAnsi="Arial" w:cs="Arial"/>
          <w:noProof/>
          <w:lang w:val="en-US" w:eastAsia="en-US"/>
        </w:rPr>
        <w:lastRenderedPageBreak/>
        <w:drawing>
          <wp:inline distT="114300" distB="114300" distL="114300" distR="114300">
            <wp:extent cx="5167313" cy="2924175"/>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cstate="print"/>
                    <a:srcRect/>
                    <a:stretch>
                      <a:fillRect/>
                    </a:stretch>
                  </pic:blipFill>
                  <pic:spPr>
                    <a:xfrm>
                      <a:off x="0" y="0"/>
                      <a:ext cx="5167313" cy="2924175"/>
                    </a:xfrm>
                    <a:prstGeom prst="rect">
                      <a:avLst/>
                    </a:prstGeom>
                    <a:ln w="25400">
                      <a:solidFill>
                        <a:srgbClr val="000000"/>
                      </a:solidFill>
                      <a:prstDash val="solid"/>
                    </a:ln>
                  </pic:spPr>
                </pic:pic>
              </a:graphicData>
            </a:graphic>
          </wp:inline>
        </w:drawing>
      </w:r>
    </w:p>
    <w:p w:rsidR="00B526C4" w:rsidRPr="00036205" w:rsidRDefault="00895F21" w:rsidP="00036205">
      <w:pPr>
        <w:jc w:val="center"/>
        <w:rPr>
          <w:rFonts w:ascii="Arial" w:hAnsi="Arial" w:cs="Arial"/>
          <w:b/>
          <w:bCs/>
        </w:rPr>
      </w:pPr>
      <w:r w:rsidRPr="00036205">
        <w:rPr>
          <w:rFonts w:ascii="Arial" w:hAnsi="Arial" w:cs="Arial"/>
          <w:b/>
          <w:bCs/>
        </w:rPr>
        <w:t>Figure 6</w:t>
      </w:r>
      <w:r w:rsidR="00990314" w:rsidRPr="00036205">
        <w:rPr>
          <w:rFonts w:ascii="Arial" w:hAnsi="Arial" w:cs="Arial"/>
          <w:b/>
          <w:bCs/>
        </w:rPr>
        <w:t>: Market Size of Canada Textiles</w:t>
      </w:r>
    </w:p>
    <w:p w:rsidR="00B526C4" w:rsidRPr="00036205" w:rsidRDefault="00990314" w:rsidP="00036205">
      <w:pPr>
        <w:jc w:val="center"/>
        <w:rPr>
          <w:rFonts w:ascii="Arial" w:hAnsi="Arial" w:cs="Arial"/>
        </w:rPr>
      </w:pPr>
      <w:r w:rsidRPr="00036205">
        <w:rPr>
          <w:rFonts w:ascii="Arial" w:hAnsi="Arial" w:cs="Arial"/>
        </w:rPr>
        <w:t>(Source: Grand View Research, 2025)</w:t>
      </w:r>
    </w:p>
    <w:p w:rsidR="00B526C4" w:rsidRPr="00036205" w:rsidRDefault="00990314" w:rsidP="00036205">
      <w:pPr>
        <w:rPr>
          <w:rFonts w:ascii="Arial" w:hAnsi="Arial" w:cs="Arial"/>
        </w:rPr>
      </w:pPr>
      <w:r w:rsidRPr="00036205">
        <w:rPr>
          <w:rFonts w:ascii="Arial" w:hAnsi="Arial" w:cs="Arial"/>
        </w:rPr>
        <w:t>The figure above shows the Market Size of Canada Textiles worldwide. According to recent data, the Canadian textile industry is projected to grow to 26.1 million US dollars by 2033, with a 3.2% annual increase (Grand View Research, 2025). It demonstrates early market penetration in Canada, positions Square Textiles as a first-mover, and captures mainstream demand as more consumers become familiar with it (Fay et al., 2022). The company can distinguish itself amid competitors who use traditional production methods by combining efficiency with environmental compliance to produce goods at a lower cost, which is an ethical advantage as well. Thus, the scale, quality, and sustainability strategy, combined, can give Square Textiles a strong competitive edge, meet the needs of the Canadian market (Thorisdottir &amp; Johannsdottir, 2020). It also allows this company to develop over time in a more aware and controlled textile market.</w:t>
      </w:r>
    </w:p>
    <w:p w:rsidR="00B526C4" w:rsidRPr="00036205" w:rsidRDefault="00990314" w:rsidP="00036205">
      <w:pPr>
        <w:pStyle w:val="Heading2"/>
        <w:rPr>
          <w:rFonts w:ascii="Arial" w:hAnsi="Arial" w:cs="Arial"/>
        </w:rPr>
      </w:pPr>
      <w:bookmarkStart w:id="29" w:name="_4hjzte1nts3d" w:colFirst="0" w:colLast="0"/>
      <w:bookmarkStart w:id="30" w:name="_Toc215770610"/>
      <w:bookmarkEnd w:id="29"/>
      <w:r w:rsidRPr="00036205">
        <w:rPr>
          <w:rFonts w:ascii="Arial" w:hAnsi="Arial" w:cs="Arial"/>
        </w:rPr>
        <w:t>4.4 Strategic Risk Analysis</w:t>
      </w:r>
      <w:bookmarkEnd w:id="30"/>
      <w:r w:rsidRPr="00036205">
        <w:rPr>
          <w:rFonts w:ascii="Arial" w:hAnsi="Arial" w:cs="Arial"/>
        </w:rPr>
        <w:t xml:space="preserve"> </w:t>
      </w:r>
    </w:p>
    <w:p w:rsidR="00B526C4" w:rsidRPr="00036205" w:rsidRDefault="00990314" w:rsidP="00036205">
      <w:pPr>
        <w:rPr>
          <w:rFonts w:ascii="Arial" w:hAnsi="Arial" w:cs="Arial"/>
        </w:rPr>
      </w:pPr>
      <w:r w:rsidRPr="00036205">
        <w:rPr>
          <w:rFonts w:ascii="Arial" w:hAnsi="Arial" w:cs="Arial"/>
        </w:rPr>
        <w:t xml:space="preserve">The Canadian expansion is associated with several strategic risks that will need to be mitigated proactively. Such risks include regulatory pressures, disruptions in logistics, fluctuations in currency exchange rates, competition, and concerns over ​‍​‌‍​‍‌sustainability. Canada has stringent import regulations, and this regulatory risk has </w:t>
      </w:r>
      <w:r w:rsidRPr="00036205">
        <w:rPr>
          <w:rFonts w:ascii="Arial" w:hAnsi="Arial" w:cs="Arial"/>
        </w:rPr>
        <w:lastRenderedPageBreak/>
        <w:t>increased due to enforced labour verification, resulting in the detention of over USD 2.6 million worth of textile shipments in 2023 (Panetta, 2024). There is also the risk of currency volatility, as the Bangladeshi Taka has lost approximately 15% between 2022 and 2023, which affects the stability of costs in export contracts written in CAD or USD (ICAB, 2024). The lack of documentation may hinder Square Textiles' entry into the market.</w:t>
      </w:r>
    </w:p>
    <w:p w:rsidR="00B526C4" w:rsidRPr="00036205" w:rsidRDefault="00990314" w:rsidP="00036205">
      <w:pPr>
        <w:rPr>
          <w:rFonts w:ascii="Arial" w:hAnsi="Arial" w:cs="Arial"/>
        </w:rPr>
      </w:pPr>
      <w:r w:rsidRPr="00036205">
        <w:rPr>
          <w:rFonts w:ascii="Arial" w:hAnsi="Arial" w:cs="Arial"/>
        </w:rPr>
        <w:t>Among supply chain risks, a decrease in the availability of raw materials and the escalation of the cost of sustainable fibres are global problems, as the cost of sustainable fibres has risen by 8-12% due to high demand (OECD, 2024). Additionally, there is a risk of intense competition in the market: the share of imports of Canadian textiles in Bangladesh, Vietnam, China, and Cambodia exceeds 73%, indicating a highly competitive environment (WITS, 2024). Lastly, reputational risks arise if the sustainability commitments are not well conveyed, as Canadian consumers are highly sensitive to ethical issues. The inability to meet retailers' expectations can result in being excluded from preferred supplier lists. Mitigation involves investing in digital traceability tools, multi-currency hedging, diversified sources of inputs, and improved documentation facilities (Square Textiles Ltd, 2025). The combination of these practices builds resilience and facilitates long-term growth.</w:t>
      </w:r>
    </w:p>
    <w:p w:rsidR="00B526C4" w:rsidRPr="00036205" w:rsidRDefault="00990314" w:rsidP="00036205">
      <w:pPr>
        <w:rPr>
          <w:rFonts w:ascii="Arial" w:hAnsi="Arial" w:cs="Arial"/>
        </w:rPr>
      </w:pPr>
      <w:r w:rsidRPr="00036205">
        <w:rPr>
          <w:rFonts w:ascii="Arial" w:hAnsi="Arial" w:cs="Arial"/>
          <w:noProof/>
          <w:lang w:val="en-US" w:eastAsia="en-US"/>
        </w:rPr>
        <w:lastRenderedPageBreak/>
        <w:drawing>
          <wp:inline distT="114300" distB="114300" distL="114300" distR="114300">
            <wp:extent cx="5413375" cy="4641850"/>
            <wp:effectExtent l="38100" t="38100" r="34925" b="4445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cstate="print"/>
                    <a:srcRect/>
                    <a:stretch>
                      <a:fillRect/>
                    </a:stretch>
                  </pic:blipFill>
                  <pic:spPr>
                    <a:xfrm>
                      <a:off x="0" y="0"/>
                      <a:ext cx="5413674" cy="4642106"/>
                    </a:xfrm>
                    <a:prstGeom prst="rect">
                      <a:avLst/>
                    </a:prstGeom>
                    <a:ln w="25400">
                      <a:solidFill>
                        <a:srgbClr val="000000"/>
                      </a:solidFill>
                      <a:prstDash val="solid"/>
                    </a:ln>
                  </pic:spPr>
                </pic:pic>
              </a:graphicData>
            </a:graphic>
          </wp:inline>
        </w:drawing>
      </w:r>
    </w:p>
    <w:p w:rsidR="00B526C4" w:rsidRPr="00036205" w:rsidRDefault="00895F21" w:rsidP="00036205">
      <w:pPr>
        <w:jc w:val="center"/>
        <w:rPr>
          <w:rFonts w:ascii="Arial" w:hAnsi="Arial" w:cs="Arial"/>
          <w:b/>
          <w:bCs/>
        </w:rPr>
      </w:pPr>
      <w:r w:rsidRPr="00036205">
        <w:rPr>
          <w:rFonts w:ascii="Arial" w:hAnsi="Arial" w:cs="Arial"/>
          <w:b/>
          <w:bCs/>
        </w:rPr>
        <w:t>Table 2</w:t>
      </w:r>
      <w:r w:rsidR="00990314" w:rsidRPr="00036205">
        <w:rPr>
          <w:rFonts w:ascii="Arial" w:hAnsi="Arial" w:cs="Arial"/>
          <w:b/>
          <w:bCs/>
        </w:rPr>
        <w:t>: Risk Table</w:t>
      </w:r>
    </w:p>
    <w:p w:rsidR="00B526C4" w:rsidRPr="00036205" w:rsidRDefault="00990314" w:rsidP="00036205">
      <w:pPr>
        <w:jc w:val="center"/>
        <w:rPr>
          <w:rFonts w:ascii="Arial" w:hAnsi="Arial" w:cs="Arial"/>
        </w:rPr>
      </w:pPr>
      <w:r w:rsidRPr="00036205">
        <w:rPr>
          <w:rFonts w:ascii="Arial" w:hAnsi="Arial" w:cs="Arial"/>
        </w:rPr>
        <w:t>(Source: Author)</w:t>
      </w:r>
    </w:p>
    <w:p w:rsidR="00B526C4" w:rsidRPr="00036205" w:rsidRDefault="00990314" w:rsidP="00036205">
      <w:pPr>
        <w:pStyle w:val="Heading2"/>
        <w:rPr>
          <w:rFonts w:ascii="Arial" w:hAnsi="Arial" w:cs="Arial"/>
        </w:rPr>
      </w:pPr>
      <w:bookmarkStart w:id="31" w:name="_y90fzne2nuek" w:colFirst="0" w:colLast="0"/>
      <w:bookmarkStart w:id="32" w:name="_Toc215770611"/>
      <w:bookmarkEnd w:id="31"/>
      <w:r w:rsidRPr="00036205">
        <w:rPr>
          <w:rFonts w:ascii="Arial" w:hAnsi="Arial" w:cs="Arial"/>
        </w:rPr>
        <w:t>4.5 Corporate Social Responsibility Integration</w:t>
      </w:r>
      <w:bookmarkEnd w:id="32"/>
    </w:p>
    <w:p w:rsidR="00B526C4" w:rsidRPr="00036205" w:rsidRDefault="00990314" w:rsidP="00036205">
      <w:pPr>
        <w:rPr>
          <w:rFonts w:ascii="Arial" w:hAnsi="Arial" w:cs="Arial"/>
        </w:rPr>
      </w:pPr>
      <w:r w:rsidRPr="00036205">
        <w:rPr>
          <w:rFonts w:ascii="Arial" w:hAnsi="Arial" w:cs="Arial"/>
        </w:rPr>
        <w:t xml:space="preserve">The application of Corporate Social Responsibility (CSR) in Square Textiles Ltd.'s Canadian market strategy is vital to the satisfaction of retailers and to its long-term competitiveness. Canadian consumers are more focused on suppliers who have been confirmed to comply with environmental and labour regulations, with 67% of consumers ready to pay a premium for ethically made textiles (Industry and Business, 2025). This is a strong motivation to ensure that Square Textiles synchronises its CSR programs, such as wastewater recycling, certified chemical management, and minimised carbon emissions, with the evolving sustainability legislation in Canada. This match would positively influence the company's image and help secure contracts with major brands, such as Lululemon, which aims to </w:t>
      </w:r>
      <w:r w:rsidRPr="00036205">
        <w:rPr>
          <w:rFonts w:ascii="Arial" w:hAnsi="Arial" w:cs="Arial"/>
        </w:rPr>
        <w:lastRenderedPageBreak/>
        <w:t xml:space="preserve">reduce Scope 1 and 2 emissions by 60% by 2030 (PWC, 2024). Nevertheless, the introduction of CSR into the expansion plan also raises significant operational and financial issues. </w:t>
      </w:r>
    </w:p>
    <w:p w:rsidR="00B526C4" w:rsidRPr="00036205" w:rsidRDefault="00990314" w:rsidP="00036205">
      <w:pPr>
        <w:rPr>
          <w:rFonts w:ascii="Arial" w:hAnsi="Arial" w:cs="Arial"/>
        </w:rPr>
      </w:pPr>
      <w:r w:rsidRPr="00036205">
        <w:rPr>
          <w:rFonts w:ascii="Arial" w:hAnsi="Arial" w:cs="Arial"/>
        </w:rPr>
        <w:t>The forced-labour reporting and documentation of supply-chain requirements related to Canadian regulations come with high compliance costs that translate to high administrative mass and operations. According to Business Standard (2023), in Bangladesh, smaller suppliers have already seen a rise in costs of up to 12% due to heightened traceability requirements, implying that the same pressure will emerge for Square Textiles. Moreover, the company might face challenges implementing enhanced technologies, such as blockchain-based traceability, which require technical expertise and upfront financial investment (Kampan et al., 2022). Despite these, the introduction of CSR into the market-entry strategy is imperative for establishing legitimacy, achieving market differentiation, and addressing the ethical demands of Canadian stakeholders.</w:t>
      </w:r>
    </w:p>
    <w:p w:rsidR="00B526C4" w:rsidRPr="00036205" w:rsidRDefault="00990314" w:rsidP="00036205">
      <w:pPr>
        <w:pStyle w:val="Heading1"/>
        <w:rPr>
          <w:rFonts w:ascii="Arial" w:hAnsi="Arial" w:cs="Arial"/>
          <w:sz w:val="24"/>
          <w:szCs w:val="24"/>
        </w:rPr>
      </w:pPr>
      <w:bookmarkStart w:id="33" w:name="_xnnhu8b325w2" w:colFirst="0" w:colLast="0"/>
      <w:bookmarkStart w:id="34" w:name="_Toc215770612"/>
      <w:bookmarkEnd w:id="33"/>
      <w:r w:rsidRPr="00036205">
        <w:rPr>
          <w:rFonts w:ascii="Arial" w:hAnsi="Arial" w:cs="Arial"/>
          <w:sz w:val="24"/>
          <w:szCs w:val="24"/>
        </w:rPr>
        <w:t>5. Performance Evaluation Framework</w:t>
      </w:r>
      <w:bookmarkEnd w:id="34"/>
      <w:r w:rsidRPr="00036205">
        <w:rPr>
          <w:rFonts w:ascii="Arial" w:hAnsi="Arial" w:cs="Arial"/>
          <w:sz w:val="24"/>
          <w:szCs w:val="24"/>
        </w:rPr>
        <w:t xml:space="preserve"> </w:t>
      </w:r>
    </w:p>
    <w:p w:rsidR="00B526C4" w:rsidRPr="00036205" w:rsidRDefault="00990314" w:rsidP="00036205">
      <w:pPr>
        <w:pStyle w:val="Heading2"/>
        <w:rPr>
          <w:rFonts w:ascii="Arial" w:hAnsi="Arial" w:cs="Arial"/>
        </w:rPr>
      </w:pPr>
      <w:bookmarkStart w:id="35" w:name="_cxic7tyskq7t" w:colFirst="0" w:colLast="0"/>
      <w:bookmarkStart w:id="36" w:name="_Toc215770613"/>
      <w:bookmarkEnd w:id="35"/>
      <w:r w:rsidRPr="00036205">
        <w:rPr>
          <w:rFonts w:ascii="Arial" w:hAnsi="Arial" w:cs="Arial"/>
        </w:rPr>
        <w:t>5.1 Selection of Measurement System</w:t>
      </w:r>
      <w:bookmarkEnd w:id="36"/>
      <w:r w:rsidRPr="00036205">
        <w:rPr>
          <w:rFonts w:ascii="Arial" w:hAnsi="Arial" w:cs="Arial"/>
        </w:rPr>
        <w:t xml:space="preserve"> </w:t>
      </w:r>
    </w:p>
    <w:p w:rsidR="00B526C4" w:rsidRPr="00036205" w:rsidRDefault="00990314" w:rsidP="00036205">
      <w:pPr>
        <w:rPr>
          <w:rFonts w:ascii="Arial" w:hAnsi="Arial" w:cs="Arial"/>
        </w:rPr>
      </w:pPr>
      <w:r w:rsidRPr="00036205">
        <w:rPr>
          <w:rFonts w:ascii="Arial" w:hAnsi="Arial" w:cs="Arial"/>
        </w:rPr>
        <w:t xml:space="preserve">A formal system of performance measurement would be necessary to ensure Square Textile Ltd. monitors its expansion in Canada on both financial and non-financial levels. The most appropriate system is the Balanced Scorecard (BSC) because it connects strategic goals to measurable indicators across the financial, customer, internal process, and learning dimensions (Kumar et al., 2023). It's the ability to establish a connection between the operational activities and the market-entry target (Kumar et al., 2023). This is specifically needed in Canada, where apparel imports in 2022 amounted to USD 12 billion, and retailers require traceability, compliance accuracy, and supply-chain responsiveness (CBA, 2025). In contrast to </w:t>
      </w:r>
      <w:r w:rsidRPr="00036205">
        <w:rPr>
          <w:rFonts w:ascii="Arial" w:hAnsi="Arial" w:cs="Arial"/>
          <w:b/>
          <w:bCs/>
          <w:i/>
          <w:iCs/>
        </w:rPr>
        <w:t xml:space="preserve">the Triple Bottom Line, </w:t>
      </w:r>
      <w:r w:rsidRPr="00036205">
        <w:rPr>
          <w:rFonts w:ascii="Arial" w:hAnsi="Arial" w:cs="Arial"/>
        </w:rPr>
        <w:t xml:space="preserve">which focuses on sustainability outcomes, the BSC promotes the use of operational and efficiency indicators (Nogueira et al., 2023). According to OECD (2020), it includes reducing lead time or improving defect rates, which are paramount for textile exporters operating in markets where more than 16.3% of the clothing supply depends on imports. </w:t>
      </w:r>
    </w:p>
    <w:p w:rsidR="00B526C4" w:rsidRPr="00036205" w:rsidRDefault="00990314" w:rsidP="00036205">
      <w:pPr>
        <w:rPr>
          <w:rFonts w:ascii="Arial" w:hAnsi="Arial" w:cs="Arial"/>
        </w:rPr>
      </w:pPr>
      <w:r w:rsidRPr="00036205">
        <w:rPr>
          <w:rFonts w:ascii="Arial" w:hAnsi="Arial" w:cs="Arial"/>
        </w:rPr>
        <w:lastRenderedPageBreak/>
        <w:t>The BSC's applicability is that companies such as Corporation use BSC-based monitoring, which allows them to improve on-time delivery and supplier compliance in the context of their international expansion programme (Eifert &amp; Julmi, 2022). In the case of Square Textiles, the implementation of the BSC will facilitate tracking of the performance based on cost competitiveness, reliability in shipping, sustainability reporting, and satisfaction of the buyers in canada (Eifert &amp; Julmi, 2022). Hence, the BSC enjoys the best strategic and data-oriented measurement framework to support the entry and long-term performance of Square Textiles Ltd in the Canadian market.</w:t>
      </w:r>
    </w:p>
    <w:p w:rsidR="00B526C4" w:rsidRPr="00036205" w:rsidRDefault="00990314" w:rsidP="00036205">
      <w:pPr>
        <w:pStyle w:val="Heading2"/>
        <w:rPr>
          <w:rFonts w:ascii="Arial" w:hAnsi="Arial" w:cs="Arial"/>
        </w:rPr>
      </w:pPr>
      <w:bookmarkStart w:id="37" w:name="_4xpqqxqckkdo" w:colFirst="0" w:colLast="0"/>
      <w:bookmarkStart w:id="38" w:name="_Toc215770614"/>
      <w:bookmarkEnd w:id="37"/>
      <w:r w:rsidRPr="00036205">
        <w:rPr>
          <w:rFonts w:ascii="Arial" w:hAnsi="Arial" w:cs="Arial"/>
        </w:rPr>
        <w:t>5.2 Balanced Scorecard for Square Textiles Ltd.'s Expansion in canada</w:t>
      </w:r>
      <w:bookmarkEnd w:id="38"/>
    </w:p>
    <w:p w:rsidR="00B526C4" w:rsidRPr="00036205" w:rsidRDefault="00990314" w:rsidP="00036205">
      <w:pPr>
        <w:rPr>
          <w:rFonts w:ascii="Arial" w:hAnsi="Arial" w:cs="Arial"/>
        </w:rPr>
      </w:pPr>
      <w:r w:rsidRPr="00036205">
        <w:rPr>
          <w:rFonts w:ascii="Arial" w:hAnsi="Arial" w:cs="Arial"/>
        </w:rPr>
        <w:t>A Balanced Scorecard (BSC) is a strategic performance management model that assesses an organisation's progress across four major dimensions: financial, customers, internal processes, and learning and growth (Kumar et al., 2023). In the case of Square Textiles Ltd., the BSC offers a systematic process for monitoring, controlling, and assessing the success of its move to enter the Canadian textile market. When a BSC is used to connect strategic goals with measurable Key Performance Indicators (KPIs), operational decisions made within an organisation are synchronised with both short-term and long-term international growth objectives.</w:t>
      </w:r>
    </w:p>
    <w:p w:rsidR="00B526C4" w:rsidRPr="00036205" w:rsidRDefault="00990314" w:rsidP="00036205">
      <w:pPr>
        <w:rPr>
          <w:rFonts w:ascii="Arial" w:hAnsi="Arial" w:cs="Arial"/>
          <w:b/>
          <w:bCs/>
          <w:i/>
          <w:iCs/>
        </w:rPr>
      </w:pPr>
      <w:r w:rsidRPr="00036205">
        <w:rPr>
          <w:rFonts w:ascii="Arial" w:hAnsi="Arial" w:cs="Arial"/>
          <w:b/>
          <w:bCs/>
          <w:i/>
          <w:iCs/>
        </w:rPr>
        <w:t>Financial Perspective</w:t>
      </w:r>
    </w:p>
    <w:p w:rsidR="00B526C4" w:rsidRPr="00036205" w:rsidRDefault="00990314" w:rsidP="00036205">
      <w:pPr>
        <w:rPr>
          <w:rFonts w:ascii="Arial" w:hAnsi="Arial" w:cs="Arial"/>
        </w:rPr>
      </w:pPr>
      <w:r w:rsidRPr="00036205">
        <w:rPr>
          <w:rFonts w:ascii="Arial" w:hAnsi="Arial" w:cs="Arial"/>
        </w:rPr>
        <w:t>The financial goals of Square Textiles Ltd.'s Canadian expansion are to increase export revenues, maintain profitability, and manage costs efficiently. The main KPIs are to achieve CAD 10 million in sales in Canada within the first year of operation and to maintain a gross profit margin of at least 35 (McKinsey &amp; Company, 2023). Also, the expansion initiative targets a return on investment (ROI) of 12% or more to ensure that capital allocation creates significant long-term value (Gök et al., 2025). It is also important that logistics and compliance-related costs remain at or below 8% in view of the high transportation and regulatory costs in Canada (F2F, 2023). All these financial measures make the expansion of Square Textiles into Canada cost-effective and help it sustain its competitive pricing in its new market, which is characterised by high standards of sustainability and quality.</w:t>
      </w:r>
    </w:p>
    <w:p w:rsidR="00B526C4" w:rsidRPr="00036205" w:rsidRDefault="00990314" w:rsidP="00036205">
      <w:pPr>
        <w:rPr>
          <w:rFonts w:ascii="Arial" w:hAnsi="Arial" w:cs="Arial"/>
          <w:b/>
          <w:bCs/>
        </w:rPr>
      </w:pPr>
      <w:r w:rsidRPr="00036205">
        <w:rPr>
          <w:rFonts w:ascii="Arial" w:hAnsi="Arial" w:cs="Arial"/>
          <w:b/>
          <w:bCs/>
        </w:rPr>
        <w:t>Customer Perspective</w:t>
      </w:r>
    </w:p>
    <w:p w:rsidR="00B526C4" w:rsidRPr="00036205" w:rsidRDefault="00990314" w:rsidP="00036205">
      <w:pPr>
        <w:rPr>
          <w:rFonts w:ascii="Arial" w:hAnsi="Arial" w:cs="Arial"/>
        </w:rPr>
      </w:pPr>
      <w:r w:rsidRPr="00036205">
        <w:rPr>
          <w:rFonts w:ascii="Arial" w:hAnsi="Arial" w:cs="Arial"/>
        </w:rPr>
        <w:lastRenderedPageBreak/>
        <w:t>The​‍​‌‍​‍‌ main goals of the customers revolve around increasing the brand exposure, improving the loyalty levels, and establishing the brand in the market of textile imports in Canada. The main performance indicators are an NPS of 55 or higher, 60% brand recognition among leading Canadian apparel manufacturers and retailers, and a 1.5–2% market share within 2 years. According to Schwarz (2025), since 68% of Canadian retailers focus on ethically and sustainably sourced products, meeting these requirements positions Square Textiles as a trustworthy, transparent, and sustainability-oriented supplier in a highly competitive market.</w:t>
      </w:r>
    </w:p>
    <w:p w:rsidR="00B526C4" w:rsidRPr="00036205" w:rsidRDefault="00990314" w:rsidP="00036205">
      <w:pPr>
        <w:rPr>
          <w:rFonts w:ascii="Arial" w:hAnsi="Arial" w:cs="Arial"/>
          <w:b/>
          <w:bCs/>
        </w:rPr>
      </w:pPr>
      <w:r w:rsidRPr="00036205">
        <w:rPr>
          <w:rFonts w:ascii="Arial" w:hAnsi="Arial" w:cs="Arial"/>
          <w:b/>
          <w:bCs/>
        </w:rPr>
        <w:t>The Internal Process Perspective.</w:t>
      </w:r>
    </w:p>
    <w:p w:rsidR="00B526C4" w:rsidRPr="00036205" w:rsidRDefault="00990314" w:rsidP="00036205">
      <w:pPr>
        <w:rPr>
          <w:rFonts w:ascii="Arial" w:hAnsi="Arial" w:cs="Arial"/>
        </w:rPr>
      </w:pPr>
      <w:r w:rsidRPr="00036205">
        <w:rPr>
          <w:rFonts w:ascii="Arial" w:hAnsi="Arial" w:cs="Arial"/>
        </w:rPr>
        <w:t>Internal process goals focus on operational efficiency, compliance, and production accuracy. The most important KPI is the defect rate, which should be kept at 1.5 or less. It ensures complete adherence to the sustainability requirements and standards for imported textiles in Canada and keeps the average export lead time below 21 days. Based on these measures, trust, repeat orders, and long-term contracting with retailers in Canada have been achieved.</w:t>
      </w:r>
    </w:p>
    <w:p w:rsidR="00B526C4" w:rsidRPr="00036205" w:rsidRDefault="00990314" w:rsidP="00036205">
      <w:pPr>
        <w:rPr>
          <w:rFonts w:ascii="Arial" w:hAnsi="Arial" w:cs="Arial"/>
          <w:b/>
          <w:bCs/>
        </w:rPr>
      </w:pPr>
      <w:r w:rsidRPr="00036205">
        <w:rPr>
          <w:rFonts w:ascii="Arial" w:hAnsi="Arial" w:cs="Arial"/>
          <w:b/>
          <w:bCs/>
        </w:rPr>
        <w:t>Learning Perspective &amp; Growth Perspective.</w:t>
      </w:r>
    </w:p>
    <w:p w:rsidR="00B526C4" w:rsidRPr="00036205" w:rsidRDefault="00990314" w:rsidP="00036205">
      <w:pPr>
        <w:rPr>
          <w:rFonts w:ascii="Arial" w:hAnsi="Arial" w:cs="Arial"/>
        </w:rPr>
      </w:pPr>
      <w:r w:rsidRPr="00036205">
        <w:rPr>
          <w:rFonts w:ascii="Arial" w:hAnsi="Arial" w:cs="Arial"/>
        </w:rPr>
        <w:t>Competitiveness is also supported by continuous capability development and innovation (Agazu &amp; Kero, 2024). KPIs are to provide employees with at least 40 hours of training per year, develop 3-5 fabric innovations that address Canadian climatic needs, and adopt all digital tools with traceability and supply-chain openness. These indicators empower workforce capabilities, product development and integration with digital technology- key success factors in the long-term international performance.</w:t>
      </w:r>
    </w:p>
    <w:p w:rsidR="00B526C4" w:rsidRPr="00036205" w:rsidRDefault="00990314" w:rsidP="00036205">
      <w:pPr>
        <w:jc w:val="center"/>
        <w:rPr>
          <w:rFonts w:ascii="Arial" w:hAnsi="Arial" w:cs="Arial"/>
        </w:rPr>
      </w:pPr>
      <w:r w:rsidRPr="00036205">
        <w:rPr>
          <w:rFonts w:ascii="Arial" w:hAnsi="Arial" w:cs="Arial"/>
          <w:noProof/>
          <w:lang w:val="en-US" w:eastAsia="en-US"/>
        </w:rPr>
        <w:lastRenderedPageBreak/>
        <w:drawing>
          <wp:inline distT="114300" distB="114300" distL="114300" distR="114300">
            <wp:extent cx="4438650" cy="6219825"/>
            <wp:effectExtent l="0" t="0" r="0" b="9525"/>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cstate="print"/>
                    <a:srcRect/>
                    <a:stretch>
                      <a:fillRect/>
                    </a:stretch>
                  </pic:blipFill>
                  <pic:spPr>
                    <a:xfrm>
                      <a:off x="0" y="0"/>
                      <a:ext cx="4438650" cy="6219825"/>
                    </a:xfrm>
                    <a:prstGeom prst="rect">
                      <a:avLst/>
                    </a:prstGeom>
                    <a:ln/>
                  </pic:spPr>
                </pic:pic>
              </a:graphicData>
            </a:graphic>
          </wp:inline>
        </w:drawing>
      </w:r>
    </w:p>
    <w:p w:rsidR="00B526C4" w:rsidRPr="00036205" w:rsidRDefault="00895F21" w:rsidP="00036205">
      <w:pPr>
        <w:jc w:val="center"/>
        <w:rPr>
          <w:rFonts w:ascii="Arial" w:hAnsi="Arial" w:cs="Arial"/>
          <w:b/>
          <w:bCs/>
        </w:rPr>
      </w:pPr>
      <w:bookmarkStart w:id="39" w:name="_mwm0k9s3q0gb" w:colFirst="0" w:colLast="0"/>
      <w:bookmarkEnd w:id="39"/>
      <w:r w:rsidRPr="00036205">
        <w:rPr>
          <w:rFonts w:ascii="Arial" w:hAnsi="Arial" w:cs="Arial"/>
          <w:b/>
          <w:bCs/>
        </w:rPr>
        <w:t>Table 3</w:t>
      </w:r>
      <w:r w:rsidR="00990314" w:rsidRPr="00036205">
        <w:rPr>
          <w:rFonts w:ascii="Arial" w:hAnsi="Arial" w:cs="Arial"/>
          <w:b/>
          <w:bCs/>
        </w:rPr>
        <w:t>: Balanced Scorecard for Square Textiles Ltd.'s</w:t>
      </w:r>
    </w:p>
    <w:p w:rsidR="00B526C4" w:rsidRPr="00036205" w:rsidRDefault="00990314" w:rsidP="00036205">
      <w:pPr>
        <w:jc w:val="center"/>
        <w:rPr>
          <w:rFonts w:ascii="Arial" w:hAnsi="Arial" w:cs="Arial"/>
        </w:rPr>
      </w:pPr>
      <w:bookmarkStart w:id="40" w:name="_nqek14cqmfg8" w:colFirst="0" w:colLast="0"/>
      <w:bookmarkEnd w:id="40"/>
      <w:r w:rsidRPr="00036205">
        <w:rPr>
          <w:rFonts w:ascii="Arial" w:hAnsi="Arial" w:cs="Arial"/>
        </w:rPr>
        <w:t>(Source: Author)</w:t>
      </w:r>
    </w:p>
    <w:p w:rsidR="00B526C4" w:rsidRPr="00036205" w:rsidRDefault="00990314" w:rsidP="00036205">
      <w:pPr>
        <w:pStyle w:val="Heading2"/>
        <w:rPr>
          <w:rFonts w:ascii="Arial" w:hAnsi="Arial" w:cs="Arial"/>
        </w:rPr>
      </w:pPr>
      <w:bookmarkStart w:id="41" w:name="_tlrqsmyyt6fv" w:colFirst="0" w:colLast="0"/>
      <w:bookmarkStart w:id="42" w:name="_Toc215770615"/>
      <w:bookmarkEnd w:id="41"/>
      <w:r w:rsidRPr="00036205">
        <w:rPr>
          <w:rFonts w:ascii="Arial" w:hAnsi="Arial" w:cs="Arial"/>
        </w:rPr>
        <w:t>5.3 Success Metrics &amp; Monitoring Approach</w:t>
      </w:r>
      <w:bookmarkEnd w:id="42"/>
      <w:r w:rsidRPr="00036205">
        <w:rPr>
          <w:rFonts w:ascii="Arial" w:hAnsi="Arial" w:cs="Arial"/>
        </w:rPr>
        <w:t xml:space="preserve"> </w:t>
      </w:r>
    </w:p>
    <w:p w:rsidR="00B526C4" w:rsidRPr="00036205" w:rsidRDefault="00990314" w:rsidP="00036205">
      <w:pPr>
        <w:rPr>
          <w:rFonts w:ascii="Arial" w:hAnsi="Arial" w:cs="Arial"/>
        </w:rPr>
      </w:pPr>
      <w:r w:rsidRPr="00036205">
        <w:rPr>
          <w:rFonts w:ascii="Arial" w:hAnsi="Arial" w:cs="Arial"/>
        </w:rPr>
        <w:t xml:space="preserve">The expansion of Square Textiles Ltd. in Canada will be evaluated using a combined Balanced Scorecard model. ERP systems will be used to monitor financial KPIs, including sales revenue, gross profit margin, ROI, and logistics costs, to ensure profitability and cost efficiency (Jawad &amp; Balázs, 2024). CRM platforms, surveys, and market research will be used to gauge customer-oriented metrics, including Net </w:t>
      </w:r>
      <w:r w:rsidRPr="00036205">
        <w:rPr>
          <w:rFonts w:ascii="Arial" w:hAnsi="Arial" w:cs="Arial"/>
        </w:rPr>
        <w:lastRenderedPageBreak/>
        <w:t>Promoter Score, brand recognition, and market share, enabling the company to make timely adjustments to its marketing and engagement strategies. Production and logistics tracking systems will be used to monitor internal process KPIs, such as defect rates, compliance adherence, and export lead times, to ensure operational excellence is maintained (Marinagi et al., 2023). The indicators of learning and development (time spent on staff training, output in terms of innovations, and use of digital tools, etc.) will be evaluated through the HR and R&amp;D dashboard. KPI outcomes will be attached to strategic objectives through real-time dashboards and quarterly performance reviews to enable management to make informed decisions, optimise operational processes, and support sustainable growth in the Canadian market.</w:t>
      </w:r>
    </w:p>
    <w:p w:rsidR="00B526C4" w:rsidRPr="00036205" w:rsidRDefault="00990314" w:rsidP="00036205">
      <w:pPr>
        <w:pStyle w:val="Heading1"/>
        <w:rPr>
          <w:rFonts w:ascii="Arial" w:hAnsi="Arial" w:cs="Arial"/>
          <w:sz w:val="24"/>
          <w:szCs w:val="24"/>
        </w:rPr>
      </w:pPr>
      <w:bookmarkStart w:id="43" w:name="_6ct868shl6u4" w:colFirst="0" w:colLast="0"/>
      <w:bookmarkStart w:id="44" w:name="_Toc215770616"/>
      <w:bookmarkEnd w:id="43"/>
      <w:r w:rsidRPr="00036205">
        <w:rPr>
          <w:rFonts w:ascii="Arial" w:hAnsi="Arial" w:cs="Arial"/>
          <w:sz w:val="24"/>
          <w:szCs w:val="24"/>
        </w:rPr>
        <w:t>6. Conclusion</w:t>
      </w:r>
      <w:bookmarkEnd w:id="44"/>
    </w:p>
    <w:p w:rsidR="00B526C4" w:rsidRPr="00036205" w:rsidRDefault="00990314" w:rsidP="00036205">
      <w:pPr>
        <w:rPr>
          <w:rFonts w:ascii="Arial" w:hAnsi="Arial" w:cs="Arial"/>
        </w:rPr>
      </w:pPr>
      <w:r w:rsidRPr="00036205">
        <w:rPr>
          <w:rFonts w:ascii="Arial" w:hAnsi="Arial" w:cs="Arial"/>
        </w:rPr>
        <w:t>The strategic growth of Square Textiles Ltd. into the Canadian textile market is an enormous opportunity to capitalise on its operational effectiveness, sustainability performance, and vertical integration. The market analysis shows that the increase in demand of ethically sourced textiles in Canada, including the preferential access to the market and the focus on compliance in regulations, suits the firm quite well. The direct exporting approach with the help of long-term cooperation with the major retailers, will enable the company to enter the market effectively and reduce the impact of regulatory and operational risks. The Balanced Scorecard model helps ensure that financial performance, customer satisfaction, operational efficiency, and workforce development are constantly measured, enabling strategic adjustments in time. The introduction of corporate social responsibility and sustainability into the market-entry approach enhances the company's legitimacy and competitiveness. In general, the expansion plan will position Square Textiles for sustainable growth, enhanced international market penetration, and a competitive edge in a market full of potential, with dynamic and ethical considerations in the Canadian textile sector.</w:t>
      </w:r>
      <w:r w:rsidRPr="00036205">
        <w:rPr>
          <w:rFonts w:ascii="Arial" w:hAnsi="Arial" w:cs="Arial"/>
        </w:rPr>
        <w:br w:type="page"/>
      </w:r>
    </w:p>
    <w:p w:rsidR="00B526C4" w:rsidRPr="00036205" w:rsidRDefault="00990314" w:rsidP="00036205">
      <w:pPr>
        <w:pStyle w:val="Heading1"/>
        <w:rPr>
          <w:rFonts w:ascii="Arial" w:hAnsi="Arial" w:cs="Arial"/>
          <w:sz w:val="24"/>
          <w:szCs w:val="24"/>
        </w:rPr>
      </w:pPr>
      <w:bookmarkStart w:id="45" w:name="_yrukm2pdygec" w:colFirst="0" w:colLast="0"/>
      <w:bookmarkStart w:id="46" w:name="_Toc215770617"/>
      <w:bookmarkEnd w:id="45"/>
      <w:r w:rsidRPr="00036205">
        <w:rPr>
          <w:rFonts w:ascii="Arial" w:hAnsi="Arial" w:cs="Arial"/>
          <w:sz w:val="24"/>
          <w:szCs w:val="24"/>
        </w:rPr>
        <w:lastRenderedPageBreak/>
        <w:t>References</w:t>
      </w:r>
      <w:bookmarkEnd w:id="46"/>
    </w:p>
    <w:p w:rsidR="00990314" w:rsidRPr="00036205" w:rsidRDefault="00990314" w:rsidP="00036205">
      <w:pPr>
        <w:spacing w:before="0" w:after="200"/>
        <w:rPr>
          <w:rFonts w:ascii="Arial" w:hAnsi="Arial" w:cs="Arial"/>
        </w:rPr>
      </w:pPr>
      <w:r w:rsidRPr="00036205">
        <w:rPr>
          <w:rFonts w:ascii="Arial" w:hAnsi="Arial" w:cs="Arial"/>
        </w:rPr>
        <w:t xml:space="preserve">Agazu, B. G., &amp; Kero, C. A. (2024). Innovation Strategy and Firm Competitiveness: a Systematic Literature Review. </w:t>
      </w:r>
      <w:r w:rsidRPr="00036205">
        <w:rPr>
          <w:rFonts w:ascii="Arial" w:hAnsi="Arial" w:cs="Arial"/>
          <w:i/>
          <w:iCs/>
        </w:rPr>
        <w:t>Journal of Innovation and Entrepreneurship</w:t>
      </w:r>
      <w:r w:rsidRPr="00036205">
        <w:rPr>
          <w:rFonts w:ascii="Arial" w:hAnsi="Arial" w:cs="Arial"/>
        </w:rPr>
        <w:t xml:space="preserve">, </w:t>
      </w:r>
      <w:r w:rsidRPr="00036205">
        <w:rPr>
          <w:rFonts w:ascii="Arial" w:hAnsi="Arial" w:cs="Arial"/>
          <w:i/>
          <w:iCs/>
        </w:rPr>
        <w:t>13</w:t>
      </w:r>
      <w:r w:rsidRPr="00036205">
        <w:rPr>
          <w:rFonts w:ascii="Arial" w:hAnsi="Arial" w:cs="Arial"/>
        </w:rPr>
        <w:t xml:space="preserve">(1). </w:t>
      </w:r>
      <w:hyperlink r:id="rId16">
        <w:r w:rsidRPr="00036205">
          <w:rPr>
            <w:rFonts w:ascii="Arial" w:hAnsi="Arial" w:cs="Arial"/>
            <w:color w:val="1155CC"/>
            <w:u w:val="single"/>
          </w:rPr>
          <w:t>https://doi.org/10.1186/s13731-024-00381-9</w:t>
        </w:r>
      </w:hyperlink>
    </w:p>
    <w:p w:rsidR="00990314" w:rsidRPr="00036205" w:rsidRDefault="00990314" w:rsidP="00036205">
      <w:pPr>
        <w:spacing w:before="0" w:after="240"/>
        <w:rPr>
          <w:rFonts w:ascii="Arial" w:hAnsi="Arial" w:cs="Arial"/>
        </w:rPr>
      </w:pPr>
      <w:r w:rsidRPr="00036205">
        <w:rPr>
          <w:rFonts w:ascii="Arial" w:hAnsi="Arial" w:cs="Arial"/>
        </w:rPr>
        <w:t xml:space="preserve">Apparel Views (2025) </w:t>
      </w:r>
      <w:r w:rsidRPr="00036205">
        <w:rPr>
          <w:rFonts w:ascii="Arial" w:hAnsi="Arial" w:cs="Arial"/>
          <w:i/>
          <w:iCs/>
        </w:rPr>
        <w:t>Japan offers untapped opportunity for Bangladeshi garment exports</w:t>
      </w:r>
      <w:r w:rsidRPr="00036205">
        <w:rPr>
          <w:rFonts w:ascii="Arial" w:hAnsi="Arial" w:cs="Arial"/>
        </w:rPr>
        <w:t xml:space="preserve">, </w:t>
      </w:r>
      <w:r w:rsidRPr="00036205">
        <w:rPr>
          <w:rFonts w:ascii="Arial" w:hAnsi="Arial" w:cs="Arial"/>
          <w:i/>
          <w:iCs/>
        </w:rPr>
        <w:t>Apparel Views</w:t>
      </w:r>
      <w:r w:rsidRPr="00036205">
        <w:rPr>
          <w:rFonts w:ascii="Arial" w:hAnsi="Arial" w:cs="Arial"/>
        </w:rPr>
        <w:t>. Available at: https://www.apparelviews.com/japan-offers-untapped-opportunity-for-bangladeshi-garment-exports (Accessed: 4 December 2025).</w:t>
      </w:r>
    </w:p>
    <w:p w:rsidR="00990314" w:rsidRPr="00036205" w:rsidRDefault="00990314" w:rsidP="00036205">
      <w:pPr>
        <w:spacing w:before="0" w:after="200"/>
        <w:rPr>
          <w:rFonts w:ascii="Arial" w:hAnsi="Arial" w:cs="Arial"/>
        </w:rPr>
      </w:pPr>
      <w:r w:rsidRPr="00036205">
        <w:rPr>
          <w:rFonts w:ascii="Arial" w:hAnsi="Arial" w:cs="Arial"/>
        </w:rPr>
        <w:t xml:space="preserve">Aritzia. (2023). </w:t>
      </w:r>
      <w:r w:rsidRPr="00036205">
        <w:rPr>
          <w:rFonts w:ascii="Arial" w:hAnsi="Arial" w:cs="Arial"/>
          <w:i/>
          <w:iCs/>
        </w:rPr>
        <w:t>Aritzia Reports Fourth Quarter and Fiscal 2023 Financial Results</w:t>
      </w:r>
      <w:r w:rsidRPr="00036205">
        <w:rPr>
          <w:rFonts w:ascii="Arial" w:hAnsi="Arial" w:cs="Arial"/>
        </w:rPr>
        <w:t xml:space="preserve">. Investors.aritzia.com. </w:t>
      </w:r>
      <w:hyperlink r:id="rId17">
        <w:r w:rsidRPr="00036205">
          <w:rPr>
            <w:rFonts w:ascii="Arial" w:hAnsi="Arial" w:cs="Arial"/>
            <w:color w:val="1155CC"/>
            <w:u w:val="single"/>
          </w:rPr>
          <w:t>https://investors.aritzia.com/investor-news/press-release-details/2023/Aritzia-Reports-Fourth-Quarter-and-Fiscal-2023-Financial-Results/default.aspx</w:t>
        </w:r>
      </w:hyperlink>
    </w:p>
    <w:p w:rsidR="00990314" w:rsidRPr="00036205" w:rsidRDefault="00990314" w:rsidP="00036205">
      <w:pPr>
        <w:spacing w:before="0" w:after="240"/>
        <w:rPr>
          <w:rFonts w:ascii="Arial" w:hAnsi="Arial" w:cs="Arial"/>
        </w:rPr>
      </w:pPr>
      <w:r w:rsidRPr="00036205">
        <w:rPr>
          <w:rFonts w:ascii="Arial" w:hAnsi="Arial" w:cs="Arial"/>
        </w:rPr>
        <w:t xml:space="preserve">BTJ (2023) </w:t>
      </w:r>
      <w:r w:rsidRPr="00036205">
        <w:rPr>
          <w:rFonts w:ascii="Arial" w:hAnsi="Arial" w:cs="Arial"/>
          <w:i/>
          <w:iCs/>
        </w:rPr>
        <w:t>Bangladesh to Enjoy Duty-Free Access to Canada until 2026 for Garment Exports</w:t>
      </w:r>
      <w:r w:rsidRPr="00036205">
        <w:rPr>
          <w:rFonts w:ascii="Arial" w:hAnsi="Arial" w:cs="Arial"/>
        </w:rPr>
        <w:t xml:space="preserve">, </w:t>
      </w:r>
      <w:r w:rsidRPr="00036205">
        <w:rPr>
          <w:rFonts w:ascii="Arial" w:hAnsi="Arial" w:cs="Arial"/>
          <w:i/>
          <w:iCs/>
        </w:rPr>
        <w:t>Bangladesh Textile Journal | News and Analysis | Research Articles | Interviews</w:t>
      </w:r>
      <w:r w:rsidRPr="00036205">
        <w:rPr>
          <w:rFonts w:ascii="Arial" w:hAnsi="Arial" w:cs="Arial"/>
        </w:rPr>
        <w:t>. Bangladesh Textile Journal. Available at: https://bangladeshtextilejournal.com/bangladesh-to-enjoy-duty-free-access-to-canada-until-2026-for-garment-exports/ (Accessed: 4 December 2025).</w:t>
      </w:r>
    </w:p>
    <w:p w:rsidR="00990314" w:rsidRPr="00036205" w:rsidRDefault="00990314" w:rsidP="00036205">
      <w:pPr>
        <w:spacing w:before="0" w:after="200"/>
        <w:rPr>
          <w:rFonts w:ascii="Arial" w:hAnsi="Arial" w:cs="Arial"/>
        </w:rPr>
      </w:pPr>
      <w:r w:rsidRPr="00036205">
        <w:rPr>
          <w:rFonts w:ascii="Arial" w:hAnsi="Arial" w:cs="Arial"/>
        </w:rPr>
        <w:t xml:space="preserve">Business Standard. (2023). </w:t>
      </w:r>
      <w:r w:rsidRPr="00036205">
        <w:rPr>
          <w:rFonts w:ascii="Arial" w:hAnsi="Arial" w:cs="Arial"/>
          <w:i/>
          <w:iCs/>
        </w:rPr>
        <w:t>Fashion brands paying Bangladeshi factories below production cost, says UK study</w:t>
      </w:r>
      <w:r w:rsidRPr="00036205">
        <w:rPr>
          <w:rFonts w:ascii="Arial" w:hAnsi="Arial" w:cs="Arial"/>
        </w:rPr>
        <w:t xml:space="preserve">. The Business Standard. </w:t>
      </w:r>
      <w:hyperlink r:id="rId18">
        <w:r w:rsidRPr="00036205">
          <w:rPr>
            <w:rFonts w:ascii="Arial" w:hAnsi="Arial" w:cs="Arial"/>
            <w:color w:val="1155CC"/>
            <w:u w:val="single"/>
          </w:rPr>
          <w:t>https://www.tbsnews.net/economy/rmg/fashion-brands-paying-bangladeshi-factories-below-production-cost-says-uk-study-564826</w:t>
        </w:r>
      </w:hyperlink>
    </w:p>
    <w:p w:rsidR="00990314" w:rsidRPr="00036205" w:rsidRDefault="00990314" w:rsidP="00036205">
      <w:pPr>
        <w:spacing w:before="0" w:after="200"/>
        <w:rPr>
          <w:rFonts w:ascii="Arial" w:hAnsi="Arial" w:cs="Arial"/>
        </w:rPr>
      </w:pPr>
      <w:r w:rsidRPr="00036205">
        <w:rPr>
          <w:rFonts w:ascii="Arial" w:hAnsi="Arial" w:cs="Arial"/>
        </w:rPr>
        <w:t xml:space="preserve">CBA. (2025). </w:t>
      </w:r>
      <w:r w:rsidRPr="00036205">
        <w:rPr>
          <w:rFonts w:ascii="Arial" w:hAnsi="Arial" w:cs="Arial"/>
          <w:i/>
          <w:iCs/>
        </w:rPr>
        <w:t>IMPORTING INTO CANADA | Canadian Bar Association</w:t>
      </w:r>
      <w:r w:rsidRPr="00036205">
        <w:rPr>
          <w:rFonts w:ascii="Arial" w:hAnsi="Arial" w:cs="Arial"/>
        </w:rPr>
        <w:t xml:space="preserve">. Cba.org. </w:t>
      </w:r>
      <w:hyperlink r:id="rId19">
        <w:r w:rsidRPr="00036205">
          <w:rPr>
            <w:rFonts w:ascii="Arial" w:hAnsi="Arial" w:cs="Arial"/>
            <w:color w:val="1155CC"/>
            <w:u w:val="single"/>
          </w:rPr>
          <w:t>https://www.cba.org/sections/commodity-tax-customs-and-trade/member-articles/importing-into-canada/</w:t>
        </w:r>
      </w:hyperlink>
    </w:p>
    <w:p w:rsidR="00990314" w:rsidRPr="00036205" w:rsidRDefault="00990314" w:rsidP="00036205">
      <w:pPr>
        <w:spacing w:before="0" w:after="240"/>
        <w:rPr>
          <w:rFonts w:ascii="Arial" w:hAnsi="Arial" w:cs="Arial"/>
        </w:rPr>
      </w:pPr>
      <w:r w:rsidRPr="00036205">
        <w:rPr>
          <w:rFonts w:ascii="Arial" w:hAnsi="Arial" w:cs="Arial"/>
        </w:rPr>
        <w:t xml:space="preserve">Culot, G., Podrecca, M. and Nassimbeni, G. (2024) ‘Artificial Intelligence in Supply Chain management: a Systematic Literature Review of Empirical Studies and Research Directions’, </w:t>
      </w:r>
      <w:r w:rsidRPr="00036205">
        <w:rPr>
          <w:rFonts w:ascii="Arial" w:hAnsi="Arial" w:cs="Arial"/>
          <w:i/>
          <w:iCs/>
        </w:rPr>
        <w:t>Computers in Industry</w:t>
      </w:r>
      <w:r w:rsidRPr="00036205">
        <w:rPr>
          <w:rFonts w:ascii="Arial" w:hAnsi="Arial" w:cs="Arial"/>
        </w:rPr>
        <w:t>, 162(1), pp. 104132–104132. Available at: https://doi.org/10.1016/j.compind.2024.104132.</w:t>
      </w:r>
    </w:p>
    <w:p w:rsidR="00990314" w:rsidRPr="00036205" w:rsidRDefault="00990314" w:rsidP="00036205">
      <w:pPr>
        <w:spacing w:before="0" w:after="240"/>
        <w:rPr>
          <w:rFonts w:ascii="Arial" w:hAnsi="Arial" w:cs="Arial"/>
        </w:rPr>
      </w:pPr>
      <w:r w:rsidRPr="00036205">
        <w:rPr>
          <w:rFonts w:ascii="Arial" w:hAnsi="Arial" w:cs="Arial"/>
        </w:rPr>
        <w:t xml:space="preserve">DCF (2025) </w:t>
      </w:r>
      <w:r w:rsidRPr="00036205">
        <w:rPr>
          <w:rFonts w:ascii="Arial" w:hAnsi="Arial" w:cs="Arial"/>
          <w:i/>
          <w:iCs/>
        </w:rPr>
        <w:t>PVH Corp. (PVH): 5 FORCES Analysis [Nov-2025 Updated]</w:t>
      </w:r>
      <w:r w:rsidRPr="00036205">
        <w:rPr>
          <w:rFonts w:ascii="Arial" w:hAnsi="Arial" w:cs="Arial"/>
        </w:rPr>
        <w:t xml:space="preserve">, </w:t>
      </w:r>
      <w:r w:rsidRPr="00036205">
        <w:rPr>
          <w:rFonts w:ascii="Arial" w:hAnsi="Arial" w:cs="Arial"/>
          <w:i/>
          <w:iCs/>
        </w:rPr>
        <w:t>AI-Powered Discounted Cash Flow Editable Templates</w:t>
      </w:r>
      <w:r w:rsidRPr="00036205">
        <w:rPr>
          <w:rFonts w:ascii="Arial" w:hAnsi="Arial" w:cs="Arial"/>
        </w:rPr>
        <w:t xml:space="preserve">. Available at: </w:t>
      </w:r>
      <w:r w:rsidRPr="00036205">
        <w:rPr>
          <w:rFonts w:ascii="Arial" w:hAnsi="Arial" w:cs="Arial"/>
        </w:rPr>
        <w:lastRenderedPageBreak/>
        <w:t>https://dcfmodeling.com/products/pvh-porters-five-forces-analysis?srsltid=AfmBOorPLSizFztHaoPPZUKhHLdjWQD5_u_cOcvaHnQ1NtXFJZpxMyap (Accessed: 4 December 2025).</w:t>
      </w:r>
    </w:p>
    <w:p w:rsidR="00990314" w:rsidRPr="00036205" w:rsidRDefault="00990314" w:rsidP="00036205">
      <w:pPr>
        <w:spacing w:before="0" w:after="200"/>
        <w:rPr>
          <w:rFonts w:ascii="Arial" w:hAnsi="Arial" w:cs="Arial"/>
        </w:rPr>
      </w:pPr>
      <w:r w:rsidRPr="00036205">
        <w:rPr>
          <w:rFonts w:ascii="Arial" w:hAnsi="Arial" w:cs="Arial"/>
        </w:rPr>
        <w:t xml:space="preserve">Eifert, A., &amp; Julmi, C. (2022). Challenges and How to Overcome Them in the Formulation and Implementation Process of a Sustainability Balanced Scorecard (SBSC). </w:t>
      </w:r>
      <w:r w:rsidRPr="00036205">
        <w:rPr>
          <w:rFonts w:ascii="Arial" w:hAnsi="Arial" w:cs="Arial"/>
          <w:i/>
          <w:iCs/>
        </w:rPr>
        <w:t>Sustainability</w:t>
      </w:r>
      <w:r w:rsidRPr="00036205">
        <w:rPr>
          <w:rFonts w:ascii="Arial" w:hAnsi="Arial" w:cs="Arial"/>
        </w:rPr>
        <w:t xml:space="preserve">, </w:t>
      </w:r>
      <w:r w:rsidRPr="00036205">
        <w:rPr>
          <w:rFonts w:ascii="Arial" w:hAnsi="Arial" w:cs="Arial"/>
          <w:i/>
          <w:iCs/>
        </w:rPr>
        <w:t>14</w:t>
      </w:r>
      <w:r w:rsidRPr="00036205">
        <w:rPr>
          <w:rFonts w:ascii="Arial" w:hAnsi="Arial" w:cs="Arial"/>
        </w:rPr>
        <w:t xml:space="preserve">(22), 14816. </w:t>
      </w:r>
      <w:hyperlink r:id="rId20">
        <w:r w:rsidRPr="00036205">
          <w:rPr>
            <w:rFonts w:ascii="Arial" w:hAnsi="Arial" w:cs="Arial"/>
            <w:color w:val="1155CC"/>
            <w:u w:val="single"/>
          </w:rPr>
          <w:t>https://doi.org/10.3390/su142214816</w:t>
        </w:r>
      </w:hyperlink>
    </w:p>
    <w:p w:rsidR="00990314" w:rsidRPr="00036205" w:rsidRDefault="00990314" w:rsidP="00036205">
      <w:pPr>
        <w:spacing w:before="0" w:after="240"/>
        <w:rPr>
          <w:rFonts w:ascii="Arial" w:hAnsi="Arial" w:cs="Arial"/>
        </w:rPr>
      </w:pPr>
      <w:r w:rsidRPr="00036205">
        <w:rPr>
          <w:rFonts w:ascii="Arial" w:hAnsi="Arial" w:cs="Arial"/>
        </w:rPr>
        <w:t xml:space="preserve">European Parliament (2022) </w:t>
      </w:r>
      <w:r w:rsidRPr="00036205">
        <w:rPr>
          <w:rFonts w:ascii="Arial" w:hAnsi="Arial" w:cs="Arial"/>
          <w:i/>
          <w:iCs/>
        </w:rPr>
        <w:t>Trade-related policy options of a ban on forced labour products Requested by the INTA committee</w:t>
      </w:r>
      <w:r w:rsidRPr="00036205">
        <w:rPr>
          <w:rFonts w:ascii="Arial" w:hAnsi="Arial" w:cs="Arial"/>
        </w:rPr>
        <w:t>. Available at: https://www.europarl.europa.eu/RegData/etudes/IDAN/2022/702570/EXPO_IDA(2022)702570_EN.pdf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F2F (2021) </w:t>
      </w:r>
      <w:r w:rsidRPr="00036205">
        <w:rPr>
          <w:rFonts w:ascii="Arial" w:hAnsi="Arial" w:cs="Arial"/>
          <w:i/>
          <w:iCs/>
        </w:rPr>
        <w:t>The Sudden Growth Of Secondhand And The Online Resale Market - Fibre2Fashion</w:t>
      </w:r>
      <w:r w:rsidRPr="00036205">
        <w:rPr>
          <w:rFonts w:ascii="Arial" w:hAnsi="Arial" w:cs="Arial"/>
        </w:rPr>
        <w:t xml:space="preserve">, </w:t>
      </w:r>
      <w:r w:rsidRPr="00036205">
        <w:rPr>
          <w:rFonts w:ascii="Arial" w:hAnsi="Arial" w:cs="Arial"/>
          <w:i/>
          <w:iCs/>
        </w:rPr>
        <w:t>Fibre2fashion.com</w:t>
      </w:r>
      <w:r w:rsidRPr="00036205">
        <w:rPr>
          <w:rFonts w:ascii="Arial" w:hAnsi="Arial" w:cs="Arial"/>
        </w:rPr>
        <w:t>. Available at: https://www.fibre2fashion.com/industry-article/8947/the-sudden-growth-of-secondhand-and-the-online-resale-market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F2F (2022) </w:t>
      </w:r>
      <w:r w:rsidRPr="00036205">
        <w:rPr>
          <w:rFonts w:ascii="Arial" w:hAnsi="Arial" w:cs="Arial"/>
          <w:i/>
          <w:iCs/>
        </w:rPr>
        <w:t>Adobe</w:t>
      </w:r>
      <w:r w:rsidRPr="00036205">
        <w:rPr>
          <w:rFonts w:ascii="Arial" w:hAnsi="Arial" w:cs="Arial"/>
        </w:rPr>
        <w:t xml:space="preserve">, </w:t>
      </w:r>
      <w:r w:rsidRPr="00036205">
        <w:rPr>
          <w:rFonts w:ascii="Arial" w:hAnsi="Arial" w:cs="Arial"/>
          <w:i/>
          <w:iCs/>
        </w:rPr>
        <w:t>Fibre2fashion.com</w:t>
      </w:r>
      <w:r w:rsidRPr="00036205">
        <w:rPr>
          <w:rFonts w:ascii="Arial" w:hAnsi="Arial" w:cs="Arial"/>
        </w:rPr>
        <w:t>. Fibre2Fashion. Available at: https://www.fibre2fashion.com/news/apparel-news/apparel-prices-in-us-rising-faster-online-than-offline-adobe-280238-newsdetails.htm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F2F (2023) </w:t>
      </w:r>
      <w:r w:rsidRPr="00036205">
        <w:rPr>
          <w:rFonts w:ascii="Arial" w:hAnsi="Arial" w:cs="Arial"/>
          <w:i/>
          <w:iCs/>
        </w:rPr>
        <w:t>Canada’s apparel imports at $12 bn in 2022, China’s share 30%</w:t>
      </w:r>
      <w:r w:rsidRPr="00036205">
        <w:rPr>
          <w:rFonts w:ascii="Arial" w:hAnsi="Arial" w:cs="Arial"/>
        </w:rPr>
        <w:t xml:space="preserve">, </w:t>
      </w:r>
      <w:r w:rsidRPr="00036205">
        <w:rPr>
          <w:rFonts w:ascii="Arial" w:hAnsi="Arial" w:cs="Arial"/>
          <w:i/>
          <w:iCs/>
        </w:rPr>
        <w:t>Fibre2fashion.com</w:t>
      </w:r>
      <w:r w:rsidRPr="00036205">
        <w:rPr>
          <w:rFonts w:ascii="Arial" w:hAnsi="Arial" w:cs="Arial"/>
        </w:rPr>
        <w:t>. Fibre2Fashion. Available at: https://www.fibre2fashion.com/news/apparel-news/canada-s-apparel-imports-at-12-bn-in-2022-china-s-share-30--286429-newsdetails.htm (Accessed: 4 December 2025).</w:t>
      </w:r>
    </w:p>
    <w:p w:rsidR="00990314" w:rsidRPr="00036205" w:rsidRDefault="00990314" w:rsidP="00036205">
      <w:pPr>
        <w:spacing w:before="0" w:after="200"/>
        <w:rPr>
          <w:rFonts w:ascii="Arial" w:hAnsi="Arial" w:cs="Arial"/>
        </w:rPr>
      </w:pPr>
      <w:r w:rsidRPr="00036205">
        <w:rPr>
          <w:rFonts w:ascii="Arial" w:hAnsi="Arial" w:cs="Arial"/>
        </w:rPr>
        <w:t>Fay, C. D., Mannering, N., Jeiranikhameneh, A., Mokhtari, F., Foroughi, J., Baughman, R. H., Peter, &amp; Wallace, G. G. (2022). Wearable Carbon Nanotube</w:t>
      </w:r>
      <w:r w:rsidRPr="00036205">
        <w:rPr>
          <w:rFonts w:ascii="Cambria Math" w:hAnsi="Cambria Math" w:cs="Cambria Math"/>
        </w:rPr>
        <w:t>‐</w:t>
      </w:r>
      <w:r w:rsidRPr="00036205">
        <w:rPr>
          <w:rFonts w:ascii="Arial" w:hAnsi="Arial" w:cs="Arial"/>
        </w:rPr>
        <w:t xml:space="preserve">Spandex Textile Yarns for Knee Flexion Monitoring. </w:t>
      </w:r>
      <w:r w:rsidRPr="00036205">
        <w:rPr>
          <w:rFonts w:ascii="Arial" w:hAnsi="Arial" w:cs="Arial"/>
          <w:i/>
          <w:iCs/>
        </w:rPr>
        <w:t>Advanced Sensor Research</w:t>
      </w:r>
      <w:r w:rsidRPr="00036205">
        <w:rPr>
          <w:rFonts w:ascii="Arial" w:hAnsi="Arial" w:cs="Arial"/>
        </w:rPr>
        <w:t xml:space="preserve">, </w:t>
      </w:r>
      <w:r w:rsidRPr="00036205">
        <w:rPr>
          <w:rFonts w:ascii="Arial" w:hAnsi="Arial" w:cs="Arial"/>
          <w:i/>
          <w:iCs/>
        </w:rPr>
        <w:t>2</w:t>
      </w:r>
      <w:r w:rsidRPr="00036205">
        <w:rPr>
          <w:rFonts w:ascii="Arial" w:hAnsi="Arial" w:cs="Arial"/>
        </w:rPr>
        <w:t xml:space="preserve">(1). </w:t>
      </w:r>
      <w:hyperlink r:id="rId21">
        <w:r w:rsidRPr="00036205">
          <w:rPr>
            <w:rFonts w:ascii="Arial" w:hAnsi="Arial" w:cs="Arial"/>
            <w:color w:val="1155CC"/>
            <w:u w:val="single"/>
          </w:rPr>
          <w:t>https://doi.org/10.1002/adsr.202200021</w:t>
        </w:r>
      </w:hyperlink>
    </w:p>
    <w:p w:rsidR="00990314" w:rsidRPr="00036205" w:rsidRDefault="00990314" w:rsidP="00036205">
      <w:pPr>
        <w:spacing w:before="0" w:after="240"/>
        <w:rPr>
          <w:rFonts w:ascii="Arial" w:hAnsi="Arial" w:cs="Arial"/>
        </w:rPr>
      </w:pPr>
      <w:r w:rsidRPr="00036205">
        <w:rPr>
          <w:rFonts w:ascii="Arial" w:hAnsi="Arial" w:cs="Arial"/>
        </w:rPr>
        <w:t xml:space="preserve">Fernandez-Stark, K., Bamber, P. and Couto, V. (2022) ‘Analysis of the Textile and Clothing Industry Global Value Chains’, </w:t>
      </w:r>
      <w:r w:rsidRPr="00036205">
        <w:rPr>
          <w:rFonts w:ascii="Arial" w:hAnsi="Arial" w:cs="Arial"/>
          <w:i/>
          <w:iCs/>
        </w:rPr>
        <w:t>Analysis of the Textile and Clothing Industry Global Value Chains</w:t>
      </w:r>
      <w:r w:rsidRPr="00036205">
        <w:rPr>
          <w:rFonts w:ascii="Arial" w:hAnsi="Arial" w:cs="Arial"/>
        </w:rPr>
        <w:t xml:space="preserve"> [Preprint]. Available at: https://doi.org/10.18235/0004638.</w:t>
      </w:r>
    </w:p>
    <w:p w:rsidR="00990314" w:rsidRPr="00036205" w:rsidRDefault="00990314" w:rsidP="00036205">
      <w:pPr>
        <w:spacing w:before="0" w:after="240"/>
        <w:rPr>
          <w:rFonts w:ascii="Arial" w:hAnsi="Arial" w:cs="Arial"/>
        </w:rPr>
      </w:pPr>
      <w:r w:rsidRPr="00036205">
        <w:rPr>
          <w:rFonts w:ascii="Arial" w:hAnsi="Arial" w:cs="Arial"/>
        </w:rPr>
        <w:lastRenderedPageBreak/>
        <w:t xml:space="preserve">Fiber2Fashion (2025) </w:t>
      </w:r>
      <w:r w:rsidRPr="00036205">
        <w:rPr>
          <w:rFonts w:ascii="Arial" w:hAnsi="Arial" w:cs="Arial"/>
          <w:i/>
          <w:iCs/>
        </w:rPr>
        <w:t>Global Apparel Market Trends 2025 | Emerging Styles &amp; Fashion Technologies - Fibre2Fashion</w:t>
      </w:r>
      <w:r w:rsidRPr="00036205">
        <w:rPr>
          <w:rFonts w:ascii="Arial" w:hAnsi="Arial" w:cs="Arial"/>
        </w:rPr>
        <w:t xml:space="preserve">, </w:t>
      </w:r>
      <w:r w:rsidRPr="00036205">
        <w:rPr>
          <w:rFonts w:ascii="Arial" w:hAnsi="Arial" w:cs="Arial"/>
          <w:i/>
          <w:iCs/>
        </w:rPr>
        <w:t>Fibre2fashion.com</w:t>
      </w:r>
      <w:r w:rsidRPr="00036205">
        <w:rPr>
          <w:rFonts w:ascii="Arial" w:hAnsi="Arial" w:cs="Arial"/>
        </w:rPr>
        <w:t>. Available at: https://www.fibre2fashion.com/resources/10869/global-apparel-market-trends-2025-emerging-styles-technologies-and-consumer-shifts-shaping-fashion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Fibre2Fashion (2025) </w:t>
      </w:r>
      <w:r w:rsidRPr="00036205">
        <w:rPr>
          <w:rFonts w:ascii="Arial" w:hAnsi="Arial" w:cs="Arial"/>
          <w:i/>
          <w:iCs/>
        </w:rPr>
        <w:t>Canada’s apparel &amp; home textile imports from India up 13.8% - Textile Fashion News Fibre2Fashion</w:t>
      </w:r>
      <w:r w:rsidRPr="00036205">
        <w:rPr>
          <w:rFonts w:ascii="Arial" w:hAnsi="Arial" w:cs="Arial"/>
        </w:rPr>
        <w:t xml:space="preserve">, </w:t>
      </w:r>
      <w:r w:rsidRPr="00036205">
        <w:rPr>
          <w:rFonts w:ascii="Arial" w:hAnsi="Arial" w:cs="Arial"/>
          <w:i/>
          <w:iCs/>
        </w:rPr>
        <w:t>Fibre2fashion.com</w:t>
      </w:r>
      <w:r w:rsidRPr="00036205">
        <w:rPr>
          <w:rFonts w:ascii="Arial" w:hAnsi="Arial" w:cs="Arial"/>
        </w:rPr>
        <w:t>. Fibre2Fashion. Available at: https://www.fibre2fashion.com/news/trade-news/canada-s-apparel-home-textile-imports-from-india-up-13-8--305590-newsdetails.htm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Gök, A.E., Selçuk, H. and Feyzioğlu, A. (2025) ‘Developing sector wide sustainability strategies for small and medium sized textile enterprises through materiality analysis’, </w:t>
      </w:r>
      <w:r w:rsidRPr="00036205">
        <w:rPr>
          <w:rFonts w:ascii="Arial" w:hAnsi="Arial" w:cs="Arial"/>
          <w:i/>
          <w:iCs/>
        </w:rPr>
        <w:t>Sustainable Futures</w:t>
      </w:r>
      <w:r w:rsidRPr="00036205">
        <w:rPr>
          <w:rFonts w:ascii="Arial" w:hAnsi="Arial" w:cs="Arial"/>
        </w:rPr>
        <w:t>, 10, p. 101341. Available at: https://doi.org/10.1016/j.sftr.2025.101341.</w:t>
      </w:r>
    </w:p>
    <w:p w:rsidR="00990314" w:rsidRPr="00036205" w:rsidRDefault="00990314" w:rsidP="00036205">
      <w:pPr>
        <w:spacing w:before="0" w:after="240"/>
        <w:rPr>
          <w:rFonts w:ascii="Arial" w:hAnsi="Arial" w:cs="Arial"/>
        </w:rPr>
      </w:pPr>
      <w:r w:rsidRPr="00036205">
        <w:rPr>
          <w:rFonts w:ascii="Arial" w:hAnsi="Arial" w:cs="Arial"/>
        </w:rPr>
        <w:t xml:space="preserve">Government of Canada (2022) </w:t>
      </w:r>
      <w:r w:rsidRPr="00036205">
        <w:rPr>
          <w:rFonts w:ascii="Arial" w:hAnsi="Arial" w:cs="Arial"/>
          <w:i/>
          <w:iCs/>
        </w:rPr>
        <w:t>Supply chain transparency and consumer product labelling: notice to interested parties - Canada.ca</w:t>
      </w:r>
      <w:r w:rsidRPr="00036205">
        <w:rPr>
          <w:rFonts w:ascii="Arial" w:hAnsi="Arial" w:cs="Arial"/>
        </w:rPr>
        <w:t xml:space="preserve">, </w:t>
      </w:r>
      <w:r w:rsidRPr="00036205">
        <w:rPr>
          <w:rFonts w:ascii="Arial" w:hAnsi="Arial" w:cs="Arial"/>
          <w:i/>
          <w:iCs/>
        </w:rPr>
        <w:t>Canada.ca</w:t>
      </w:r>
      <w:r w:rsidRPr="00036205">
        <w:rPr>
          <w:rFonts w:ascii="Arial" w:hAnsi="Arial" w:cs="Arial"/>
        </w:rPr>
        <w:t>. Available at: https://www.canada.ca/en/services/environment/pollution-waste-management/managing-substances-environment/supply-chain-transparency-labelling-consultations/notice-to-interested-parties.html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Government of Canada (2024) </w:t>
      </w:r>
      <w:r w:rsidRPr="00036205">
        <w:rPr>
          <w:rFonts w:ascii="Arial" w:hAnsi="Arial" w:cs="Arial"/>
          <w:i/>
          <w:iCs/>
        </w:rPr>
        <w:t>Opportunities for circularity in apparel textiles in Canada - Canada.ca</w:t>
      </w:r>
      <w:r w:rsidRPr="00036205">
        <w:rPr>
          <w:rFonts w:ascii="Arial" w:hAnsi="Arial" w:cs="Arial"/>
        </w:rPr>
        <w:t xml:space="preserve">, </w:t>
      </w:r>
      <w:r w:rsidRPr="00036205">
        <w:rPr>
          <w:rFonts w:ascii="Arial" w:hAnsi="Arial" w:cs="Arial"/>
          <w:i/>
          <w:iCs/>
        </w:rPr>
        <w:t>Canada.ca</w:t>
      </w:r>
      <w:r w:rsidRPr="00036205">
        <w:rPr>
          <w:rFonts w:ascii="Arial" w:hAnsi="Arial" w:cs="Arial"/>
        </w:rPr>
        <w:t>. Available at: https://www.canada.ca/en/services/environment/conservation/sustainability/circular-economy/workshop-report-opportunities-circularity-apparel-textiles.html (Accessed: 4 December 2025).</w:t>
      </w:r>
    </w:p>
    <w:p w:rsidR="00990314" w:rsidRPr="00036205" w:rsidRDefault="00990314" w:rsidP="00036205">
      <w:pPr>
        <w:spacing w:before="0" w:after="200"/>
        <w:rPr>
          <w:rFonts w:ascii="Arial" w:hAnsi="Arial" w:cs="Arial"/>
        </w:rPr>
      </w:pPr>
      <w:r w:rsidRPr="00036205">
        <w:rPr>
          <w:rFonts w:ascii="Arial" w:hAnsi="Arial" w:cs="Arial"/>
        </w:rPr>
        <w:t xml:space="preserve">Grand View Research. (2025). </w:t>
      </w:r>
      <w:r w:rsidRPr="00036205">
        <w:rPr>
          <w:rFonts w:ascii="Arial" w:hAnsi="Arial" w:cs="Arial"/>
          <w:i/>
          <w:iCs/>
        </w:rPr>
        <w:t>Canada Textile Market Size &amp; Outlook, 2030</w:t>
      </w:r>
      <w:r w:rsidRPr="00036205">
        <w:rPr>
          <w:rFonts w:ascii="Arial" w:hAnsi="Arial" w:cs="Arial"/>
        </w:rPr>
        <w:t xml:space="preserve">. Grandviewresearch.com. </w:t>
      </w:r>
      <w:hyperlink r:id="rId22">
        <w:r w:rsidRPr="00036205">
          <w:rPr>
            <w:rFonts w:ascii="Arial" w:hAnsi="Arial" w:cs="Arial"/>
            <w:color w:val="1155CC"/>
            <w:u w:val="single"/>
          </w:rPr>
          <w:t>https://www.grandviewresearch.com/horizon/outlook/textile-market/canada</w:t>
        </w:r>
      </w:hyperlink>
    </w:p>
    <w:p w:rsidR="00990314" w:rsidRPr="00036205" w:rsidRDefault="00990314" w:rsidP="00036205">
      <w:pPr>
        <w:spacing w:before="0" w:after="240"/>
        <w:rPr>
          <w:rFonts w:ascii="Arial" w:hAnsi="Arial" w:cs="Arial"/>
        </w:rPr>
      </w:pPr>
      <w:r w:rsidRPr="00036205">
        <w:rPr>
          <w:rFonts w:ascii="Arial" w:hAnsi="Arial" w:cs="Arial"/>
        </w:rPr>
        <w:t xml:space="preserve">GSP (2025) </w:t>
      </w:r>
      <w:r w:rsidRPr="00036205">
        <w:rPr>
          <w:rFonts w:ascii="Arial" w:hAnsi="Arial" w:cs="Arial"/>
          <w:i/>
          <w:iCs/>
        </w:rPr>
        <w:t>Monitoring Missions and Priorities in Bangladesh</w:t>
      </w:r>
      <w:r w:rsidRPr="00036205">
        <w:rPr>
          <w:rFonts w:ascii="Arial" w:hAnsi="Arial" w:cs="Arial"/>
        </w:rPr>
        <w:t xml:space="preserve">, </w:t>
      </w:r>
      <w:r w:rsidRPr="00036205">
        <w:rPr>
          <w:rFonts w:ascii="Arial" w:hAnsi="Arial" w:cs="Arial"/>
          <w:i/>
          <w:iCs/>
        </w:rPr>
        <w:t>gsphub.eu</w:t>
      </w:r>
      <w:r w:rsidRPr="00036205">
        <w:rPr>
          <w:rFonts w:ascii="Arial" w:hAnsi="Arial" w:cs="Arial"/>
        </w:rPr>
        <w:t>. Available at: https://gsphub.eu/country-info/Bangladesh (Accessed: 4 December 2025).</w:t>
      </w:r>
    </w:p>
    <w:p w:rsidR="00990314" w:rsidRPr="00036205" w:rsidRDefault="00990314" w:rsidP="00036205">
      <w:pPr>
        <w:spacing w:before="0" w:after="240"/>
        <w:rPr>
          <w:rFonts w:ascii="Arial" w:hAnsi="Arial" w:cs="Arial"/>
        </w:rPr>
      </w:pPr>
      <w:r w:rsidRPr="00036205">
        <w:rPr>
          <w:rFonts w:ascii="Arial" w:hAnsi="Arial" w:cs="Arial"/>
        </w:rPr>
        <w:lastRenderedPageBreak/>
        <w:t xml:space="preserve">GVR (2025) </w:t>
      </w:r>
      <w:r w:rsidRPr="00036205">
        <w:rPr>
          <w:rFonts w:ascii="Arial" w:hAnsi="Arial" w:cs="Arial"/>
          <w:i/>
          <w:iCs/>
        </w:rPr>
        <w:t>Canada Textile Market Size &amp; Outlook, 2030</w:t>
      </w:r>
      <w:r w:rsidRPr="00036205">
        <w:rPr>
          <w:rFonts w:ascii="Arial" w:hAnsi="Arial" w:cs="Arial"/>
        </w:rPr>
        <w:t xml:space="preserve">, </w:t>
      </w:r>
      <w:r w:rsidRPr="00036205">
        <w:rPr>
          <w:rFonts w:ascii="Arial" w:hAnsi="Arial" w:cs="Arial"/>
          <w:i/>
          <w:iCs/>
        </w:rPr>
        <w:t>Grandviewresearch.com</w:t>
      </w:r>
      <w:r w:rsidRPr="00036205">
        <w:rPr>
          <w:rFonts w:ascii="Arial" w:hAnsi="Arial" w:cs="Arial"/>
        </w:rPr>
        <w:t>. Available at: https://www.grandviewresearch.com/horizon/outlook/textile-market/canada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Hassan, K.B. (2023) </w:t>
      </w:r>
      <w:r w:rsidRPr="00036205">
        <w:rPr>
          <w:rFonts w:ascii="Arial" w:hAnsi="Arial" w:cs="Arial"/>
          <w:i/>
          <w:iCs/>
        </w:rPr>
        <w:t>Financial Statement Analysis of Square Textile</w:t>
      </w:r>
      <w:r w:rsidRPr="00036205">
        <w:rPr>
          <w:rFonts w:ascii="Arial" w:hAnsi="Arial" w:cs="Arial"/>
        </w:rPr>
        <w:t xml:space="preserve">, </w:t>
      </w:r>
      <w:r w:rsidRPr="00036205">
        <w:rPr>
          <w:rFonts w:ascii="Arial" w:hAnsi="Arial" w:cs="Arial"/>
          <w:i/>
          <w:iCs/>
        </w:rPr>
        <w:t>Scribd</w:t>
      </w:r>
      <w:r w:rsidRPr="00036205">
        <w:rPr>
          <w:rFonts w:ascii="Arial" w:hAnsi="Arial" w:cs="Arial"/>
        </w:rPr>
        <w:t>. Available at: https://www.scribd.com/document/892042828/Financial-Statement-Analysis-of-Square-Textile (Accessed: 4 December 2025).</w:t>
      </w:r>
    </w:p>
    <w:p w:rsidR="00990314" w:rsidRPr="00036205" w:rsidRDefault="00990314" w:rsidP="00036205">
      <w:pPr>
        <w:spacing w:before="0" w:after="200"/>
        <w:rPr>
          <w:rFonts w:ascii="Arial" w:hAnsi="Arial" w:cs="Arial"/>
        </w:rPr>
      </w:pPr>
      <w:r w:rsidRPr="00036205">
        <w:rPr>
          <w:rFonts w:ascii="Arial" w:hAnsi="Arial" w:cs="Arial"/>
        </w:rPr>
        <w:t xml:space="preserve">ICAB. (2024). </w:t>
      </w:r>
      <w:r w:rsidRPr="00036205">
        <w:rPr>
          <w:rFonts w:ascii="Arial" w:hAnsi="Arial" w:cs="Arial"/>
          <w:i/>
          <w:iCs/>
        </w:rPr>
        <w:t>ICAB Publication</w:t>
      </w:r>
      <w:r w:rsidRPr="00036205">
        <w:rPr>
          <w:rFonts w:ascii="Arial" w:hAnsi="Arial" w:cs="Arial"/>
        </w:rPr>
        <w:t xml:space="preserve">. Www.icab.org.bd. </w:t>
      </w:r>
      <w:hyperlink r:id="rId23">
        <w:r w:rsidRPr="00036205">
          <w:rPr>
            <w:rFonts w:ascii="Arial" w:hAnsi="Arial" w:cs="Arial"/>
            <w:color w:val="1155CC"/>
            <w:u w:val="single"/>
          </w:rPr>
          <w:t>https://www.icab.org.bd/publication/news/4/1001/Exchange-Rate-Rollercoaster-Unraveling-the-Impact-of-Currency-Fluctuations-on-Private-Sector-Entities</w:t>
        </w:r>
      </w:hyperlink>
    </w:p>
    <w:p w:rsidR="00990314" w:rsidRPr="00036205" w:rsidRDefault="00990314" w:rsidP="00036205">
      <w:pPr>
        <w:spacing w:before="0" w:after="200"/>
        <w:rPr>
          <w:rFonts w:ascii="Arial" w:hAnsi="Arial" w:cs="Arial"/>
        </w:rPr>
      </w:pPr>
      <w:r w:rsidRPr="00036205">
        <w:rPr>
          <w:rFonts w:ascii="Arial" w:hAnsi="Arial" w:cs="Arial"/>
        </w:rPr>
        <w:t xml:space="preserve">Indian Retailers. (2025). </w:t>
      </w:r>
      <w:r w:rsidRPr="00036205">
        <w:rPr>
          <w:rFonts w:ascii="Arial" w:hAnsi="Arial" w:cs="Arial"/>
          <w:i/>
          <w:iCs/>
        </w:rPr>
        <w:t>More Than 50 pc Consumers Globally are More Likely to Purchase Products with Sustainability Claims</w:t>
      </w:r>
      <w:r w:rsidRPr="00036205">
        <w:rPr>
          <w:rFonts w:ascii="Arial" w:hAnsi="Arial" w:cs="Arial"/>
        </w:rPr>
        <w:t xml:space="preserve">. Indian Retailer. </w:t>
      </w:r>
      <w:hyperlink r:id="rId24">
        <w:r w:rsidRPr="00036205">
          <w:rPr>
            <w:rFonts w:ascii="Arial" w:hAnsi="Arial" w:cs="Arial"/>
            <w:color w:val="1155CC"/>
            <w:u w:val="single"/>
          </w:rPr>
          <w:t>https://www.indianretailer.com/article/data/research/more-than-half-of-global-consumers-are-more-likely-to-purchase-products-with-a-sustainability-claim.a7759</w:t>
        </w:r>
      </w:hyperlink>
    </w:p>
    <w:p w:rsidR="00990314" w:rsidRPr="00036205" w:rsidRDefault="00990314" w:rsidP="00036205">
      <w:pPr>
        <w:spacing w:before="0" w:after="200"/>
        <w:rPr>
          <w:rFonts w:ascii="Arial" w:hAnsi="Arial" w:cs="Arial"/>
        </w:rPr>
      </w:pPr>
      <w:r w:rsidRPr="00036205">
        <w:rPr>
          <w:rFonts w:ascii="Arial" w:hAnsi="Arial" w:cs="Arial"/>
        </w:rPr>
        <w:t xml:space="preserve">Industry and Business. (2025). </w:t>
      </w:r>
      <w:r w:rsidRPr="00036205">
        <w:rPr>
          <w:rFonts w:ascii="Arial" w:hAnsi="Arial" w:cs="Arial"/>
          <w:i/>
          <w:iCs/>
        </w:rPr>
        <w:t>Canadian Consumers Are Driving Sustainable Business Growth (New Research) - Business &amp; Industry Canada</w:t>
      </w:r>
      <w:r w:rsidRPr="00036205">
        <w:rPr>
          <w:rFonts w:ascii="Arial" w:hAnsi="Arial" w:cs="Arial"/>
        </w:rPr>
        <w:t xml:space="preserve">. Business &amp; Industry Canada. </w:t>
      </w:r>
      <w:hyperlink r:id="rId25">
        <w:r w:rsidRPr="00036205">
          <w:rPr>
            <w:rFonts w:ascii="Arial" w:hAnsi="Arial" w:cs="Arial"/>
            <w:color w:val="1155CC"/>
            <w:u w:val="single"/>
          </w:rPr>
          <w:t>https://www.industryandbusiness.ca/canadian-consumers-are-driving-sustainable-business-growth-new-research/</w:t>
        </w:r>
      </w:hyperlink>
    </w:p>
    <w:p w:rsidR="00990314" w:rsidRPr="00036205" w:rsidRDefault="00990314" w:rsidP="00036205">
      <w:pPr>
        <w:spacing w:before="0" w:after="200"/>
        <w:rPr>
          <w:rFonts w:ascii="Arial" w:hAnsi="Arial" w:cs="Arial"/>
        </w:rPr>
      </w:pPr>
      <w:r w:rsidRPr="00036205">
        <w:rPr>
          <w:rFonts w:ascii="Arial" w:hAnsi="Arial" w:cs="Arial"/>
        </w:rPr>
        <w:t xml:space="preserve">Jawad, Z. N., &amp; Balázs, V. (2024). Machine learning-driven optimization of enterprise resource planning (ERP) systems: a comprehensive review. </w:t>
      </w:r>
      <w:r w:rsidRPr="00036205">
        <w:rPr>
          <w:rFonts w:ascii="Arial" w:hAnsi="Arial" w:cs="Arial"/>
          <w:i/>
          <w:iCs/>
        </w:rPr>
        <w:t>Beni-Suef University Journal of Basic and Applied Sciences</w:t>
      </w:r>
      <w:r w:rsidRPr="00036205">
        <w:rPr>
          <w:rFonts w:ascii="Arial" w:hAnsi="Arial" w:cs="Arial"/>
        </w:rPr>
        <w:t xml:space="preserve">, </w:t>
      </w:r>
      <w:r w:rsidRPr="00036205">
        <w:rPr>
          <w:rFonts w:ascii="Arial" w:hAnsi="Arial" w:cs="Arial"/>
          <w:i/>
          <w:iCs/>
        </w:rPr>
        <w:t>13</w:t>
      </w:r>
      <w:r w:rsidRPr="00036205">
        <w:rPr>
          <w:rFonts w:ascii="Arial" w:hAnsi="Arial" w:cs="Arial"/>
        </w:rPr>
        <w:t xml:space="preserve">(1). </w:t>
      </w:r>
      <w:hyperlink r:id="rId26">
        <w:r w:rsidRPr="00036205">
          <w:rPr>
            <w:rFonts w:ascii="Arial" w:hAnsi="Arial" w:cs="Arial"/>
            <w:color w:val="1155CC"/>
            <w:u w:val="single"/>
          </w:rPr>
          <w:t>https://doi.org/10.1186/s43088-023-00460-y</w:t>
        </w:r>
      </w:hyperlink>
    </w:p>
    <w:p w:rsidR="00990314" w:rsidRPr="00036205" w:rsidRDefault="00990314" w:rsidP="00036205">
      <w:pPr>
        <w:spacing w:before="0" w:after="200"/>
        <w:rPr>
          <w:rFonts w:ascii="Arial" w:hAnsi="Arial" w:cs="Arial"/>
        </w:rPr>
      </w:pPr>
      <w:r w:rsidRPr="00036205">
        <w:rPr>
          <w:rFonts w:ascii="Arial" w:hAnsi="Arial" w:cs="Arial"/>
        </w:rPr>
        <w:t xml:space="preserve">Kampan, K., Tsusaka, T. W., &amp; Anal, A. K. (2022). Adoption of Blockchain Technology for Enhanced Traceability of Livestock-Based Products. </w:t>
      </w:r>
      <w:r w:rsidRPr="00036205">
        <w:rPr>
          <w:rFonts w:ascii="Arial" w:hAnsi="Arial" w:cs="Arial"/>
          <w:i/>
          <w:iCs/>
        </w:rPr>
        <w:t>Sustainability</w:t>
      </w:r>
      <w:r w:rsidRPr="00036205">
        <w:rPr>
          <w:rFonts w:ascii="Arial" w:hAnsi="Arial" w:cs="Arial"/>
        </w:rPr>
        <w:t xml:space="preserve">, </w:t>
      </w:r>
      <w:r w:rsidRPr="00036205">
        <w:rPr>
          <w:rFonts w:ascii="Arial" w:hAnsi="Arial" w:cs="Arial"/>
          <w:i/>
          <w:iCs/>
        </w:rPr>
        <w:t>14</w:t>
      </w:r>
      <w:r w:rsidRPr="00036205">
        <w:rPr>
          <w:rFonts w:ascii="Arial" w:hAnsi="Arial" w:cs="Arial"/>
        </w:rPr>
        <w:t xml:space="preserve">(20), 13148. </w:t>
      </w:r>
      <w:hyperlink r:id="rId27">
        <w:r w:rsidRPr="00036205">
          <w:rPr>
            <w:rFonts w:ascii="Arial" w:hAnsi="Arial" w:cs="Arial"/>
            <w:color w:val="1155CC"/>
            <w:u w:val="single"/>
          </w:rPr>
          <w:t>https://doi.org/10.3390/su142013148</w:t>
        </w:r>
      </w:hyperlink>
    </w:p>
    <w:p w:rsidR="00990314" w:rsidRPr="00036205" w:rsidRDefault="00990314" w:rsidP="00036205">
      <w:pPr>
        <w:spacing w:before="0" w:after="240"/>
        <w:rPr>
          <w:rFonts w:ascii="Arial" w:hAnsi="Arial" w:cs="Arial"/>
        </w:rPr>
      </w:pPr>
      <w:r w:rsidRPr="00036205">
        <w:rPr>
          <w:rFonts w:ascii="Arial" w:hAnsi="Arial" w:cs="Arial"/>
        </w:rPr>
        <w:t xml:space="preserve">Khan, M., Hassan, A., Harrison, C. and Tarbert, H. (2020) ‘CSR reporting: a review of research and agenda for future research’, </w:t>
      </w:r>
      <w:r w:rsidRPr="00036205">
        <w:rPr>
          <w:rFonts w:ascii="Arial" w:hAnsi="Arial" w:cs="Arial"/>
          <w:i/>
          <w:iCs/>
        </w:rPr>
        <w:t>Management Research Review</w:t>
      </w:r>
      <w:r w:rsidRPr="00036205">
        <w:rPr>
          <w:rFonts w:ascii="Arial" w:hAnsi="Arial" w:cs="Arial"/>
        </w:rPr>
        <w:t>, ahead-of-print(ahead-of-print). Available at: https://doi.org/10.1108/mrr-02-2019-0073.</w:t>
      </w:r>
    </w:p>
    <w:p w:rsidR="00990314" w:rsidRPr="00036205" w:rsidRDefault="00990314" w:rsidP="00036205">
      <w:pPr>
        <w:spacing w:before="0" w:after="200"/>
        <w:rPr>
          <w:rFonts w:ascii="Arial" w:hAnsi="Arial" w:cs="Arial"/>
        </w:rPr>
      </w:pPr>
      <w:r w:rsidRPr="00036205">
        <w:rPr>
          <w:rFonts w:ascii="Arial" w:hAnsi="Arial" w:cs="Arial"/>
        </w:rPr>
        <w:lastRenderedPageBreak/>
        <w:t xml:space="preserve">Kumar, S., Lim, W. M., Sureka, R., Chiappetta, J., &amp; Bamel, U. (2023). Balanced scorecard: trends, developments, and future directions. </w:t>
      </w:r>
      <w:r w:rsidRPr="00036205">
        <w:rPr>
          <w:rFonts w:ascii="Arial" w:hAnsi="Arial" w:cs="Arial"/>
          <w:i/>
          <w:iCs/>
        </w:rPr>
        <w:t>Review of Managerial Science</w:t>
      </w:r>
      <w:r w:rsidRPr="00036205">
        <w:rPr>
          <w:rFonts w:ascii="Arial" w:hAnsi="Arial" w:cs="Arial"/>
        </w:rPr>
        <w:t xml:space="preserve">, </w:t>
      </w:r>
      <w:r w:rsidRPr="00036205">
        <w:rPr>
          <w:rFonts w:ascii="Arial" w:hAnsi="Arial" w:cs="Arial"/>
          <w:i/>
          <w:iCs/>
        </w:rPr>
        <w:t>18</w:t>
      </w:r>
      <w:r w:rsidRPr="00036205">
        <w:rPr>
          <w:rFonts w:ascii="Arial" w:hAnsi="Arial" w:cs="Arial"/>
        </w:rPr>
        <w:t xml:space="preserve">(1), 2397–2439. </w:t>
      </w:r>
      <w:hyperlink r:id="rId28">
        <w:r w:rsidRPr="00036205">
          <w:rPr>
            <w:rFonts w:ascii="Arial" w:hAnsi="Arial" w:cs="Arial"/>
            <w:color w:val="1155CC"/>
            <w:u w:val="single"/>
          </w:rPr>
          <w:t>https://doi.org/10.1007/s11846-023-00700-6</w:t>
        </w:r>
      </w:hyperlink>
    </w:p>
    <w:p w:rsidR="00990314" w:rsidRPr="00036205" w:rsidRDefault="00990314" w:rsidP="00036205">
      <w:pPr>
        <w:shd w:val="clear" w:color="auto" w:fill="FFFFFF"/>
        <w:spacing w:before="0" w:after="240"/>
        <w:rPr>
          <w:rFonts w:ascii="Arial" w:hAnsi="Arial" w:cs="Arial"/>
          <w:b/>
          <w:bCs/>
        </w:rPr>
      </w:pPr>
      <w:r w:rsidRPr="00036205">
        <w:rPr>
          <w:rFonts w:ascii="Arial" w:hAnsi="Arial" w:cs="Arial"/>
        </w:rPr>
        <w:t xml:space="preserve">Kumar, S., Lim, W.M., Sureka, R., Chiappetta, J. and Bamel, U. (2023). Balanced scorecard: trends, developments, and future directions. </w:t>
      </w:r>
      <w:r w:rsidRPr="00036205">
        <w:rPr>
          <w:rFonts w:ascii="Arial" w:hAnsi="Arial" w:cs="Arial"/>
          <w:i/>
          <w:iCs/>
        </w:rPr>
        <w:t>Review of Managerial Science</w:t>
      </w:r>
      <w:r w:rsidRPr="00036205">
        <w:rPr>
          <w:rFonts w:ascii="Arial" w:hAnsi="Arial" w:cs="Arial"/>
        </w:rPr>
        <w:t>, 18(1), pp.2397–2439. doi:</w:t>
      </w:r>
      <w:hyperlink r:id="rId29">
        <w:r w:rsidRPr="00036205">
          <w:rPr>
            <w:rFonts w:ascii="Arial" w:hAnsi="Arial" w:cs="Arial"/>
            <w:color w:val="1155CC"/>
            <w:u w:val="single"/>
          </w:rPr>
          <w:t>https://doi.org/10.1007/s11846-023-00700-6</w:t>
        </w:r>
      </w:hyperlink>
      <w:r w:rsidRPr="00036205">
        <w:rPr>
          <w:rFonts w:ascii="Arial" w:hAnsi="Arial" w:cs="Arial"/>
        </w:rPr>
        <w:t>.</w:t>
      </w:r>
    </w:p>
    <w:p w:rsidR="00990314" w:rsidRPr="00036205" w:rsidRDefault="00990314" w:rsidP="00036205">
      <w:pPr>
        <w:spacing w:before="0" w:after="200"/>
        <w:rPr>
          <w:rFonts w:ascii="Arial" w:hAnsi="Arial" w:cs="Arial"/>
        </w:rPr>
      </w:pPr>
      <w:r w:rsidRPr="00036205">
        <w:rPr>
          <w:rFonts w:ascii="Arial" w:hAnsi="Arial" w:cs="Arial"/>
        </w:rPr>
        <w:t xml:space="preserve">Lululemon. (2025). </w:t>
      </w:r>
      <w:r w:rsidRPr="00036205">
        <w:rPr>
          <w:rFonts w:ascii="Arial" w:hAnsi="Arial" w:cs="Arial"/>
          <w:i/>
          <w:iCs/>
        </w:rPr>
        <w:t>lululemon Launches FY24 Impact Report and Impact Agenda 2030</w:t>
      </w:r>
      <w:r w:rsidRPr="00036205">
        <w:rPr>
          <w:rFonts w:ascii="Arial" w:hAnsi="Arial" w:cs="Arial"/>
        </w:rPr>
        <w:t xml:space="preserve">. Lululemon.com. </w:t>
      </w:r>
      <w:hyperlink r:id="rId30">
        <w:r w:rsidRPr="00036205">
          <w:rPr>
            <w:rFonts w:ascii="Arial" w:hAnsi="Arial" w:cs="Arial"/>
            <w:color w:val="1155CC"/>
            <w:u w:val="single"/>
          </w:rPr>
          <w:t>https://corporate.lululemon.com/media/our-stories/2025/lululemon-launches-fy24-impact-report-and-impact-agenda-2030</w:t>
        </w:r>
      </w:hyperlink>
    </w:p>
    <w:p w:rsidR="00990314" w:rsidRPr="00036205" w:rsidRDefault="00990314" w:rsidP="00036205">
      <w:pPr>
        <w:spacing w:before="0" w:after="200"/>
        <w:rPr>
          <w:rFonts w:ascii="Arial" w:hAnsi="Arial" w:cs="Arial"/>
        </w:rPr>
      </w:pPr>
      <w:r w:rsidRPr="00036205">
        <w:rPr>
          <w:rFonts w:ascii="Arial" w:hAnsi="Arial" w:cs="Arial"/>
        </w:rPr>
        <w:t xml:space="preserve">Marinagi, C., Reklitis, P., Trivellas, P., &amp; Sakas, D. (2023). The Impact of Industry 4.0 Technologies on Key Performance Indicators for a Resilient Supply Chain 4.0. </w:t>
      </w:r>
      <w:r w:rsidRPr="00036205">
        <w:rPr>
          <w:rFonts w:ascii="Arial" w:hAnsi="Arial" w:cs="Arial"/>
          <w:i/>
          <w:iCs/>
        </w:rPr>
        <w:t>Sustainability</w:t>
      </w:r>
      <w:r w:rsidRPr="00036205">
        <w:rPr>
          <w:rFonts w:ascii="Arial" w:hAnsi="Arial" w:cs="Arial"/>
        </w:rPr>
        <w:t xml:space="preserve">, </w:t>
      </w:r>
      <w:r w:rsidRPr="00036205">
        <w:rPr>
          <w:rFonts w:ascii="Arial" w:hAnsi="Arial" w:cs="Arial"/>
          <w:i/>
          <w:iCs/>
        </w:rPr>
        <w:t>15</w:t>
      </w:r>
      <w:r w:rsidRPr="00036205">
        <w:rPr>
          <w:rFonts w:ascii="Arial" w:hAnsi="Arial" w:cs="Arial"/>
        </w:rPr>
        <w:t xml:space="preserve">(6), 5185. </w:t>
      </w:r>
      <w:hyperlink r:id="rId31">
        <w:r w:rsidRPr="00036205">
          <w:rPr>
            <w:rFonts w:ascii="Arial" w:hAnsi="Arial" w:cs="Arial"/>
            <w:color w:val="1155CC"/>
            <w:u w:val="single"/>
          </w:rPr>
          <w:t>https://doi.org/10.3390/su15065185</w:t>
        </w:r>
      </w:hyperlink>
    </w:p>
    <w:p w:rsidR="00990314" w:rsidRPr="00036205" w:rsidRDefault="00990314" w:rsidP="00036205">
      <w:pPr>
        <w:spacing w:before="0" w:after="200"/>
        <w:rPr>
          <w:rFonts w:ascii="Arial" w:hAnsi="Arial" w:cs="Arial"/>
        </w:rPr>
      </w:pPr>
      <w:r w:rsidRPr="00036205">
        <w:rPr>
          <w:rFonts w:ascii="Arial" w:hAnsi="Arial" w:cs="Arial"/>
        </w:rPr>
        <w:t xml:space="preserve">McKinsey &amp; Company. (2023). The State of Fashion 2023. In </w:t>
      </w:r>
      <w:r w:rsidRPr="00036205">
        <w:rPr>
          <w:rFonts w:ascii="Arial" w:hAnsi="Arial" w:cs="Arial"/>
          <w:i/>
          <w:iCs/>
        </w:rPr>
        <w:t>Mckinsey</w:t>
      </w:r>
      <w:r w:rsidRPr="00036205">
        <w:rPr>
          <w:rFonts w:ascii="Arial" w:hAnsi="Arial" w:cs="Arial"/>
        </w:rPr>
        <w:t xml:space="preserve">. McKinsey &amp; Company. </w:t>
      </w:r>
      <w:hyperlink r:id="rId32">
        <w:r w:rsidRPr="00036205">
          <w:rPr>
            <w:rFonts w:ascii="Arial" w:hAnsi="Arial" w:cs="Arial"/>
            <w:color w:val="1155CC"/>
            <w:u w:val="single"/>
          </w:rPr>
          <w:t>https://www.mckinsey.com/~/media/mckinsey/industries/retail/our%20insights/state%20of%20fashion/2023/the-state-of-fashion-2023-holding-onto-growth-as-global-clouds-gathers-vf.pdf</w:t>
        </w:r>
      </w:hyperlink>
    </w:p>
    <w:p w:rsidR="00990314" w:rsidRPr="00036205" w:rsidRDefault="00990314" w:rsidP="00036205">
      <w:pPr>
        <w:spacing w:before="0" w:after="240"/>
        <w:rPr>
          <w:rFonts w:ascii="Arial" w:hAnsi="Arial" w:cs="Arial"/>
        </w:rPr>
      </w:pPr>
      <w:r w:rsidRPr="00036205">
        <w:rPr>
          <w:rFonts w:ascii="Arial" w:hAnsi="Arial" w:cs="Arial"/>
        </w:rPr>
        <w:t xml:space="preserve">McMillan, A. (2025) </w:t>
      </w:r>
      <w:r w:rsidRPr="00036205">
        <w:rPr>
          <w:rFonts w:ascii="Arial" w:hAnsi="Arial" w:cs="Arial"/>
          <w:i/>
          <w:iCs/>
        </w:rPr>
        <w:t>Why Lululemon is Struggling with Sustainable Sourcing</w:t>
      </w:r>
      <w:r w:rsidRPr="00036205">
        <w:rPr>
          <w:rFonts w:ascii="Arial" w:hAnsi="Arial" w:cs="Arial"/>
        </w:rPr>
        <w:t xml:space="preserve">, </w:t>
      </w:r>
      <w:r w:rsidRPr="00036205">
        <w:rPr>
          <w:rFonts w:ascii="Arial" w:hAnsi="Arial" w:cs="Arial"/>
          <w:i/>
          <w:iCs/>
        </w:rPr>
        <w:t>Procurementmag.com</w:t>
      </w:r>
      <w:r w:rsidRPr="00036205">
        <w:rPr>
          <w:rFonts w:ascii="Arial" w:hAnsi="Arial" w:cs="Arial"/>
        </w:rPr>
        <w:t>. Bizclik Media Ltd. Available at: https://procurementmag.com/news/lululemon-shifting-supply-chain-sustainability-targets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Mostafa, H. (2025) ‘SWOT and PESTEL analyses in assessing the sustainability of In-stream wetlands in Egypt’, </w:t>
      </w:r>
      <w:r w:rsidRPr="00036205">
        <w:rPr>
          <w:rFonts w:ascii="Arial" w:hAnsi="Arial" w:cs="Arial"/>
          <w:i/>
          <w:iCs/>
        </w:rPr>
        <w:t>Water Science</w:t>
      </w:r>
      <w:r w:rsidRPr="00036205">
        <w:rPr>
          <w:rFonts w:ascii="Arial" w:hAnsi="Arial" w:cs="Arial"/>
        </w:rPr>
        <w:t>, 39(1), pp. 183–211. Available at: https://doi.org/10.1080/23570008.2025.2463743.</w:t>
      </w:r>
    </w:p>
    <w:p w:rsidR="00990314" w:rsidRPr="00036205" w:rsidRDefault="00990314" w:rsidP="00036205">
      <w:pPr>
        <w:spacing w:before="0" w:after="240"/>
        <w:rPr>
          <w:rFonts w:ascii="Arial" w:hAnsi="Arial" w:cs="Arial"/>
        </w:rPr>
      </w:pPr>
      <w:r w:rsidRPr="00036205">
        <w:rPr>
          <w:rFonts w:ascii="Arial" w:hAnsi="Arial" w:cs="Arial"/>
        </w:rPr>
        <w:t xml:space="preserve">Ndure, I. (2025) </w:t>
      </w:r>
      <w:r w:rsidRPr="00036205">
        <w:rPr>
          <w:rFonts w:ascii="Arial" w:hAnsi="Arial" w:cs="Arial"/>
          <w:i/>
          <w:iCs/>
        </w:rPr>
        <w:t>How forced labour laws redefine responsibility in apparel supply chains</w:t>
      </w:r>
      <w:r w:rsidRPr="00036205">
        <w:rPr>
          <w:rFonts w:ascii="Arial" w:hAnsi="Arial" w:cs="Arial"/>
        </w:rPr>
        <w:t xml:space="preserve">, </w:t>
      </w:r>
      <w:r w:rsidRPr="00036205">
        <w:rPr>
          <w:rFonts w:ascii="Arial" w:hAnsi="Arial" w:cs="Arial"/>
          <w:i/>
          <w:iCs/>
        </w:rPr>
        <w:t>Yahoo News</w:t>
      </w:r>
      <w:r w:rsidRPr="00036205">
        <w:rPr>
          <w:rFonts w:ascii="Arial" w:hAnsi="Arial" w:cs="Arial"/>
        </w:rPr>
        <w:t>. Available at: https://www.yahoo.com/news/articles/forced-labour-laws-redefine-responsibility-110824115.html (Accessed: 4 December 2025).</w:t>
      </w:r>
    </w:p>
    <w:p w:rsidR="00990314" w:rsidRPr="00036205" w:rsidRDefault="00990314" w:rsidP="00036205">
      <w:pPr>
        <w:spacing w:before="0" w:after="200"/>
        <w:rPr>
          <w:rFonts w:ascii="Arial" w:hAnsi="Arial" w:cs="Arial"/>
        </w:rPr>
      </w:pPr>
      <w:r w:rsidRPr="00036205">
        <w:rPr>
          <w:rFonts w:ascii="Arial" w:hAnsi="Arial" w:cs="Arial"/>
        </w:rPr>
        <w:lastRenderedPageBreak/>
        <w:t xml:space="preserve">Nogueira, E., Gomes, S., &amp; Lopes, J. M. (2023). Triple Bottom Line, Sustainability, and Economic Development: What Binds Them Together? a Bibliometric Approach. </w:t>
      </w:r>
      <w:r w:rsidRPr="00036205">
        <w:rPr>
          <w:rFonts w:ascii="Arial" w:hAnsi="Arial" w:cs="Arial"/>
          <w:i/>
          <w:iCs/>
        </w:rPr>
        <w:t>Sustainability</w:t>
      </w:r>
      <w:r w:rsidRPr="00036205">
        <w:rPr>
          <w:rFonts w:ascii="Arial" w:hAnsi="Arial" w:cs="Arial"/>
        </w:rPr>
        <w:t xml:space="preserve">, </w:t>
      </w:r>
      <w:r w:rsidRPr="00036205">
        <w:rPr>
          <w:rFonts w:ascii="Arial" w:hAnsi="Arial" w:cs="Arial"/>
          <w:i/>
          <w:iCs/>
        </w:rPr>
        <w:t>15</w:t>
      </w:r>
      <w:r w:rsidRPr="00036205">
        <w:rPr>
          <w:rFonts w:ascii="Arial" w:hAnsi="Arial" w:cs="Arial"/>
        </w:rPr>
        <w:t xml:space="preserve">(8), 6706. MDPI. </w:t>
      </w:r>
      <w:hyperlink r:id="rId33">
        <w:r w:rsidRPr="00036205">
          <w:rPr>
            <w:rFonts w:ascii="Arial" w:hAnsi="Arial" w:cs="Arial"/>
            <w:color w:val="1155CC"/>
            <w:u w:val="single"/>
          </w:rPr>
          <w:t>https://doi.org/10.3390/su15086706</w:t>
        </w:r>
      </w:hyperlink>
    </w:p>
    <w:p w:rsidR="00990314" w:rsidRPr="00036205" w:rsidRDefault="00990314" w:rsidP="00036205">
      <w:pPr>
        <w:spacing w:before="0" w:after="200"/>
        <w:rPr>
          <w:rFonts w:ascii="Arial" w:hAnsi="Arial" w:cs="Arial"/>
        </w:rPr>
      </w:pPr>
      <w:r w:rsidRPr="00036205">
        <w:rPr>
          <w:rFonts w:ascii="Arial" w:hAnsi="Arial" w:cs="Arial"/>
        </w:rPr>
        <w:t xml:space="preserve">OECD. (2020). </w:t>
      </w:r>
      <w:r w:rsidRPr="00036205">
        <w:rPr>
          <w:rFonts w:ascii="Arial" w:hAnsi="Arial" w:cs="Arial"/>
          <w:i/>
          <w:iCs/>
        </w:rPr>
        <w:t>A New World Map in Textiles and Clothing Adjusting to Change</w:t>
      </w:r>
      <w:r w:rsidRPr="00036205">
        <w:rPr>
          <w:rFonts w:ascii="Arial" w:hAnsi="Arial" w:cs="Arial"/>
        </w:rPr>
        <w:t xml:space="preserve">. OECD Publishing, </w:t>
      </w:r>
      <w:hyperlink r:id="rId34">
        <w:r w:rsidRPr="00036205">
          <w:rPr>
            <w:rFonts w:ascii="Arial" w:hAnsi="Arial" w:cs="Arial"/>
            <w:color w:val="1155CC"/>
            <w:u w:val="single"/>
          </w:rPr>
          <w:t>https://www.oecd.org/en/publications/2004/12/a-new-world-map-in-textiles-and-clothing_g1gh47d5.html</w:t>
        </w:r>
      </w:hyperlink>
    </w:p>
    <w:p w:rsidR="00990314" w:rsidRPr="00036205" w:rsidRDefault="00990314" w:rsidP="00036205">
      <w:pPr>
        <w:spacing w:before="0" w:after="200"/>
        <w:rPr>
          <w:rFonts w:ascii="Arial" w:hAnsi="Arial" w:cs="Arial"/>
        </w:rPr>
      </w:pPr>
      <w:r w:rsidRPr="00036205">
        <w:rPr>
          <w:rFonts w:ascii="Arial" w:hAnsi="Arial" w:cs="Arial"/>
        </w:rPr>
        <w:t xml:space="preserve">OECD. (2025). </w:t>
      </w:r>
      <w:r w:rsidRPr="00036205">
        <w:rPr>
          <w:rFonts w:ascii="Arial" w:hAnsi="Arial" w:cs="Arial"/>
          <w:i/>
          <w:iCs/>
        </w:rPr>
        <w:t>OECD Supply Chain Resilience Review Navigating Risks</w:t>
      </w:r>
      <w:r w:rsidRPr="00036205">
        <w:rPr>
          <w:rFonts w:ascii="Arial" w:hAnsi="Arial" w:cs="Arial"/>
        </w:rPr>
        <w:t xml:space="preserve">. </w:t>
      </w:r>
      <w:hyperlink r:id="rId35">
        <w:r w:rsidRPr="00036205">
          <w:rPr>
            <w:rFonts w:ascii="Arial" w:hAnsi="Arial" w:cs="Arial"/>
            <w:color w:val="1155CC"/>
            <w:u w:val="single"/>
          </w:rPr>
          <w:t>https://www.oecd.org/content/dam/oecd/en/publications/reports/2025/06/oecd-supply-chain-resilience-review_9930d256/94e3a8ea-en.pdf</w:t>
        </w:r>
      </w:hyperlink>
    </w:p>
    <w:p w:rsidR="00990314" w:rsidRPr="00036205" w:rsidRDefault="00990314" w:rsidP="00036205">
      <w:pPr>
        <w:spacing w:before="0" w:after="240"/>
        <w:rPr>
          <w:rFonts w:ascii="Arial" w:hAnsi="Arial" w:cs="Arial"/>
        </w:rPr>
      </w:pPr>
      <w:r w:rsidRPr="00036205">
        <w:rPr>
          <w:rFonts w:ascii="Arial" w:hAnsi="Arial" w:cs="Arial"/>
        </w:rPr>
        <w:t xml:space="preserve">Osei, M.B., Papadopoulos, T., Acquaye, A. and Stamati, T. (2023) ‘Improving sustainable supply chain performance through organisational culture: A competing values framework approach’, </w:t>
      </w:r>
      <w:r w:rsidRPr="00036205">
        <w:rPr>
          <w:rFonts w:ascii="Arial" w:hAnsi="Arial" w:cs="Arial"/>
          <w:i/>
          <w:iCs/>
        </w:rPr>
        <w:t>Journal of Purchasing and Supply Management</w:t>
      </w:r>
      <w:r w:rsidRPr="00036205">
        <w:rPr>
          <w:rFonts w:ascii="Arial" w:hAnsi="Arial" w:cs="Arial"/>
        </w:rPr>
        <w:t>, 29(2), p. 100821. Available at: https://doi.org/10.1016/j.pursup.2023.100821.</w:t>
      </w:r>
    </w:p>
    <w:p w:rsidR="00990314" w:rsidRPr="00036205" w:rsidRDefault="00990314" w:rsidP="00036205">
      <w:pPr>
        <w:spacing w:before="0" w:after="200"/>
        <w:rPr>
          <w:rFonts w:ascii="Arial" w:hAnsi="Arial" w:cs="Arial"/>
        </w:rPr>
      </w:pPr>
      <w:r w:rsidRPr="00036205">
        <w:rPr>
          <w:rFonts w:ascii="Arial" w:hAnsi="Arial" w:cs="Arial"/>
        </w:rPr>
        <w:t xml:space="preserve">Panetta, A. (2024). </w:t>
      </w:r>
      <w:r w:rsidRPr="00036205">
        <w:rPr>
          <w:rFonts w:ascii="Arial" w:hAnsi="Arial" w:cs="Arial"/>
          <w:i/>
          <w:iCs/>
        </w:rPr>
        <w:t>Canada’s failure to block forced-labour imports draws U.S. scrutiny</w:t>
      </w:r>
      <w:r w:rsidRPr="00036205">
        <w:rPr>
          <w:rFonts w:ascii="Arial" w:hAnsi="Arial" w:cs="Arial"/>
        </w:rPr>
        <w:t xml:space="preserve">. CBC. </w:t>
      </w:r>
      <w:hyperlink r:id="rId36">
        <w:r w:rsidRPr="00036205">
          <w:rPr>
            <w:rFonts w:ascii="Arial" w:hAnsi="Arial" w:cs="Arial"/>
            <w:color w:val="1155CC"/>
            <w:u w:val="single"/>
          </w:rPr>
          <w:t>https://www.cbc.ca/news/world/canada-us-forced-labour-senator-1.7224599</w:t>
        </w:r>
      </w:hyperlink>
    </w:p>
    <w:p w:rsidR="00990314" w:rsidRPr="00036205" w:rsidRDefault="00990314" w:rsidP="00036205">
      <w:pPr>
        <w:spacing w:before="0" w:after="200"/>
        <w:rPr>
          <w:rFonts w:ascii="Arial" w:hAnsi="Arial" w:cs="Arial"/>
        </w:rPr>
      </w:pPr>
      <w:r w:rsidRPr="00036205">
        <w:rPr>
          <w:rFonts w:ascii="Arial" w:hAnsi="Arial" w:cs="Arial"/>
        </w:rPr>
        <w:t xml:space="preserve">PWC. (2024). </w:t>
      </w:r>
      <w:r w:rsidRPr="00036205">
        <w:rPr>
          <w:rFonts w:ascii="Arial" w:hAnsi="Arial" w:cs="Arial"/>
          <w:i/>
          <w:iCs/>
        </w:rPr>
        <w:t>Consumers willing to pay 9.7% sustainability premium, even as cost-of-living and inflationary concerns weigh: PwC 2024 voice of the consumer survey</w:t>
      </w:r>
      <w:r w:rsidRPr="00036205">
        <w:rPr>
          <w:rFonts w:ascii="Arial" w:hAnsi="Arial" w:cs="Arial"/>
        </w:rPr>
        <w:t xml:space="preserve">. PwC. </w:t>
      </w:r>
      <w:hyperlink r:id="rId37">
        <w:r w:rsidRPr="00036205">
          <w:rPr>
            <w:rFonts w:ascii="Arial" w:hAnsi="Arial" w:cs="Arial"/>
            <w:color w:val="1155CC"/>
            <w:u w:val="single"/>
          </w:rPr>
          <w:t>https://www.pwc.com/gx/en/news-room/press-releases/2024/pwc-2024-voice-of-consumer-survey.html</w:t>
        </w:r>
      </w:hyperlink>
    </w:p>
    <w:p w:rsidR="00990314" w:rsidRPr="00036205" w:rsidRDefault="00990314" w:rsidP="00036205">
      <w:pPr>
        <w:spacing w:before="0" w:after="200"/>
        <w:rPr>
          <w:rFonts w:ascii="Arial" w:hAnsi="Arial" w:cs="Arial"/>
        </w:rPr>
      </w:pPr>
      <w:r w:rsidRPr="00036205">
        <w:rPr>
          <w:rFonts w:ascii="Arial" w:hAnsi="Arial" w:cs="Arial"/>
        </w:rPr>
        <w:t xml:space="preserve">Rahaman, Md. T., Pranta, A. D., Repon, Md. R., Ahmed, Md. S., &amp; Islam, T. (2024). Green Production and Consumption of Textiles and Apparel: Importance, Fabrication, Challenges and Future prospects. </w:t>
      </w:r>
      <w:r w:rsidRPr="00036205">
        <w:rPr>
          <w:rFonts w:ascii="Arial" w:hAnsi="Arial" w:cs="Arial"/>
          <w:i/>
          <w:iCs/>
        </w:rPr>
        <w:t>Journal of Open Innovation</w:t>
      </w:r>
      <w:r w:rsidRPr="00036205">
        <w:rPr>
          <w:rFonts w:ascii="Arial" w:hAnsi="Arial" w:cs="Arial"/>
        </w:rPr>
        <w:t xml:space="preserve">, </w:t>
      </w:r>
      <w:r w:rsidRPr="00036205">
        <w:rPr>
          <w:rFonts w:ascii="Arial" w:hAnsi="Arial" w:cs="Arial"/>
          <w:i/>
          <w:iCs/>
        </w:rPr>
        <w:t>10</w:t>
      </w:r>
      <w:r w:rsidRPr="00036205">
        <w:rPr>
          <w:rFonts w:ascii="Arial" w:hAnsi="Arial" w:cs="Arial"/>
        </w:rPr>
        <w:t xml:space="preserve">(2), 100280–100280. </w:t>
      </w:r>
      <w:hyperlink r:id="rId38">
        <w:r w:rsidRPr="00036205">
          <w:rPr>
            <w:rFonts w:ascii="Arial" w:hAnsi="Arial" w:cs="Arial"/>
            <w:color w:val="1155CC"/>
            <w:u w:val="single"/>
          </w:rPr>
          <w:t>https://www.sciencedirect.com/science/article/pii/S219985312400074X</w:t>
        </w:r>
      </w:hyperlink>
    </w:p>
    <w:p w:rsidR="00990314" w:rsidRPr="00036205" w:rsidRDefault="00990314" w:rsidP="00036205">
      <w:pPr>
        <w:spacing w:before="0" w:after="240"/>
        <w:rPr>
          <w:rFonts w:ascii="Arial" w:hAnsi="Arial" w:cs="Arial"/>
        </w:rPr>
      </w:pPr>
      <w:r w:rsidRPr="00036205">
        <w:rPr>
          <w:rFonts w:ascii="Arial" w:hAnsi="Arial" w:cs="Arial"/>
        </w:rPr>
        <w:t xml:space="preserve">Rahaman, T. and Khan, S.H. (2024) ‘Green Merchandising of Textiles and Apparel in a Circular Economy: Recent Trends, Framework, Challenges and Future Prospects towards Sustainability’, </w:t>
      </w:r>
      <w:r w:rsidRPr="00036205">
        <w:rPr>
          <w:rFonts w:ascii="Arial" w:hAnsi="Arial" w:cs="Arial"/>
          <w:i/>
          <w:iCs/>
        </w:rPr>
        <w:t>Journal of Open Innovation Technology Market and Complexity</w:t>
      </w:r>
      <w:r w:rsidRPr="00036205">
        <w:rPr>
          <w:rFonts w:ascii="Arial" w:hAnsi="Arial" w:cs="Arial"/>
        </w:rPr>
        <w:t>, 11(1), pp. 100457–100457. Available at: https://doi.org/10.1016/j.joitmc.2024.100457.</w:t>
      </w:r>
    </w:p>
    <w:p w:rsidR="00990314" w:rsidRPr="00036205" w:rsidRDefault="00990314" w:rsidP="00036205">
      <w:pPr>
        <w:spacing w:before="0" w:after="200"/>
        <w:rPr>
          <w:rFonts w:ascii="Arial" w:hAnsi="Arial" w:cs="Arial"/>
        </w:rPr>
      </w:pPr>
      <w:r w:rsidRPr="00036205">
        <w:rPr>
          <w:rFonts w:ascii="Arial" w:hAnsi="Arial" w:cs="Arial"/>
        </w:rPr>
        <w:lastRenderedPageBreak/>
        <w:t xml:space="preserve">Schwarz, L. (2025). </w:t>
      </w:r>
      <w:r w:rsidRPr="00036205">
        <w:rPr>
          <w:rFonts w:ascii="Arial" w:hAnsi="Arial" w:cs="Arial"/>
          <w:i/>
          <w:iCs/>
        </w:rPr>
        <w:t>Sustainable Practices in the Apparel Industry</w:t>
      </w:r>
      <w:r w:rsidRPr="00036205">
        <w:rPr>
          <w:rFonts w:ascii="Arial" w:hAnsi="Arial" w:cs="Arial"/>
        </w:rPr>
        <w:t xml:space="preserve">. Oracle NetSuite. </w:t>
      </w:r>
      <w:hyperlink r:id="rId39">
        <w:r w:rsidRPr="00036205">
          <w:rPr>
            <w:rFonts w:ascii="Arial" w:hAnsi="Arial" w:cs="Arial"/>
            <w:color w:val="1155CC"/>
            <w:u w:val="single"/>
          </w:rPr>
          <w:t>https://www.netsuite.com/portal/resource/articles/erp/sustainability-in-apparel.shtml</w:t>
        </w:r>
      </w:hyperlink>
    </w:p>
    <w:p w:rsidR="00990314" w:rsidRPr="00036205" w:rsidRDefault="00990314" w:rsidP="00036205">
      <w:pPr>
        <w:spacing w:before="0" w:after="200"/>
        <w:rPr>
          <w:rFonts w:ascii="Arial" w:hAnsi="Arial" w:cs="Arial"/>
        </w:rPr>
      </w:pPr>
      <w:r w:rsidRPr="00036205">
        <w:rPr>
          <w:rFonts w:ascii="Arial" w:hAnsi="Arial" w:cs="Arial"/>
        </w:rPr>
        <w:t xml:space="preserve">Sharif, S. V., Parker, D. C., Waddell, P., &amp; Tsiakopoulos, T. (2023). Understanding the Effects of Market Volatility on Profitability Perceptions of Housing Market Developers. </w:t>
      </w:r>
      <w:r w:rsidRPr="00036205">
        <w:rPr>
          <w:rFonts w:ascii="Arial" w:hAnsi="Arial" w:cs="Arial"/>
          <w:i/>
          <w:iCs/>
        </w:rPr>
        <w:t>Journal of Risk and Financial Management</w:t>
      </w:r>
      <w:r w:rsidRPr="00036205">
        <w:rPr>
          <w:rFonts w:ascii="Arial" w:hAnsi="Arial" w:cs="Arial"/>
        </w:rPr>
        <w:t xml:space="preserve">, </w:t>
      </w:r>
      <w:r w:rsidRPr="00036205">
        <w:rPr>
          <w:rFonts w:ascii="Arial" w:hAnsi="Arial" w:cs="Arial"/>
          <w:i/>
          <w:iCs/>
        </w:rPr>
        <w:t>16</w:t>
      </w:r>
      <w:r w:rsidRPr="00036205">
        <w:rPr>
          <w:rFonts w:ascii="Arial" w:hAnsi="Arial" w:cs="Arial"/>
        </w:rPr>
        <w:t xml:space="preserve">(10), 446–446. </w:t>
      </w:r>
      <w:hyperlink r:id="rId40">
        <w:r w:rsidRPr="00036205">
          <w:rPr>
            <w:rFonts w:ascii="Arial" w:hAnsi="Arial" w:cs="Arial"/>
            <w:color w:val="1155CC"/>
            <w:u w:val="single"/>
          </w:rPr>
          <w:t>https://doi.org/10.3390/jrfm16100446</w:t>
        </w:r>
      </w:hyperlink>
    </w:p>
    <w:p w:rsidR="00990314" w:rsidRPr="00036205" w:rsidRDefault="00990314" w:rsidP="00036205">
      <w:pPr>
        <w:spacing w:before="0" w:after="240"/>
        <w:rPr>
          <w:rFonts w:ascii="Arial" w:hAnsi="Arial" w:cs="Arial"/>
        </w:rPr>
      </w:pPr>
      <w:r w:rsidRPr="00036205">
        <w:rPr>
          <w:rFonts w:ascii="Arial" w:hAnsi="Arial" w:cs="Arial"/>
        </w:rPr>
        <w:t xml:space="preserve">Sherry (2025) </w:t>
      </w:r>
      <w:r w:rsidRPr="00036205">
        <w:rPr>
          <w:rFonts w:ascii="Arial" w:hAnsi="Arial" w:cs="Arial"/>
          <w:i/>
          <w:iCs/>
        </w:rPr>
        <w:t>Canadian Consumers Are Driving Sustainable Business Growth (New Research) - Business &amp; Industry Canada</w:t>
      </w:r>
      <w:r w:rsidRPr="00036205">
        <w:rPr>
          <w:rFonts w:ascii="Arial" w:hAnsi="Arial" w:cs="Arial"/>
        </w:rPr>
        <w:t xml:space="preserve">, </w:t>
      </w:r>
      <w:r w:rsidRPr="00036205">
        <w:rPr>
          <w:rFonts w:ascii="Arial" w:hAnsi="Arial" w:cs="Arial"/>
          <w:i/>
          <w:iCs/>
        </w:rPr>
        <w:t>Business &amp; Industry Canada</w:t>
      </w:r>
      <w:r w:rsidRPr="00036205">
        <w:rPr>
          <w:rFonts w:ascii="Arial" w:hAnsi="Arial" w:cs="Arial"/>
        </w:rPr>
        <w:t>. Available at: https://www.industryandbusiness.ca/canadian-consumers-are-driving-sustainable-business-growth-new-research/ (Accessed: 4 December 2025).</w:t>
      </w:r>
    </w:p>
    <w:p w:rsidR="00990314" w:rsidRPr="00036205" w:rsidRDefault="00990314" w:rsidP="00036205">
      <w:pPr>
        <w:spacing w:before="0" w:after="200"/>
        <w:rPr>
          <w:rFonts w:ascii="Arial" w:hAnsi="Arial" w:cs="Arial"/>
        </w:rPr>
      </w:pPr>
      <w:r w:rsidRPr="00036205">
        <w:rPr>
          <w:rFonts w:ascii="Arial" w:hAnsi="Arial" w:cs="Arial"/>
        </w:rPr>
        <w:t xml:space="preserve">Square Textile PLC. (2024). </w:t>
      </w:r>
      <w:r w:rsidRPr="00036205">
        <w:rPr>
          <w:rFonts w:ascii="Arial" w:hAnsi="Arial" w:cs="Arial"/>
          <w:i/>
          <w:iCs/>
        </w:rPr>
        <w:t>STxl - Sister Concerns</w:t>
      </w:r>
      <w:r w:rsidRPr="00036205">
        <w:rPr>
          <w:rFonts w:ascii="Arial" w:hAnsi="Arial" w:cs="Arial"/>
        </w:rPr>
        <w:t xml:space="preserve">. Textile.squaregroup.com </w:t>
      </w:r>
      <w:hyperlink r:id="rId41">
        <w:r w:rsidRPr="00036205">
          <w:rPr>
            <w:rFonts w:ascii="Arial" w:hAnsi="Arial" w:cs="Arial"/>
            <w:color w:val="1155CC"/>
            <w:u w:val="single"/>
          </w:rPr>
          <w:t>https://textile.squaregroup.com/annual_reports.php</w:t>
        </w:r>
      </w:hyperlink>
    </w:p>
    <w:p w:rsidR="00990314" w:rsidRPr="00036205" w:rsidRDefault="00990314" w:rsidP="00036205">
      <w:pPr>
        <w:spacing w:before="0" w:after="200"/>
        <w:rPr>
          <w:rFonts w:ascii="Arial" w:hAnsi="Arial" w:cs="Arial"/>
        </w:rPr>
      </w:pPr>
      <w:r w:rsidRPr="00036205">
        <w:rPr>
          <w:rFonts w:ascii="Arial" w:hAnsi="Arial" w:cs="Arial"/>
        </w:rPr>
        <w:t xml:space="preserve">Square Textiles Ltd. (2025). </w:t>
      </w:r>
      <w:r w:rsidRPr="00036205">
        <w:rPr>
          <w:rFonts w:ascii="Arial" w:hAnsi="Arial" w:cs="Arial"/>
          <w:i/>
          <w:iCs/>
        </w:rPr>
        <w:t>About Square Textiles Ltd.</w:t>
      </w:r>
      <w:r w:rsidRPr="00036205">
        <w:rPr>
          <w:rFonts w:ascii="Arial" w:hAnsi="Arial" w:cs="Arial"/>
        </w:rPr>
        <w:t xml:space="preserve"> Textile.squaregroup.com. </w:t>
      </w:r>
      <w:hyperlink r:id="rId42">
        <w:r w:rsidRPr="00036205">
          <w:rPr>
            <w:rFonts w:ascii="Arial" w:hAnsi="Arial" w:cs="Arial"/>
            <w:color w:val="1155CC"/>
            <w:u w:val="single"/>
          </w:rPr>
          <w:t>https://textile.squaregroup.com/stxl.php</w:t>
        </w:r>
      </w:hyperlink>
    </w:p>
    <w:p w:rsidR="00990314" w:rsidRPr="00036205" w:rsidRDefault="00990314" w:rsidP="00036205">
      <w:pPr>
        <w:spacing w:before="0" w:after="240"/>
        <w:rPr>
          <w:rFonts w:ascii="Arial" w:hAnsi="Arial" w:cs="Arial"/>
        </w:rPr>
      </w:pPr>
      <w:r w:rsidRPr="00036205">
        <w:rPr>
          <w:rFonts w:ascii="Arial" w:hAnsi="Arial" w:cs="Arial"/>
        </w:rPr>
        <w:t xml:space="preserve">Square Textiles Plc. (2025) </w:t>
      </w:r>
      <w:r w:rsidRPr="00036205">
        <w:rPr>
          <w:rFonts w:ascii="Arial" w:hAnsi="Arial" w:cs="Arial"/>
          <w:i/>
          <w:iCs/>
        </w:rPr>
        <w:t>Square Textiles Ltd</w:t>
      </w:r>
      <w:r w:rsidRPr="00036205">
        <w:rPr>
          <w:rFonts w:ascii="Arial" w:hAnsi="Arial" w:cs="Arial"/>
        </w:rPr>
        <w:t xml:space="preserve">, </w:t>
      </w:r>
      <w:r w:rsidRPr="00036205">
        <w:rPr>
          <w:rFonts w:ascii="Arial" w:hAnsi="Arial" w:cs="Arial"/>
          <w:i/>
          <w:iCs/>
        </w:rPr>
        <w:t>textile.squaregroup.com</w:t>
      </w:r>
      <w:r w:rsidRPr="00036205">
        <w:rPr>
          <w:rFonts w:ascii="Arial" w:hAnsi="Arial" w:cs="Arial"/>
        </w:rPr>
        <w:t>. Available at: https://textile.squaregroup.com/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Statista (2023) </w:t>
      </w:r>
      <w:r w:rsidRPr="00036205">
        <w:rPr>
          <w:rFonts w:ascii="Arial" w:hAnsi="Arial" w:cs="Arial"/>
          <w:i/>
          <w:iCs/>
        </w:rPr>
        <w:t>Gross domestic product (GDP) in current prices Canada| Statista</w:t>
      </w:r>
      <w:r w:rsidRPr="00036205">
        <w:rPr>
          <w:rFonts w:ascii="Arial" w:hAnsi="Arial" w:cs="Arial"/>
        </w:rPr>
        <w:t xml:space="preserve">, </w:t>
      </w:r>
      <w:r w:rsidRPr="00036205">
        <w:rPr>
          <w:rFonts w:ascii="Arial" w:hAnsi="Arial" w:cs="Arial"/>
          <w:i/>
          <w:iCs/>
        </w:rPr>
        <w:t>Statista</w:t>
      </w:r>
      <w:r w:rsidRPr="00036205">
        <w:rPr>
          <w:rFonts w:ascii="Arial" w:hAnsi="Arial" w:cs="Arial"/>
        </w:rPr>
        <w:t>. Available at: https://www.statista.com/statistics/650828/gdp-canada/?srsltid=AfmBOop5vaYtu4XNOx1EvM94DbXl8wJmuDvzRbeHdJjkT86uaHSL973x (Accessed: 4 December 2025).</w:t>
      </w:r>
    </w:p>
    <w:p w:rsidR="00990314" w:rsidRPr="00036205" w:rsidRDefault="00990314" w:rsidP="00036205">
      <w:pPr>
        <w:spacing w:before="0" w:after="240"/>
        <w:rPr>
          <w:rFonts w:ascii="Arial" w:hAnsi="Arial" w:cs="Arial"/>
        </w:rPr>
      </w:pPr>
      <w:r w:rsidRPr="00036205">
        <w:rPr>
          <w:rFonts w:ascii="Arial" w:hAnsi="Arial" w:cs="Arial"/>
        </w:rPr>
        <w:t xml:space="preserve">Takacs, F., Brunner, D. and Frankenberger, K. (2022) ‘Barriers to a circular economy in small- and medium-sized enterprises and their integration in a sustainable strategic management framework’, </w:t>
      </w:r>
      <w:r w:rsidRPr="00036205">
        <w:rPr>
          <w:rFonts w:ascii="Arial" w:hAnsi="Arial" w:cs="Arial"/>
          <w:i/>
          <w:iCs/>
        </w:rPr>
        <w:t>Journal of Cleaner Production</w:t>
      </w:r>
      <w:r w:rsidRPr="00036205">
        <w:rPr>
          <w:rFonts w:ascii="Arial" w:hAnsi="Arial" w:cs="Arial"/>
        </w:rPr>
        <w:t>, 362, p. 132227. Available at: https://doi.org/10.1016/j.jclepro.2022.132227.</w:t>
      </w:r>
    </w:p>
    <w:p w:rsidR="00990314" w:rsidRPr="00036205" w:rsidRDefault="00990314" w:rsidP="00036205">
      <w:pPr>
        <w:spacing w:before="0" w:after="240"/>
        <w:rPr>
          <w:rFonts w:ascii="Arial" w:hAnsi="Arial" w:cs="Arial"/>
        </w:rPr>
      </w:pPr>
      <w:r w:rsidRPr="00036205">
        <w:rPr>
          <w:rFonts w:ascii="Arial" w:hAnsi="Arial" w:cs="Arial"/>
        </w:rPr>
        <w:t xml:space="preserve">TextileToday (2025) </w:t>
      </w:r>
      <w:r w:rsidRPr="00036205">
        <w:rPr>
          <w:rFonts w:ascii="Arial" w:hAnsi="Arial" w:cs="Arial"/>
          <w:i/>
          <w:iCs/>
        </w:rPr>
        <w:t>Canada aims to boost Bangladesh’s global competitiveness through supply chain support</w:t>
      </w:r>
      <w:r w:rsidRPr="00036205">
        <w:rPr>
          <w:rFonts w:ascii="Arial" w:hAnsi="Arial" w:cs="Arial"/>
        </w:rPr>
        <w:t xml:space="preserve">, </w:t>
      </w:r>
      <w:r w:rsidRPr="00036205">
        <w:rPr>
          <w:rFonts w:ascii="Arial" w:hAnsi="Arial" w:cs="Arial"/>
          <w:i/>
          <w:iCs/>
        </w:rPr>
        <w:t>Textile News, Apparel News, RMG News, Fashion Trends</w:t>
      </w:r>
      <w:r w:rsidRPr="00036205">
        <w:rPr>
          <w:rFonts w:ascii="Arial" w:hAnsi="Arial" w:cs="Arial"/>
        </w:rPr>
        <w:t>. Available at: https://www.textiletoday.com.bd/canada-aims-to-boost-bangladeshs-global-competitiveness-through-supply-chain-support (Accessed: 4 December 2025).</w:t>
      </w:r>
    </w:p>
    <w:p w:rsidR="00990314" w:rsidRPr="00036205" w:rsidRDefault="00990314" w:rsidP="00036205">
      <w:pPr>
        <w:spacing w:before="0" w:after="240"/>
        <w:rPr>
          <w:rFonts w:ascii="Arial" w:hAnsi="Arial" w:cs="Arial"/>
        </w:rPr>
      </w:pPr>
      <w:r w:rsidRPr="00036205">
        <w:rPr>
          <w:rFonts w:ascii="Arial" w:hAnsi="Arial" w:cs="Arial"/>
        </w:rPr>
        <w:lastRenderedPageBreak/>
        <w:t xml:space="preserve">The Daily Star (2024) </w:t>
      </w:r>
      <w:r w:rsidRPr="00036205">
        <w:rPr>
          <w:rFonts w:ascii="Arial" w:hAnsi="Arial" w:cs="Arial"/>
          <w:i/>
          <w:iCs/>
        </w:rPr>
        <w:t>Garment exports earned record $47.38b in 2023</w:t>
      </w:r>
      <w:r w:rsidRPr="00036205">
        <w:rPr>
          <w:rFonts w:ascii="Arial" w:hAnsi="Arial" w:cs="Arial"/>
        </w:rPr>
        <w:t xml:space="preserve">, </w:t>
      </w:r>
      <w:r w:rsidRPr="00036205">
        <w:rPr>
          <w:rFonts w:ascii="Arial" w:hAnsi="Arial" w:cs="Arial"/>
          <w:i/>
          <w:iCs/>
        </w:rPr>
        <w:t>The Daily Star</w:t>
      </w:r>
      <w:r w:rsidRPr="00036205">
        <w:rPr>
          <w:rFonts w:ascii="Arial" w:hAnsi="Arial" w:cs="Arial"/>
        </w:rPr>
        <w:t>. Available at: https://www.thedailystar.net/business/news/garment-exports-earned-record-4738b-2023-3512736 (Accessed: 4 December 2025).</w:t>
      </w:r>
    </w:p>
    <w:p w:rsidR="00990314" w:rsidRPr="00036205" w:rsidRDefault="00990314" w:rsidP="00036205">
      <w:pPr>
        <w:spacing w:before="0" w:after="200"/>
        <w:rPr>
          <w:rFonts w:ascii="Arial" w:hAnsi="Arial" w:cs="Arial"/>
        </w:rPr>
      </w:pPr>
      <w:r w:rsidRPr="00036205">
        <w:rPr>
          <w:rFonts w:ascii="Arial" w:hAnsi="Arial" w:cs="Arial"/>
        </w:rPr>
        <w:t xml:space="preserve">Thorisdottir, T. S., &amp; Johannsdottir, L. (2020). Corporate Social Responsibility Influencing Sustainability within the Fashion Industry. A Systematic Review. </w:t>
      </w:r>
      <w:r w:rsidRPr="00036205">
        <w:rPr>
          <w:rFonts w:ascii="Arial" w:hAnsi="Arial" w:cs="Arial"/>
          <w:i/>
          <w:iCs/>
        </w:rPr>
        <w:t>Sustainability</w:t>
      </w:r>
      <w:r w:rsidRPr="00036205">
        <w:rPr>
          <w:rFonts w:ascii="Arial" w:hAnsi="Arial" w:cs="Arial"/>
        </w:rPr>
        <w:t xml:space="preserve">, </w:t>
      </w:r>
      <w:r w:rsidRPr="00036205">
        <w:rPr>
          <w:rFonts w:ascii="Arial" w:hAnsi="Arial" w:cs="Arial"/>
          <w:i/>
          <w:iCs/>
        </w:rPr>
        <w:t>12</w:t>
      </w:r>
      <w:r w:rsidRPr="00036205">
        <w:rPr>
          <w:rFonts w:ascii="Arial" w:hAnsi="Arial" w:cs="Arial"/>
        </w:rPr>
        <w:t xml:space="preserve">(21), 9167. mdpi. </w:t>
      </w:r>
      <w:hyperlink r:id="rId43">
        <w:r w:rsidRPr="00036205">
          <w:rPr>
            <w:rFonts w:ascii="Arial" w:hAnsi="Arial" w:cs="Arial"/>
            <w:color w:val="1155CC"/>
            <w:u w:val="single"/>
          </w:rPr>
          <w:t>https://www.mdpi.com/2071-1050/12/21/9167</w:t>
        </w:r>
      </w:hyperlink>
    </w:p>
    <w:p w:rsidR="00990314" w:rsidRPr="00036205" w:rsidRDefault="00990314" w:rsidP="00036205">
      <w:pPr>
        <w:spacing w:before="0" w:after="240"/>
        <w:rPr>
          <w:rFonts w:ascii="Arial" w:hAnsi="Arial" w:cs="Arial"/>
        </w:rPr>
      </w:pPr>
      <w:r w:rsidRPr="00036205">
        <w:rPr>
          <w:rFonts w:ascii="Arial" w:hAnsi="Arial" w:cs="Arial"/>
        </w:rPr>
        <w:t xml:space="preserve">UKFT (2023) </w:t>
      </w:r>
      <w:r w:rsidRPr="00036205">
        <w:rPr>
          <w:rFonts w:ascii="Arial" w:hAnsi="Arial" w:cs="Arial"/>
          <w:i/>
          <w:iCs/>
        </w:rPr>
        <w:t>The UK fashion and textile industry contributes £62bn to the UK economy</w:t>
      </w:r>
      <w:r w:rsidRPr="00036205">
        <w:rPr>
          <w:rFonts w:ascii="Arial" w:hAnsi="Arial" w:cs="Arial"/>
        </w:rPr>
        <w:t xml:space="preserve">, </w:t>
      </w:r>
      <w:r w:rsidRPr="00036205">
        <w:rPr>
          <w:rFonts w:ascii="Arial" w:hAnsi="Arial" w:cs="Arial"/>
          <w:i/>
          <w:iCs/>
        </w:rPr>
        <w:t>UKFT</w:t>
      </w:r>
      <w:r w:rsidRPr="00036205">
        <w:rPr>
          <w:rFonts w:ascii="Arial" w:hAnsi="Arial" w:cs="Arial"/>
        </w:rPr>
        <w:t>. Available at: https://ukft.org/industry-footprint-report/ (Accessed: 4 December 2025).</w:t>
      </w:r>
    </w:p>
    <w:p w:rsidR="00990314" w:rsidRPr="00036205" w:rsidRDefault="00990314" w:rsidP="00036205">
      <w:pPr>
        <w:spacing w:before="0" w:after="200"/>
        <w:rPr>
          <w:rFonts w:ascii="Arial" w:hAnsi="Arial" w:cs="Arial"/>
        </w:rPr>
      </w:pPr>
      <w:r w:rsidRPr="00036205">
        <w:rPr>
          <w:rFonts w:ascii="Arial" w:hAnsi="Arial" w:cs="Arial"/>
        </w:rPr>
        <w:t xml:space="preserve">UNCTAD. (2020). </w:t>
      </w:r>
      <w:r w:rsidRPr="00036205">
        <w:rPr>
          <w:rFonts w:ascii="Arial" w:hAnsi="Arial" w:cs="Arial"/>
          <w:i/>
          <w:iCs/>
        </w:rPr>
        <w:t>Generalized System of Preferences HANDBOOK ON THE SCHEME OF CANADA Advance copy</w:t>
      </w:r>
      <w:r w:rsidRPr="00036205">
        <w:rPr>
          <w:rFonts w:ascii="Arial" w:hAnsi="Arial" w:cs="Arial"/>
        </w:rPr>
        <w:t xml:space="preserve">. </w:t>
      </w:r>
      <w:hyperlink r:id="rId44">
        <w:r w:rsidRPr="00036205">
          <w:rPr>
            <w:rFonts w:ascii="Arial" w:hAnsi="Arial" w:cs="Arial"/>
            <w:color w:val="1155CC"/>
            <w:u w:val="single"/>
          </w:rPr>
          <w:t>https://unctad.org/system/files/official-document/itcdtsbmisc66_en.pdf</w:t>
        </w:r>
      </w:hyperlink>
    </w:p>
    <w:p w:rsidR="00990314" w:rsidRPr="00036205" w:rsidRDefault="00990314" w:rsidP="00036205">
      <w:pPr>
        <w:spacing w:before="0" w:after="200"/>
        <w:rPr>
          <w:rFonts w:ascii="Arial" w:hAnsi="Arial" w:cs="Arial"/>
        </w:rPr>
      </w:pPr>
      <w:r w:rsidRPr="00036205">
        <w:rPr>
          <w:rFonts w:ascii="Arial" w:hAnsi="Arial" w:cs="Arial"/>
        </w:rPr>
        <w:t xml:space="preserve">UNECE. (2024). </w:t>
      </w:r>
      <w:r w:rsidRPr="00036205">
        <w:rPr>
          <w:rFonts w:ascii="Arial" w:hAnsi="Arial" w:cs="Arial"/>
          <w:i/>
          <w:iCs/>
        </w:rPr>
        <w:t>A D V A N C E D C O P Y Enhancing traceability and transparency of sustainable value chains in the garment and footwear industry The Sustainability Pledge 3-years monitoring report ADVANCED COPY Economic Cooperation and Trade Division Trade Facilitation Section</w:t>
      </w:r>
      <w:r w:rsidRPr="00036205">
        <w:rPr>
          <w:rFonts w:ascii="Arial" w:hAnsi="Arial" w:cs="Arial"/>
        </w:rPr>
        <w:t xml:space="preserve">. </w:t>
      </w:r>
      <w:hyperlink r:id="rId45">
        <w:r w:rsidRPr="00036205">
          <w:rPr>
            <w:rFonts w:ascii="Arial" w:hAnsi="Arial" w:cs="Arial"/>
            <w:color w:val="1155CC"/>
            <w:u w:val="single"/>
          </w:rPr>
          <w:t>https://unece.org/sites/default/files/2024-06/SustainabilityPledge-3yrsMonitoringReport_0.pdf</w:t>
        </w:r>
      </w:hyperlink>
    </w:p>
    <w:p w:rsidR="00990314" w:rsidRPr="00036205" w:rsidRDefault="00990314" w:rsidP="00036205">
      <w:pPr>
        <w:spacing w:before="0" w:after="200"/>
        <w:rPr>
          <w:rFonts w:ascii="Arial" w:hAnsi="Arial" w:cs="Arial"/>
        </w:rPr>
      </w:pPr>
      <w:r w:rsidRPr="00036205">
        <w:rPr>
          <w:rFonts w:ascii="Arial" w:hAnsi="Arial" w:cs="Arial"/>
        </w:rPr>
        <w:t xml:space="preserve">WITS. (2020). </w:t>
      </w:r>
      <w:r w:rsidRPr="00036205">
        <w:rPr>
          <w:rFonts w:ascii="Arial" w:hAnsi="Arial" w:cs="Arial"/>
          <w:i/>
          <w:iCs/>
        </w:rPr>
        <w:t>Canada Trade</w:t>
      </w:r>
      <w:r w:rsidRPr="00036205">
        <w:rPr>
          <w:rFonts w:ascii="Arial" w:hAnsi="Arial" w:cs="Arial"/>
        </w:rPr>
        <w:t xml:space="preserve">. Worldbank.org. </w:t>
      </w:r>
      <w:hyperlink r:id="rId46">
        <w:r w:rsidRPr="00036205">
          <w:rPr>
            <w:rFonts w:ascii="Arial" w:hAnsi="Arial" w:cs="Arial"/>
            <w:color w:val="1155CC"/>
            <w:u w:val="single"/>
          </w:rPr>
          <w:t>https://wits.worldbank.org/countrysnapshot/en/CAN/textview</w:t>
        </w:r>
      </w:hyperlink>
    </w:p>
    <w:p w:rsidR="00990314" w:rsidRPr="00036205" w:rsidRDefault="00990314" w:rsidP="00036205">
      <w:pPr>
        <w:spacing w:before="0" w:after="200"/>
        <w:rPr>
          <w:rFonts w:ascii="Arial" w:hAnsi="Arial" w:cs="Arial"/>
        </w:rPr>
      </w:pPr>
      <w:r w:rsidRPr="00036205">
        <w:rPr>
          <w:rFonts w:ascii="Arial" w:hAnsi="Arial" w:cs="Arial"/>
        </w:rPr>
        <w:t xml:space="preserve">WITS. (2024). </w:t>
      </w:r>
      <w:r w:rsidRPr="00036205">
        <w:rPr>
          <w:rFonts w:ascii="Arial" w:hAnsi="Arial" w:cs="Arial"/>
          <w:i/>
          <w:iCs/>
        </w:rPr>
        <w:t>Canada Textiles and Clothing Imports by country 2019 | WITS Data</w:t>
      </w:r>
      <w:r w:rsidRPr="00036205">
        <w:rPr>
          <w:rFonts w:ascii="Arial" w:hAnsi="Arial" w:cs="Arial"/>
        </w:rPr>
        <w:t xml:space="preserve">. Wits.worldbank.org. </w:t>
      </w:r>
      <w:hyperlink r:id="rId47">
        <w:r w:rsidRPr="00036205">
          <w:rPr>
            <w:rFonts w:ascii="Arial" w:hAnsi="Arial" w:cs="Arial"/>
            <w:color w:val="1155CC"/>
            <w:u w:val="single"/>
          </w:rPr>
          <w:t>https://wits.worldbank.org/CountryProfile/en/Country/CAN/Year/LTST/TradeFlow/Import/Partner/by-country/Product/50-63_TextCloth</w:t>
        </w:r>
      </w:hyperlink>
    </w:p>
    <w:p w:rsidR="00990314" w:rsidRPr="00036205" w:rsidRDefault="00990314" w:rsidP="00036205">
      <w:pPr>
        <w:spacing w:before="0" w:after="240"/>
        <w:rPr>
          <w:rFonts w:ascii="Arial" w:hAnsi="Arial" w:cs="Arial"/>
        </w:rPr>
      </w:pPr>
      <w:r w:rsidRPr="00036205">
        <w:rPr>
          <w:rFonts w:ascii="Arial" w:hAnsi="Arial" w:cs="Arial"/>
        </w:rPr>
        <w:t xml:space="preserve">Xiao, Y. (2025) ‘AI and Big Data in the Fashion Industry: Transforming Supply Chains, Personalization, and Sustainability through Data-Driven Innovation’, </w:t>
      </w:r>
      <w:r w:rsidRPr="00036205">
        <w:rPr>
          <w:rFonts w:ascii="Arial" w:hAnsi="Arial" w:cs="Arial"/>
          <w:i/>
          <w:iCs/>
        </w:rPr>
        <w:t>Transactions on Social Science Education and Humanities Research</w:t>
      </w:r>
      <w:r w:rsidRPr="00036205">
        <w:rPr>
          <w:rFonts w:ascii="Arial" w:hAnsi="Arial" w:cs="Arial"/>
        </w:rPr>
        <w:t xml:space="preserve">, 14, pp. 207–213. Available at: </w:t>
      </w:r>
      <w:hyperlink r:id="rId48">
        <w:r w:rsidRPr="00036205">
          <w:rPr>
            <w:rFonts w:ascii="Arial" w:hAnsi="Arial" w:cs="Arial"/>
            <w:color w:val="1155CC"/>
            <w:u w:val="single"/>
          </w:rPr>
          <w:t>https://doi.org/10.62051/4a30d214</w:t>
        </w:r>
      </w:hyperlink>
      <w:r w:rsidRPr="00036205">
        <w:rPr>
          <w:rFonts w:ascii="Arial" w:hAnsi="Arial" w:cs="Arial"/>
        </w:rPr>
        <w:t>.</w:t>
      </w:r>
    </w:p>
    <w:p w:rsidR="00B526C4" w:rsidRDefault="00B526C4">
      <w:pPr>
        <w:spacing w:before="0" w:after="200"/>
      </w:pPr>
    </w:p>
    <w:p w:rsidR="00B526C4" w:rsidRDefault="00B526C4">
      <w:pPr>
        <w:spacing w:before="0"/>
      </w:pPr>
    </w:p>
    <w:p w:rsidR="00B526C4" w:rsidRDefault="00B526C4">
      <w:pPr>
        <w:spacing w:before="0" w:after="240"/>
      </w:pPr>
    </w:p>
    <w:p w:rsidR="00B526C4" w:rsidRDefault="00B526C4">
      <w:pPr>
        <w:spacing w:before="0" w:after="240"/>
      </w:pPr>
    </w:p>
    <w:sectPr w:rsidR="00B526C4" w:rsidSect="00990314">
      <w:footerReference w:type="default" r:id="rId49"/>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29B2" w:rsidRDefault="00B629B2">
      <w:pPr>
        <w:spacing w:before="0" w:line="240" w:lineRule="auto"/>
      </w:pPr>
      <w:r>
        <w:separator/>
      </w:r>
    </w:p>
  </w:endnote>
  <w:endnote w:type="continuationSeparator" w:id="0">
    <w:p w:rsidR="00B629B2" w:rsidRDefault="00B629B2">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3A89556-5CF3-4E6A-92D7-5082474A90FE}"/>
  </w:font>
  <w:font w:name="Tahoma">
    <w:panose1 w:val="020B0604030504040204"/>
    <w:charset w:val="00"/>
    <w:family w:val="swiss"/>
    <w:pitch w:val="variable"/>
    <w:sig w:usb0="E1002EFF" w:usb1="C000605B" w:usb2="00000029" w:usb3="00000000" w:csb0="000101FF" w:csb1="00000000"/>
    <w:embedRegular r:id="rId2" w:fontKey="{6D086087-F685-4D7A-8BA5-ADB0D17F71BB}"/>
  </w:font>
  <w:font w:name="Cambria">
    <w:panose1 w:val="02040503050406030204"/>
    <w:charset w:val="00"/>
    <w:family w:val="roman"/>
    <w:pitch w:val="variable"/>
    <w:sig w:usb0="E00006FF" w:usb1="420024FF" w:usb2="02000000" w:usb3="00000000" w:csb0="0000019F" w:csb1="00000000"/>
    <w:embedRegular r:id="rId3" w:fontKey="{4B831D5C-B2DF-4FC2-A425-A9E325373A22}"/>
  </w:font>
  <w:font w:name="Cambria Math">
    <w:panose1 w:val="02040503050406030204"/>
    <w:charset w:val="00"/>
    <w:family w:val="roman"/>
    <w:pitch w:val="variable"/>
    <w:sig w:usb0="E00006FF" w:usb1="420024FF" w:usb2="02000000" w:usb3="00000000" w:csb0="0000019F" w:csb1="00000000"/>
    <w:embedRegular r:id="rId4" w:fontKey="{BB190389-91AF-4009-9C22-FA0B31E5ADC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1015080"/>
      <w:docPartObj>
        <w:docPartGallery w:val="Page Numbers (Bottom of Page)"/>
        <w:docPartUnique/>
      </w:docPartObj>
    </w:sdtPr>
    <w:sdtEndPr/>
    <w:sdtContent>
      <w:p w:rsidR="00990314" w:rsidRDefault="00563D1B">
        <w:pPr>
          <w:pStyle w:val="Footer"/>
          <w:jc w:val="right"/>
        </w:pPr>
        <w:r>
          <w:fldChar w:fldCharType="begin"/>
        </w:r>
        <w:r w:rsidR="00990314">
          <w:instrText>PAGE   \* MERGEFORMAT</w:instrText>
        </w:r>
        <w:r>
          <w:fldChar w:fldCharType="separate"/>
        </w:r>
        <w:r w:rsidR="00215C0A">
          <w:rPr>
            <w:noProof/>
          </w:rPr>
          <w:t>1</w:t>
        </w:r>
        <w:r>
          <w:fldChar w:fldCharType="end"/>
        </w:r>
      </w:p>
    </w:sdtContent>
  </w:sdt>
  <w:p w:rsidR="00990314" w:rsidRDefault="0099031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29B2" w:rsidRDefault="00B629B2">
      <w:pPr>
        <w:spacing w:before="0" w:line="240" w:lineRule="auto"/>
      </w:pPr>
      <w:r>
        <w:separator/>
      </w:r>
    </w:p>
  </w:footnote>
  <w:footnote w:type="continuationSeparator" w:id="0">
    <w:p w:rsidR="00B629B2" w:rsidRDefault="00B629B2">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526C4"/>
    <w:rsid w:val="00036205"/>
    <w:rsid w:val="00083F5E"/>
    <w:rsid w:val="00215C0A"/>
    <w:rsid w:val="00253CA5"/>
    <w:rsid w:val="00377B5C"/>
    <w:rsid w:val="0056076F"/>
    <w:rsid w:val="00563D1B"/>
    <w:rsid w:val="005A66BD"/>
    <w:rsid w:val="006A784D"/>
    <w:rsid w:val="00895F21"/>
    <w:rsid w:val="008B7850"/>
    <w:rsid w:val="00990314"/>
    <w:rsid w:val="009B4613"/>
    <w:rsid w:val="00B526C4"/>
    <w:rsid w:val="00B629B2"/>
    <w:rsid w:val="00CF732F"/>
    <w:rsid w:val="00E21CAD"/>
    <w:rsid w:val="00FC27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A55B5"/>
  <w15:docId w15:val="{C06B8154-170D-48EA-A979-46B4ECEEE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3D1B"/>
  </w:style>
  <w:style w:type="paragraph" w:styleId="Heading1">
    <w:name w:val="heading 1"/>
    <w:basedOn w:val="Normal"/>
    <w:next w:val="Normal"/>
    <w:uiPriority w:val="9"/>
    <w:qFormat/>
    <w:rsid w:val="00563D1B"/>
    <w:pPr>
      <w:keepNext/>
      <w:keepLines/>
      <w:outlineLvl w:val="0"/>
    </w:pPr>
    <w:rPr>
      <w:b/>
      <w:bCs/>
      <w:sz w:val="28"/>
      <w:szCs w:val="28"/>
    </w:rPr>
  </w:style>
  <w:style w:type="paragraph" w:styleId="Heading2">
    <w:name w:val="heading 2"/>
    <w:basedOn w:val="Normal"/>
    <w:next w:val="Normal"/>
    <w:uiPriority w:val="9"/>
    <w:unhideWhenUsed/>
    <w:qFormat/>
    <w:rsid w:val="00563D1B"/>
    <w:pPr>
      <w:keepNext/>
      <w:keepLines/>
      <w:outlineLvl w:val="1"/>
    </w:pPr>
    <w:rPr>
      <w:b/>
      <w:bCs/>
    </w:rPr>
  </w:style>
  <w:style w:type="paragraph" w:styleId="Heading3">
    <w:name w:val="heading 3"/>
    <w:basedOn w:val="Normal"/>
    <w:next w:val="Normal"/>
    <w:uiPriority w:val="9"/>
    <w:semiHidden/>
    <w:unhideWhenUsed/>
    <w:qFormat/>
    <w:rsid w:val="00563D1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63D1B"/>
    <w:pPr>
      <w:keepNext/>
      <w:keepLines/>
      <w:spacing w:before="280" w:after="80"/>
      <w:outlineLvl w:val="3"/>
    </w:pPr>
    <w:rPr>
      <w:color w:val="666666"/>
    </w:rPr>
  </w:style>
  <w:style w:type="paragraph" w:styleId="Heading5">
    <w:name w:val="heading 5"/>
    <w:basedOn w:val="Normal"/>
    <w:next w:val="Normal"/>
    <w:uiPriority w:val="9"/>
    <w:semiHidden/>
    <w:unhideWhenUsed/>
    <w:qFormat/>
    <w:rsid w:val="00563D1B"/>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563D1B"/>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63D1B"/>
    <w:tblPr>
      <w:tblCellMar>
        <w:top w:w="100" w:type="dxa"/>
        <w:left w:w="100" w:type="dxa"/>
        <w:bottom w:w="100" w:type="dxa"/>
        <w:right w:w="100" w:type="dxa"/>
      </w:tblCellMar>
    </w:tblPr>
  </w:style>
  <w:style w:type="paragraph" w:styleId="Title">
    <w:name w:val="Title"/>
    <w:basedOn w:val="Normal"/>
    <w:next w:val="Normal"/>
    <w:uiPriority w:val="10"/>
    <w:qFormat/>
    <w:rsid w:val="00563D1B"/>
    <w:pPr>
      <w:keepNext/>
      <w:keepLines/>
      <w:spacing w:before="0" w:after="60"/>
    </w:pPr>
    <w:rPr>
      <w:sz w:val="52"/>
      <w:szCs w:val="52"/>
    </w:rPr>
  </w:style>
  <w:style w:type="paragraph" w:styleId="Subtitle">
    <w:name w:val="Subtitle"/>
    <w:basedOn w:val="Normal"/>
    <w:next w:val="Normal"/>
    <w:uiPriority w:val="11"/>
    <w:qFormat/>
    <w:rsid w:val="00563D1B"/>
    <w:pPr>
      <w:keepNext/>
      <w:keepLines/>
      <w:spacing w:before="0" w:after="320"/>
    </w:pPr>
    <w:rPr>
      <w:rFonts w:ascii="Arial" w:eastAsia="Arial" w:hAnsi="Arial" w:cs="Arial"/>
      <w:color w:val="666666"/>
      <w:sz w:val="30"/>
      <w:szCs w:val="30"/>
    </w:rPr>
  </w:style>
  <w:style w:type="table" w:customStyle="1" w:styleId="a">
    <w:basedOn w:val="TableNormal0"/>
    <w:rsid w:val="00563D1B"/>
    <w:tblPr>
      <w:tblStyleRowBandSize w:val="1"/>
      <w:tblStyleColBandSize w:val="1"/>
    </w:tblPr>
  </w:style>
  <w:style w:type="paragraph" w:styleId="TOCHeading">
    <w:name w:val="TOC Heading"/>
    <w:basedOn w:val="Heading1"/>
    <w:next w:val="Normal"/>
    <w:uiPriority w:val="39"/>
    <w:unhideWhenUsed/>
    <w:qFormat/>
    <w:rsid w:val="0099031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IN"/>
    </w:rPr>
  </w:style>
  <w:style w:type="paragraph" w:styleId="TOC1">
    <w:name w:val="toc 1"/>
    <w:basedOn w:val="Normal"/>
    <w:next w:val="Normal"/>
    <w:autoRedefine/>
    <w:uiPriority w:val="39"/>
    <w:unhideWhenUsed/>
    <w:rsid w:val="00990314"/>
    <w:pPr>
      <w:spacing w:after="100"/>
    </w:pPr>
  </w:style>
  <w:style w:type="paragraph" w:styleId="TOC2">
    <w:name w:val="toc 2"/>
    <w:basedOn w:val="Normal"/>
    <w:next w:val="Normal"/>
    <w:autoRedefine/>
    <w:uiPriority w:val="39"/>
    <w:unhideWhenUsed/>
    <w:rsid w:val="00990314"/>
    <w:pPr>
      <w:spacing w:after="100"/>
      <w:ind w:left="240"/>
    </w:pPr>
  </w:style>
  <w:style w:type="character" w:styleId="Hyperlink">
    <w:name w:val="Hyperlink"/>
    <w:basedOn w:val="DefaultParagraphFont"/>
    <w:uiPriority w:val="99"/>
    <w:unhideWhenUsed/>
    <w:rsid w:val="00990314"/>
    <w:rPr>
      <w:color w:val="0000FF" w:themeColor="hyperlink"/>
      <w:u w:val="single"/>
    </w:rPr>
  </w:style>
  <w:style w:type="paragraph" w:styleId="Header">
    <w:name w:val="header"/>
    <w:basedOn w:val="Normal"/>
    <w:link w:val="HeaderChar"/>
    <w:uiPriority w:val="99"/>
    <w:unhideWhenUsed/>
    <w:rsid w:val="0099031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990314"/>
  </w:style>
  <w:style w:type="paragraph" w:styleId="Footer">
    <w:name w:val="footer"/>
    <w:basedOn w:val="Normal"/>
    <w:link w:val="FooterChar"/>
    <w:uiPriority w:val="99"/>
    <w:unhideWhenUsed/>
    <w:rsid w:val="0099031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990314"/>
  </w:style>
  <w:style w:type="paragraph" w:styleId="BalloonText">
    <w:name w:val="Balloon Text"/>
    <w:basedOn w:val="Normal"/>
    <w:link w:val="BalloonTextChar"/>
    <w:uiPriority w:val="99"/>
    <w:semiHidden/>
    <w:unhideWhenUsed/>
    <w:rsid w:val="00377B5C"/>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B5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tbsnews.net/economy/rmg/fashion-brands-paying-bangladeshi-factories-below-production-cost-says-uk-study-564826" TargetMode="External"/><Relationship Id="rId26" Type="http://schemas.openxmlformats.org/officeDocument/2006/relationships/hyperlink" Target="https://doi.org/10.1186/s43088-023-00460-y" TargetMode="External"/><Relationship Id="rId39" Type="http://schemas.openxmlformats.org/officeDocument/2006/relationships/hyperlink" Target="https://www.netsuite.com/portal/resource/articles/erp/sustainability-in-apparel.shtml" TargetMode="External"/><Relationship Id="rId3" Type="http://schemas.openxmlformats.org/officeDocument/2006/relationships/settings" Target="settings.xml"/><Relationship Id="rId21" Type="http://schemas.openxmlformats.org/officeDocument/2006/relationships/hyperlink" Target="https://doi.org/10.1002/adsr.202200021" TargetMode="External"/><Relationship Id="rId34" Type="http://schemas.openxmlformats.org/officeDocument/2006/relationships/hyperlink" Target="https://www.oecd.org/en/publications/2004/12/a-new-world-map-in-textiles-and-clothing_g1gh47d5.html" TargetMode="External"/><Relationship Id="rId42" Type="http://schemas.openxmlformats.org/officeDocument/2006/relationships/hyperlink" Target="https://textile.squaregroup.com/stxl.php" TargetMode="External"/><Relationship Id="rId47" Type="http://schemas.openxmlformats.org/officeDocument/2006/relationships/hyperlink" Target="https://wits.worldbank.org/CountryProfile/en/Country/CAN/Year/LTST/TradeFlow/Import/Partner/by-country/Product/50-63_TextCloth" TargetMode="External"/><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investors.aritzia.com/investor-news/press-release-details/2023/Aritzia-Reports-Fourth-Quarter-and-Fiscal-2023-Financial-Results/default.aspx" TargetMode="External"/><Relationship Id="rId25" Type="http://schemas.openxmlformats.org/officeDocument/2006/relationships/hyperlink" Target="https://www.industryandbusiness.ca/canadian-consumers-are-driving-sustainable-business-growth-new-research/" TargetMode="External"/><Relationship Id="rId33" Type="http://schemas.openxmlformats.org/officeDocument/2006/relationships/hyperlink" Target="https://doi.org/10.3390/su15086706" TargetMode="External"/><Relationship Id="rId38" Type="http://schemas.openxmlformats.org/officeDocument/2006/relationships/hyperlink" Target="https://www.sciencedirect.com/science/article/pii/S219985312400074X" TargetMode="External"/><Relationship Id="rId46" Type="http://schemas.openxmlformats.org/officeDocument/2006/relationships/hyperlink" Target="https://wits.worldbank.org/countrysnapshot/en/CAN/textview" TargetMode="External"/><Relationship Id="rId2" Type="http://schemas.openxmlformats.org/officeDocument/2006/relationships/styles" Target="styles.xml"/><Relationship Id="rId16" Type="http://schemas.openxmlformats.org/officeDocument/2006/relationships/hyperlink" Target="https://doi.org/10.1186/s13731-024-00381-9" TargetMode="External"/><Relationship Id="rId20" Type="http://schemas.openxmlformats.org/officeDocument/2006/relationships/hyperlink" Target="https://doi.org/10.3390/su142214816" TargetMode="External"/><Relationship Id="rId29" Type="http://schemas.openxmlformats.org/officeDocument/2006/relationships/hyperlink" Target="https://doi.org/10.1007/s11846-023-00700-6" TargetMode="External"/><Relationship Id="rId41" Type="http://schemas.openxmlformats.org/officeDocument/2006/relationships/hyperlink" Target="https://textile.squaregroup.com/annual_reports.ph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ndianretailer.com/article/data/research/more-than-half-of-global-consumers-are-more-likely-to-purchase-products-with-a-sustainability-claim.a7759" TargetMode="External"/><Relationship Id="rId32" Type="http://schemas.openxmlformats.org/officeDocument/2006/relationships/hyperlink" Target="https://www.mckinsey.com/~/media/mckinsey/industries/retail/our%20insights/state%20of%20fashion/2023/the-state-of-fashion-2023-holding-onto-growth-as-global-clouds-gathers-vf.pdf" TargetMode="External"/><Relationship Id="rId37" Type="http://schemas.openxmlformats.org/officeDocument/2006/relationships/hyperlink" Target="https://www.pwc.com/gx/en/news-room/press-releases/2024/pwc-2024-voice-of-consumer-survey.html" TargetMode="External"/><Relationship Id="rId40" Type="http://schemas.openxmlformats.org/officeDocument/2006/relationships/hyperlink" Target="https://doi.org/10.3390/jrfm16100446" TargetMode="External"/><Relationship Id="rId45" Type="http://schemas.openxmlformats.org/officeDocument/2006/relationships/hyperlink" Target="https://unece.org/sites/default/files/2024-06/SustainabilityPledge-3yrsMonitoringReport_0.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icab.org.bd/publication/news/4/1001/Exchange-Rate-Rollercoaster-Unraveling-the-Impact-of-Currency-Fluctuations-on-Private-Sector-Entities" TargetMode="External"/><Relationship Id="rId28" Type="http://schemas.openxmlformats.org/officeDocument/2006/relationships/hyperlink" Target="https://doi.org/10.1007/s11846-023-00700-6" TargetMode="External"/><Relationship Id="rId36" Type="http://schemas.openxmlformats.org/officeDocument/2006/relationships/hyperlink" Target="https://www.cbc.ca/news/world/canada-us-forced-labour-senator-1.7224599"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cba.org/sections/commodity-tax-customs-and-trade/member-articles/importing-into-canada/" TargetMode="External"/><Relationship Id="rId31" Type="http://schemas.openxmlformats.org/officeDocument/2006/relationships/hyperlink" Target="https://doi.org/10.3390/su15065185" TargetMode="External"/><Relationship Id="rId44" Type="http://schemas.openxmlformats.org/officeDocument/2006/relationships/hyperlink" Target="https://unctad.org/system/files/official-document/itcdtsbmisc66_en.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grandviewresearch.com/horizon/outlook/textile-market/canada" TargetMode="External"/><Relationship Id="rId27" Type="http://schemas.openxmlformats.org/officeDocument/2006/relationships/hyperlink" Target="https://doi.org/10.3390/su142013148" TargetMode="External"/><Relationship Id="rId30" Type="http://schemas.openxmlformats.org/officeDocument/2006/relationships/hyperlink" Target="https://corporate.lululemon.com/media/our-stories/2025/lululemon-launches-fy24-impact-report-and-impact-agenda-2030" TargetMode="External"/><Relationship Id="rId35" Type="http://schemas.openxmlformats.org/officeDocument/2006/relationships/hyperlink" Target="https://www.oecd.org/content/dam/oecd/en/publications/reports/2025/06/oecd-supply-chain-resilience-review_9930d256/94e3a8ea-en.pdf" TargetMode="External"/><Relationship Id="rId43" Type="http://schemas.openxmlformats.org/officeDocument/2006/relationships/hyperlink" Target="https://www.mdpi.com/2071-1050/12/21/9167" TargetMode="External"/><Relationship Id="rId48" Type="http://schemas.openxmlformats.org/officeDocument/2006/relationships/hyperlink" Target="https://doi.org/10.62051/4a30d214" TargetMode="External"/><Relationship Id="rId8" Type="http://schemas.openxmlformats.org/officeDocument/2006/relationships/image" Target="media/image2.png"/><Relationship Id="rId51"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F16A7-267C-4260-A1E7-CE216535A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34</Pages>
  <Words>8543</Words>
  <Characters>48699</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11</cp:revision>
  <dcterms:created xsi:type="dcterms:W3CDTF">2025-12-04T14:27:00Z</dcterms:created>
  <dcterms:modified xsi:type="dcterms:W3CDTF">2025-12-21T17:59:00Z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12cfa75a-1731-48de-bf8e-25ecd21cf177</vt:lpwstr>
  </property>
</Properties>
</file>