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31172185"/>
        <w:docPartObj>
          <w:docPartGallery w:val="Cover Pages"/>
          <w:docPartUnique/>
        </w:docPartObj>
      </w:sdtPr>
      <w:sdtEndPr>
        <w:rPr>
          <w:rFonts w:ascii="Carlito-Italic" w:hAnsi="Carlito-Italic" w:cs="Carlito-Italic"/>
          <w:i/>
          <w:iCs/>
          <w:color w:val="244084"/>
          <w:kern w:val="0"/>
        </w:rPr>
      </w:sdtEndPr>
      <w:sdtContent>
        <w:p w14:paraId="047C0E55" w14:textId="094942CA" w:rsidR="00340791" w:rsidRDefault="00340791">
          <w:r>
            <w:rPr>
              <w:noProof/>
            </w:rPr>
            <mc:AlternateContent>
              <mc:Choice Requires="wpg">
                <w:drawing>
                  <wp:anchor distT="0" distB="0" distL="114300" distR="114300" simplePos="0" relativeHeight="251662336" behindDoc="0" locked="0" layoutInCell="1" allowOverlap="1" wp14:anchorId="263E878E" wp14:editId="47E320A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74B2E1"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7AB19C1" wp14:editId="5A93F12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15B5C" w14:textId="39149F2F" w:rsidR="00340791" w:rsidRDefault="00EA4D6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Qauntitative assignment</w:t>
                                    </w:r>
                                    <w:r>
                                      <w:rPr>
                                        <w:caps/>
                                        <w:color w:val="156082" w:themeColor="accent1"/>
                                        <w:sz w:val="64"/>
                                        <w:szCs w:val="64"/>
                                      </w:rPr>
                                      <w:br/>
                                      <w:t>bmdp7009</w:t>
                                    </w:r>
                                    <w:r>
                                      <w:rPr>
                                        <w:caps/>
                                        <w:color w:val="156082" w:themeColor="accent1"/>
                                        <w:sz w:val="64"/>
                                        <w:szCs w:val="64"/>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4CA9DCF" w14:textId="79A9ADF9" w:rsidR="00340791" w:rsidRDefault="0034079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7AB19C1" id="_x0000_t202" coordsize="21600,21600" o:spt="202" path="m,l,21600r21600,l21600,xe">
                    <v:stroke joinstyle="miter"/>
                    <v:path gradientshapeok="t" o:connecttype="rect"/>
                  </v:shapetype>
                  <v:shape id="Text Box 25"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21715B5C" w14:textId="39149F2F" w:rsidR="00340791" w:rsidRDefault="00EA4D6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Qauntitative assignment</w:t>
                              </w:r>
                              <w:r>
                                <w:rPr>
                                  <w:caps/>
                                  <w:color w:val="156082" w:themeColor="accent1"/>
                                  <w:sz w:val="64"/>
                                  <w:szCs w:val="64"/>
                                </w:rPr>
                                <w:br/>
                                <w:t>bmdp7009</w:t>
                              </w:r>
                              <w:r>
                                <w:rPr>
                                  <w:caps/>
                                  <w:color w:val="156082" w:themeColor="accent1"/>
                                  <w:sz w:val="64"/>
                                  <w:szCs w:val="64"/>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4CA9DCF" w14:textId="79A9ADF9" w:rsidR="00340791" w:rsidRDefault="0034079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F3D5EEF" w14:textId="44121A06" w:rsidR="00340791" w:rsidRPr="00340791" w:rsidRDefault="00340791" w:rsidP="00340791">
          <w:pPr>
            <w:rPr>
              <w:rFonts w:ascii="Carlito-Italic" w:hAnsi="Carlito-Italic" w:cs="Carlito-Italic"/>
              <w:i/>
              <w:iCs/>
              <w:color w:val="244084"/>
              <w:kern w:val="0"/>
            </w:rPr>
          </w:pPr>
        </w:p>
      </w:sdtContent>
    </w:sdt>
    <w:p w14:paraId="132DA6A0" w14:textId="77777777" w:rsidR="00340791" w:rsidRDefault="00340791" w:rsidP="00340791">
      <w:pPr>
        <w:autoSpaceDE w:val="0"/>
        <w:autoSpaceDN w:val="0"/>
        <w:adjustRightInd w:val="0"/>
        <w:spacing w:line="360" w:lineRule="auto"/>
        <w:jc w:val="both"/>
        <w:rPr>
          <w:rFonts w:ascii="Carlito-Bold" w:hAnsi="Carlito-Bold" w:cs="Carlito-Bold"/>
          <w:b/>
          <w:bCs/>
          <w:color w:val="000000"/>
          <w:kern w:val="0"/>
        </w:rPr>
      </w:pPr>
    </w:p>
    <w:p w14:paraId="595DF694" w14:textId="77777777" w:rsidR="00340791" w:rsidRDefault="00340791" w:rsidP="00340791">
      <w:pPr>
        <w:autoSpaceDE w:val="0"/>
        <w:autoSpaceDN w:val="0"/>
        <w:adjustRightInd w:val="0"/>
        <w:spacing w:line="360" w:lineRule="auto"/>
        <w:jc w:val="both"/>
        <w:rPr>
          <w:rFonts w:ascii="Carlito-Bold" w:hAnsi="Carlito-Bold" w:cs="Carlito-Bold"/>
          <w:b/>
          <w:bCs/>
          <w:color w:val="000000"/>
          <w:kern w:val="0"/>
        </w:rPr>
      </w:pPr>
    </w:p>
    <w:p w14:paraId="04C97D49" w14:textId="77777777" w:rsidR="00340791" w:rsidRDefault="00340791" w:rsidP="00340791">
      <w:pPr>
        <w:autoSpaceDE w:val="0"/>
        <w:autoSpaceDN w:val="0"/>
        <w:adjustRightInd w:val="0"/>
        <w:spacing w:line="360" w:lineRule="auto"/>
        <w:jc w:val="both"/>
        <w:rPr>
          <w:rFonts w:ascii="Carlito-Bold" w:hAnsi="Carlito-Bold" w:cs="Carlito-Bold"/>
          <w:b/>
          <w:bCs/>
          <w:color w:val="000000"/>
          <w:kern w:val="0"/>
        </w:rPr>
      </w:pPr>
    </w:p>
    <w:p w14:paraId="40D8141D" w14:textId="65015DCA" w:rsidR="00340791" w:rsidRDefault="00EA4D6E" w:rsidP="00340791">
      <w:pPr>
        <w:autoSpaceDE w:val="0"/>
        <w:autoSpaceDN w:val="0"/>
        <w:adjustRightInd w:val="0"/>
        <w:spacing w:line="360" w:lineRule="auto"/>
        <w:jc w:val="both"/>
        <w:rPr>
          <w:rFonts w:ascii="Carlito-Bold" w:hAnsi="Carlito-Bold" w:cs="Carlito-Bold"/>
          <w:b/>
          <w:bCs/>
          <w:color w:val="000000"/>
          <w:kern w:val="0"/>
        </w:rPr>
      </w:pPr>
      <w:r>
        <w:rPr>
          <w:noProof/>
        </w:rPr>
        <mc:AlternateContent>
          <mc:Choice Requires="wps">
            <w:drawing>
              <wp:anchor distT="0" distB="0" distL="114300" distR="114300" simplePos="0" relativeHeight="251661312" behindDoc="0" locked="0" layoutInCell="1" allowOverlap="1" wp14:anchorId="6C5C11E4" wp14:editId="20734A91">
                <wp:simplePos x="0" y="0"/>
                <wp:positionH relativeFrom="page">
                  <wp:posOffset>260252</wp:posOffset>
                </wp:positionH>
                <wp:positionV relativeFrom="page">
                  <wp:posOffset>6689188</wp:posOffset>
                </wp:positionV>
                <wp:extent cx="6998677" cy="3573194"/>
                <wp:effectExtent l="0" t="0" r="0" b="8255"/>
                <wp:wrapSquare wrapText="bothSides"/>
                <wp:docPr id="153" name="Text Box 23"/>
                <wp:cNvGraphicFramePr/>
                <a:graphic xmlns:a="http://schemas.openxmlformats.org/drawingml/2006/main">
                  <a:graphicData uri="http://schemas.microsoft.com/office/word/2010/wordprocessingShape">
                    <wps:wsp>
                      <wps:cNvSpPr txBox="1"/>
                      <wps:spPr>
                        <a:xfrm>
                          <a:off x="0" y="0"/>
                          <a:ext cx="6998677" cy="35731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E6B4A" w14:textId="75368065" w:rsidR="009F4BE7" w:rsidRDefault="00340791" w:rsidP="009F4BE7">
                            <w:pPr>
                              <w:autoSpaceDE w:val="0"/>
                              <w:autoSpaceDN w:val="0"/>
                              <w:adjustRightInd w:val="0"/>
                              <w:spacing w:line="360" w:lineRule="auto"/>
                              <w:jc w:val="center"/>
                              <w:rPr>
                                <w:rFonts w:ascii="Carlito-Bold" w:hAnsi="Carlito-Bold" w:cs="Carlito-Bold"/>
                                <w:b/>
                                <w:bCs/>
                                <w:color w:val="000000"/>
                                <w:kern w:val="0"/>
                                <w:sz w:val="48"/>
                                <w:szCs w:val="48"/>
                              </w:rPr>
                            </w:pPr>
                            <w:r>
                              <w:rPr>
                                <w:rFonts w:ascii="Carlito-Bold" w:hAnsi="Carlito-Bold" w:cs="Carlito-Bold"/>
                                <w:b/>
                                <w:bCs/>
                                <w:color w:val="000000"/>
                                <w:kern w:val="0"/>
                                <w:sz w:val="48"/>
                                <w:szCs w:val="48"/>
                              </w:rPr>
                              <w:t>An examination of retention and staff well-being with care home workers in health and social care sector</w:t>
                            </w:r>
                          </w:p>
                          <w:p w14:paraId="0B9634AE" w14:textId="4E58AA45" w:rsidR="009F4BE7" w:rsidRDefault="009F4BE7" w:rsidP="0006732F">
                            <w:pPr>
                              <w:autoSpaceDE w:val="0"/>
                              <w:autoSpaceDN w:val="0"/>
                              <w:adjustRightInd w:val="0"/>
                              <w:spacing w:line="360" w:lineRule="auto"/>
                              <w:rPr>
                                <w:rFonts w:ascii="Carlito-Bold" w:hAnsi="Carlito-Bold" w:cs="Carlito-Bold"/>
                                <w:b/>
                                <w:bCs/>
                                <w:color w:val="000000"/>
                                <w:kern w:val="0"/>
                                <w:sz w:val="48"/>
                                <w:szCs w:val="48"/>
                              </w:rPr>
                            </w:pPr>
                            <w:r>
                              <w:rPr>
                                <w:rFonts w:ascii="Carlito-Bold" w:hAnsi="Carlito-Bold" w:cs="Carlito-Bold"/>
                                <w:b/>
                                <w:bCs/>
                                <w:color w:val="000000"/>
                                <w:kern w:val="0"/>
                                <w:sz w:val="48"/>
                                <w:szCs w:val="48"/>
                              </w:rPr>
                              <w:t>Doctorate in Professional Practice</w:t>
                            </w:r>
                          </w:p>
                          <w:p w14:paraId="238A11AF" w14:textId="77777777" w:rsidR="00EA4D6E" w:rsidRPr="00EA4D6E" w:rsidRDefault="00EA4D6E" w:rsidP="00EA4D6E">
                            <w:pPr>
                              <w:spacing w:after="100" w:afterAutospacing="1" w:line="240" w:lineRule="auto"/>
                              <w:outlineLvl w:val="0"/>
                              <w:rPr>
                                <w:rFonts w:ascii="Segoe UI" w:eastAsia="Times New Roman" w:hAnsi="Segoe UI" w:cs="Segoe UI"/>
                                <w:b/>
                                <w:bCs/>
                                <w:color w:val="FFFFFF"/>
                                <w:kern w:val="36"/>
                                <w:sz w:val="48"/>
                                <w:szCs w:val="48"/>
                                <w:lang w:eastAsia="en-GB"/>
                                <w14:ligatures w14:val="none"/>
                              </w:rPr>
                            </w:pPr>
                            <w:r w:rsidRPr="00EA4D6E">
                              <w:rPr>
                                <w:rFonts w:ascii="Segoe UI" w:eastAsia="Times New Roman" w:hAnsi="Segoe UI" w:cs="Segoe UI"/>
                                <w:b/>
                                <w:bCs/>
                                <w:color w:val="FFFFFF"/>
                                <w:kern w:val="36"/>
                                <w:sz w:val="48"/>
                                <w:szCs w:val="48"/>
                                <w:lang w:eastAsia="en-GB"/>
                                <w14:ligatures w14:val="none"/>
                              </w:rPr>
                              <w:t>(BMDP7009)</w:t>
                            </w:r>
                          </w:p>
                          <w:p w14:paraId="15002E44" w14:textId="77777777" w:rsidR="00EA4D6E" w:rsidRDefault="00EA4D6E" w:rsidP="0006732F">
                            <w:pPr>
                              <w:autoSpaceDE w:val="0"/>
                              <w:autoSpaceDN w:val="0"/>
                              <w:adjustRightInd w:val="0"/>
                              <w:spacing w:line="360" w:lineRule="auto"/>
                              <w:rPr>
                                <w:rFonts w:ascii="Carlito-Bold" w:hAnsi="Carlito-Bold" w:cs="Carlito-Bold"/>
                                <w:b/>
                                <w:bCs/>
                                <w:color w:val="000000"/>
                                <w:kern w:val="0"/>
                                <w:sz w:val="48"/>
                                <w:szCs w:val="48"/>
                              </w:rPr>
                            </w:pPr>
                          </w:p>
                          <w:p w14:paraId="3AB12C5A" w14:textId="77777777" w:rsidR="00EA4D6E" w:rsidRPr="00EA4D6E" w:rsidRDefault="00EA4D6E" w:rsidP="00EA4D6E">
                            <w:pPr>
                              <w:spacing w:after="100" w:afterAutospacing="1" w:line="240" w:lineRule="auto"/>
                              <w:outlineLvl w:val="0"/>
                              <w:rPr>
                                <w:rFonts w:ascii="Segoe UI" w:eastAsia="Times New Roman" w:hAnsi="Segoe UI" w:cs="Segoe UI"/>
                                <w:b/>
                                <w:bCs/>
                                <w:color w:val="FFFFFF"/>
                                <w:kern w:val="36"/>
                                <w:sz w:val="48"/>
                                <w:szCs w:val="48"/>
                                <w:lang w:eastAsia="en-GB"/>
                                <w14:ligatures w14:val="none"/>
                              </w:rPr>
                            </w:pPr>
                            <w:r w:rsidRPr="00EA4D6E">
                              <w:rPr>
                                <w:rFonts w:ascii="Segoe UI" w:eastAsia="Times New Roman" w:hAnsi="Segoe UI" w:cs="Segoe UI"/>
                                <w:b/>
                                <w:bCs/>
                                <w:color w:val="FFFFFF"/>
                                <w:kern w:val="36"/>
                                <w:sz w:val="48"/>
                                <w:szCs w:val="48"/>
                                <w:lang w:eastAsia="en-GB"/>
                                <w14:ligatures w14:val="none"/>
                              </w:rPr>
                              <w:t>(BMDP7009)</w:t>
                            </w:r>
                          </w:p>
                          <w:p w14:paraId="540D124B" w14:textId="77777777" w:rsidR="00EA4D6E" w:rsidRDefault="00EA4D6E" w:rsidP="0006732F">
                            <w:pPr>
                              <w:autoSpaceDE w:val="0"/>
                              <w:autoSpaceDN w:val="0"/>
                              <w:adjustRightInd w:val="0"/>
                              <w:spacing w:line="360" w:lineRule="auto"/>
                              <w:rPr>
                                <w:rFonts w:ascii="Carlito-Bold" w:hAnsi="Carlito-Bold" w:cs="Carlito-Bold"/>
                                <w:b/>
                                <w:bCs/>
                                <w:color w:val="000000"/>
                                <w:kern w:val="0"/>
                                <w:sz w:val="48"/>
                                <w:szCs w:val="48"/>
                              </w:rPr>
                            </w:pPr>
                          </w:p>
                          <w:p w14:paraId="772B0EC2" w14:textId="77777777" w:rsidR="00340791" w:rsidRPr="00340791" w:rsidRDefault="00340791" w:rsidP="00340791">
                            <w:pPr>
                              <w:pStyle w:val="NoSpacing"/>
                              <w:jc w:val="center"/>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C5C11E4" id="Text Box 23" o:spid="_x0000_s1027" type="#_x0000_t202" style="position:absolute;left:0;text-align:left;margin-left:20.5pt;margin-top:526.7pt;width:551.1pt;height:281.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" filled="f" stroked="f" strokeweight=".5pt">
                <v:textbox inset="126pt,0,54pt,0">
                  <w:txbxContent>
                    <w:p w14:paraId="32DE6B4A" w14:textId="75368065" w:rsidR="009F4BE7" w:rsidRDefault="00340791" w:rsidP="009F4BE7">
                      <w:pPr>
                        <w:autoSpaceDE w:val="0"/>
                        <w:autoSpaceDN w:val="0"/>
                        <w:adjustRightInd w:val="0"/>
                        <w:spacing w:line="360" w:lineRule="auto"/>
                        <w:jc w:val="center"/>
                        <w:rPr>
                          <w:rFonts w:ascii="Carlito-Bold" w:hAnsi="Carlito-Bold" w:cs="Carlito-Bold"/>
                          <w:b/>
                          <w:bCs/>
                          <w:color w:val="000000"/>
                          <w:kern w:val="0"/>
                          <w:sz w:val="48"/>
                          <w:szCs w:val="48"/>
                        </w:rPr>
                      </w:pPr>
                      <w:r>
                        <w:rPr>
                          <w:rFonts w:ascii="Carlito-Bold" w:hAnsi="Carlito-Bold" w:cs="Carlito-Bold"/>
                          <w:b/>
                          <w:bCs/>
                          <w:color w:val="000000"/>
                          <w:kern w:val="0"/>
                          <w:sz w:val="48"/>
                          <w:szCs w:val="48"/>
                        </w:rPr>
                        <w:t>An examination of retention and staff well-being with care home workers in health and social care sector</w:t>
                      </w:r>
                    </w:p>
                    <w:p w14:paraId="0B9634AE" w14:textId="4E58AA45" w:rsidR="009F4BE7" w:rsidRDefault="009F4BE7" w:rsidP="0006732F">
                      <w:pPr>
                        <w:autoSpaceDE w:val="0"/>
                        <w:autoSpaceDN w:val="0"/>
                        <w:adjustRightInd w:val="0"/>
                        <w:spacing w:line="360" w:lineRule="auto"/>
                        <w:rPr>
                          <w:rFonts w:ascii="Carlito-Bold" w:hAnsi="Carlito-Bold" w:cs="Carlito-Bold"/>
                          <w:b/>
                          <w:bCs/>
                          <w:color w:val="000000"/>
                          <w:kern w:val="0"/>
                          <w:sz w:val="48"/>
                          <w:szCs w:val="48"/>
                        </w:rPr>
                      </w:pPr>
                      <w:r>
                        <w:rPr>
                          <w:rFonts w:ascii="Carlito-Bold" w:hAnsi="Carlito-Bold" w:cs="Carlito-Bold"/>
                          <w:b/>
                          <w:bCs/>
                          <w:color w:val="000000"/>
                          <w:kern w:val="0"/>
                          <w:sz w:val="48"/>
                          <w:szCs w:val="48"/>
                        </w:rPr>
                        <w:t>Doctorate in Professional Practice</w:t>
                      </w:r>
                    </w:p>
                    <w:p w14:paraId="238A11AF" w14:textId="77777777" w:rsidR="00EA4D6E" w:rsidRPr="00EA4D6E" w:rsidRDefault="00EA4D6E" w:rsidP="00EA4D6E">
                      <w:pPr>
                        <w:spacing w:after="100" w:afterAutospacing="1" w:line="240" w:lineRule="auto"/>
                        <w:outlineLvl w:val="0"/>
                        <w:rPr>
                          <w:rFonts w:ascii="Segoe UI" w:eastAsia="Times New Roman" w:hAnsi="Segoe UI" w:cs="Segoe UI"/>
                          <w:b/>
                          <w:bCs/>
                          <w:color w:val="FFFFFF"/>
                          <w:kern w:val="36"/>
                          <w:sz w:val="48"/>
                          <w:szCs w:val="48"/>
                          <w:lang w:eastAsia="en-GB"/>
                          <w14:ligatures w14:val="none"/>
                        </w:rPr>
                      </w:pPr>
                      <w:r w:rsidRPr="00EA4D6E">
                        <w:rPr>
                          <w:rFonts w:ascii="Segoe UI" w:eastAsia="Times New Roman" w:hAnsi="Segoe UI" w:cs="Segoe UI"/>
                          <w:b/>
                          <w:bCs/>
                          <w:color w:val="FFFFFF"/>
                          <w:kern w:val="36"/>
                          <w:sz w:val="48"/>
                          <w:szCs w:val="48"/>
                          <w:lang w:eastAsia="en-GB"/>
                          <w14:ligatures w14:val="none"/>
                        </w:rPr>
                        <w:t>(BMDP7009)</w:t>
                      </w:r>
                    </w:p>
                    <w:p w14:paraId="15002E44" w14:textId="77777777" w:rsidR="00EA4D6E" w:rsidRDefault="00EA4D6E" w:rsidP="0006732F">
                      <w:pPr>
                        <w:autoSpaceDE w:val="0"/>
                        <w:autoSpaceDN w:val="0"/>
                        <w:adjustRightInd w:val="0"/>
                        <w:spacing w:line="360" w:lineRule="auto"/>
                        <w:rPr>
                          <w:rFonts w:ascii="Carlito-Bold" w:hAnsi="Carlito-Bold" w:cs="Carlito-Bold"/>
                          <w:b/>
                          <w:bCs/>
                          <w:color w:val="000000"/>
                          <w:kern w:val="0"/>
                          <w:sz w:val="48"/>
                          <w:szCs w:val="48"/>
                        </w:rPr>
                      </w:pPr>
                    </w:p>
                    <w:p w14:paraId="3AB12C5A" w14:textId="77777777" w:rsidR="00EA4D6E" w:rsidRPr="00EA4D6E" w:rsidRDefault="00EA4D6E" w:rsidP="00EA4D6E">
                      <w:pPr>
                        <w:spacing w:after="100" w:afterAutospacing="1" w:line="240" w:lineRule="auto"/>
                        <w:outlineLvl w:val="0"/>
                        <w:rPr>
                          <w:rFonts w:ascii="Segoe UI" w:eastAsia="Times New Roman" w:hAnsi="Segoe UI" w:cs="Segoe UI"/>
                          <w:b/>
                          <w:bCs/>
                          <w:color w:val="FFFFFF"/>
                          <w:kern w:val="36"/>
                          <w:sz w:val="48"/>
                          <w:szCs w:val="48"/>
                          <w:lang w:eastAsia="en-GB"/>
                          <w14:ligatures w14:val="none"/>
                        </w:rPr>
                      </w:pPr>
                      <w:r w:rsidRPr="00EA4D6E">
                        <w:rPr>
                          <w:rFonts w:ascii="Segoe UI" w:eastAsia="Times New Roman" w:hAnsi="Segoe UI" w:cs="Segoe UI"/>
                          <w:b/>
                          <w:bCs/>
                          <w:color w:val="FFFFFF"/>
                          <w:kern w:val="36"/>
                          <w:sz w:val="48"/>
                          <w:szCs w:val="48"/>
                          <w:lang w:eastAsia="en-GB"/>
                          <w14:ligatures w14:val="none"/>
                        </w:rPr>
                        <w:t>(BMDP7009)</w:t>
                      </w:r>
                    </w:p>
                    <w:p w14:paraId="540D124B" w14:textId="77777777" w:rsidR="00EA4D6E" w:rsidRDefault="00EA4D6E" w:rsidP="0006732F">
                      <w:pPr>
                        <w:autoSpaceDE w:val="0"/>
                        <w:autoSpaceDN w:val="0"/>
                        <w:adjustRightInd w:val="0"/>
                        <w:spacing w:line="360" w:lineRule="auto"/>
                        <w:rPr>
                          <w:rFonts w:ascii="Carlito-Bold" w:hAnsi="Carlito-Bold" w:cs="Carlito-Bold"/>
                          <w:b/>
                          <w:bCs/>
                          <w:color w:val="000000"/>
                          <w:kern w:val="0"/>
                          <w:sz w:val="48"/>
                          <w:szCs w:val="48"/>
                        </w:rPr>
                      </w:pPr>
                    </w:p>
                    <w:p w14:paraId="772B0EC2" w14:textId="77777777" w:rsidR="00340791" w:rsidRPr="00340791" w:rsidRDefault="00340791" w:rsidP="00340791">
                      <w:pPr>
                        <w:pStyle w:val="NoSpacing"/>
                        <w:jc w:val="center"/>
                        <w:rPr>
                          <w:color w:val="156082" w:themeColor="accent1"/>
                          <w:sz w:val="28"/>
                          <w:szCs w:val="28"/>
                        </w:rPr>
                      </w:pPr>
                    </w:p>
                  </w:txbxContent>
                </v:textbox>
                <w10:wrap type="square" anchorx="page" anchory="page"/>
              </v:shape>
            </w:pict>
          </mc:Fallback>
        </mc:AlternateContent>
      </w:r>
    </w:p>
    <w:p w14:paraId="2E09CA2C" w14:textId="145D93F2" w:rsidR="00340791" w:rsidRDefault="00340791" w:rsidP="009F4BE7">
      <w:pPr>
        <w:autoSpaceDE w:val="0"/>
        <w:autoSpaceDN w:val="0"/>
        <w:adjustRightInd w:val="0"/>
        <w:spacing w:line="360" w:lineRule="auto"/>
        <w:jc w:val="both"/>
        <w:rPr>
          <w:rFonts w:ascii="Carlito-Bold" w:hAnsi="Carlito-Bold" w:cs="Carlito-Bold"/>
          <w:b/>
          <w:bCs/>
          <w:color w:val="000000"/>
          <w:kern w:val="0"/>
        </w:rPr>
      </w:pPr>
    </w:p>
    <w:sdt>
      <w:sdtPr>
        <w:id w:val="-55677565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89DBA59" w14:textId="6DE350A6" w:rsidR="00340791" w:rsidRDefault="00340791">
          <w:pPr>
            <w:pStyle w:val="TOCHeading"/>
          </w:pPr>
          <w:r>
            <w:t>Table of Contents</w:t>
          </w:r>
        </w:p>
        <w:p w14:paraId="2196E547" w14:textId="00B419AC" w:rsidR="00340791" w:rsidRDefault="00340791">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7736836" w:history="1">
            <w:r w:rsidRPr="00372367">
              <w:rPr>
                <w:rStyle w:val="Hyperlink"/>
                <w:noProof/>
              </w:rPr>
              <w:t>Abstract</w:t>
            </w:r>
            <w:r>
              <w:rPr>
                <w:noProof/>
                <w:webHidden/>
              </w:rPr>
              <w:tab/>
            </w:r>
            <w:r>
              <w:rPr>
                <w:noProof/>
                <w:webHidden/>
              </w:rPr>
              <w:fldChar w:fldCharType="begin"/>
            </w:r>
            <w:r>
              <w:rPr>
                <w:noProof/>
                <w:webHidden/>
              </w:rPr>
              <w:instrText xml:space="preserve"> PAGEREF _Toc197736836 \h </w:instrText>
            </w:r>
            <w:r>
              <w:rPr>
                <w:noProof/>
                <w:webHidden/>
              </w:rPr>
            </w:r>
            <w:r>
              <w:rPr>
                <w:noProof/>
                <w:webHidden/>
              </w:rPr>
              <w:fldChar w:fldCharType="separate"/>
            </w:r>
            <w:r>
              <w:rPr>
                <w:noProof/>
                <w:webHidden/>
              </w:rPr>
              <w:t>3</w:t>
            </w:r>
            <w:r>
              <w:rPr>
                <w:noProof/>
                <w:webHidden/>
              </w:rPr>
              <w:fldChar w:fldCharType="end"/>
            </w:r>
          </w:hyperlink>
        </w:p>
        <w:p w14:paraId="34E6ABB6" w14:textId="578DFC93" w:rsidR="00340791" w:rsidRDefault="00340791">
          <w:pPr>
            <w:pStyle w:val="TOC1"/>
            <w:tabs>
              <w:tab w:val="right" w:leader="dot" w:pos="9016"/>
            </w:tabs>
            <w:rPr>
              <w:rFonts w:eastAsiaTheme="minorEastAsia"/>
              <w:b w:val="0"/>
              <w:bCs w:val="0"/>
              <w:i w:val="0"/>
              <w:iCs w:val="0"/>
              <w:noProof/>
              <w:lang w:eastAsia="en-GB"/>
            </w:rPr>
          </w:pPr>
          <w:hyperlink w:anchor="_Toc197736837" w:history="1">
            <w:r w:rsidRPr="00372367">
              <w:rPr>
                <w:rStyle w:val="Hyperlink"/>
                <w:rFonts w:ascii="Carlito" w:hAnsi="Carlito" w:cs="Carlito"/>
                <w:noProof/>
              </w:rPr>
              <w:t>1.</w:t>
            </w:r>
            <w:r w:rsidRPr="00372367">
              <w:rPr>
                <w:rStyle w:val="Hyperlink"/>
                <w:noProof/>
              </w:rPr>
              <w:t xml:space="preserve"> Introduction</w:t>
            </w:r>
            <w:r>
              <w:rPr>
                <w:noProof/>
                <w:webHidden/>
              </w:rPr>
              <w:tab/>
            </w:r>
            <w:r>
              <w:rPr>
                <w:noProof/>
                <w:webHidden/>
              </w:rPr>
              <w:fldChar w:fldCharType="begin"/>
            </w:r>
            <w:r>
              <w:rPr>
                <w:noProof/>
                <w:webHidden/>
              </w:rPr>
              <w:instrText xml:space="preserve"> PAGEREF _Toc197736837 \h </w:instrText>
            </w:r>
            <w:r>
              <w:rPr>
                <w:noProof/>
                <w:webHidden/>
              </w:rPr>
            </w:r>
            <w:r>
              <w:rPr>
                <w:noProof/>
                <w:webHidden/>
              </w:rPr>
              <w:fldChar w:fldCharType="separate"/>
            </w:r>
            <w:r>
              <w:rPr>
                <w:noProof/>
                <w:webHidden/>
              </w:rPr>
              <w:t>4</w:t>
            </w:r>
            <w:r>
              <w:rPr>
                <w:noProof/>
                <w:webHidden/>
              </w:rPr>
              <w:fldChar w:fldCharType="end"/>
            </w:r>
          </w:hyperlink>
        </w:p>
        <w:p w14:paraId="10563392" w14:textId="1F990977" w:rsidR="00340791" w:rsidRDefault="00340791">
          <w:pPr>
            <w:pStyle w:val="TOC2"/>
            <w:tabs>
              <w:tab w:val="right" w:leader="dot" w:pos="9016"/>
            </w:tabs>
            <w:rPr>
              <w:rFonts w:eastAsiaTheme="minorEastAsia"/>
              <w:b w:val="0"/>
              <w:bCs w:val="0"/>
              <w:noProof/>
              <w:sz w:val="24"/>
              <w:szCs w:val="24"/>
              <w:lang w:eastAsia="en-GB"/>
            </w:rPr>
          </w:pPr>
          <w:hyperlink w:anchor="_Toc197736838" w:history="1">
            <w:r w:rsidRPr="00372367">
              <w:rPr>
                <w:rStyle w:val="Hyperlink"/>
                <w:noProof/>
              </w:rPr>
              <w:t>1.1 Staff Morale, Burnout, and Retention in Adult Social Care</w:t>
            </w:r>
            <w:r>
              <w:rPr>
                <w:noProof/>
                <w:webHidden/>
              </w:rPr>
              <w:tab/>
            </w:r>
            <w:r>
              <w:rPr>
                <w:noProof/>
                <w:webHidden/>
              </w:rPr>
              <w:fldChar w:fldCharType="begin"/>
            </w:r>
            <w:r>
              <w:rPr>
                <w:noProof/>
                <w:webHidden/>
              </w:rPr>
              <w:instrText xml:space="preserve"> PAGEREF _Toc197736838 \h </w:instrText>
            </w:r>
            <w:r>
              <w:rPr>
                <w:noProof/>
                <w:webHidden/>
              </w:rPr>
            </w:r>
            <w:r>
              <w:rPr>
                <w:noProof/>
                <w:webHidden/>
              </w:rPr>
              <w:fldChar w:fldCharType="separate"/>
            </w:r>
            <w:r>
              <w:rPr>
                <w:noProof/>
                <w:webHidden/>
              </w:rPr>
              <w:t>7</w:t>
            </w:r>
            <w:r>
              <w:rPr>
                <w:noProof/>
                <w:webHidden/>
              </w:rPr>
              <w:fldChar w:fldCharType="end"/>
            </w:r>
          </w:hyperlink>
        </w:p>
        <w:p w14:paraId="56052255" w14:textId="2FD4F7EB" w:rsidR="00340791" w:rsidRDefault="00340791">
          <w:pPr>
            <w:pStyle w:val="TOC2"/>
            <w:tabs>
              <w:tab w:val="right" w:leader="dot" w:pos="9016"/>
            </w:tabs>
            <w:rPr>
              <w:rFonts w:eastAsiaTheme="minorEastAsia"/>
              <w:b w:val="0"/>
              <w:bCs w:val="0"/>
              <w:noProof/>
              <w:sz w:val="24"/>
              <w:szCs w:val="24"/>
              <w:lang w:eastAsia="en-GB"/>
            </w:rPr>
          </w:pPr>
          <w:hyperlink w:anchor="_Toc197736839" w:history="1">
            <w:r w:rsidRPr="00372367">
              <w:rPr>
                <w:rStyle w:val="Hyperlink"/>
                <w:noProof/>
              </w:rPr>
              <w:t>1.2 Differences Between Care Home and Domiciliary Care Settings</w:t>
            </w:r>
            <w:r>
              <w:rPr>
                <w:noProof/>
                <w:webHidden/>
              </w:rPr>
              <w:tab/>
            </w:r>
            <w:r>
              <w:rPr>
                <w:noProof/>
                <w:webHidden/>
              </w:rPr>
              <w:fldChar w:fldCharType="begin"/>
            </w:r>
            <w:r>
              <w:rPr>
                <w:noProof/>
                <w:webHidden/>
              </w:rPr>
              <w:instrText xml:space="preserve"> PAGEREF _Toc197736839 \h </w:instrText>
            </w:r>
            <w:r>
              <w:rPr>
                <w:noProof/>
                <w:webHidden/>
              </w:rPr>
            </w:r>
            <w:r>
              <w:rPr>
                <w:noProof/>
                <w:webHidden/>
              </w:rPr>
              <w:fldChar w:fldCharType="separate"/>
            </w:r>
            <w:r>
              <w:rPr>
                <w:noProof/>
                <w:webHidden/>
              </w:rPr>
              <w:t>8</w:t>
            </w:r>
            <w:r>
              <w:rPr>
                <w:noProof/>
                <w:webHidden/>
              </w:rPr>
              <w:fldChar w:fldCharType="end"/>
            </w:r>
          </w:hyperlink>
        </w:p>
        <w:p w14:paraId="1E02FCDC" w14:textId="0D4FB2FB" w:rsidR="00340791" w:rsidRDefault="00340791">
          <w:pPr>
            <w:pStyle w:val="TOC2"/>
            <w:tabs>
              <w:tab w:val="right" w:leader="dot" w:pos="9016"/>
            </w:tabs>
            <w:rPr>
              <w:rFonts w:eastAsiaTheme="minorEastAsia"/>
              <w:b w:val="0"/>
              <w:bCs w:val="0"/>
              <w:noProof/>
              <w:sz w:val="24"/>
              <w:szCs w:val="24"/>
              <w:lang w:eastAsia="en-GB"/>
            </w:rPr>
          </w:pPr>
          <w:hyperlink w:anchor="_Toc197736840" w:history="1">
            <w:r w:rsidRPr="00372367">
              <w:rPr>
                <w:rStyle w:val="Hyperlink"/>
                <w:noProof/>
              </w:rPr>
              <w:t>1.3 Identified Research Gaps</w:t>
            </w:r>
            <w:r>
              <w:rPr>
                <w:noProof/>
                <w:webHidden/>
              </w:rPr>
              <w:tab/>
            </w:r>
            <w:r>
              <w:rPr>
                <w:noProof/>
                <w:webHidden/>
              </w:rPr>
              <w:fldChar w:fldCharType="begin"/>
            </w:r>
            <w:r>
              <w:rPr>
                <w:noProof/>
                <w:webHidden/>
              </w:rPr>
              <w:instrText xml:space="preserve"> PAGEREF _Toc197736840 \h </w:instrText>
            </w:r>
            <w:r>
              <w:rPr>
                <w:noProof/>
                <w:webHidden/>
              </w:rPr>
            </w:r>
            <w:r>
              <w:rPr>
                <w:noProof/>
                <w:webHidden/>
              </w:rPr>
              <w:fldChar w:fldCharType="separate"/>
            </w:r>
            <w:r>
              <w:rPr>
                <w:noProof/>
                <w:webHidden/>
              </w:rPr>
              <w:t>9</w:t>
            </w:r>
            <w:r>
              <w:rPr>
                <w:noProof/>
                <w:webHidden/>
              </w:rPr>
              <w:fldChar w:fldCharType="end"/>
            </w:r>
          </w:hyperlink>
        </w:p>
        <w:p w14:paraId="73AB3F90" w14:textId="2D9865C7" w:rsidR="00340791" w:rsidRDefault="00340791">
          <w:pPr>
            <w:pStyle w:val="TOC2"/>
            <w:tabs>
              <w:tab w:val="right" w:leader="dot" w:pos="9016"/>
            </w:tabs>
            <w:rPr>
              <w:rFonts w:eastAsiaTheme="minorEastAsia"/>
              <w:b w:val="0"/>
              <w:bCs w:val="0"/>
              <w:noProof/>
              <w:sz w:val="24"/>
              <w:szCs w:val="24"/>
              <w:lang w:eastAsia="en-GB"/>
            </w:rPr>
          </w:pPr>
          <w:hyperlink w:anchor="_Toc197736841" w:history="1">
            <w:r w:rsidRPr="00372367">
              <w:rPr>
                <w:rStyle w:val="Hyperlink"/>
                <w:noProof/>
              </w:rPr>
              <w:t>1.4 Research Question</w:t>
            </w:r>
            <w:r>
              <w:rPr>
                <w:noProof/>
                <w:webHidden/>
              </w:rPr>
              <w:tab/>
            </w:r>
            <w:r>
              <w:rPr>
                <w:noProof/>
                <w:webHidden/>
              </w:rPr>
              <w:fldChar w:fldCharType="begin"/>
            </w:r>
            <w:r>
              <w:rPr>
                <w:noProof/>
                <w:webHidden/>
              </w:rPr>
              <w:instrText xml:space="preserve"> PAGEREF _Toc197736841 \h </w:instrText>
            </w:r>
            <w:r>
              <w:rPr>
                <w:noProof/>
                <w:webHidden/>
              </w:rPr>
            </w:r>
            <w:r>
              <w:rPr>
                <w:noProof/>
                <w:webHidden/>
              </w:rPr>
              <w:fldChar w:fldCharType="separate"/>
            </w:r>
            <w:r>
              <w:rPr>
                <w:noProof/>
                <w:webHidden/>
              </w:rPr>
              <w:t>10</w:t>
            </w:r>
            <w:r>
              <w:rPr>
                <w:noProof/>
                <w:webHidden/>
              </w:rPr>
              <w:fldChar w:fldCharType="end"/>
            </w:r>
          </w:hyperlink>
        </w:p>
        <w:p w14:paraId="0BB267A2" w14:textId="7CC2CB40" w:rsidR="00340791" w:rsidRDefault="00340791">
          <w:pPr>
            <w:pStyle w:val="TOC1"/>
            <w:tabs>
              <w:tab w:val="right" w:leader="dot" w:pos="9016"/>
            </w:tabs>
            <w:rPr>
              <w:rFonts w:eastAsiaTheme="minorEastAsia"/>
              <w:b w:val="0"/>
              <w:bCs w:val="0"/>
              <w:i w:val="0"/>
              <w:iCs w:val="0"/>
              <w:noProof/>
              <w:lang w:eastAsia="en-GB"/>
            </w:rPr>
          </w:pPr>
          <w:hyperlink w:anchor="_Toc197736842" w:history="1">
            <w:r w:rsidRPr="00372367">
              <w:rPr>
                <w:rStyle w:val="Hyperlink"/>
                <w:noProof/>
              </w:rPr>
              <w:t>2 Methodology</w:t>
            </w:r>
            <w:r>
              <w:rPr>
                <w:noProof/>
                <w:webHidden/>
              </w:rPr>
              <w:tab/>
            </w:r>
            <w:r>
              <w:rPr>
                <w:noProof/>
                <w:webHidden/>
              </w:rPr>
              <w:fldChar w:fldCharType="begin"/>
            </w:r>
            <w:r>
              <w:rPr>
                <w:noProof/>
                <w:webHidden/>
              </w:rPr>
              <w:instrText xml:space="preserve"> PAGEREF _Toc197736842 \h </w:instrText>
            </w:r>
            <w:r>
              <w:rPr>
                <w:noProof/>
                <w:webHidden/>
              </w:rPr>
            </w:r>
            <w:r>
              <w:rPr>
                <w:noProof/>
                <w:webHidden/>
              </w:rPr>
              <w:fldChar w:fldCharType="separate"/>
            </w:r>
            <w:r>
              <w:rPr>
                <w:noProof/>
                <w:webHidden/>
              </w:rPr>
              <w:t>10</w:t>
            </w:r>
            <w:r>
              <w:rPr>
                <w:noProof/>
                <w:webHidden/>
              </w:rPr>
              <w:fldChar w:fldCharType="end"/>
            </w:r>
          </w:hyperlink>
        </w:p>
        <w:p w14:paraId="563E701E" w14:textId="5A471E18" w:rsidR="00340791" w:rsidRDefault="00340791">
          <w:pPr>
            <w:pStyle w:val="TOC2"/>
            <w:tabs>
              <w:tab w:val="right" w:leader="dot" w:pos="9016"/>
            </w:tabs>
            <w:rPr>
              <w:rFonts w:eastAsiaTheme="minorEastAsia"/>
              <w:b w:val="0"/>
              <w:bCs w:val="0"/>
              <w:noProof/>
              <w:sz w:val="24"/>
              <w:szCs w:val="24"/>
              <w:lang w:eastAsia="en-GB"/>
            </w:rPr>
          </w:pPr>
          <w:hyperlink w:anchor="_Toc197736843" w:history="1">
            <w:r w:rsidRPr="00372367">
              <w:rPr>
                <w:rStyle w:val="Hyperlink"/>
                <w:noProof/>
              </w:rPr>
              <w:t>2.1 Research Design</w:t>
            </w:r>
            <w:r>
              <w:rPr>
                <w:noProof/>
                <w:webHidden/>
              </w:rPr>
              <w:tab/>
            </w:r>
            <w:r>
              <w:rPr>
                <w:noProof/>
                <w:webHidden/>
              </w:rPr>
              <w:fldChar w:fldCharType="begin"/>
            </w:r>
            <w:r>
              <w:rPr>
                <w:noProof/>
                <w:webHidden/>
              </w:rPr>
              <w:instrText xml:space="preserve"> PAGEREF _Toc197736843 \h </w:instrText>
            </w:r>
            <w:r>
              <w:rPr>
                <w:noProof/>
                <w:webHidden/>
              </w:rPr>
            </w:r>
            <w:r>
              <w:rPr>
                <w:noProof/>
                <w:webHidden/>
              </w:rPr>
              <w:fldChar w:fldCharType="separate"/>
            </w:r>
            <w:r>
              <w:rPr>
                <w:noProof/>
                <w:webHidden/>
              </w:rPr>
              <w:t>10</w:t>
            </w:r>
            <w:r>
              <w:rPr>
                <w:noProof/>
                <w:webHidden/>
              </w:rPr>
              <w:fldChar w:fldCharType="end"/>
            </w:r>
          </w:hyperlink>
        </w:p>
        <w:p w14:paraId="34600691" w14:textId="164000B0" w:rsidR="00340791" w:rsidRDefault="00340791">
          <w:pPr>
            <w:pStyle w:val="TOC2"/>
            <w:tabs>
              <w:tab w:val="right" w:leader="dot" w:pos="9016"/>
            </w:tabs>
            <w:rPr>
              <w:rFonts w:eastAsiaTheme="minorEastAsia"/>
              <w:b w:val="0"/>
              <w:bCs w:val="0"/>
              <w:noProof/>
              <w:sz w:val="24"/>
              <w:szCs w:val="24"/>
              <w:lang w:eastAsia="en-GB"/>
            </w:rPr>
          </w:pPr>
          <w:hyperlink w:anchor="_Toc197736844" w:history="1">
            <w:r w:rsidRPr="00372367">
              <w:rPr>
                <w:rStyle w:val="Hyperlink"/>
                <w:noProof/>
              </w:rPr>
              <w:t>2.2 Data Source and Context</w:t>
            </w:r>
            <w:r>
              <w:rPr>
                <w:noProof/>
                <w:webHidden/>
              </w:rPr>
              <w:tab/>
            </w:r>
            <w:r>
              <w:rPr>
                <w:noProof/>
                <w:webHidden/>
              </w:rPr>
              <w:fldChar w:fldCharType="begin"/>
            </w:r>
            <w:r>
              <w:rPr>
                <w:noProof/>
                <w:webHidden/>
              </w:rPr>
              <w:instrText xml:space="preserve"> PAGEREF _Toc197736844 \h </w:instrText>
            </w:r>
            <w:r>
              <w:rPr>
                <w:noProof/>
                <w:webHidden/>
              </w:rPr>
            </w:r>
            <w:r>
              <w:rPr>
                <w:noProof/>
                <w:webHidden/>
              </w:rPr>
              <w:fldChar w:fldCharType="separate"/>
            </w:r>
            <w:r>
              <w:rPr>
                <w:noProof/>
                <w:webHidden/>
              </w:rPr>
              <w:t>10</w:t>
            </w:r>
            <w:r>
              <w:rPr>
                <w:noProof/>
                <w:webHidden/>
              </w:rPr>
              <w:fldChar w:fldCharType="end"/>
            </w:r>
          </w:hyperlink>
        </w:p>
        <w:p w14:paraId="62E8B015" w14:textId="781C0996" w:rsidR="00340791" w:rsidRDefault="00340791">
          <w:pPr>
            <w:pStyle w:val="TOC2"/>
            <w:tabs>
              <w:tab w:val="right" w:leader="dot" w:pos="9016"/>
            </w:tabs>
            <w:rPr>
              <w:rFonts w:eastAsiaTheme="minorEastAsia"/>
              <w:b w:val="0"/>
              <w:bCs w:val="0"/>
              <w:noProof/>
              <w:sz w:val="24"/>
              <w:szCs w:val="24"/>
              <w:lang w:eastAsia="en-GB"/>
            </w:rPr>
          </w:pPr>
          <w:hyperlink w:anchor="_Toc197736845" w:history="1">
            <w:r w:rsidRPr="00372367">
              <w:rPr>
                <w:rStyle w:val="Hyperlink"/>
                <w:noProof/>
              </w:rPr>
              <w:t>2.3 Use of Secondary Data</w:t>
            </w:r>
            <w:r>
              <w:rPr>
                <w:noProof/>
                <w:webHidden/>
              </w:rPr>
              <w:tab/>
            </w:r>
            <w:r>
              <w:rPr>
                <w:noProof/>
                <w:webHidden/>
              </w:rPr>
              <w:fldChar w:fldCharType="begin"/>
            </w:r>
            <w:r>
              <w:rPr>
                <w:noProof/>
                <w:webHidden/>
              </w:rPr>
              <w:instrText xml:space="preserve"> PAGEREF _Toc197736845 \h </w:instrText>
            </w:r>
            <w:r>
              <w:rPr>
                <w:noProof/>
                <w:webHidden/>
              </w:rPr>
            </w:r>
            <w:r>
              <w:rPr>
                <w:noProof/>
                <w:webHidden/>
              </w:rPr>
              <w:fldChar w:fldCharType="separate"/>
            </w:r>
            <w:r>
              <w:rPr>
                <w:noProof/>
                <w:webHidden/>
              </w:rPr>
              <w:t>11</w:t>
            </w:r>
            <w:r>
              <w:rPr>
                <w:noProof/>
                <w:webHidden/>
              </w:rPr>
              <w:fldChar w:fldCharType="end"/>
            </w:r>
          </w:hyperlink>
        </w:p>
        <w:p w14:paraId="13B7F371" w14:textId="15DA62DF" w:rsidR="00340791" w:rsidRDefault="00340791">
          <w:pPr>
            <w:pStyle w:val="TOC2"/>
            <w:tabs>
              <w:tab w:val="right" w:leader="dot" w:pos="9016"/>
            </w:tabs>
            <w:rPr>
              <w:rFonts w:eastAsiaTheme="minorEastAsia"/>
              <w:b w:val="0"/>
              <w:bCs w:val="0"/>
              <w:noProof/>
              <w:sz w:val="24"/>
              <w:szCs w:val="24"/>
              <w:lang w:eastAsia="en-GB"/>
            </w:rPr>
          </w:pPr>
          <w:hyperlink w:anchor="_Toc197736846" w:history="1">
            <w:r w:rsidRPr="00372367">
              <w:rPr>
                <w:rStyle w:val="Hyperlink"/>
                <w:noProof/>
              </w:rPr>
              <w:t>2.4 Variables and Definitions</w:t>
            </w:r>
            <w:r>
              <w:rPr>
                <w:noProof/>
                <w:webHidden/>
              </w:rPr>
              <w:tab/>
            </w:r>
            <w:r>
              <w:rPr>
                <w:noProof/>
                <w:webHidden/>
              </w:rPr>
              <w:fldChar w:fldCharType="begin"/>
            </w:r>
            <w:r>
              <w:rPr>
                <w:noProof/>
                <w:webHidden/>
              </w:rPr>
              <w:instrText xml:space="preserve"> PAGEREF _Toc197736846 \h </w:instrText>
            </w:r>
            <w:r>
              <w:rPr>
                <w:noProof/>
                <w:webHidden/>
              </w:rPr>
            </w:r>
            <w:r>
              <w:rPr>
                <w:noProof/>
                <w:webHidden/>
              </w:rPr>
              <w:fldChar w:fldCharType="separate"/>
            </w:r>
            <w:r>
              <w:rPr>
                <w:noProof/>
                <w:webHidden/>
              </w:rPr>
              <w:t>11</w:t>
            </w:r>
            <w:r>
              <w:rPr>
                <w:noProof/>
                <w:webHidden/>
              </w:rPr>
              <w:fldChar w:fldCharType="end"/>
            </w:r>
          </w:hyperlink>
        </w:p>
        <w:p w14:paraId="1302F96A" w14:textId="17D92DCD" w:rsidR="00340791" w:rsidRDefault="00340791">
          <w:pPr>
            <w:pStyle w:val="TOC2"/>
            <w:tabs>
              <w:tab w:val="right" w:leader="dot" w:pos="9016"/>
            </w:tabs>
            <w:rPr>
              <w:rFonts w:eastAsiaTheme="minorEastAsia"/>
              <w:b w:val="0"/>
              <w:bCs w:val="0"/>
              <w:noProof/>
              <w:sz w:val="24"/>
              <w:szCs w:val="24"/>
              <w:lang w:eastAsia="en-GB"/>
            </w:rPr>
          </w:pPr>
          <w:hyperlink w:anchor="_Toc197736847" w:history="1">
            <w:r w:rsidRPr="00372367">
              <w:rPr>
                <w:rStyle w:val="Hyperlink"/>
                <w:noProof/>
              </w:rPr>
              <w:t>2.5 Data Cleaning and Preparation</w:t>
            </w:r>
            <w:r>
              <w:rPr>
                <w:noProof/>
                <w:webHidden/>
              </w:rPr>
              <w:tab/>
            </w:r>
            <w:r>
              <w:rPr>
                <w:noProof/>
                <w:webHidden/>
              </w:rPr>
              <w:fldChar w:fldCharType="begin"/>
            </w:r>
            <w:r>
              <w:rPr>
                <w:noProof/>
                <w:webHidden/>
              </w:rPr>
              <w:instrText xml:space="preserve"> PAGEREF _Toc197736847 \h </w:instrText>
            </w:r>
            <w:r>
              <w:rPr>
                <w:noProof/>
                <w:webHidden/>
              </w:rPr>
            </w:r>
            <w:r>
              <w:rPr>
                <w:noProof/>
                <w:webHidden/>
              </w:rPr>
              <w:fldChar w:fldCharType="separate"/>
            </w:r>
            <w:r>
              <w:rPr>
                <w:noProof/>
                <w:webHidden/>
              </w:rPr>
              <w:t>12</w:t>
            </w:r>
            <w:r>
              <w:rPr>
                <w:noProof/>
                <w:webHidden/>
              </w:rPr>
              <w:fldChar w:fldCharType="end"/>
            </w:r>
          </w:hyperlink>
        </w:p>
        <w:p w14:paraId="7427164B" w14:textId="6110156A" w:rsidR="00340791" w:rsidRDefault="00340791">
          <w:pPr>
            <w:pStyle w:val="TOC2"/>
            <w:tabs>
              <w:tab w:val="right" w:leader="dot" w:pos="9016"/>
            </w:tabs>
            <w:rPr>
              <w:rFonts w:eastAsiaTheme="minorEastAsia"/>
              <w:b w:val="0"/>
              <w:bCs w:val="0"/>
              <w:noProof/>
              <w:sz w:val="24"/>
              <w:szCs w:val="24"/>
              <w:lang w:eastAsia="en-GB"/>
            </w:rPr>
          </w:pPr>
          <w:hyperlink w:anchor="_Toc197736848" w:history="1">
            <w:r w:rsidRPr="00372367">
              <w:rPr>
                <w:rStyle w:val="Hyperlink"/>
                <w:noProof/>
              </w:rPr>
              <w:t>2.6 Statistical Analysis</w:t>
            </w:r>
            <w:r>
              <w:rPr>
                <w:noProof/>
                <w:webHidden/>
              </w:rPr>
              <w:tab/>
            </w:r>
            <w:r>
              <w:rPr>
                <w:noProof/>
                <w:webHidden/>
              </w:rPr>
              <w:fldChar w:fldCharType="begin"/>
            </w:r>
            <w:r>
              <w:rPr>
                <w:noProof/>
                <w:webHidden/>
              </w:rPr>
              <w:instrText xml:space="preserve"> PAGEREF _Toc197736848 \h </w:instrText>
            </w:r>
            <w:r>
              <w:rPr>
                <w:noProof/>
                <w:webHidden/>
              </w:rPr>
            </w:r>
            <w:r>
              <w:rPr>
                <w:noProof/>
                <w:webHidden/>
              </w:rPr>
              <w:fldChar w:fldCharType="separate"/>
            </w:r>
            <w:r>
              <w:rPr>
                <w:noProof/>
                <w:webHidden/>
              </w:rPr>
              <w:t>12</w:t>
            </w:r>
            <w:r>
              <w:rPr>
                <w:noProof/>
                <w:webHidden/>
              </w:rPr>
              <w:fldChar w:fldCharType="end"/>
            </w:r>
          </w:hyperlink>
        </w:p>
        <w:p w14:paraId="1A8F43B1" w14:textId="699D8DD0" w:rsidR="00340791" w:rsidRDefault="00340791">
          <w:pPr>
            <w:pStyle w:val="TOC2"/>
            <w:tabs>
              <w:tab w:val="right" w:leader="dot" w:pos="9016"/>
            </w:tabs>
            <w:rPr>
              <w:rFonts w:eastAsiaTheme="minorEastAsia"/>
              <w:b w:val="0"/>
              <w:bCs w:val="0"/>
              <w:noProof/>
              <w:sz w:val="24"/>
              <w:szCs w:val="24"/>
              <w:lang w:eastAsia="en-GB"/>
            </w:rPr>
          </w:pPr>
          <w:hyperlink w:anchor="_Toc197736849" w:history="1">
            <w:r w:rsidRPr="00372367">
              <w:rPr>
                <w:rStyle w:val="Hyperlink"/>
                <w:noProof/>
              </w:rPr>
              <w:t>2.7 Ethical Considerations</w:t>
            </w:r>
            <w:r>
              <w:rPr>
                <w:noProof/>
                <w:webHidden/>
              </w:rPr>
              <w:tab/>
            </w:r>
            <w:r>
              <w:rPr>
                <w:noProof/>
                <w:webHidden/>
              </w:rPr>
              <w:fldChar w:fldCharType="begin"/>
            </w:r>
            <w:r>
              <w:rPr>
                <w:noProof/>
                <w:webHidden/>
              </w:rPr>
              <w:instrText xml:space="preserve"> PAGEREF _Toc197736849 \h </w:instrText>
            </w:r>
            <w:r>
              <w:rPr>
                <w:noProof/>
                <w:webHidden/>
              </w:rPr>
            </w:r>
            <w:r>
              <w:rPr>
                <w:noProof/>
                <w:webHidden/>
              </w:rPr>
              <w:fldChar w:fldCharType="separate"/>
            </w:r>
            <w:r>
              <w:rPr>
                <w:noProof/>
                <w:webHidden/>
              </w:rPr>
              <w:t>13</w:t>
            </w:r>
            <w:r>
              <w:rPr>
                <w:noProof/>
                <w:webHidden/>
              </w:rPr>
              <w:fldChar w:fldCharType="end"/>
            </w:r>
          </w:hyperlink>
        </w:p>
        <w:p w14:paraId="0524AE4D" w14:textId="5F9526F2" w:rsidR="00340791" w:rsidRDefault="00340791">
          <w:pPr>
            <w:pStyle w:val="TOC2"/>
            <w:tabs>
              <w:tab w:val="right" w:leader="dot" w:pos="9016"/>
            </w:tabs>
            <w:rPr>
              <w:rFonts w:eastAsiaTheme="minorEastAsia"/>
              <w:b w:val="0"/>
              <w:bCs w:val="0"/>
              <w:noProof/>
              <w:sz w:val="24"/>
              <w:szCs w:val="24"/>
              <w:lang w:eastAsia="en-GB"/>
            </w:rPr>
          </w:pPr>
          <w:hyperlink w:anchor="_Toc197736850" w:history="1">
            <w:r w:rsidRPr="00372367">
              <w:rPr>
                <w:rStyle w:val="Hyperlink"/>
                <w:noProof/>
              </w:rPr>
              <w:t>2.8 Limitations</w:t>
            </w:r>
            <w:r>
              <w:rPr>
                <w:noProof/>
                <w:webHidden/>
              </w:rPr>
              <w:tab/>
            </w:r>
            <w:r>
              <w:rPr>
                <w:noProof/>
                <w:webHidden/>
              </w:rPr>
              <w:fldChar w:fldCharType="begin"/>
            </w:r>
            <w:r>
              <w:rPr>
                <w:noProof/>
                <w:webHidden/>
              </w:rPr>
              <w:instrText xml:space="preserve"> PAGEREF _Toc197736850 \h </w:instrText>
            </w:r>
            <w:r>
              <w:rPr>
                <w:noProof/>
                <w:webHidden/>
              </w:rPr>
            </w:r>
            <w:r>
              <w:rPr>
                <w:noProof/>
                <w:webHidden/>
              </w:rPr>
              <w:fldChar w:fldCharType="separate"/>
            </w:r>
            <w:r>
              <w:rPr>
                <w:noProof/>
                <w:webHidden/>
              </w:rPr>
              <w:t>13</w:t>
            </w:r>
            <w:r>
              <w:rPr>
                <w:noProof/>
                <w:webHidden/>
              </w:rPr>
              <w:fldChar w:fldCharType="end"/>
            </w:r>
          </w:hyperlink>
        </w:p>
        <w:p w14:paraId="6B3F8102" w14:textId="1FB6EA33" w:rsidR="00340791" w:rsidRDefault="00340791">
          <w:pPr>
            <w:pStyle w:val="TOC1"/>
            <w:tabs>
              <w:tab w:val="right" w:leader="dot" w:pos="9016"/>
            </w:tabs>
            <w:rPr>
              <w:rFonts w:eastAsiaTheme="minorEastAsia"/>
              <w:b w:val="0"/>
              <w:bCs w:val="0"/>
              <w:i w:val="0"/>
              <w:iCs w:val="0"/>
              <w:noProof/>
              <w:lang w:eastAsia="en-GB"/>
            </w:rPr>
          </w:pPr>
          <w:hyperlink w:anchor="_Toc197736851" w:history="1">
            <w:r w:rsidRPr="00372367">
              <w:rPr>
                <w:rStyle w:val="Hyperlink"/>
                <w:noProof/>
              </w:rPr>
              <w:t>3 Results</w:t>
            </w:r>
            <w:r>
              <w:rPr>
                <w:noProof/>
                <w:webHidden/>
              </w:rPr>
              <w:tab/>
            </w:r>
            <w:r>
              <w:rPr>
                <w:noProof/>
                <w:webHidden/>
              </w:rPr>
              <w:fldChar w:fldCharType="begin"/>
            </w:r>
            <w:r>
              <w:rPr>
                <w:noProof/>
                <w:webHidden/>
              </w:rPr>
              <w:instrText xml:space="preserve"> PAGEREF _Toc197736851 \h </w:instrText>
            </w:r>
            <w:r>
              <w:rPr>
                <w:noProof/>
                <w:webHidden/>
              </w:rPr>
            </w:r>
            <w:r>
              <w:rPr>
                <w:noProof/>
                <w:webHidden/>
              </w:rPr>
              <w:fldChar w:fldCharType="separate"/>
            </w:r>
            <w:r>
              <w:rPr>
                <w:noProof/>
                <w:webHidden/>
              </w:rPr>
              <w:t>13</w:t>
            </w:r>
            <w:r>
              <w:rPr>
                <w:noProof/>
                <w:webHidden/>
              </w:rPr>
              <w:fldChar w:fldCharType="end"/>
            </w:r>
          </w:hyperlink>
        </w:p>
        <w:p w14:paraId="7E451D0A" w14:textId="5C3AEC84" w:rsidR="00340791" w:rsidRDefault="00340791">
          <w:pPr>
            <w:pStyle w:val="TOC2"/>
            <w:tabs>
              <w:tab w:val="right" w:leader="dot" w:pos="9016"/>
            </w:tabs>
            <w:rPr>
              <w:rFonts w:eastAsiaTheme="minorEastAsia"/>
              <w:b w:val="0"/>
              <w:bCs w:val="0"/>
              <w:noProof/>
              <w:sz w:val="24"/>
              <w:szCs w:val="24"/>
              <w:lang w:eastAsia="en-GB"/>
            </w:rPr>
          </w:pPr>
          <w:hyperlink w:anchor="_Toc197736852" w:history="1">
            <w:r w:rsidRPr="00372367">
              <w:rPr>
                <w:rStyle w:val="Hyperlink"/>
                <w:noProof/>
              </w:rPr>
              <w:t>3.1 Introduction to Workforce Challenges</w:t>
            </w:r>
            <w:r>
              <w:rPr>
                <w:noProof/>
                <w:webHidden/>
              </w:rPr>
              <w:tab/>
            </w:r>
            <w:r>
              <w:rPr>
                <w:noProof/>
                <w:webHidden/>
              </w:rPr>
              <w:fldChar w:fldCharType="begin"/>
            </w:r>
            <w:r>
              <w:rPr>
                <w:noProof/>
                <w:webHidden/>
              </w:rPr>
              <w:instrText xml:space="preserve"> PAGEREF _Toc197736852 \h </w:instrText>
            </w:r>
            <w:r>
              <w:rPr>
                <w:noProof/>
                <w:webHidden/>
              </w:rPr>
            </w:r>
            <w:r>
              <w:rPr>
                <w:noProof/>
                <w:webHidden/>
              </w:rPr>
              <w:fldChar w:fldCharType="separate"/>
            </w:r>
            <w:r>
              <w:rPr>
                <w:noProof/>
                <w:webHidden/>
              </w:rPr>
              <w:t>13</w:t>
            </w:r>
            <w:r>
              <w:rPr>
                <w:noProof/>
                <w:webHidden/>
              </w:rPr>
              <w:fldChar w:fldCharType="end"/>
            </w:r>
          </w:hyperlink>
        </w:p>
        <w:p w14:paraId="3C77F774" w14:textId="6BB29285" w:rsidR="00340791" w:rsidRDefault="00340791">
          <w:pPr>
            <w:pStyle w:val="TOC2"/>
            <w:tabs>
              <w:tab w:val="right" w:leader="dot" w:pos="9016"/>
            </w:tabs>
            <w:rPr>
              <w:rFonts w:eastAsiaTheme="minorEastAsia"/>
              <w:b w:val="0"/>
              <w:bCs w:val="0"/>
              <w:noProof/>
              <w:sz w:val="24"/>
              <w:szCs w:val="24"/>
              <w:lang w:eastAsia="en-GB"/>
            </w:rPr>
          </w:pPr>
          <w:hyperlink w:anchor="_Toc197736853" w:history="1">
            <w:r w:rsidRPr="00372367">
              <w:rPr>
                <w:rStyle w:val="Hyperlink"/>
                <w:noProof/>
              </w:rPr>
              <w:t>3.2 Staff Retention: A Sector-Wide Challenge</w:t>
            </w:r>
            <w:r>
              <w:rPr>
                <w:noProof/>
                <w:webHidden/>
              </w:rPr>
              <w:tab/>
            </w:r>
            <w:r>
              <w:rPr>
                <w:noProof/>
                <w:webHidden/>
              </w:rPr>
              <w:fldChar w:fldCharType="begin"/>
            </w:r>
            <w:r>
              <w:rPr>
                <w:noProof/>
                <w:webHidden/>
              </w:rPr>
              <w:instrText xml:space="preserve"> PAGEREF _Toc197736853 \h </w:instrText>
            </w:r>
            <w:r>
              <w:rPr>
                <w:noProof/>
                <w:webHidden/>
              </w:rPr>
            </w:r>
            <w:r>
              <w:rPr>
                <w:noProof/>
                <w:webHidden/>
              </w:rPr>
              <w:fldChar w:fldCharType="separate"/>
            </w:r>
            <w:r>
              <w:rPr>
                <w:noProof/>
                <w:webHidden/>
              </w:rPr>
              <w:t>14</w:t>
            </w:r>
            <w:r>
              <w:rPr>
                <w:noProof/>
                <w:webHidden/>
              </w:rPr>
              <w:fldChar w:fldCharType="end"/>
            </w:r>
          </w:hyperlink>
        </w:p>
        <w:p w14:paraId="615CE97E" w14:textId="5E84F47D" w:rsidR="00340791" w:rsidRDefault="00340791">
          <w:pPr>
            <w:pStyle w:val="TOC3"/>
            <w:tabs>
              <w:tab w:val="right" w:leader="dot" w:pos="9016"/>
            </w:tabs>
            <w:rPr>
              <w:rFonts w:eastAsiaTheme="minorEastAsia"/>
              <w:noProof/>
              <w:sz w:val="24"/>
              <w:szCs w:val="24"/>
              <w:lang w:eastAsia="en-GB"/>
            </w:rPr>
          </w:pPr>
          <w:hyperlink w:anchor="_Toc197736854" w:history="1">
            <w:r w:rsidRPr="00372367">
              <w:rPr>
                <w:rStyle w:val="Hyperlink"/>
                <w:noProof/>
              </w:rPr>
              <w:t>3.2.1 National Trends</w:t>
            </w:r>
            <w:r>
              <w:rPr>
                <w:noProof/>
                <w:webHidden/>
              </w:rPr>
              <w:tab/>
            </w:r>
            <w:r>
              <w:rPr>
                <w:noProof/>
                <w:webHidden/>
              </w:rPr>
              <w:fldChar w:fldCharType="begin"/>
            </w:r>
            <w:r>
              <w:rPr>
                <w:noProof/>
                <w:webHidden/>
              </w:rPr>
              <w:instrText xml:space="preserve"> PAGEREF _Toc197736854 \h </w:instrText>
            </w:r>
            <w:r>
              <w:rPr>
                <w:noProof/>
                <w:webHidden/>
              </w:rPr>
            </w:r>
            <w:r>
              <w:rPr>
                <w:noProof/>
                <w:webHidden/>
              </w:rPr>
              <w:fldChar w:fldCharType="separate"/>
            </w:r>
            <w:r>
              <w:rPr>
                <w:noProof/>
                <w:webHidden/>
              </w:rPr>
              <w:t>14</w:t>
            </w:r>
            <w:r>
              <w:rPr>
                <w:noProof/>
                <w:webHidden/>
              </w:rPr>
              <w:fldChar w:fldCharType="end"/>
            </w:r>
          </w:hyperlink>
        </w:p>
        <w:p w14:paraId="44766422" w14:textId="6640321A" w:rsidR="00340791" w:rsidRDefault="00340791">
          <w:pPr>
            <w:pStyle w:val="TOC3"/>
            <w:tabs>
              <w:tab w:val="right" w:leader="dot" w:pos="9016"/>
            </w:tabs>
            <w:rPr>
              <w:rFonts w:eastAsiaTheme="minorEastAsia"/>
              <w:noProof/>
              <w:sz w:val="24"/>
              <w:szCs w:val="24"/>
              <w:lang w:eastAsia="en-GB"/>
            </w:rPr>
          </w:pPr>
          <w:hyperlink w:anchor="_Toc197736855" w:history="1">
            <w:r w:rsidRPr="00372367">
              <w:rPr>
                <w:rStyle w:val="Hyperlink"/>
                <w:noProof/>
              </w:rPr>
              <w:t>3.2.2 Retention Challenges by Setting</w:t>
            </w:r>
            <w:r>
              <w:rPr>
                <w:noProof/>
                <w:webHidden/>
              </w:rPr>
              <w:tab/>
            </w:r>
            <w:r>
              <w:rPr>
                <w:noProof/>
                <w:webHidden/>
              </w:rPr>
              <w:fldChar w:fldCharType="begin"/>
            </w:r>
            <w:r>
              <w:rPr>
                <w:noProof/>
                <w:webHidden/>
              </w:rPr>
              <w:instrText xml:space="preserve"> PAGEREF _Toc197736855 \h </w:instrText>
            </w:r>
            <w:r>
              <w:rPr>
                <w:noProof/>
                <w:webHidden/>
              </w:rPr>
            </w:r>
            <w:r>
              <w:rPr>
                <w:noProof/>
                <w:webHidden/>
              </w:rPr>
              <w:fldChar w:fldCharType="separate"/>
            </w:r>
            <w:r>
              <w:rPr>
                <w:noProof/>
                <w:webHidden/>
              </w:rPr>
              <w:t>15</w:t>
            </w:r>
            <w:r>
              <w:rPr>
                <w:noProof/>
                <w:webHidden/>
              </w:rPr>
              <w:fldChar w:fldCharType="end"/>
            </w:r>
          </w:hyperlink>
        </w:p>
        <w:p w14:paraId="0CEC52A2" w14:textId="310228FD" w:rsidR="00340791" w:rsidRDefault="00340791">
          <w:pPr>
            <w:pStyle w:val="TOC3"/>
            <w:tabs>
              <w:tab w:val="right" w:leader="dot" w:pos="9016"/>
            </w:tabs>
            <w:rPr>
              <w:rFonts w:eastAsiaTheme="minorEastAsia"/>
              <w:noProof/>
              <w:sz w:val="24"/>
              <w:szCs w:val="24"/>
              <w:lang w:eastAsia="en-GB"/>
            </w:rPr>
          </w:pPr>
          <w:hyperlink w:anchor="_Toc197736856" w:history="1">
            <w:r w:rsidRPr="00372367">
              <w:rPr>
                <w:rStyle w:val="Hyperlink"/>
                <w:noProof/>
              </w:rPr>
              <w:t>3.2.3 Retention Challenges by Region</w:t>
            </w:r>
            <w:r>
              <w:rPr>
                <w:noProof/>
                <w:webHidden/>
              </w:rPr>
              <w:tab/>
            </w:r>
            <w:r>
              <w:rPr>
                <w:noProof/>
                <w:webHidden/>
              </w:rPr>
              <w:fldChar w:fldCharType="begin"/>
            </w:r>
            <w:r>
              <w:rPr>
                <w:noProof/>
                <w:webHidden/>
              </w:rPr>
              <w:instrText xml:space="preserve"> PAGEREF _Toc197736856 \h </w:instrText>
            </w:r>
            <w:r>
              <w:rPr>
                <w:noProof/>
                <w:webHidden/>
              </w:rPr>
            </w:r>
            <w:r>
              <w:rPr>
                <w:noProof/>
                <w:webHidden/>
              </w:rPr>
              <w:fldChar w:fldCharType="separate"/>
            </w:r>
            <w:r>
              <w:rPr>
                <w:noProof/>
                <w:webHidden/>
              </w:rPr>
              <w:t>15</w:t>
            </w:r>
            <w:r>
              <w:rPr>
                <w:noProof/>
                <w:webHidden/>
              </w:rPr>
              <w:fldChar w:fldCharType="end"/>
            </w:r>
          </w:hyperlink>
        </w:p>
        <w:p w14:paraId="612AC201" w14:textId="003E6990" w:rsidR="00340791" w:rsidRDefault="00340791">
          <w:pPr>
            <w:pStyle w:val="TOC3"/>
            <w:tabs>
              <w:tab w:val="right" w:leader="dot" w:pos="9016"/>
            </w:tabs>
            <w:rPr>
              <w:rFonts w:eastAsiaTheme="minorEastAsia"/>
              <w:noProof/>
              <w:sz w:val="24"/>
              <w:szCs w:val="24"/>
              <w:lang w:eastAsia="en-GB"/>
            </w:rPr>
          </w:pPr>
          <w:hyperlink w:anchor="_Toc197736857" w:history="1">
            <w:r w:rsidRPr="00372367">
              <w:rPr>
                <w:rStyle w:val="Hyperlink"/>
                <w:noProof/>
              </w:rPr>
              <w:t>3.2.4 Reasons for Staff Turnover</w:t>
            </w:r>
            <w:r>
              <w:rPr>
                <w:noProof/>
                <w:webHidden/>
              </w:rPr>
              <w:tab/>
            </w:r>
            <w:r>
              <w:rPr>
                <w:noProof/>
                <w:webHidden/>
              </w:rPr>
              <w:fldChar w:fldCharType="begin"/>
            </w:r>
            <w:r>
              <w:rPr>
                <w:noProof/>
                <w:webHidden/>
              </w:rPr>
              <w:instrText xml:space="preserve"> PAGEREF _Toc197736857 \h </w:instrText>
            </w:r>
            <w:r>
              <w:rPr>
                <w:noProof/>
                <w:webHidden/>
              </w:rPr>
            </w:r>
            <w:r>
              <w:rPr>
                <w:noProof/>
                <w:webHidden/>
              </w:rPr>
              <w:fldChar w:fldCharType="separate"/>
            </w:r>
            <w:r>
              <w:rPr>
                <w:noProof/>
                <w:webHidden/>
              </w:rPr>
              <w:t>16</w:t>
            </w:r>
            <w:r>
              <w:rPr>
                <w:noProof/>
                <w:webHidden/>
              </w:rPr>
              <w:fldChar w:fldCharType="end"/>
            </w:r>
          </w:hyperlink>
        </w:p>
        <w:p w14:paraId="40618032" w14:textId="17A66B64" w:rsidR="00340791" w:rsidRDefault="00340791">
          <w:pPr>
            <w:pStyle w:val="TOC2"/>
            <w:tabs>
              <w:tab w:val="right" w:leader="dot" w:pos="9016"/>
            </w:tabs>
            <w:rPr>
              <w:rFonts w:eastAsiaTheme="minorEastAsia"/>
              <w:b w:val="0"/>
              <w:bCs w:val="0"/>
              <w:noProof/>
              <w:sz w:val="24"/>
              <w:szCs w:val="24"/>
              <w:lang w:eastAsia="en-GB"/>
            </w:rPr>
          </w:pPr>
          <w:hyperlink w:anchor="_Toc197736858" w:history="1">
            <w:r w:rsidRPr="00372367">
              <w:rPr>
                <w:rStyle w:val="Hyperlink"/>
                <w:noProof/>
              </w:rPr>
              <w:t>3.3 Recruitment: The Most Pressing Workforce Concern</w:t>
            </w:r>
            <w:r>
              <w:rPr>
                <w:noProof/>
                <w:webHidden/>
              </w:rPr>
              <w:tab/>
            </w:r>
            <w:r>
              <w:rPr>
                <w:noProof/>
                <w:webHidden/>
              </w:rPr>
              <w:fldChar w:fldCharType="begin"/>
            </w:r>
            <w:r>
              <w:rPr>
                <w:noProof/>
                <w:webHidden/>
              </w:rPr>
              <w:instrText xml:space="preserve"> PAGEREF _Toc197736858 \h </w:instrText>
            </w:r>
            <w:r>
              <w:rPr>
                <w:noProof/>
                <w:webHidden/>
              </w:rPr>
            </w:r>
            <w:r>
              <w:rPr>
                <w:noProof/>
                <w:webHidden/>
              </w:rPr>
              <w:fldChar w:fldCharType="separate"/>
            </w:r>
            <w:r>
              <w:rPr>
                <w:noProof/>
                <w:webHidden/>
              </w:rPr>
              <w:t>17</w:t>
            </w:r>
            <w:r>
              <w:rPr>
                <w:noProof/>
                <w:webHidden/>
              </w:rPr>
              <w:fldChar w:fldCharType="end"/>
            </w:r>
          </w:hyperlink>
        </w:p>
        <w:p w14:paraId="777FE437" w14:textId="57080E3A" w:rsidR="00340791" w:rsidRDefault="00340791">
          <w:pPr>
            <w:pStyle w:val="TOC3"/>
            <w:tabs>
              <w:tab w:val="right" w:leader="dot" w:pos="9016"/>
            </w:tabs>
            <w:rPr>
              <w:rFonts w:eastAsiaTheme="minorEastAsia"/>
              <w:noProof/>
              <w:sz w:val="24"/>
              <w:szCs w:val="24"/>
              <w:lang w:eastAsia="en-GB"/>
            </w:rPr>
          </w:pPr>
          <w:hyperlink w:anchor="_Toc197736859" w:history="1">
            <w:r w:rsidRPr="00372367">
              <w:rPr>
                <w:rStyle w:val="Hyperlink"/>
                <w:noProof/>
              </w:rPr>
              <w:t>3.3.1 General Findings</w:t>
            </w:r>
            <w:r>
              <w:rPr>
                <w:noProof/>
                <w:webHidden/>
              </w:rPr>
              <w:tab/>
            </w:r>
            <w:r>
              <w:rPr>
                <w:noProof/>
                <w:webHidden/>
              </w:rPr>
              <w:fldChar w:fldCharType="begin"/>
            </w:r>
            <w:r>
              <w:rPr>
                <w:noProof/>
                <w:webHidden/>
              </w:rPr>
              <w:instrText xml:space="preserve"> PAGEREF _Toc197736859 \h </w:instrText>
            </w:r>
            <w:r>
              <w:rPr>
                <w:noProof/>
                <w:webHidden/>
              </w:rPr>
            </w:r>
            <w:r>
              <w:rPr>
                <w:noProof/>
                <w:webHidden/>
              </w:rPr>
              <w:fldChar w:fldCharType="separate"/>
            </w:r>
            <w:r>
              <w:rPr>
                <w:noProof/>
                <w:webHidden/>
              </w:rPr>
              <w:t>17</w:t>
            </w:r>
            <w:r>
              <w:rPr>
                <w:noProof/>
                <w:webHidden/>
              </w:rPr>
              <w:fldChar w:fldCharType="end"/>
            </w:r>
          </w:hyperlink>
        </w:p>
        <w:p w14:paraId="0062FAF6" w14:textId="124045FB" w:rsidR="00340791" w:rsidRDefault="00340791">
          <w:pPr>
            <w:pStyle w:val="TOC3"/>
            <w:tabs>
              <w:tab w:val="right" w:leader="dot" w:pos="9016"/>
            </w:tabs>
            <w:rPr>
              <w:rFonts w:eastAsiaTheme="minorEastAsia"/>
              <w:noProof/>
              <w:sz w:val="24"/>
              <w:szCs w:val="24"/>
              <w:lang w:eastAsia="en-GB"/>
            </w:rPr>
          </w:pPr>
          <w:hyperlink w:anchor="_Toc197736860" w:history="1">
            <w:r w:rsidRPr="00372367">
              <w:rPr>
                <w:rStyle w:val="Hyperlink"/>
                <w:noProof/>
              </w:rPr>
              <w:t>3.3.2 Recruitment by Provider Type</w:t>
            </w:r>
            <w:r>
              <w:rPr>
                <w:noProof/>
                <w:webHidden/>
              </w:rPr>
              <w:tab/>
            </w:r>
            <w:r>
              <w:rPr>
                <w:noProof/>
                <w:webHidden/>
              </w:rPr>
              <w:fldChar w:fldCharType="begin"/>
            </w:r>
            <w:r>
              <w:rPr>
                <w:noProof/>
                <w:webHidden/>
              </w:rPr>
              <w:instrText xml:space="preserve"> PAGEREF _Toc197736860 \h </w:instrText>
            </w:r>
            <w:r>
              <w:rPr>
                <w:noProof/>
                <w:webHidden/>
              </w:rPr>
            </w:r>
            <w:r>
              <w:rPr>
                <w:noProof/>
                <w:webHidden/>
              </w:rPr>
              <w:fldChar w:fldCharType="separate"/>
            </w:r>
            <w:r>
              <w:rPr>
                <w:noProof/>
                <w:webHidden/>
              </w:rPr>
              <w:t>17</w:t>
            </w:r>
            <w:r>
              <w:rPr>
                <w:noProof/>
                <w:webHidden/>
              </w:rPr>
              <w:fldChar w:fldCharType="end"/>
            </w:r>
          </w:hyperlink>
        </w:p>
        <w:p w14:paraId="70424EE9" w14:textId="2D444B2E" w:rsidR="00340791" w:rsidRDefault="00340791">
          <w:pPr>
            <w:pStyle w:val="TOC3"/>
            <w:tabs>
              <w:tab w:val="right" w:leader="dot" w:pos="9016"/>
            </w:tabs>
            <w:rPr>
              <w:rFonts w:eastAsiaTheme="minorEastAsia"/>
              <w:noProof/>
              <w:sz w:val="24"/>
              <w:szCs w:val="24"/>
              <w:lang w:eastAsia="en-GB"/>
            </w:rPr>
          </w:pPr>
          <w:hyperlink w:anchor="_Toc197736861" w:history="1">
            <w:r w:rsidRPr="00372367">
              <w:rPr>
                <w:rStyle w:val="Hyperlink"/>
                <w:noProof/>
              </w:rPr>
              <w:t>3.3.3 Regional Differences</w:t>
            </w:r>
            <w:r>
              <w:rPr>
                <w:noProof/>
                <w:webHidden/>
              </w:rPr>
              <w:tab/>
            </w:r>
            <w:r>
              <w:rPr>
                <w:noProof/>
                <w:webHidden/>
              </w:rPr>
              <w:fldChar w:fldCharType="begin"/>
            </w:r>
            <w:r>
              <w:rPr>
                <w:noProof/>
                <w:webHidden/>
              </w:rPr>
              <w:instrText xml:space="preserve"> PAGEREF _Toc197736861 \h </w:instrText>
            </w:r>
            <w:r>
              <w:rPr>
                <w:noProof/>
                <w:webHidden/>
              </w:rPr>
            </w:r>
            <w:r>
              <w:rPr>
                <w:noProof/>
                <w:webHidden/>
              </w:rPr>
              <w:fldChar w:fldCharType="separate"/>
            </w:r>
            <w:r>
              <w:rPr>
                <w:noProof/>
                <w:webHidden/>
              </w:rPr>
              <w:t>17</w:t>
            </w:r>
            <w:r>
              <w:rPr>
                <w:noProof/>
                <w:webHidden/>
              </w:rPr>
              <w:fldChar w:fldCharType="end"/>
            </w:r>
          </w:hyperlink>
        </w:p>
        <w:p w14:paraId="3ADA2C8B" w14:textId="71544E92" w:rsidR="00340791" w:rsidRDefault="00340791">
          <w:pPr>
            <w:pStyle w:val="TOC3"/>
            <w:tabs>
              <w:tab w:val="right" w:leader="dot" w:pos="9016"/>
            </w:tabs>
            <w:rPr>
              <w:rFonts w:eastAsiaTheme="minorEastAsia"/>
              <w:noProof/>
              <w:sz w:val="24"/>
              <w:szCs w:val="24"/>
              <w:lang w:eastAsia="en-GB"/>
            </w:rPr>
          </w:pPr>
          <w:hyperlink w:anchor="_Toc197736862" w:history="1">
            <w:r w:rsidRPr="00372367">
              <w:rPr>
                <w:rStyle w:val="Hyperlink"/>
                <w:noProof/>
              </w:rPr>
              <w:t>3.3.4 Declining Volume and Quality of Applications</w:t>
            </w:r>
            <w:r>
              <w:rPr>
                <w:noProof/>
                <w:webHidden/>
              </w:rPr>
              <w:tab/>
            </w:r>
            <w:r>
              <w:rPr>
                <w:noProof/>
                <w:webHidden/>
              </w:rPr>
              <w:fldChar w:fldCharType="begin"/>
            </w:r>
            <w:r>
              <w:rPr>
                <w:noProof/>
                <w:webHidden/>
              </w:rPr>
              <w:instrText xml:space="preserve"> PAGEREF _Toc197736862 \h </w:instrText>
            </w:r>
            <w:r>
              <w:rPr>
                <w:noProof/>
                <w:webHidden/>
              </w:rPr>
            </w:r>
            <w:r>
              <w:rPr>
                <w:noProof/>
                <w:webHidden/>
              </w:rPr>
              <w:fldChar w:fldCharType="separate"/>
            </w:r>
            <w:r>
              <w:rPr>
                <w:noProof/>
                <w:webHidden/>
              </w:rPr>
              <w:t>17</w:t>
            </w:r>
            <w:r>
              <w:rPr>
                <w:noProof/>
                <w:webHidden/>
              </w:rPr>
              <w:fldChar w:fldCharType="end"/>
            </w:r>
          </w:hyperlink>
        </w:p>
        <w:p w14:paraId="5EEBA7F0" w14:textId="52520E81" w:rsidR="00340791" w:rsidRDefault="00340791">
          <w:pPr>
            <w:pStyle w:val="TOC3"/>
            <w:tabs>
              <w:tab w:val="right" w:leader="dot" w:pos="9016"/>
            </w:tabs>
            <w:rPr>
              <w:rFonts w:eastAsiaTheme="minorEastAsia"/>
              <w:noProof/>
              <w:sz w:val="24"/>
              <w:szCs w:val="24"/>
              <w:lang w:eastAsia="en-GB"/>
            </w:rPr>
          </w:pPr>
          <w:hyperlink w:anchor="_Toc197736863" w:history="1">
            <w:r w:rsidRPr="00372367">
              <w:rPr>
                <w:rStyle w:val="Hyperlink"/>
                <w:noProof/>
              </w:rPr>
              <w:t>3.3.5 Roles Most Difficult to Recruit</w:t>
            </w:r>
            <w:r>
              <w:rPr>
                <w:noProof/>
                <w:webHidden/>
              </w:rPr>
              <w:tab/>
            </w:r>
            <w:r>
              <w:rPr>
                <w:noProof/>
                <w:webHidden/>
              </w:rPr>
              <w:fldChar w:fldCharType="begin"/>
            </w:r>
            <w:r>
              <w:rPr>
                <w:noProof/>
                <w:webHidden/>
              </w:rPr>
              <w:instrText xml:space="preserve"> PAGEREF _Toc197736863 \h </w:instrText>
            </w:r>
            <w:r>
              <w:rPr>
                <w:noProof/>
                <w:webHidden/>
              </w:rPr>
            </w:r>
            <w:r>
              <w:rPr>
                <w:noProof/>
                <w:webHidden/>
              </w:rPr>
              <w:fldChar w:fldCharType="separate"/>
            </w:r>
            <w:r>
              <w:rPr>
                <w:noProof/>
                <w:webHidden/>
              </w:rPr>
              <w:t>17</w:t>
            </w:r>
            <w:r>
              <w:rPr>
                <w:noProof/>
                <w:webHidden/>
              </w:rPr>
              <w:fldChar w:fldCharType="end"/>
            </w:r>
          </w:hyperlink>
        </w:p>
        <w:p w14:paraId="11967B0E" w14:textId="4A75D8EB" w:rsidR="00340791" w:rsidRDefault="00340791">
          <w:pPr>
            <w:pStyle w:val="TOC2"/>
            <w:tabs>
              <w:tab w:val="right" w:leader="dot" w:pos="9016"/>
            </w:tabs>
            <w:rPr>
              <w:rFonts w:eastAsiaTheme="minorEastAsia"/>
              <w:b w:val="0"/>
              <w:bCs w:val="0"/>
              <w:noProof/>
              <w:sz w:val="24"/>
              <w:szCs w:val="24"/>
              <w:lang w:eastAsia="en-GB"/>
            </w:rPr>
          </w:pPr>
          <w:hyperlink w:anchor="_Toc197736864" w:history="1">
            <w:r w:rsidRPr="00372367">
              <w:rPr>
                <w:rStyle w:val="Hyperlink"/>
                <w:noProof/>
              </w:rPr>
              <w:t>3.4 Morale and Its Operational Impact</w:t>
            </w:r>
            <w:r>
              <w:rPr>
                <w:noProof/>
                <w:webHidden/>
              </w:rPr>
              <w:tab/>
            </w:r>
            <w:r>
              <w:rPr>
                <w:noProof/>
                <w:webHidden/>
              </w:rPr>
              <w:fldChar w:fldCharType="begin"/>
            </w:r>
            <w:r>
              <w:rPr>
                <w:noProof/>
                <w:webHidden/>
              </w:rPr>
              <w:instrText xml:space="preserve"> PAGEREF _Toc197736864 \h </w:instrText>
            </w:r>
            <w:r>
              <w:rPr>
                <w:noProof/>
                <w:webHidden/>
              </w:rPr>
            </w:r>
            <w:r>
              <w:rPr>
                <w:noProof/>
                <w:webHidden/>
              </w:rPr>
              <w:fldChar w:fldCharType="separate"/>
            </w:r>
            <w:r>
              <w:rPr>
                <w:noProof/>
                <w:webHidden/>
              </w:rPr>
              <w:t>18</w:t>
            </w:r>
            <w:r>
              <w:rPr>
                <w:noProof/>
                <w:webHidden/>
              </w:rPr>
              <w:fldChar w:fldCharType="end"/>
            </w:r>
          </w:hyperlink>
        </w:p>
        <w:p w14:paraId="54FB8BE5" w14:textId="530922D0" w:rsidR="00340791" w:rsidRDefault="00340791">
          <w:pPr>
            <w:pStyle w:val="TOC3"/>
            <w:tabs>
              <w:tab w:val="right" w:leader="dot" w:pos="9016"/>
            </w:tabs>
            <w:rPr>
              <w:rFonts w:eastAsiaTheme="minorEastAsia"/>
              <w:noProof/>
              <w:sz w:val="24"/>
              <w:szCs w:val="24"/>
              <w:lang w:eastAsia="en-GB"/>
            </w:rPr>
          </w:pPr>
          <w:hyperlink w:anchor="_Toc197736865" w:history="1">
            <w:r w:rsidRPr="00372367">
              <w:rPr>
                <w:rStyle w:val="Hyperlink"/>
                <w:noProof/>
              </w:rPr>
              <w:t>3.4.1 Morale as a Workforce Indicator</w:t>
            </w:r>
            <w:r>
              <w:rPr>
                <w:noProof/>
                <w:webHidden/>
              </w:rPr>
              <w:tab/>
            </w:r>
            <w:r>
              <w:rPr>
                <w:noProof/>
                <w:webHidden/>
              </w:rPr>
              <w:fldChar w:fldCharType="begin"/>
            </w:r>
            <w:r>
              <w:rPr>
                <w:noProof/>
                <w:webHidden/>
              </w:rPr>
              <w:instrText xml:space="preserve"> PAGEREF _Toc197736865 \h </w:instrText>
            </w:r>
            <w:r>
              <w:rPr>
                <w:noProof/>
                <w:webHidden/>
              </w:rPr>
            </w:r>
            <w:r>
              <w:rPr>
                <w:noProof/>
                <w:webHidden/>
              </w:rPr>
              <w:fldChar w:fldCharType="separate"/>
            </w:r>
            <w:r>
              <w:rPr>
                <w:noProof/>
                <w:webHidden/>
              </w:rPr>
              <w:t>18</w:t>
            </w:r>
            <w:r>
              <w:rPr>
                <w:noProof/>
                <w:webHidden/>
              </w:rPr>
              <w:fldChar w:fldCharType="end"/>
            </w:r>
          </w:hyperlink>
        </w:p>
        <w:p w14:paraId="5132B8CA" w14:textId="5E14E170" w:rsidR="00340791" w:rsidRDefault="00340791">
          <w:pPr>
            <w:pStyle w:val="TOC3"/>
            <w:tabs>
              <w:tab w:val="right" w:leader="dot" w:pos="9016"/>
            </w:tabs>
            <w:rPr>
              <w:rFonts w:eastAsiaTheme="minorEastAsia"/>
              <w:noProof/>
              <w:sz w:val="24"/>
              <w:szCs w:val="24"/>
              <w:lang w:eastAsia="en-GB"/>
            </w:rPr>
          </w:pPr>
          <w:hyperlink w:anchor="_Toc197736866" w:history="1">
            <w:r w:rsidRPr="00372367">
              <w:rPr>
                <w:rStyle w:val="Hyperlink"/>
                <w:noProof/>
              </w:rPr>
              <w:t>3.4.2 Quantitative Breakdown from Survey Tables</w:t>
            </w:r>
            <w:r>
              <w:rPr>
                <w:noProof/>
                <w:webHidden/>
              </w:rPr>
              <w:tab/>
            </w:r>
            <w:r>
              <w:rPr>
                <w:noProof/>
                <w:webHidden/>
              </w:rPr>
              <w:fldChar w:fldCharType="begin"/>
            </w:r>
            <w:r>
              <w:rPr>
                <w:noProof/>
                <w:webHidden/>
              </w:rPr>
              <w:instrText xml:space="preserve"> PAGEREF _Toc197736866 \h </w:instrText>
            </w:r>
            <w:r>
              <w:rPr>
                <w:noProof/>
                <w:webHidden/>
              </w:rPr>
            </w:r>
            <w:r>
              <w:rPr>
                <w:noProof/>
                <w:webHidden/>
              </w:rPr>
              <w:fldChar w:fldCharType="separate"/>
            </w:r>
            <w:r>
              <w:rPr>
                <w:noProof/>
                <w:webHidden/>
              </w:rPr>
              <w:t>18</w:t>
            </w:r>
            <w:r>
              <w:rPr>
                <w:noProof/>
                <w:webHidden/>
              </w:rPr>
              <w:fldChar w:fldCharType="end"/>
            </w:r>
          </w:hyperlink>
        </w:p>
        <w:p w14:paraId="21E80D1A" w14:textId="0F183C47" w:rsidR="00340791" w:rsidRDefault="00340791">
          <w:pPr>
            <w:pStyle w:val="TOC3"/>
            <w:tabs>
              <w:tab w:val="right" w:leader="dot" w:pos="9016"/>
            </w:tabs>
            <w:rPr>
              <w:rFonts w:eastAsiaTheme="minorEastAsia"/>
              <w:noProof/>
              <w:sz w:val="24"/>
              <w:szCs w:val="24"/>
              <w:lang w:eastAsia="en-GB"/>
            </w:rPr>
          </w:pPr>
          <w:hyperlink w:anchor="_Toc197736867" w:history="1">
            <w:r w:rsidRPr="00372367">
              <w:rPr>
                <w:rStyle w:val="Hyperlink"/>
                <w:noProof/>
              </w:rPr>
              <w:t>3.4.3 Operational Impacts of Poor Morale</w:t>
            </w:r>
            <w:r>
              <w:rPr>
                <w:noProof/>
                <w:webHidden/>
              </w:rPr>
              <w:tab/>
            </w:r>
            <w:r>
              <w:rPr>
                <w:noProof/>
                <w:webHidden/>
              </w:rPr>
              <w:fldChar w:fldCharType="begin"/>
            </w:r>
            <w:r>
              <w:rPr>
                <w:noProof/>
                <w:webHidden/>
              </w:rPr>
              <w:instrText xml:space="preserve"> PAGEREF _Toc197736867 \h </w:instrText>
            </w:r>
            <w:r>
              <w:rPr>
                <w:noProof/>
                <w:webHidden/>
              </w:rPr>
            </w:r>
            <w:r>
              <w:rPr>
                <w:noProof/>
                <w:webHidden/>
              </w:rPr>
              <w:fldChar w:fldCharType="separate"/>
            </w:r>
            <w:r>
              <w:rPr>
                <w:noProof/>
                <w:webHidden/>
              </w:rPr>
              <w:t>18</w:t>
            </w:r>
            <w:r>
              <w:rPr>
                <w:noProof/>
                <w:webHidden/>
              </w:rPr>
              <w:fldChar w:fldCharType="end"/>
            </w:r>
          </w:hyperlink>
        </w:p>
        <w:p w14:paraId="5E4B719D" w14:textId="5AC4CAF5" w:rsidR="00340791" w:rsidRDefault="00340791">
          <w:pPr>
            <w:pStyle w:val="TOC2"/>
            <w:tabs>
              <w:tab w:val="right" w:leader="dot" w:pos="9016"/>
            </w:tabs>
            <w:rPr>
              <w:rFonts w:eastAsiaTheme="minorEastAsia"/>
              <w:b w:val="0"/>
              <w:bCs w:val="0"/>
              <w:noProof/>
              <w:sz w:val="24"/>
              <w:szCs w:val="24"/>
              <w:lang w:eastAsia="en-GB"/>
            </w:rPr>
          </w:pPr>
          <w:hyperlink w:anchor="_Toc197736868" w:history="1">
            <w:r w:rsidRPr="00372367">
              <w:rPr>
                <w:rStyle w:val="Hyperlink"/>
                <w:noProof/>
              </w:rPr>
              <w:t>3.5 Barriers to Retention and Recruitment</w:t>
            </w:r>
            <w:r>
              <w:rPr>
                <w:noProof/>
                <w:webHidden/>
              </w:rPr>
              <w:tab/>
            </w:r>
            <w:r>
              <w:rPr>
                <w:noProof/>
                <w:webHidden/>
              </w:rPr>
              <w:fldChar w:fldCharType="begin"/>
            </w:r>
            <w:r>
              <w:rPr>
                <w:noProof/>
                <w:webHidden/>
              </w:rPr>
              <w:instrText xml:space="preserve"> PAGEREF _Toc197736868 \h </w:instrText>
            </w:r>
            <w:r>
              <w:rPr>
                <w:noProof/>
                <w:webHidden/>
              </w:rPr>
            </w:r>
            <w:r>
              <w:rPr>
                <w:noProof/>
                <w:webHidden/>
              </w:rPr>
              <w:fldChar w:fldCharType="separate"/>
            </w:r>
            <w:r>
              <w:rPr>
                <w:noProof/>
                <w:webHidden/>
              </w:rPr>
              <w:t>19</w:t>
            </w:r>
            <w:r>
              <w:rPr>
                <w:noProof/>
                <w:webHidden/>
              </w:rPr>
              <w:fldChar w:fldCharType="end"/>
            </w:r>
          </w:hyperlink>
        </w:p>
        <w:p w14:paraId="0F5285B4" w14:textId="1DE808DA" w:rsidR="00340791" w:rsidRDefault="00340791">
          <w:pPr>
            <w:pStyle w:val="TOC3"/>
            <w:tabs>
              <w:tab w:val="right" w:leader="dot" w:pos="9016"/>
            </w:tabs>
            <w:rPr>
              <w:rFonts w:eastAsiaTheme="minorEastAsia"/>
              <w:noProof/>
              <w:sz w:val="24"/>
              <w:szCs w:val="24"/>
              <w:lang w:eastAsia="en-GB"/>
            </w:rPr>
          </w:pPr>
          <w:hyperlink w:anchor="_Toc197736869" w:history="1">
            <w:r w:rsidRPr="00372367">
              <w:rPr>
                <w:rStyle w:val="Hyperlink"/>
                <w:noProof/>
              </w:rPr>
              <w:t>3.5.1 Key Structural Barriers</w:t>
            </w:r>
            <w:r>
              <w:rPr>
                <w:noProof/>
                <w:webHidden/>
              </w:rPr>
              <w:tab/>
            </w:r>
            <w:r>
              <w:rPr>
                <w:noProof/>
                <w:webHidden/>
              </w:rPr>
              <w:fldChar w:fldCharType="begin"/>
            </w:r>
            <w:r>
              <w:rPr>
                <w:noProof/>
                <w:webHidden/>
              </w:rPr>
              <w:instrText xml:space="preserve"> PAGEREF _Toc197736869 \h </w:instrText>
            </w:r>
            <w:r>
              <w:rPr>
                <w:noProof/>
                <w:webHidden/>
              </w:rPr>
            </w:r>
            <w:r>
              <w:rPr>
                <w:noProof/>
                <w:webHidden/>
              </w:rPr>
              <w:fldChar w:fldCharType="separate"/>
            </w:r>
            <w:r>
              <w:rPr>
                <w:noProof/>
                <w:webHidden/>
              </w:rPr>
              <w:t>19</w:t>
            </w:r>
            <w:r>
              <w:rPr>
                <w:noProof/>
                <w:webHidden/>
              </w:rPr>
              <w:fldChar w:fldCharType="end"/>
            </w:r>
          </w:hyperlink>
        </w:p>
        <w:p w14:paraId="6BE012EB" w14:textId="050DDAC5" w:rsidR="00340791" w:rsidRDefault="00340791">
          <w:pPr>
            <w:pStyle w:val="TOC3"/>
            <w:tabs>
              <w:tab w:val="right" w:leader="dot" w:pos="9016"/>
            </w:tabs>
            <w:rPr>
              <w:rFonts w:eastAsiaTheme="minorEastAsia"/>
              <w:noProof/>
              <w:sz w:val="24"/>
              <w:szCs w:val="24"/>
              <w:lang w:eastAsia="en-GB"/>
            </w:rPr>
          </w:pPr>
          <w:hyperlink w:anchor="_Toc197736870" w:history="1">
            <w:r w:rsidRPr="00372367">
              <w:rPr>
                <w:rStyle w:val="Hyperlink"/>
                <w:noProof/>
              </w:rPr>
              <w:t>3.5.2 Variation by Setting</w:t>
            </w:r>
            <w:r>
              <w:rPr>
                <w:noProof/>
                <w:webHidden/>
              </w:rPr>
              <w:tab/>
            </w:r>
            <w:r>
              <w:rPr>
                <w:noProof/>
                <w:webHidden/>
              </w:rPr>
              <w:fldChar w:fldCharType="begin"/>
            </w:r>
            <w:r>
              <w:rPr>
                <w:noProof/>
                <w:webHidden/>
              </w:rPr>
              <w:instrText xml:space="preserve"> PAGEREF _Toc197736870 \h </w:instrText>
            </w:r>
            <w:r>
              <w:rPr>
                <w:noProof/>
                <w:webHidden/>
              </w:rPr>
            </w:r>
            <w:r>
              <w:rPr>
                <w:noProof/>
                <w:webHidden/>
              </w:rPr>
              <w:fldChar w:fldCharType="separate"/>
            </w:r>
            <w:r>
              <w:rPr>
                <w:noProof/>
                <w:webHidden/>
              </w:rPr>
              <w:t>20</w:t>
            </w:r>
            <w:r>
              <w:rPr>
                <w:noProof/>
                <w:webHidden/>
              </w:rPr>
              <w:fldChar w:fldCharType="end"/>
            </w:r>
          </w:hyperlink>
        </w:p>
        <w:p w14:paraId="0E42BAFC" w14:textId="207A7688" w:rsidR="00340791" w:rsidRDefault="00340791">
          <w:pPr>
            <w:pStyle w:val="TOC2"/>
            <w:tabs>
              <w:tab w:val="right" w:leader="dot" w:pos="9016"/>
            </w:tabs>
            <w:rPr>
              <w:rFonts w:eastAsiaTheme="minorEastAsia"/>
              <w:b w:val="0"/>
              <w:bCs w:val="0"/>
              <w:noProof/>
              <w:sz w:val="24"/>
              <w:szCs w:val="24"/>
              <w:lang w:eastAsia="en-GB"/>
            </w:rPr>
          </w:pPr>
          <w:hyperlink w:anchor="_Toc197736871" w:history="1">
            <w:r w:rsidRPr="00372367">
              <w:rPr>
                <w:rStyle w:val="Hyperlink"/>
                <w:noProof/>
              </w:rPr>
              <w:t>3.6 Interpretation of Barriers to Recruitment and Retention</w:t>
            </w:r>
            <w:r>
              <w:rPr>
                <w:noProof/>
                <w:webHidden/>
              </w:rPr>
              <w:tab/>
            </w:r>
            <w:r>
              <w:rPr>
                <w:noProof/>
                <w:webHidden/>
              </w:rPr>
              <w:fldChar w:fldCharType="begin"/>
            </w:r>
            <w:r>
              <w:rPr>
                <w:noProof/>
                <w:webHidden/>
              </w:rPr>
              <w:instrText xml:space="preserve"> PAGEREF _Toc197736871 \h </w:instrText>
            </w:r>
            <w:r>
              <w:rPr>
                <w:noProof/>
                <w:webHidden/>
              </w:rPr>
            </w:r>
            <w:r>
              <w:rPr>
                <w:noProof/>
                <w:webHidden/>
              </w:rPr>
              <w:fldChar w:fldCharType="separate"/>
            </w:r>
            <w:r>
              <w:rPr>
                <w:noProof/>
                <w:webHidden/>
              </w:rPr>
              <w:t>20</w:t>
            </w:r>
            <w:r>
              <w:rPr>
                <w:noProof/>
                <w:webHidden/>
              </w:rPr>
              <w:fldChar w:fldCharType="end"/>
            </w:r>
          </w:hyperlink>
        </w:p>
        <w:p w14:paraId="310C0188" w14:textId="27903752" w:rsidR="00340791" w:rsidRDefault="00340791">
          <w:pPr>
            <w:pStyle w:val="TOC1"/>
            <w:tabs>
              <w:tab w:val="right" w:leader="dot" w:pos="9016"/>
            </w:tabs>
            <w:rPr>
              <w:rFonts w:eastAsiaTheme="minorEastAsia"/>
              <w:b w:val="0"/>
              <w:bCs w:val="0"/>
              <w:i w:val="0"/>
              <w:iCs w:val="0"/>
              <w:noProof/>
              <w:lang w:eastAsia="en-GB"/>
            </w:rPr>
          </w:pPr>
          <w:hyperlink w:anchor="_Toc197736872" w:history="1">
            <w:r w:rsidRPr="00372367">
              <w:rPr>
                <w:rStyle w:val="Hyperlink"/>
                <w:noProof/>
              </w:rPr>
              <w:t>4. Discussion</w:t>
            </w:r>
            <w:r>
              <w:rPr>
                <w:noProof/>
                <w:webHidden/>
              </w:rPr>
              <w:tab/>
            </w:r>
            <w:r>
              <w:rPr>
                <w:noProof/>
                <w:webHidden/>
              </w:rPr>
              <w:fldChar w:fldCharType="begin"/>
            </w:r>
            <w:r>
              <w:rPr>
                <w:noProof/>
                <w:webHidden/>
              </w:rPr>
              <w:instrText xml:space="preserve"> PAGEREF _Toc197736872 \h </w:instrText>
            </w:r>
            <w:r>
              <w:rPr>
                <w:noProof/>
                <w:webHidden/>
              </w:rPr>
            </w:r>
            <w:r>
              <w:rPr>
                <w:noProof/>
                <w:webHidden/>
              </w:rPr>
              <w:fldChar w:fldCharType="separate"/>
            </w:r>
            <w:r>
              <w:rPr>
                <w:noProof/>
                <w:webHidden/>
              </w:rPr>
              <w:t>21</w:t>
            </w:r>
            <w:r>
              <w:rPr>
                <w:noProof/>
                <w:webHidden/>
              </w:rPr>
              <w:fldChar w:fldCharType="end"/>
            </w:r>
          </w:hyperlink>
        </w:p>
        <w:p w14:paraId="34A389C9" w14:textId="618FCA25" w:rsidR="00340791" w:rsidRDefault="00340791">
          <w:pPr>
            <w:pStyle w:val="TOC2"/>
            <w:tabs>
              <w:tab w:val="right" w:leader="dot" w:pos="9016"/>
            </w:tabs>
            <w:rPr>
              <w:rFonts w:eastAsiaTheme="minorEastAsia"/>
              <w:b w:val="0"/>
              <w:bCs w:val="0"/>
              <w:noProof/>
              <w:sz w:val="24"/>
              <w:szCs w:val="24"/>
              <w:lang w:eastAsia="en-GB"/>
            </w:rPr>
          </w:pPr>
          <w:hyperlink w:anchor="_Toc197736873" w:history="1">
            <w:r w:rsidRPr="00372367">
              <w:rPr>
                <w:rStyle w:val="Hyperlink"/>
                <w:noProof/>
              </w:rPr>
              <w:t>4.1 Explanations for Setting-Based Differences</w:t>
            </w:r>
            <w:r>
              <w:rPr>
                <w:noProof/>
                <w:webHidden/>
              </w:rPr>
              <w:tab/>
            </w:r>
            <w:r>
              <w:rPr>
                <w:noProof/>
                <w:webHidden/>
              </w:rPr>
              <w:fldChar w:fldCharType="begin"/>
            </w:r>
            <w:r>
              <w:rPr>
                <w:noProof/>
                <w:webHidden/>
              </w:rPr>
              <w:instrText xml:space="preserve"> PAGEREF _Toc197736873 \h </w:instrText>
            </w:r>
            <w:r>
              <w:rPr>
                <w:noProof/>
                <w:webHidden/>
              </w:rPr>
            </w:r>
            <w:r>
              <w:rPr>
                <w:noProof/>
                <w:webHidden/>
              </w:rPr>
              <w:fldChar w:fldCharType="separate"/>
            </w:r>
            <w:r>
              <w:rPr>
                <w:noProof/>
                <w:webHidden/>
              </w:rPr>
              <w:t>22</w:t>
            </w:r>
            <w:r>
              <w:rPr>
                <w:noProof/>
                <w:webHidden/>
              </w:rPr>
              <w:fldChar w:fldCharType="end"/>
            </w:r>
          </w:hyperlink>
        </w:p>
        <w:p w14:paraId="00E9B386" w14:textId="5BF9D2BE" w:rsidR="00340791" w:rsidRDefault="00340791">
          <w:pPr>
            <w:pStyle w:val="TOC2"/>
            <w:tabs>
              <w:tab w:val="right" w:leader="dot" w:pos="9016"/>
            </w:tabs>
            <w:rPr>
              <w:rFonts w:eastAsiaTheme="minorEastAsia"/>
              <w:b w:val="0"/>
              <w:bCs w:val="0"/>
              <w:noProof/>
              <w:sz w:val="24"/>
              <w:szCs w:val="24"/>
              <w:lang w:eastAsia="en-GB"/>
            </w:rPr>
          </w:pPr>
          <w:hyperlink w:anchor="_Toc197736874" w:history="1">
            <w:r w:rsidRPr="00372367">
              <w:rPr>
                <w:rStyle w:val="Hyperlink"/>
                <w:noProof/>
              </w:rPr>
              <w:t>4.2 Relationship to Existing Literature</w:t>
            </w:r>
            <w:r>
              <w:rPr>
                <w:noProof/>
                <w:webHidden/>
              </w:rPr>
              <w:tab/>
            </w:r>
            <w:r>
              <w:rPr>
                <w:noProof/>
                <w:webHidden/>
              </w:rPr>
              <w:fldChar w:fldCharType="begin"/>
            </w:r>
            <w:r>
              <w:rPr>
                <w:noProof/>
                <w:webHidden/>
              </w:rPr>
              <w:instrText xml:space="preserve"> PAGEREF _Toc197736874 \h </w:instrText>
            </w:r>
            <w:r>
              <w:rPr>
                <w:noProof/>
                <w:webHidden/>
              </w:rPr>
            </w:r>
            <w:r>
              <w:rPr>
                <w:noProof/>
                <w:webHidden/>
              </w:rPr>
              <w:fldChar w:fldCharType="separate"/>
            </w:r>
            <w:r>
              <w:rPr>
                <w:noProof/>
                <w:webHidden/>
              </w:rPr>
              <w:t>23</w:t>
            </w:r>
            <w:r>
              <w:rPr>
                <w:noProof/>
                <w:webHidden/>
              </w:rPr>
              <w:fldChar w:fldCharType="end"/>
            </w:r>
          </w:hyperlink>
        </w:p>
        <w:p w14:paraId="2098C471" w14:textId="68EF71FD" w:rsidR="00340791" w:rsidRDefault="00340791">
          <w:pPr>
            <w:pStyle w:val="TOC2"/>
            <w:tabs>
              <w:tab w:val="right" w:leader="dot" w:pos="9016"/>
            </w:tabs>
            <w:rPr>
              <w:rFonts w:eastAsiaTheme="minorEastAsia"/>
              <w:b w:val="0"/>
              <w:bCs w:val="0"/>
              <w:noProof/>
              <w:sz w:val="24"/>
              <w:szCs w:val="24"/>
              <w:lang w:eastAsia="en-GB"/>
            </w:rPr>
          </w:pPr>
          <w:hyperlink w:anchor="_Toc197736875" w:history="1">
            <w:r w:rsidRPr="00372367">
              <w:rPr>
                <w:rStyle w:val="Hyperlink"/>
                <w:noProof/>
              </w:rPr>
              <w:t>4.3 Implications for Workforce Support and Retention Strategies</w:t>
            </w:r>
            <w:r>
              <w:rPr>
                <w:noProof/>
                <w:webHidden/>
              </w:rPr>
              <w:tab/>
            </w:r>
            <w:r>
              <w:rPr>
                <w:noProof/>
                <w:webHidden/>
              </w:rPr>
              <w:fldChar w:fldCharType="begin"/>
            </w:r>
            <w:r>
              <w:rPr>
                <w:noProof/>
                <w:webHidden/>
              </w:rPr>
              <w:instrText xml:space="preserve"> PAGEREF _Toc197736875 \h </w:instrText>
            </w:r>
            <w:r>
              <w:rPr>
                <w:noProof/>
                <w:webHidden/>
              </w:rPr>
            </w:r>
            <w:r>
              <w:rPr>
                <w:noProof/>
                <w:webHidden/>
              </w:rPr>
              <w:fldChar w:fldCharType="separate"/>
            </w:r>
            <w:r>
              <w:rPr>
                <w:noProof/>
                <w:webHidden/>
              </w:rPr>
              <w:t>24</w:t>
            </w:r>
            <w:r>
              <w:rPr>
                <w:noProof/>
                <w:webHidden/>
              </w:rPr>
              <w:fldChar w:fldCharType="end"/>
            </w:r>
          </w:hyperlink>
        </w:p>
        <w:p w14:paraId="1FB4F5B3" w14:textId="1B545D73" w:rsidR="00340791" w:rsidRDefault="00340791">
          <w:pPr>
            <w:pStyle w:val="TOC2"/>
            <w:tabs>
              <w:tab w:val="right" w:leader="dot" w:pos="9016"/>
            </w:tabs>
            <w:rPr>
              <w:rFonts w:eastAsiaTheme="minorEastAsia"/>
              <w:b w:val="0"/>
              <w:bCs w:val="0"/>
              <w:noProof/>
              <w:sz w:val="24"/>
              <w:szCs w:val="24"/>
              <w:lang w:eastAsia="en-GB"/>
            </w:rPr>
          </w:pPr>
          <w:hyperlink w:anchor="_Toc197736876" w:history="1">
            <w:r w:rsidRPr="00372367">
              <w:rPr>
                <w:rStyle w:val="Hyperlink"/>
                <w:noProof/>
              </w:rPr>
              <w:t>4.4 Strengths and Limitations of the Study</w:t>
            </w:r>
            <w:r>
              <w:rPr>
                <w:noProof/>
                <w:webHidden/>
              </w:rPr>
              <w:tab/>
            </w:r>
            <w:r>
              <w:rPr>
                <w:noProof/>
                <w:webHidden/>
              </w:rPr>
              <w:fldChar w:fldCharType="begin"/>
            </w:r>
            <w:r>
              <w:rPr>
                <w:noProof/>
                <w:webHidden/>
              </w:rPr>
              <w:instrText xml:space="preserve"> PAGEREF _Toc197736876 \h </w:instrText>
            </w:r>
            <w:r>
              <w:rPr>
                <w:noProof/>
                <w:webHidden/>
              </w:rPr>
            </w:r>
            <w:r>
              <w:rPr>
                <w:noProof/>
                <w:webHidden/>
              </w:rPr>
              <w:fldChar w:fldCharType="separate"/>
            </w:r>
            <w:r>
              <w:rPr>
                <w:noProof/>
                <w:webHidden/>
              </w:rPr>
              <w:t>24</w:t>
            </w:r>
            <w:r>
              <w:rPr>
                <w:noProof/>
                <w:webHidden/>
              </w:rPr>
              <w:fldChar w:fldCharType="end"/>
            </w:r>
          </w:hyperlink>
        </w:p>
        <w:p w14:paraId="7C42A06A" w14:textId="3180D13B" w:rsidR="00340791" w:rsidRDefault="00340791">
          <w:pPr>
            <w:pStyle w:val="TOC1"/>
            <w:tabs>
              <w:tab w:val="right" w:leader="dot" w:pos="9016"/>
            </w:tabs>
            <w:rPr>
              <w:rFonts w:eastAsiaTheme="minorEastAsia"/>
              <w:b w:val="0"/>
              <w:bCs w:val="0"/>
              <w:i w:val="0"/>
              <w:iCs w:val="0"/>
              <w:noProof/>
              <w:lang w:eastAsia="en-GB"/>
            </w:rPr>
          </w:pPr>
          <w:hyperlink w:anchor="_Toc197736877" w:history="1">
            <w:r w:rsidRPr="00372367">
              <w:rPr>
                <w:rStyle w:val="Hyperlink"/>
                <w:noProof/>
              </w:rPr>
              <w:t>5. Conclusion</w:t>
            </w:r>
            <w:r>
              <w:rPr>
                <w:noProof/>
                <w:webHidden/>
              </w:rPr>
              <w:tab/>
            </w:r>
            <w:r>
              <w:rPr>
                <w:noProof/>
                <w:webHidden/>
              </w:rPr>
              <w:fldChar w:fldCharType="begin"/>
            </w:r>
            <w:r>
              <w:rPr>
                <w:noProof/>
                <w:webHidden/>
              </w:rPr>
              <w:instrText xml:space="preserve"> PAGEREF _Toc197736877 \h </w:instrText>
            </w:r>
            <w:r>
              <w:rPr>
                <w:noProof/>
                <w:webHidden/>
              </w:rPr>
            </w:r>
            <w:r>
              <w:rPr>
                <w:noProof/>
                <w:webHidden/>
              </w:rPr>
              <w:fldChar w:fldCharType="separate"/>
            </w:r>
            <w:r>
              <w:rPr>
                <w:noProof/>
                <w:webHidden/>
              </w:rPr>
              <w:t>25</w:t>
            </w:r>
            <w:r>
              <w:rPr>
                <w:noProof/>
                <w:webHidden/>
              </w:rPr>
              <w:fldChar w:fldCharType="end"/>
            </w:r>
          </w:hyperlink>
        </w:p>
        <w:p w14:paraId="2310F689" w14:textId="65EE13A8" w:rsidR="00340791" w:rsidRDefault="00340791">
          <w:pPr>
            <w:pStyle w:val="TOC1"/>
            <w:tabs>
              <w:tab w:val="right" w:leader="dot" w:pos="9016"/>
            </w:tabs>
            <w:rPr>
              <w:rFonts w:eastAsiaTheme="minorEastAsia"/>
              <w:b w:val="0"/>
              <w:bCs w:val="0"/>
              <w:i w:val="0"/>
              <w:iCs w:val="0"/>
              <w:noProof/>
              <w:lang w:eastAsia="en-GB"/>
            </w:rPr>
          </w:pPr>
          <w:hyperlink w:anchor="_Toc197736878" w:history="1">
            <w:r w:rsidRPr="00372367">
              <w:rPr>
                <w:rStyle w:val="Hyperlink"/>
                <w:rFonts w:ascii="Carlito" w:hAnsi="Carlito" w:cs="Carlito"/>
                <w:noProof/>
              </w:rPr>
              <w:t xml:space="preserve">6. </w:t>
            </w:r>
            <w:r w:rsidRPr="00372367">
              <w:rPr>
                <w:rStyle w:val="Hyperlink"/>
                <w:noProof/>
              </w:rPr>
              <w:t>References</w:t>
            </w:r>
            <w:r>
              <w:rPr>
                <w:noProof/>
                <w:webHidden/>
              </w:rPr>
              <w:tab/>
            </w:r>
            <w:r>
              <w:rPr>
                <w:noProof/>
                <w:webHidden/>
              </w:rPr>
              <w:fldChar w:fldCharType="begin"/>
            </w:r>
            <w:r>
              <w:rPr>
                <w:noProof/>
                <w:webHidden/>
              </w:rPr>
              <w:instrText xml:space="preserve"> PAGEREF _Toc197736878 \h </w:instrText>
            </w:r>
            <w:r>
              <w:rPr>
                <w:noProof/>
                <w:webHidden/>
              </w:rPr>
            </w:r>
            <w:r>
              <w:rPr>
                <w:noProof/>
                <w:webHidden/>
              </w:rPr>
              <w:fldChar w:fldCharType="separate"/>
            </w:r>
            <w:r>
              <w:rPr>
                <w:noProof/>
                <w:webHidden/>
              </w:rPr>
              <w:t>29</w:t>
            </w:r>
            <w:r>
              <w:rPr>
                <w:noProof/>
                <w:webHidden/>
              </w:rPr>
              <w:fldChar w:fldCharType="end"/>
            </w:r>
          </w:hyperlink>
        </w:p>
        <w:p w14:paraId="5CCEB6EA" w14:textId="1D7C4A10" w:rsidR="00340791" w:rsidRDefault="00340791">
          <w:pPr>
            <w:pStyle w:val="TOC1"/>
            <w:tabs>
              <w:tab w:val="right" w:leader="dot" w:pos="9016"/>
            </w:tabs>
            <w:rPr>
              <w:rFonts w:eastAsiaTheme="minorEastAsia"/>
              <w:b w:val="0"/>
              <w:bCs w:val="0"/>
              <w:i w:val="0"/>
              <w:iCs w:val="0"/>
              <w:noProof/>
              <w:lang w:eastAsia="en-GB"/>
            </w:rPr>
          </w:pPr>
          <w:hyperlink w:anchor="_Toc197736879" w:history="1">
            <w:r w:rsidRPr="00372367">
              <w:rPr>
                <w:rStyle w:val="Hyperlink"/>
                <w:noProof/>
              </w:rPr>
              <w:t>7.Appendices</w:t>
            </w:r>
            <w:r>
              <w:rPr>
                <w:noProof/>
                <w:webHidden/>
              </w:rPr>
              <w:tab/>
            </w:r>
            <w:r>
              <w:rPr>
                <w:noProof/>
                <w:webHidden/>
              </w:rPr>
              <w:fldChar w:fldCharType="begin"/>
            </w:r>
            <w:r>
              <w:rPr>
                <w:noProof/>
                <w:webHidden/>
              </w:rPr>
              <w:instrText xml:space="preserve"> PAGEREF _Toc197736879 \h </w:instrText>
            </w:r>
            <w:r>
              <w:rPr>
                <w:noProof/>
                <w:webHidden/>
              </w:rPr>
            </w:r>
            <w:r>
              <w:rPr>
                <w:noProof/>
                <w:webHidden/>
              </w:rPr>
              <w:fldChar w:fldCharType="separate"/>
            </w:r>
            <w:r>
              <w:rPr>
                <w:noProof/>
                <w:webHidden/>
              </w:rPr>
              <w:t>31</w:t>
            </w:r>
            <w:r>
              <w:rPr>
                <w:noProof/>
                <w:webHidden/>
              </w:rPr>
              <w:fldChar w:fldCharType="end"/>
            </w:r>
          </w:hyperlink>
        </w:p>
        <w:p w14:paraId="014C245A" w14:textId="3F700D67" w:rsidR="00340791" w:rsidRDefault="00340791">
          <w:pPr>
            <w:pStyle w:val="TOC2"/>
            <w:tabs>
              <w:tab w:val="right" w:leader="dot" w:pos="9016"/>
            </w:tabs>
            <w:rPr>
              <w:rFonts w:eastAsiaTheme="minorEastAsia"/>
              <w:b w:val="0"/>
              <w:bCs w:val="0"/>
              <w:noProof/>
              <w:sz w:val="24"/>
              <w:szCs w:val="24"/>
              <w:lang w:eastAsia="en-GB"/>
            </w:rPr>
          </w:pPr>
          <w:hyperlink w:anchor="_Toc197736880" w:history="1">
            <w:r w:rsidRPr="00372367">
              <w:rPr>
                <w:rStyle w:val="Hyperlink"/>
                <w:noProof/>
              </w:rPr>
              <w:t>7.1Data details</w:t>
            </w:r>
            <w:r>
              <w:rPr>
                <w:noProof/>
                <w:webHidden/>
              </w:rPr>
              <w:tab/>
            </w:r>
            <w:r>
              <w:rPr>
                <w:noProof/>
                <w:webHidden/>
              </w:rPr>
              <w:fldChar w:fldCharType="begin"/>
            </w:r>
            <w:r>
              <w:rPr>
                <w:noProof/>
                <w:webHidden/>
              </w:rPr>
              <w:instrText xml:space="preserve"> PAGEREF _Toc197736880 \h </w:instrText>
            </w:r>
            <w:r>
              <w:rPr>
                <w:noProof/>
                <w:webHidden/>
              </w:rPr>
            </w:r>
            <w:r>
              <w:rPr>
                <w:noProof/>
                <w:webHidden/>
              </w:rPr>
              <w:fldChar w:fldCharType="separate"/>
            </w:r>
            <w:r>
              <w:rPr>
                <w:noProof/>
                <w:webHidden/>
              </w:rPr>
              <w:t>31</w:t>
            </w:r>
            <w:r>
              <w:rPr>
                <w:noProof/>
                <w:webHidden/>
              </w:rPr>
              <w:fldChar w:fldCharType="end"/>
            </w:r>
          </w:hyperlink>
        </w:p>
        <w:p w14:paraId="6602C34B" w14:textId="611B2F0A" w:rsidR="00340791" w:rsidRDefault="00340791">
          <w:r>
            <w:rPr>
              <w:b/>
              <w:bCs/>
              <w:noProof/>
            </w:rPr>
            <w:fldChar w:fldCharType="end"/>
          </w:r>
        </w:p>
      </w:sdtContent>
    </w:sdt>
    <w:p w14:paraId="3F1959D4" w14:textId="77777777" w:rsidR="00340791" w:rsidRDefault="00340791" w:rsidP="00340791">
      <w:pPr>
        <w:pStyle w:val="Heading1"/>
      </w:pPr>
    </w:p>
    <w:p w14:paraId="3F428EF6" w14:textId="77777777" w:rsidR="00340791" w:rsidRDefault="00340791" w:rsidP="00340791">
      <w:pPr>
        <w:pStyle w:val="Heading1"/>
      </w:pPr>
    </w:p>
    <w:p w14:paraId="1A801D4B" w14:textId="77777777" w:rsidR="00340791" w:rsidRDefault="00340791" w:rsidP="00340791">
      <w:pPr>
        <w:pStyle w:val="Heading1"/>
      </w:pPr>
    </w:p>
    <w:p w14:paraId="0B855153" w14:textId="77777777" w:rsidR="00340791" w:rsidRDefault="00340791" w:rsidP="00340791">
      <w:pPr>
        <w:pStyle w:val="Heading1"/>
      </w:pPr>
    </w:p>
    <w:p w14:paraId="17C3ED36" w14:textId="77777777" w:rsidR="00340791" w:rsidRDefault="00340791" w:rsidP="00340791">
      <w:pPr>
        <w:pStyle w:val="Heading1"/>
      </w:pPr>
    </w:p>
    <w:p w14:paraId="2CEC9798" w14:textId="77777777" w:rsidR="00340791" w:rsidRDefault="00340791" w:rsidP="00340791">
      <w:pPr>
        <w:pStyle w:val="Heading1"/>
      </w:pPr>
    </w:p>
    <w:p w14:paraId="31B5E18C" w14:textId="77777777" w:rsidR="00340791" w:rsidRDefault="00340791" w:rsidP="00340791">
      <w:pPr>
        <w:pStyle w:val="Heading1"/>
      </w:pPr>
    </w:p>
    <w:p w14:paraId="167AE67E" w14:textId="77777777" w:rsidR="00340791" w:rsidRDefault="00340791" w:rsidP="00340791"/>
    <w:p w14:paraId="24CE7F55" w14:textId="77777777" w:rsidR="00340791" w:rsidRDefault="00340791" w:rsidP="00340791"/>
    <w:p w14:paraId="72E8A06A" w14:textId="77777777" w:rsidR="00340791" w:rsidRDefault="00340791" w:rsidP="00340791"/>
    <w:p w14:paraId="3831B78E" w14:textId="77777777" w:rsidR="00340791" w:rsidRPr="00340791" w:rsidRDefault="00340791" w:rsidP="00340791"/>
    <w:p w14:paraId="7B016FEF" w14:textId="2CCC3910" w:rsidR="00340791" w:rsidRDefault="00340791" w:rsidP="00340791">
      <w:pPr>
        <w:pStyle w:val="Heading1"/>
      </w:pPr>
      <w:bookmarkStart w:id="0" w:name="_Toc197736836"/>
      <w:r>
        <w:lastRenderedPageBreak/>
        <w:t>Abstract</w:t>
      </w:r>
      <w:bookmarkEnd w:id="0"/>
    </w:p>
    <w:p w14:paraId="01301532"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Acute challenges remain in recruiting and retaining adult social care sector staff in England, after a sharp drop in international supply of workforce in early 2024. The pressures are not evenly distributed through the sector and very little research has looked at the differences between care homes and domiciliary care settings. In this study, the perceived differences between challenges to staff retention are investigated between the two care environments.</w:t>
      </w:r>
    </w:p>
    <w:p w14:paraId="2CA9CBE6"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 analysis uses secondary data from the Department of Health and Social Care’s Adult Social Care Workforce Survey – April 2025, drawn from responses of 4,913 provider locations across England. Workforce perceptions were compared across the care home versus domiciliary care settings using descriptive statistics and a paired sample t test.</w:t>
      </w:r>
    </w:p>
    <w:p w14:paraId="08FFFAE5"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Retention and recruitment challenges are reported to be significantly greater by domiciliary care providers than those that operate care homes. The results demonstrate that there are statistically significant differences (p &lt; 0.001) in reported recruitment and retention barriers, confirming the presence of setting specific pressures in the workforce. Finally, the study makes targeted recommendations for workforce support that are applicable to the operational realities of domiciliary care.</w:t>
      </w:r>
    </w:p>
    <w:p w14:paraId="5F48D4FB" w14:textId="77777777" w:rsidR="00340791" w:rsidRDefault="00340791" w:rsidP="00340791">
      <w:pPr>
        <w:autoSpaceDE w:val="0"/>
        <w:autoSpaceDN w:val="0"/>
        <w:adjustRightInd w:val="0"/>
        <w:spacing w:line="360" w:lineRule="auto"/>
        <w:jc w:val="both"/>
        <w:rPr>
          <w:rFonts w:ascii="Carlito-Italic" w:hAnsi="Carlito-Italic" w:cs="Carlito-Italic"/>
          <w:i/>
          <w:iCs/>
          <w:color w:val="000000"/>
          <w:kern w:val="0"/>
        </w:rPr>
      </w:pPr>
      <w:r>
        <w:rPr>
          <w:rFonts w:ascii="Carlito-BoldItalic" w:hAnsi="Carlito-BoldItalic" w:cs="Carlito-BoldItalic"/>
          <w:b/>
          <w:bCs/>
          <w:i/>
          <w:iCs/>
          <w:color w:val="000000"/>
          <w:kern w:val="0"/>
        </w:rPr>
        <w:t>Keywords</w:t>
      </w:r>
      <w:r>
        <w:rPr>
          <w:rFonts w:ascii="Carlito-Italic" w:hAnsi="Carlito-Italic" w:cs="Carlito-Italic"/>
          <w:i/>
          <w:iCs/>
          <w:color w:val="000000"/>
          <w:kern w:val="0"/>
        </w:rPr>
        <w:t>: staff retention, domiciliary care, care homes, workforce challenges, social care sector, recruitment barriers</w:t>
      </w:r>
    </w:p>
    <w:p w14:paraId="081F82B5" w14:textId="7408F1C5" w:rsidR="00340791" w:rsidRDefault="00340791" w:rsidP="00340791">
      <w:pPr>
        <w:pStyle w:val="Heading1"/>
      </w:pPr>
      <w:r>
        <w:rPr>
          <w:rFonts w:ascii="Carlito" w:hAnsi="Carlito" w:cs="Carlito"/>
        </w:rPr>
        <w:br w:type="page"/>
      </w:r>
      <w:bookmarkStart w:id="1" w:name="_Toc197736837"/>
      <w:r>
        <w:rPr>
          <w:rFonts w:ascii="Carlito" w:hAnsi="Carlito" w:cs="Carlito"/>
        </w:rPr>
        <w:lastRenderedPageBreak/>
        <w:t>1.</w:t>
      </w:r>
      <w:r>
        <w:t xml:space="preserve"> Introduction</w:t>
      </w:r>
      <w:bookmarkEnd w:id="1"/>
    </w:p>
    <w:p w14:paraId="3BE6098F"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 United Kingdom’s adult social care has a sustained and growing workforce crisis. Persistent staff shortages, rising rates of staff turnover, and rising problems in recruiting and retaining qualified care workers characterize this crisis. For over a decade the sector has maintained a workforce unable to meet the increasing and growing care needs of an ageing population. The need for social care services has risen sharply as life expectancy increases and medical treaties continue to prolong people with chronic and complex health conditions. Nevertheless, the potential of the sector to respond to this demand has been limited by a fragile, under-resourced workforce system.</w:t>
      </w:r>
    </w:p>
    <w:p w14:paraId="03098872"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An international recruitment disruption made more than a decade worse hit in early 2024. In Q4 2023 compared with Q1 2024, the number of entry visa grants for care workers and senior care workers fell by 84% and by 87% compared with Q1 2023 (Home Office, 2024). The fact that these dramatic declines occurred following the tightening of immigration rules and a recalibration of the UK’s points-based immigration system post Brexit, is not surprising. However, the sector had become increasingly dependent on migrant labour to fill vacancies, in hard to recruit roles, however this pipeline has disappeared, putting existing pressures under far more intensification. It is leading to a sector operating at a critical threshold, where understaffing impairs service delivery and raises the threat to quality of care.</w:t>
      </w:r>
    </w:p>
    <w:p w14:paraId="1FC43A8F"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 issue has its roots in staff retention and wellbeing. It is imperative that the skills, experience, compassion and training of the workers can be retained to maintain continuity of service, institutional knowledge, and safe, person-centred care. Frequent staff turnover has also had notable financial implications for providers: low staff retention costs more in recruitment, distracts teams, and results in lower client satisfaction. Retention in adult social care, however, remains a major challenge, despite importance. The sector has high turnover rates (routinely &gt; 30% per year in some settings) that exceed those of other health and public service professions. However, low pay, poor working conditions, and a lack of career development opportunities are commonly cited reasons as to why many workers quit the sector within the first year of employment.</w:t>
      </w:r>
    </w:p>
    <w:p w14:paraId="46073BD2"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These patterns of instability are a fundamental part of the workforce’s wellbeing. Research has shown that adult social care workers experience higher levels of stress, fatigue and </w:t>
      </w:r>
      <w:r>
        <w:rPr>
          <w:rFonts w:ascii="Carlito" w:hAnsi="Carlito" w:cs="Carlito"/>
          <w:color w:val="000000"/>
          <w:kern w:val="0"/>
        </w:rPr>
        <w:lastRenderedPageBreak/>
        <w:t>emotional burden particularly for those in the front-line roles (Johnston et al. 2021; Hussein 2017). Care work is more complex and of greater social importance, yet unlike professions that have their support systems and institutional prestige, it is often undervalued. Workers are expected to engage in physically demanding, emotionally intense work in providing complex care while being unrecognized and unsupported. These pressures add up in the cumulative sense, becoming a key predictor of turnover and contributing to seeing care work as an unattractive long term career path.</w:t>
      </w:r>
    </w:p>
    <w:p w14:paraId="1E8EB6CA"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Not only is wellbeing a workforce issue, </w:t>
      </w:r>
      <w:proofErr w:type="gramStart"/>
      <w:r>
        <w:rPr>
          <w:rFonts w:ascii="Carlito" w:hAnsi="Carlito" w:cs="Carlito"/>
          <w:color w:val="000000"/>
          <w:kern w:val="0"/>
        </w:rPr>
        <w:t>it is</w:t>
      </w:r>
      <w:proofErr w:type="gramEnd"/>
      <w:r>
        <w:rPr>
          <w:rFonts w:ascii="Carlito" w:hAnsi="Carlito" w:cs="Carlito"/>
          <w:color w:val="000000"/>
          <w:kern w:val="0"/>
        </w:rPr>
        <w:t xml:space="preserve"> a foundational part of safe and effective care delivery. In recent studies, the definition of workforce wellbeing includes e.g., mental health, emotion resilience, job satisfaction and the feeling of meaning or purpose in one's role (Pradhan &amp; Hati, 2022; Abdullah et al., 2021). Immediate and long-lasting effects include increased absenteeism, lower productivity, lower engagement and increased rates of staff exodus, when these dimensions are neglected. For example, in the context of adult social care where building relationships and continuity are important for service user outcomes, poorly looked after staff can negatively impact care quality. Additionally, existing staff manpower with a low morale is likely to deter new applicants who would quickly add to the recruitment crisis.</w:t>
      </w:r>
    </w:p>
    <w:p w14:paraId="64073281"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Two dominant types of service provision within the adult social care sector are care homes (residential care) and domiciliary care (community or home-based care). The contexts in which they operate are very distinctive, although both are intended to support individuals with daily living activities. A fixed location facility where 24 hours as well as multiple residents shared living environment are housed and require care. Often, these settings provide more structured shift patterns, direct supervision and built in peer networks. In contrast to domiciliary care services, care workers in such services </w:t>
      </w:r>
      <w:proofErr w:type="gramStart"/>
      <w:r>
        <w:rPr>
          <w:rFonts w:ascii="Carlito" w:hAnsi="Carlito" w:cs="Carlito"/>
          <w:color w:val="000000"/>
          <w:kern w:val="0"/>
        </w:rPr>
        <w:t>have to</w:t>
      </w:r>
      <w:proofErr w:type="gramEnd"/>
      <w:r>
        <w:rPr>
          <w:rFonts w:ascii="Carlito" w:hAnsi="Carlito" w:cs="Carlito"/>
          <w:color w:val="000000"/>
          <w:kern w:val="0"/>
        </w:rPr>
        <w:t xml:space="preserve"> travel between individual service users’ homes, typically in different geographic locations. These roles may involve significant hours spent in transit, mismatched and erratic schedule, and few career development or social interaction opportunities.</w:t>
      </w:r>
    </w:p>
    <w:p w14:paraId="032977E0" w14:textId="2CF0757B"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Naturally, the structural and operational differences between the two dictate the workforce experience. High resident to staff ratios and responsibility for </w:t>
      </w:r>
      <w:r w:rsidR="00513A11">
        <w:rPr>
          <w:rFonts w:ascii="Carlito" w:hAnsi="Carlito" w:cs="Carlito"/>
          <w:color w:val="000000"/>
          <w:kern w:val="0"/>
        </w:rPr>
        <w:t>end-of-life</w:t>
      </w:r>
      <w:r>
        <w:rPr>
          <w:rFonts w:ascii="Carlito" w:hAnsi="Carlito" w:cs="Carlito"/>
          <w:color w:val="000000"/>
          <w:kern w:val="0"/>
        </w:rPr>
        <w:t xml:space="preserve"> care in care homes are associated with stress for workers, but they have benefits in terms of </w:t>
      </w:r>
      <w:r w:rsidR="00513A11">
        <w:rPr>
          <w:rFonts w:ascii="Carlito" w:hAnsi="Carlito" w:cs="Carlito"/>
          <w:color w:val="000000"/>
          <w:kern w:val="0"/>
        </w:rPr>
        <w:t>team-based</w:t>
      </w:r>
      <w:r>
        <w:rPr>
          <w:rFonts w:ascii="Carlito" w:hAnsi="Carlito" w:cs="Carlito"/>
          <w:color w:val="000000"/>
          <w:kern w:val="0"/>
        </w:rPr>
        <w:t xml:space="preserve"> support and clearer organisational boundaries. Unlike domiciliary care workers, for example, </w:t>
      </w:r>
      <w:r>
        <w:rPr>
          <w:rFonts w:ascii="Carlito" w:hAnsi="Carlito" w:cs="Carlito"/>
          <w:color w:val="000000"/>
          <w:kern w:val="0"/>
        </w:rPr>
        <w:lastRenderedPageBreak/>
        <w:t>domiciliary care workers often report feelings of isolation, poor managerial support and stress due to unpredictable timesheets and unpaid travel time (Unison, 2021; Berta et al., 2018). Moreover, the employment on zero hours contracts by domiciliary care workers is significantly more common and exacerbates financial insecurity and deters long term commitment to the sector.</w:t>
      </w:r>
    </w:p>
    <w:p w14:paraId="68E88D43" w14:textId="6FE245DF"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These contextual differences suggest important questions about whether the regional workforce challenges being observed in the sector are shared in the same way or if some settings face higher levels of challenge. While there is much published work on staff morale, retention and wellbeing in adult social care more generally (Johnston et al., 2020; Wheatley, 2017; </w:t>
      </w:r>
      <w:proofErr w:type="spellStart"/>
      <w:r>
        <w:rPr>
          <w:rFonts w:ascii="Carlito" w:hAnsi="Carlito" w:cs="Carlito"/>
          <w:color w:val="000000"/>
          <w:kern w:val="0"/>
        </w:rPr>
        <w:t>Lizano</w:t>
      </w:r>
      <w:proofErr w:type="spellEnd"/>
      <w:r>
        <w:rPr>
          <w:rFonts w:ascii="Carlito" w:hAnsi="Carlito" w:cs="Carlito"/>
          <w:color w:val="000000"/>
          <w:kern w:val="0"/>
        </w:rPr>
        <w:t xml:space="preserve">, 2015), there is currently a dearth of quantitative </w:t>
      </w:r>
      <w:r w:rsidR="00513A11">
        <w:rPr>
          <w:rFonts w:ascii="Carlito" w:hAnsi="Carlito" w:cs="Carlito"/>
          <w:color w:val="000000"/>
          <w:kern w:val="0"/>
        </w:rPr>
        <w:t>large-scale</w:t>
      </w:r>
      <w:r>
        <w:rPr>
          <w:rFonts w:ascii="Carlito" w:hAnsi="Carlito" w:cs="Carlito"/>
          <w:color w:val="000000"/>
          <w:kern w:val="0"/>
        </w:rPr>
        <w:t xml:space="preserve"> research which compares these performance dynamics for care home and domiciliary care. Available evidence is mainly qualitative or based on small sample studies, which contribute to the body of evidence but hamper the extent to which it may be generalised and used for policy planning.</w:t>
      </w:r>
    </w:p>
    <w:p w14:paraId="3C8028B8"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 main aim of this study is to fill that gap by carrying out a secondary analysis of nationally representative data drawn from the Adult Social Care Workforce Survey which was undertaken in August and September 2024. The survey was administered through the Capacity Tracker platform and 4,913 CQC registered adult social care provider locations were surveyed across England. The system was designed as a real time input into workforce conditions leading into winter 2024 and an area of increasing strain as international recruitment dwindles, care demand rises.</w:t>
      </w:r>
    </w:p>
    <w:p w14:paraId="1BA70279"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 main objective of this research will be to find out if there is a statistically significant difference in staff retention perceived challenges facing between care homes and domiciliary care sites. The study answers this question using both descriptive and inferential statistical analysis to determine differences in reported retention related barriers and overall workforce conditions between the two groups using a paired sample test. Broader themes of morale, recruitment, and operational impacts of workforce instability are also considered, with the aim of identifying setting specific pressures and the potential for more targeted policy responses.</w:t>
      </w:r>
    </w:p>
    <w:p w14:paraId="71169773" w14:textId="1A189062" w:rsidR="00340791" w:rsidRDefault="00340791" w:rsidP="00340791">
      <w:pPr>
        <w:pStyle w:val="Heading2"/>
      </w:pPr>
      <w:bookmarkStart w:id="2" w:name="_Toc197736838"/>
      <w:r>
        <w:lastRenderedPageBreak/>
        <w:t xml:space="preserve">1.1 </w:t>
      </w:r>
      <w:r>
        <w:t>Staff Morale, Burnout, and Retention in Adult Social Care</w:t>
      </w:r>
      <w:bookmarkEnd w:id="2"/>
    </w:p>
    <w:p w14:paraId="0ABCF929"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Retention patterns in the adult social care workforce can only be fully understood once you consider staff morale, job satisfaction and psychological wellbeing. This sector is well documented to be high turnover, and nearly always attributed to a combination of structural and emotional pressures, including low pay, little autonomy, little recognition, exposure to emotionally demanding work. Morale and retention are a cycle — they are both in a cycle — the bad morale leads to turnover, which leads to higher turnover and thereby less stable team and worker morale (Johnston et al., 2020; </w:t>
      </w:r>
      <w:proofErr w:type="spellStart"/>
      <w:r>
        <w:rPr>
          <w:rFonts w:ascii="Carlito" w:hAnsi="Carlito" w:cs="Carlito"/>
          <w:color w:val="000000"/>
          <w:kern w:val="0"/>
        </w:rPr>
        <w:t>Lizano</w:t>
      </w:r>
      <w:proofErr w:type="spellEnd"/>
      <w:r>
        <w:rPr>
          <w:rFonts w:ascii="Carlito" w:hAnsi="Carlito" w:cs="Carlito"/>
          <w:color w:val="000000"/>
          <w:kern w:val="0"/>
        </w:rPr>
        <w:t>, 2015).</w:t>
      </w:r>
    </w:p>
    <w:p w14:paraId="0EAF6068"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Johnston et al. (2021; 2020) reviewed scoping studies on work related wellbeing and resilience strategies in care homes. Frontline workers, they found, often say they are unsupported, emotionally fatigued and undervalued. The key elements in these reviews included practice-based interventions like emotional resilience training, regular peer support and improved supervision to help combat burnout and improve morale. That said, they also found that such supports are inconsistently put in practice across care settings.</w:t>
      </w:r>
    </w:p>
    <w:p w14:paraId="79122655"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Given the emotional nature of care relationships and stress of doing what some of these workers </w:t>
      </w:r>
      <w:proofErr w:type="gramStart"/>
      <w:r>
        <w:rPr>
          <w:rFonts w:ascii="Carlito" w:hAnsi="Carlito" w:cs="Carlito"/>
          <w:color w:val="000000"/>
          <w:kern w:val="0"/>
        </w:rPr>
        <w:t>do,</w:t>
      </w:r>
      <w:proofErr w:type="gramEnd"/>
      <w:r>
        <w:rPr>
          <w:rFonts w:ascii="Carlito" w:hAnsi="Carlito" w:cs="Carlito"/>
          <w:color w:val="000000"/>
          <w:kern w:val="0"/>
        </w:rPr>
        <w:t xml:space="preserve"> burnout among care workers is particularly acute. Human service workers are suffering from burnout, as </w:t>
      </w:r>
      <w:proofErr w:type="spellStart"/>
      <w:r>
        <w:rPr>
          <w:rFonts w:ascii="Carlito" w:hAnsi="Carlito" w:cs="Carlito"/>
          <w:color w:val="000000"/>
          <w:kern w:val="0"/>
        </w:rPr>
        <w:t>Lizano</w:t>
      </w:r>
      <w:proofErr w:type="spellEnd"/>
      <w:r>
        <w:rPr>
          <w:rFonts w:ascii="Carlito" w:hAnsi="Carlito" w:cs="Carlito"/>
          <w:color w:val="000000"/>
          <w:kern w:val="0"/>
        </w:rPr>
        <w:t xml:space="preserve"> (2015) describes as the combination of emotional exhaustion, depersonalization, and diminished personal accomplishment which significantly reduces their wellbeing and health. Such effects are multiplied if staff feel that the work they do has no meaning or value. Like </w:t>
      </w:r>
      <w:proofErr w:type="spellStart"/>
      <w:r>
        <w:rPr>
          <w:rFonts w:ascii="Carlito" w:hAnsi="Carlito" w:cs="Carlito"/>
          <w:color w:val="000000"/>
          <w:kern w:val="0"/>
        </w:rPr>
        <w:t>Rothausen</w:t>
      </w:r>
      <w:proofErr w:type="spellEnd"/>
      <w:r>
        <w:rPr>
          <w:rFonts w:ascii="Carlito" w:hAnsi="Carlito" w:cs="Carlito"/>
          <w:color w:val="000000"/>
          <w:kern w:val="0"/>
        </w:rPr>
        <w:t xml:space="preserve"> et al. (2017) they note that workers may experience identity conflicts (e.g., mismatch between personal values and that of the workplace can provoke challenges to fit and ultimately exit the sector).</w:t>
      </w:r>
    </w:p>
    <w:p w14:paraId="48557FB1"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Another large body of literature also associates staff wellbeing to job performance, satisfaction, and organisational outcomes. However, Abdullah et al. (2021) discovered that if internal service quality (for instance, communication, management support) contributes to nurses' sense of wellbeing, it </w:t>
      </w:r>
      <w:proofErr w:type="gramStart"/>
      <w:r>
        <w:rPr>
          <w:rFonts w:ascii="Carlito" w:hAnsi="Carlito" w:cs="Carlito"/>
          <w:color w:val="000000"/>
          <w:kern w:val="0"/>
        </w:rPr>
        <w:t>has an effect on</w:t>
      </w:r>
      <w:proofErr w:type="gramEnd"/>
      <w:r>
        <w:rPr>
          <w:rFonts w:ascii="Carlito" w:hAnsi="Carlito" w:cs="Carlito"/>
          <w:color w:val="000000"/>
          <w:kern w:val="0"/>
        </w:rPr>
        <w:t xml:space="preserve"> nurses' job satisfaction and performance. In line with Pradhan and Hati (2022), a multi-dimensional scale of employee wellbeing was validated, which was not only linked to mental health but also purpose, support, and engagement. These insights are transferable to the social care, where intrinsic incentives (such as the desire to </w:t>
      </w:r>
      <w:r>
        <w:rPr>
          <w:rFonts w:ascii="Carlito" w:hAnsi="Carlito" w:cs="Carlito"/>
          <w:color w:val="000000"/>
          <w:kern w:val="0"/>
        </w:rPr>
        <w:lastRenderedPageBreak/>
        <w:t>help others) are undermined by the poor working conditions (Gordon et al., 2020; Johnson et al., 2017).</w:t>
      </w:r>
    </w:p>
    <w:p w14:paraId="13108A09" w14:textId="07B429A6" w:rsidR="00340791" w:rsidRDefault="00340791" w:rsidP="00340791">
      <w:pPr>
        <w:pStyle w:val="Heading2"/>
      </w:pPr>
      <w:bookmarkStart w:id="3" w:name="_Toc197736839"/>
      <w:r>
        <w:t xml:space="preserve">1.2 </w:t>
      </w:r>
      <w:r>
        <w:t>Differences Between Care Home and Domiciliary Care Settings</w:t>
      </w:r>
      <w:bookmarkEnd w:id="3"/>
    </w:p>
    <w:p w14:paraId="7C8C41D9"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Care homes and domiciliary care services are different working environments, although they are both part of the adult social care sector. Setting influences work outcomes and attitudes so much that Berta et al. (2018) studied health support workers in Ontario. Better teamwork and peer support were reported by care home workers, compared to domiciliary care workers who spoke of being more stressed by role isolation and scheduling inconsistency. These findings are, in geographically distinct terms, parallel to UK data and show how setting can play a mediating role in the experience of care work.</w:t>
      </w:r>
    </w:p>
    <w:p w14:paraId="2BC72615"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Domiciliary care tends to be client home based and workers travel frequently and due to time constrained, fragmented schedules. This model of 'lone working,' however, leaves social interaction, access to managerial support and the opportunity for the development of team cohesion. But care home workers tend to work in fixed locations and with more predictable shifts, usually under more direct control. These discrepancies matter not only for logistics, but also for how workers view their jobs and how workers suffer stress (Wheatley, 2017; Randell, 2021).</w:t>
      </w:r>
    </w:p>
    <w:p w14:paraId="120CBE09"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 domiciliary care realm is no less precarious for the conditions of work. </w:t>
      </w:r>
      <w:proofErr w:type="spellStart"/>
      <w:r>
        <w:rPr>
          <w:rFonts w:ascii="Carlito" w:hAnsi="Carlito" w:cs="Carlito"/>
          <w:color w:val="000000"/>
          <w:kern w:val="0"/>
        </w:rPr>
        <w:t>Estabrooks</w:t>
      </w:r>
      <w:proofErr w:type="spellEnd"/>
      <w:r>
        <w:rPr>
          <w:rFonts w:ascii="Carlito" w:hAnsi="Carlito" w:cs="Carlito"/>
          <w:color w:val="000000"/>
          <w:kern w:val="0"/>
        </w:rPr>
        <w:t xml:space="preserve"> et </w:t>
      </w:r>
      <w:proofErr w:type="spellStart"/>
      <w:r>
        <w:rPr>
          <w:rFonts w:ascii="Carlito" w:hAnsi="Carlito" w:cs="Carlito"/>
          <w:color w:val="000000"/>
          <w:kern w:val="0"/>
        </w:rPr>
        <w:t>al’s</w:t>
      </w:r>
      <w:proofErr w:type="spellEnd"/>
      <w:r>
        <w:rPr>
          <w:rFonts w:ascii="Carlito" w:hAnsi="Carlito" w:cs="Carlito"/>
          <w:color w:val="000000"/>
          <w:kern w:val="0"/>
        </w:rPr>
        <w:t xml:space="preserve"> (2015) and Unison (2021) highlights further that domiciliary care workers are more likely to be on zero hours contracts and have little training or career progression. Lower job satisfaction and higher attrition are due in part to such precarity. According to Van der Heijden et al. (2017), lack of social support at work, including more prevalent in domiciliary care and working with patients, increases psychological distress and lowers retention intentions.</w:t>
      </w:r>
    </w:p>
    <w:p w14:paraId="0DE320E9" w14:textId="1CDD9F8E"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Leadership, peer interaction, and autonomy lead to differing employee wellbeing findings. </w:t>
      </w:r>
      <w:r w:rsidR="00513A11">
        <w:rPr>
          <w:rFonts w:ascii="Carlito" w:hAnsi="Carlito" w:cs="Carlito"/>
          <w:color w:val="000000"/>
          <w:kern w:val="0"/>
        </w:rPr>
        <w:t>Wright</w:t>
      </w:r>
      <w:r>
        <w:rPr>
          <w:rFonts w:ascii="Carlito" w:hAnsi="Carlito" w:cs="Carlito"/>
          <w:color w:val="000000"/>
          <w:kern w:val="0"/>
        </w:rPr>
        <w:t xml:space="preserve"> and Gilbert (2008) demonstrated that autonomy in paid work correlates positively with subjective wellbeing; however, autonomy may have negative effects on subjective wellbeing in work involving domiciliary care – because of the absence of adequate support systems. Confirming that variations in wellbeing across different care settings can usefully be seen via the lens of the Job Demand-Control Support model, Ariza-Montes et al. (2018) find that high demands along with low control and low support are bad for wellbeing.</w:t>
      </w:r>
    </w:p>
    <w:p w14:paraId="5D72429D"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lastRenderedPageBreak/>
        <w:t>Although the subject of wellbeing and morale in general adult social care contexts has been studied, few studies compare direct statistical data on care homes against domiciliary settings. Unlike Berta et al. (2018), which is based on data from elsewhere, it is one of the few comparative studies. Due to the structural, contractual and emotional differences across these settings, the research needs to be more focused on whether and how the challenges faced are of different magnitude and type.</w:t>
      </w:r>
    </w:p>
    <w:p w14:paraId="0372752E" w14:textId="11A0C34A" w:rsidR="00340791" w:rsidRDefault="00340791" w:rsidP="00340791">
      <w:pPr>
        <w:pStyle w:val="Heading2"/>
      </w:pPr>
      <w:bookmarkStart w:id="4" w:name="_Toc197736840"/>
      <w:r>
        <w:t xml:space="preserve">1.3 </w:t>
      </w:r>
      <w:r>
        <w:t>Identified Research Gaps</w:t>
      </w:r>
      <w:bookmarkEnd w:id="4"/>
    </w:p>
    <w:p w14:paraId="590607A7"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Although the literature robustly demonstrates the links between wellbeing and retention in the adult social care sector, several notable gaps remain. First, there is little quantitative comparison of experiences of care workers in UK residential and domiciliary settings. Current research focuses on a single setting (typically care homes) or produces sector wide generalizations about the sector, which ignores intra sector differences (Johnston et al., 2021; Gordon et al., 2020).</w:t>
      </w:r>
    </w:p>
    <w:p w14:paraId="5760765F"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 second, is that many studies rely on qualitative or small sample data, which although rich in insight, are of limited generalizability. Peer reviewed literature underutilizes large scale, representative survey data, such as the Capacity Tracker data used in this report. Therefore, it is critical to utilize this knowledge to understand the workforces established around these settings and their related issues.</w:t>
      </w:r>
    </w:p>
    <w:p w14:paraId="2AA9F926"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Third, burnout, stress, and job satisfaction are well studied, but less so is the measurable operational payback of bad morale (e.g. poorer sickness absences and more reliance on agency agents). An exploration of these proxy me for retention challenges would provide an additional, objective basis for workforce planning and resource allocation.</w:t>
      </w:r>
    </w:p>
    <w:p w14:paraId="55C7EA17"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Second, the relationship between wellbeing and setting specific conditions (i.e. lone working in domiciliary care or shift work in care homes) is unexplored. This can aid tailored intervention as understanding how these contextual factors moderate or mediate relationship between morale and retention.</w:t>
      </w:r>
    </w:p>
    <w:p w14:paraId="716C528A" w14:textId="0C9192F6"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 literature is unequivocal that staff wellbeing has an important role in retention in adult social </w:t>
      </w:r>
      <w:r w:rsidR="00513A11">
        <w:rPr>
          <w:rFonts w:ascii="Carlito" w:hAnsi="Carlito" w:cs="Carlito"/>
          <w:color w:val="000000"/>
          <w:kern w:val="0"/>
        </w:rPr>
        <w:t>care and</w:t>
      </w:r>
      <w:r>
        <w:rPr>
          <w:rFonts w:ascii="Carlito" w:hAnsi="Carlito" w:cs="Carlito"/>
          <w:color w:val="000000"/>
          <w:kern w:val="0"/>
        </w:rPr>
        <w:t xml:space="preserve"> differentiates markedly between the care settings in terms of contextual and environmental factors. Despite this, empirical gaps remain concerning comparative research of care homes and domiciliary care using recent large scale post pandemics data. This gap is </w:t>
      </w:r>
      <w:r>
        <w:rPr>
          <w:rFonts w:ascii="Carlito" w:hAnsi="Carlito" w:cs="Carlito"/>
          <w:color w:val="000000"/>
          <w:kern w:val="0"/>
        </w:rPr>
        <w:lastRenderedPageBreak/>
        <w:t>filled by this study, which uses nationally representative survey data to examine whether there is statistically significant difference in the perceived challenges of staff retention in these two main service types.</w:t>
      </w:r>
    </w:p>
    <w:p w14:paraId="63A75E55" w14:textId="5FE9586D" w:rsidR="00340791" w:rsidRDefault="00340791" w:rsidP="00340791">
      <w:pPr>
        <w:pStyle w:val="Heading2"/>
      </w:pPr>
      <w:bookmarkStart w:id="5" w:name="_Toc197736841"/>
      <w:r>
        <w:t xml:space="preserve">1.4 </w:t>
      </w:r>
      <w:r>
        <w:t>Research Question</w:t>
      </w:r>
      <w:bookmarkEnd w:id="5"/>
    </w:p>
    <w:p w14:paraId="26DAD9CB" w14:textId="77777777" w:rsidR="00340791" w:rsidRDefault="00340791" w:rsidP="00340791">
      <w:pPr>
        <w:autoSpaceDE w:val="0"/>
        <w:autoSpaceDN w:val="0"/>
        <w:adjustRightInd w:val="0"/>
        <w:spacing w:after="240" w:line="360" w:lineRule="auto"/>
        <w:jc w:val="both"/>
        <w:rPr>
          <w:rFonts w:ascii="Carlito" w:hAnsi="Carlito" w:cs="Carlito"/>
          <w:color w:val="000000"/>
          <w:kern w:val="0"/>
        </w:rPr>
      </w:pPr>
      <w:r>
        <w:rPr>
          <w:rFonts w:ascii="Carlito-Italic" w:hAnsi="Carlito-Italic" w:cs="Carlito-Italic"/>
          <w:i/>
          <w:iCs/>
          <w:color w:val="000000"/>
          <w:kern w:val="0"/>
        </w:rPr>
        <w:t>Is there a statistically significant difference in the perceived challenges of staff retention between care homes and domiciliary care settings?</w:t>
      </w:r>
    </w:p>
    <w:p w14:paraId="34E1FE57" w14:textId="3566B3EB" w:rsidR="00340791" w:rsidRDefault="00340791" w:rsidP="00340791">
      <w:pPr>
        <w:pStyle w:val="Heading1"/>
      </w:pPr>
      <w:bookmarkStart w:id="6" w:name="_Toc197736842"/>
      <w:r>
        <w:t xml:space="preserve">2 </w:t>
      </w:r>
      <w:r>
        <w:t>Methodology</w:t>
      </w:r>
      <w:bookmarkEnd w:id="6"/>
    </w:p>
    <w:p w14:paraId="5CE70EEB" w14:textId="3125989A" w:rsidR="00340791" w:rsidRDefault="00340791" w:rsidP="00340791">
      <w:pPr>
        <w:pStyle w:val="Heading2"/>
      </w:pPr>
      <w:bookmarkStart w:id="7" w:name="_Toc197736843"/>
      <w:r>
        <w:t xml:space="preserve">2.1 </w:t>
      </w:r>
      <w:r>
        <w:t>Research Design</w:t>
      </w:r>
      <w:bookmarkEnd w:id="7"/>
    </w:p>
    <w:p w14:paraId="273439DE"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Qualitative comparative research was used in this study to investigate staff retention challenges perceived between the two key provider types in the ADS sector, care homes and domiciliary care services. The aim was to ascertain whether statistically significant discrepancies occur in reporting the challenges posed to the workforce morale, sickness absence, and agency staff reliance between the different settings. </w:t>
      </w:r>
      <w:proofErr w:type="gramStart"/>
      <w:r>
        <w:rPr>
          <w:rFonts w:ascii="Carlito" w:hAnsi="Carlito" w:cs="Carlito"/>
          <w:color w:val="000000"/>
          <w:kern w:val="0"/>
        </w:rPr>
        <w:t>In order to</w:t>
      </w:r>
      <w:proofErr w:type="gramEnd"/>
      <w:r>
        <w:rPr>
          <w:rFonts w:ascii="Carlito" w:hAnsi="Carlito" w:cs="Carlito"/>
          <w:color w:val="000000"/>
          <w:kern w:val="0"/>
        </w:rPr>
        <w:t xml:space="preserve"> do this, the study used secondary data and applied both descriptive and inferential statistical techniques. For inferential statistics, T-test has been used to test whether observed differences between settings were statistically meaningful, and descriptive analysis has been provided to give an overall trend of response.</w:t>
      </w:r>
    </w:p>
    <w:p w14:paraId="199CD417" w14:textId="4FB632B6" w:rsidR="00340791" w:rsidRDefault="00340791" w:rsidP="00340791">
      <w:pPr>
        <w:pStyle w:val="Heading2"/>
      </w:pPr>
      <w:bookmarkStart w:id="8" w:name="_Toc197736844"/>
      <w:r>
        <w:t xml:space="preserve">2.2 </w:t>
      </w:r>
      <w:r>
        <w:t>Data Source and Context</w:t>
      </w:r>
      <w:bookmarkEnd w:id="8"/>
    </w:p>
    <w:p w14:paraId="3081330C"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For this research, the data was sourced from the publicly available dataset the UK Department of Health and Social Care (DHSC) published, the Adult Social Care Workforce Survey – April 2025. The Adult Social Care Workforce Survey, April 2025 Report (DHSC, 2025) is the name of the official government report which accompanied the dataset, and it can be found online in the GOV.UK website. The survey was disseminated through our Capacity Tracker platform around all CQC registered adult social care providers in England. The collecting period of the data was from 19 August to 19 September.</w:t>
      </w:r>
    </w:p>
    <w:p w14:paraId="67903224"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 main intent of the survey was to gain real time visibility into workforce problems on the eve of winter 2024 </w:t>
      </w:r>
      <w:proofErr w:type="gramStart"/>
      <w:r>
        <w:rPr>
          <w:rFonts w:ascii="Carlito" w:hAnsi="Carlito" w:cs="Carlito"/>
          <w:color w:val="000000"/>
          <w:kern w:val="0"/>
        </w:rPr>
        <w:t>and in particular, the</w:t>
      </w:r>
      <w:proofErr w:type="gramEnd"/>
      <w:r>
        <w:rPr>
          <w:rFonts w:ascii="Carlito" w:hAnsi="Carlito" w:cs="Carlito"/>
          <w:color w:val="000000"/>
          <w:kern w:val="0"/>
        </w:rPr>
        <w:t xml:space="preserve"> staffing problems deriving from reduced international recruitment. The DHSC report refers to Home Office data which shows that </w:t>
      </w:r>
      <w:r>
        <w:rPr>
          <w:rFonts w:ascii="Carlito" w:hAnsi="Carlito" w:cs="Carlito"/>
          <w:color w:val="000000"/>
          <w:kern w:val="0"/>
        </w:rPr>
        <w:lastRenderedPageBreak/>
        <w:t>entry visa grants for care workers fell by 84 percent during Q1 2024 compared to the previous three months and by 87 percent compared to the previous year's same quarter. The dramatic decline in overseas recruitment placed immense strain on the domestic care workforce to the point where these already existing recruitment and retention challenges were intensified.</w:t>
      </w:r>
    </w:p>
    <w:p w14:paraId="21E086AA"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 dataset includes 4,913 responses with more volume and proportion of responses recorded from domiciliary care settings. Responses were geographically balanced, and in particular strong representation came from the </w:t>
      </w:r>
      <w:proofErr w:type="gramStart"/>
      <w:r>
        <w:rPr>
          <w:rFonts w:ascii="Carlito" w:hAnsi="Carlito" w:cs="Carlito"/>
          <w:color w:val="000000"/>
          <w:kern w:val="0"/>
        </w:rPr>
        <w:t>North East</w:t>
      </w:r>
      <w:proofErr w:type="gramEnd"/>
      <w:r>
        <w:rPr>
          <w:rFonts w:ascii="Carlito" w:hAnsi="Carlito" w:cs="Carlito"/>
          <w:color w:val="000000"/>
          <w:kern w:val="0"/>
        </w:rPr>
        <w:t xml:space="preserve"> and Yorkshire. The dataset provides a fertile ground for cross sectional views of the adult social care workforce over a critical period, in contrast with other systems the dataset can be meaningfully compared with across provider types.</w:t>
      </w:r>
    </w:p>
    <w:p w14:paraId="3D9AFDB3" w14:textId="3C09C9E0" w:rsidR="00340791" w:rsidRDefault="00340791" w:rsidP="00340791">
      <w:pPr>
        <w:pStyle w:val="Heading2"/>
      </w:pPr>
      <w:bookmarkStart w:id="9" w:name="_Toc197736845"/>
      <w:r>
        <w:t xml:space="preserve">2.3 </w:t>
      </w:r>
      <w:r>
        <w:t>Use of Secondary Data</w:t>
      </w:r>
      <w:bookmarkEnd w:id="9"/>
    </w:p>
    <w:p w14:paraId="7E03A2FA"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Based on secondary data analysis methodology which involves redefining and exploring the old data to answer to the newly formulated questions, the research is conducted based entirely on secondary data analysis. Health and social care contexts lend themselves to use of secondary data very well since administrative or survey datasets tend to contain a very large amount of disparate information that can be reused for educational research. The use of secondary data analysis allows for the efficient access to large samples representative for which information can be generated which are policy relevant without the need for the expenditure of expensive primary data collection, according to Johnston (2014).</w:t>
      </w:r>
    </w:p>
    <w:p w14:paraId="6C9040B0"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This study used the dataset that was downloaded from the DHSC’s official statistics portal in OpenDocument Spreadsheet (.</w:t>
      </w:r>
      <w:proofErr w:type="spellStart"/>
      <w:r>
        <w:rPr>
          <w:rFonts w:ascii="Carlito" w:hAnsi="Carlito" w:cs="Carlito"/>
          <w:color w:val="000000"/>
          <w:kern w:val="0"/>
        </w:rPr>
        <w:t>ods</w:t>
      </w:r>
      <w:proofErr w:type="spellEnd"/>
      <w:r>
        <w:rPr>
          <w:rFonts w:ascii="Carlito" w:hAnsi="Carlito" w:cs="Carlito"/>
          <w:color w:val="000000"/>
          <w:kern w:val="0"/>
        </w:rPr>
        <w:t>) format. Data relevant on subject tables extracted and reviewed which have questions related to morale, wellbeing, staffing impact and agency workforce challenges. Use of a government endorsed dataset supports generalisability to wider adult social care sector in England and helps to enhance the credibility of the findings.</w:t>
      </w:r>
    </w:p>
    <w:p w14:paraId="750E811E" w14:textId="4953C3E4" w:rsidR="00340791" w:rsidRDefault="00340791" w:rsidP="00340791">
      <w:pPr>
        <w:pStyle w:val="Heading2"/>
      </w:pPr>
      <w:bookmarkStart w:id="10" w:name="_Toc197736846"/>
      <w:r>
        <w:t xml:space="preserve">2.4 </w:t>
      </w:r>
      <w:r>
        <w:t>Variables and Definitions</w:t>
      </w:r>
      <w:bookmarkEnd w:id="10"/>
    </w:p>
    <w:p w14:paraId="487C4C5E"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A few of the metrics that influenced the perceived workforce challenges were analysed. Provider responses in the form of rating the current situation as ‘extremely challenging’, ‘moderately challenging’ or ‘not challenging at all’ were used to measure staff morale. Further variables included comparisons with the previous year’s morale, and perceived effects of low </w:t>
      </w:r>
      <w:r>
        <w:rPr>
          <w:rFonts w:ascii="Carlito" w:hAnsi="Carlito" w:cs="Carlito"/>
          <w:color w:val="000000"/>
          <w:kern w:val="0"/>
        </w:rPr>
        <w:lastRenderedPageBreak/>
        <w:t>morale, i.e., sickness or problems covering shifts. The proxies for workforce strain and staffing instability included reliance on agency staff as does and the challenges of accessing such staff.</w:t>
      </w:r>
    </w:p>
    <w:p w14:paraId="638A7E59"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Care setting type was coded (independent variable) as “care homes” (residential providers) and “domiciliary care” (community-based providers). </w:t>
      </w:r>
      <w:proofErr w:type="gramStart"/>
      <w:r>
        <w:rPr>
          <w:rFonts w:ascii="Carlito" w:hAnsi="Carlito" w:cs="Carlito"/>
          <w:color w:val="000000"/>
          <w:kern w:val="0"/>
        </w:rPr>
        <w:t>All of</w:t>
      </w:r>
      <w:proofErr w:type="gramEnd"/>
      <w:r>
        <w:rPr>
          <w:rFonts w:ascii="Carlito" w:hAnsi="Carlito" w:cs="Carlito"/>
          <w:color w:val="000000"/>
          <w:kern w:val="0"/>
        </w:rPr>
        <w:t xml:space="preserve"> these categories were already in the dataset and thus for all of the variables, this meant they could be directly compared.</w:t>
      </w:r>
    </w:p>
    <w:p w14:paraId="531E121E" w14:textId="7687CA7C" w:rsidR="00340791" w:rsidRDefault="00340791" w:rsidP="00340791">
      <w:pPr>
        <w:pStyle w:val="Heading2"/>
      </w:pPr>
      <w:bookmarkStart w:id="11" w:name="_Toc197736847"/>
      <w:r>
        <w:t xml:space="preserve">2.5 </w:t>
      </w:r>
      <w:r>
        <w:t>Data Cleaning and Preparation</w:t>
      </w:r>
      <w:bookmarkEnd w:id="11"/>
    </w:p>
    <w:p w14:paraId="43A9F76B"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 dataset was used for statistical analysis, hence initial data cleaning was needed. Metadata, header rows and non-response categories like ‘don’t know’ are excluded from the analysis. To compute statistics, data was converted into numeric formats from count and percentage response, and responses with missing or incomplete data on the key variables of interest were removed. Appropriate data from both care homes and domiciliary care settings were retained where possible, and disaggregated so that cross setting comparison was possible. For questions such as multiple response questions (i.e., select all applicable impacts of low morale), the data was restructured to facilitate comparison of frequency.</w:t>
      </w:r>
    </w:p>
    <w:p w14:paraId="6A859AA3" w14:textId="3E325480" w:rsidR="00340791" w:rsidRDefault="00340791" w:rsidP="00340791">
      <w:pPr>
        <w:pStyle w:val="Heading2"/>
      </w:pPr>
      <w:bookmarkStart w:id="12" w:name="_Toc197736848"/>
      <w:r>
        <w:t xml:space="preserve">2.6 </w:t>
      </w:r>
      <w:r>
        <w:t>Statistical Analysis</w:t>
      </w:r>
      <w:bookmarkEnd w:id="12"/>
    </w:p>
    <w:p w14:paraId="228A4618"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Two statistical analysis types of work were conducted. The data were summarised with descriptive statistics and patterns of response trends were described in each setting. Responses were distributed by frequency and percentages to illustrate the distribution of care home and domiciliary care services. It also laid the groundwork to understand predicaments where we frequently reported workforce pressure.</w:t>
      </w:r>
    </w:p>
    <w:p w14:paraId="2DAFC942"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Secondly, on inferential statistics were used to see if the differences observed between the settings were statistically significant. The principal inferential method has been chosen as the T test. Whereas the dependent variable is continuous or ordinal in nature, T-TEST is particularly suited for comparing the means of responses from two or more independent groups. Because applied social scientist can use T-TEST analysis to treat ordinal variables (such as perceived challenge levels) as approximate interval data under appropriate conditions, this was treated as ordinal variables in this instance.</w:t>
      </w:r>
    </w:p>
    <w:p w14:paraId="4BC8A7D7" w14:textId="1A3A7D07" w:rsidR="00340791" w:rsidRDefault="00340791" w:rsidP="00340791">
      <w:pPr>
        <w:pStyle w:val="Heading2"/>
      </w:pPr>
      <w:bookmarkStart w:id="13" w:name="_Toc197736849"/>
      <w:r>
        <w:lastRenderedPageBreak/>
        <w:t xml:space="preserve">2.7 </w:t>
      </w:r>
      <w:r>
        <w:t>Ethical Considerations</w:t>
      </w:r>
      <w:bookmarkEnd w:id="13"/>
    </w:p>
    <w:p w14:paraId="6BDBCC27"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This study was dependent upon using anonymised, publicly available secondary data; therefore, formal ethical approval was not required. Data was released from this survey which was conducted by the DHSC under appropriate government research protocols and no personally identifiable information was made available. However, the study was conducted responsibly, where data handling principles such as responsible data handling, appropriate attribution were upheld, as well as transparency in reporting. It also followed guidelines set out by the Economic and Social Research Council (ESRC, 2022) for the ethical use of secondary data in social research.</w:t>
      </w:r>
    </w:p>
    <w:p w14:paraId="6A33E755" w14:textId="363764BD" w:rsidR="00340791" w:rsidRDefault="00340791" w:rsidP="00340791">
      <w:pPr>
        <w:pStyle w:val="Heading2"/>
      </w:pPr>
      <w:bookmarkStart w:id="14" w:name="_Toc197736850"/>
      <w:r>
        <w:t xml:space="preserve">2.8 </w:t>
      </w:r>
      <w:r>
        <w:t>Limitations</w:t>
      </w:r>
      <w:bookmarkEnd w:id="14"/>
    </w:p>
    <w:p w14:paraId="643E88C2"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On one hand, there is secondary data, which provides a cost effective and representative basis for analysis, while on the other hand, it has some limitations. There was no control by the researcher on the survey design or questions asked, and their answers could be interpreted differently. Furthermore, there was no individual level demographic data available within the dataset such as age, gender, or tenure which limited subsequent </w:t>
      </w:r>
      <w:proofErr w:type="gramStart"/>
      <w:r>
        <w:rPr>
          <w:rFonts w:ascii="Carlito" w:hAnsi="Carlito" w:cs="Carlito"/>
          <w:color w:val="000000"/>
          <w:kern w:val="0"/>
        </w:rPr>
        <w:t>sub grouping</w:t>
      </w:r>
      <w:proofErr w:type="gramEnd"/>
      <w:r>
        <w:rPr>
          <w:rFonts w:ascii="Carlito" w:hAnsi="Carlito" w:cs="Carlito"/>
          <w:color w:val="000000"/>
          <w:kern w:val="0"/>
        </w:rPr>
        <w:t xml:space="preserve"> analysis. Additionally, there may be a degree of self-selection bias in the voluntary nature of the survey</w:t>
      </w:r>
      <w:proofErr w:type="gramStart"/>
      <w:r>
        <w:rPr>
          <w:rFonts w:ascii="Carlito" w:hAnsi="Carlito" w:cs="Carlito"/>
          <w:color w:val="000000"/>
          <w:kern w:val="0"/>
        </w:rPr>
        <w:t>, in particular, if</w:t>
      </w:r>
      <w:proofErr w:type="gramEnd"/>
      <w:r>
        <w:rPr>
          <w:rFonts w:ascii="Carlito" w:hAnsi="Carlito" w:cs="Carlito"/>
          <w:color w:val="000000"/>
          <w:kern w:val="0"/>
        </w:rPr>
        <w:t xml:space="preserve"> providers facing severe workforce issues were more likely to reply.</w:t>
      </w:r>
    </w:p>
    <w:p w14:paraId="4E11755C" w14:textId="77777777" w:rsidR="00340791" w:rsidRDefault="00340791" w:rsidP="00340791">
      <w:pPr>
        <w:autoSpaceDE w:val="0"/>
        <w:autoSpaceDN w:val="0"/>
        <w:adjustRightInd w:val="0"/>
        <w:spacing w:after="240" w:line="360" w:lineRule="auto"/>
        <w:jc w:val="both"/>
        <w:rPr>
          <w:rFonts w:ascii="Carlito" w:hAnsi="Carlito" w:cs="Carlito"/>
          <w:color w:val="000000"/>
          <w:kern w:val="0"/>
        </w:rPr>
      </w:pPr>
      <w:r>
        <w:rPr>
          <w:rFonts w:ascii="Carlito" w:hAnsi="Carlito" w:cs="Carlito"/>
          <w:color w:val="000000"/>
          <w:kern w:val="0"/>
        </w:rPr>
        <w:t xml:space="preserve">While these limitations are significant, the data set is still a robust and useful resource for evaluating differences in workforce challenges arising from setting. </w:t>
      </w:r>
      <w:proofErr w:type="gramStart"/>
      <w:r>
        <w:rPr>
          <w:rFonts w:ascii="Carlito" w:hAnsi="Carlito" w:cs="Carlito"/>
          <w:color w:val="000000"/>
          <w:kern w:val="0"/>
        </w:rPr>
        <w:t>In particular, its</w:t>
      </w:r>
      <w:proofErr w:type="gramEnd"/>
      <w:r>
        <w:rPr>
          <w:rFonts w:ascii="Carlito" w:hAnsi="Carlito" w:cs="Carlito"/>
          <w:color w:val="000000"/>
          <w:kern w:val="0"/>
        </w:rPr>
        <w:t xml:space="preserve"> scale, timeliness and official endorsement precisely sets it apart as a potential source of evidence informing policy and practice in the adult social care sector.</w:t>
      </w:r>
    </w:p>
    <w:p w14:paraId="0ED02011" w14:textId="66577207" w:rsidR="00340791" w:rsidRDefault="00340791" w:rsidP="00340791">
      <w:pPr>
        <w:pStyle w:val="Heading1"/>
      </w:pPr>
      <w:bookmarkStart w:id="15" w:name="_Toc197736851"/>
      <w:r>
        <w:t xml:space="preserve">3 </w:t>
      </w:r>
      <w:r>
        <w:t>Results</w:t>
      </w:r>
      <w:bookmarkEnd w:id="15"/>
    </w:p>
    <w:p w14:paraId="616AF741" w14:textId="70EC3D70" w:rsidR="00340791" w:rsidRDefault="00340791" w:rsidP="00340791">
      <w:pPr>
        <w:pStyle w:val="Heading2"/>
      </w:pPr>
      <w:bookmarkStart w:id="16" w:name="_Toc197736852"/>
      <w:r>
        <w:t xml:space="preserve">3.1 </w:t>
      </w:r>
      <w:r>
        <w:t>Introduction to Workforce Challenges</w:t>
      </w:r>
      <w:bookmarkEnd w:id="16"/>
    </w:p>
    <w:p w14:paraId="5F9C529A"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Data from the Adult Social Care Workforce Survey (April 2025) on England’s care sector highlights strain on areas of recruitment, retention, morale and agency staff access. The responses come from 4,913 care provider locations that comprise both care home and domiciliary care provider services, giving us a balanced picture of what the workforce looks like. These domains are characterized and the findings across them highlighted, describing </w:t>
      </w:r>
      <w:r>
        <w:rPr>
          <w:rFonts w:ascii="Carlito" w:hAnsi="Carlito" w:cs="Carlito"/>
          <w:color w:val="000000"/>
          <w:kern w:val="0"/>
        </w:rPr>
        <w:lastRenderedPageBreak/>
        <w:t>statistically observable differences between provider types and emphasizing issues identifying structural problems contributing to the workforce difficulties found.</w:t>
      </w:r>
    </w:p>
    <w:p w14:paraId="0B19BD8F" w14:textId="5BDAFE42" w:rsidR="00340791" w:rsidRDefault="00340791" w:rsidP="00340791">
      <w:pPr>
        <w:pStyle w:val="Heading2"/>
      </w:pPr>
      <w:bookmarkStart w:id="17" w:name="_Toc197736853"/>
      <w:r>
        <w:t xml:space="preserve">3.2 </w:t>
      </w:r>
      <w:r>
        <w:t>Staff Retention: A Sector-Wide Challenge</w:t>
      </w:r>
      <w:bookmarkEnd w:id="17"/>
    </w:p>
    <w:p w14:paraId="7589C1BB" w14:textId="4492D94C" w:rsidR="00340791" w:rsidRDefault="00340791" w:rsidP="00340791">
      <w:pPr>
        <w:pStyle w:val="Heading3"/>
      </w:pPr>
      <w:bookmarkStart w:id="18" w:name="_Toc197736854"/>
      <w:r>
        <w:t xml:space="preserve">3.2.1 </w:t>
      </w:r>
      <w:r>
        <w:t>National Trends</w:t>
      </w:r>
      <w:bookmarkEnd w:id="18"/>
    </w:p>
    <w:p w14:paraId="40DA1846"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Staff retention emerged as a key pressure point, with 56.6% of providers describing it as either “extremely challenging,” “very challenging,” or “somewhat challenging.” In contrast, 42.2% reported that retention was “not very challenging” or “not challenging at all,” and a marginal 1.2% were undecided. These proportions underscore the ongoing difficulty of retaining experienced staff amid rising competition from other sectors and roles.</w:t>
      </w:r>
    </w:p>
    <w:p w14:paraId="09E1FA4B"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Table 1:  Overview of the current workforce situation</w:t>
      </w:r>
    </w:p>
    <w:tbl>
      <w:tblPr>
        <w:tblW w:w="0" w:type="auto"/>
        <w:tblInd w:w="-16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440"/>
        <w:gridCol w:w="1500"/>
        <w:gridCol w:w="900"/>
        <w:gridCol w:w="1520"/>
        <w:gridCol w:w="2840"/>
      </w:tblGrid>
      <w:tr w:rsidR="00340791" w14:paraId="1B756ABD" w14:textId="77777777">
        <w:tblPrEx>
          <w:tblCellMar>
            <w:top w:w="0" w:type="dxa"/>
            <w:bottom w:w="0" w:type="dxa"/>
          </w:tblCellMar>
        </w:tblPrEx>
        <w:tc>
          <w:tcPr>
            <w:tcW w:w="1440" w:type="dxa"/>
            <w:tcBorders>
              <w:top w:val="none" w:sz="6" w:space="0" w:color="auto"/>
              <w:bottom w:val="single" w:sz="8" w:space="0" w:color="6C6C6C"/>
              <w:right w:val="single" w:sz="8" w:space="0" w:color="6C6C6C"/>
            </w:tcBorders>
            <w:tcMar>
              <w:top w:w="80" w:type="nil"/>
              <w:left w:w="80" w:type="nil"/>
              <w:bottom w:w="80" w:type="nil"/>
              <w:right w:w="80" w:type="nil"/>
            </w:tcMar>
          </w:tcPr>
          <w:p w14:paraId="3D4BBFF3"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Question</w:t>
            </w:r>
          </w:p>
        </w:tc>
        <w:tc>
          <w:tcPr>
            <w:tcW w:w="1500" w:type="dxa"/>
            <w:tcBorders>
              <w:top w:val="none" w:sz="6" w:space="0" w:color="auto"/>
              <w:left w:val="single" w:sz="8" w:space="0" w:color="6C6C6C"/>
              <w:bottom w:val="single" w:sz="8" w:space="0" w:color="6C6C6C"/>
              <w:right w:val="none" w:sz="6" w:space="0" w:color="auto"/>
            </w:tcBorders>
            <w:tcMar>
              <w:top w:w="80" w:type="nil"/>
              <w:left w:w="80" w:type="nil"/>
              <w:bottom w:w="80" w:type="nil"/>
              <w:right w:w="80" w:type="nil"/>
            </w:tcMar>
          </w:tcPr>
          <w:p w14:paraId="1E0FA9AB"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Challenging</w:t>
            </w:r>
          </w:p>
        </w:tc>
        <w:tc>
          <w:tcPr>
            <w:tcW w:w="900" w:type="dxa"/>
            <w:tcBorders>
              <w:top w:val="none" w:sz="6" w:space="0" w:color="auto"/>
              <w:left w:val="none" w:sz="6" w:space="0" w:color="auto"/>
              <w:bottom w:val="single" w:sz="8" w:space="0" w:color="6C6C6C"/>
              <w:right w:val="none" w:sz="6" w:space="0" w:color="auto"/>
            </w:tcBorders>
            <w:tcMar>
              <w:top w:w="80" w:type="nil"/>
              <w:left w:w="80" w:type="nil"/>
              <w:bottom w:w="80" w:type="nil"/>
              <w:right w:w="80" w:type="nil"/>
            </w:tcMar>
          </w:tcPr>
          <w:p w14:paraId="59ECB72C"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Unable to say</w:t>
            </w:r>
          </w:p>
        </w:tc>
        <w:tc>
          <w:tcPr>
            <w:tcW w:w="1520" w:type="dxa"/>
            <w:tcBorders>
              <w:top w:val="none" w:sz="6" w:space="0" w:color="auto"/>
              <w:left w:val="none" w:sz="6" w:space="0" w:color="auto"/>
              <w:bottom w:val="single" w:sz="8" w:space="0" w:color="6C6C6C"/>
              <w:right w:val="none" w:sz="6" w:space="0" w:color="auto"/>
            </w:tcBorders>
            <w:tcMar>
              <w:top w:w="80" w:type="nil"/>
              <w:left w:w="80" w:type="nil"/>
              <w:bottom w:w="80" w:type="nil"/>
              <w:right w:w="80" w:type="nil"/>
            </w:tcMar>
          </w:tcPr>
          <w:p w14:paraId="693BF9B5"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Not challenging</w:t>
            </w:r>
          </w:p>
        </w:tc>
        <w:tc>
          <w:tcPr>
            <w:tcW w:w="2840" w:type="dxa"/>
            <w:tcBorders>
              <w:top w:val="none" w:sz="6" w:space="0" w:color="auto"/>
              <w:left w:val="none" w:sz="6" w:space="0" w:color="auto"/>
              <w:bottom w:val="single" w:sz="8" w:space="0" w:color="6C6C6C"/>
            </w:tcBorders>
            <w:tcMar>
              <w:top w:w="80" w:type="nil"/>
              <w:left w:w="80" w:type="nil"/>
              <w:bottom w:w="80" w:type="nil"/>
              <w:right w:w="80" w:type="nil"/>
            </w:tcMar>
          </w:tcPr>
          <w:p w14:paraId="3CE79615"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Excluding N/A responses (with number)</w:t>
            </w:r>
          </w:p>
        </w:tc>
      </w:tr>
      <w:tr w:rsidR="00340791" w14:paraId="2BC31ECA" w14:textId="77777777">
        <w:tblPrEx>
          <w:tblBorders>
            <w:top w:val="none" w:sz="0" w:space="0" w:color="auto"/>
          </w:tblBorders>
          <w:tblCellMar>
            <w:top w:w="0" w:type="dxa"/>
            <w:bottom w:w="0" w:type="dxa"/>
          </w:tblCellMar>
        </w:tblPrEx>
        <w:tc>
          <w:tcPr>
            <w:tcW w:w="1440" w:type="dxa"/>
            <w:tcBorders>
              <w:top w:val="single" w:sz="8" w:space="0" w:color="6C6C6C"/>
              <w:bottom w:val="none" w:sz="6" w:space="0" w:color="auto"/>
              <w:right w:val="single" w:sz="8" w:space="0" w:color="6C6C6C"/>
            </w:tcBorders>
            <w:shd w:val="clear" w:color="auto" w:fill="EFEFEF"/>
            <w:tcMar>
              <w:top w:w="80" w:type="nil"/>
              <w:left w:w="80" w:type="nil"/>
              <w:bottom w:w="80" w:type="nil"/>
              <w:right w:w="80" w:type="nil"/>
            </w:tcMar>
          </w:tcPr>
          <w:p w14:paraId="028C969A"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Retaining staff</w:t>
            </w:r>
          </w:p>
        </w:tc>
        <w:tc>
          <w:tcPr>
            <w:tcW w:w="1500" w:type="dxa"/>
            <w:tcBorders>
              <w:top w:val="single" w:sz="8" w:space="0" w:color="6C6C6C"/>
              <w:left w:val="single" w:sz="8" w:space="0" w:color="6C6C6C"/>
              <w:bottom w:val="none" w:sz="6" w:space="0" w:color="auto"/>
              <w:right w:val="none" w:sz="6" w:space="0" w:color="auto"/>
            </w:tcBorders>
            <w:shd w:val="clear" w:color="auto" w:fill="EFEFEF"/>
            <w:tcMar>
              <w:top w:w="80" w:type="nil"/>
              <w:left w:w="80" w:type="nil"/>
              <w:bottom w:w="80" w:type="nil"/>
              <w:right w:w="80" w:type="nil"/>
            </w:tcMar>
          </w:tcPr>
          <w:p w14:paraId="667A3F6D"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56.6%</w:t>
            </w:r>
          </w:p>
        </w:tc>
        <w:tc>
          <w:tcPr>
            <w:tcW w:w="900" w:type="dxa"/>
            <w:tcBorders>
              <w:top w:val="single" w:sz="8" w:space="0" w:color="6C6C6C"/>
              <w:left w:val="none" w:sz="6" w:space="0" w:color="auto"/>
              <w:bottom w:val="none" w:sz="6" w:space="0" w:color="auto"/>
              <w:right w:val="none" w:sz="6" w:space="0" w:color="auto"/>
            </w:tcBorders>
            <w:shd w:val="clear" w:color="auto" w:fill="EFEFEF"/>
            <w:tcMar>
              <w:top w:w="80" w:type="nil"/>
              <w:left w:w="80" w:type="nil"/>
              <w:bottom w:w="80" w:type="nil"/>
              <w:right w:w="80" w:type="nil"/>
            </w:tcMar>
          </w:tcPr>
          <w:p w14:paraId="7AE01C40"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1.2%</w:t>
            </w:r>
          </w:p>
        </w:tc>
        <w:tc>
          <w:tcPr>
            <w:tcW w:w="1520" w:type="dxa"/>
            <w:tcBorders>
              <w:top w:val="single" w:sz="8" w:space="0" w:color="6C6C6C"/>
              <w:left w:val="none" w:sz="6" w:space="0" w:color="auto"/>
              <w:bottom w:val="none" w:sz="6" w:space="0" w:color="auto"/>
              <w:right w:val="none" w:sz="6" w:space="0" w:color="auto"/>
            </w:tcBorders>
            <w:shd w:val="clear" w:color="auto" w:fill="EFEFEF"/>
            <w:tcMar>
              <w:top w:w="80" w:type="nil"/>
              <w:left w:w="80" w:type="nil"/>
              <w:bottom w:w="80" w:type="nil"/>
              <w:right w:w="80" w:type="nil"/>
            </w:tcMar>
          </w:tcPr>
          <w:p w14:paraId="02A8CA6D"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42.2%</w:t>
            </w:r>
          </w:p>
        </w:tc>
        <w:tc>
          <w:tcPr>
            <w:tcW w:w="2840" w:type="dxa"/>
            <w:tcBorders>
              <w:top w:val="single" w:sz="8" w:space="0" w:color="6C6C6C"/>
              <w:left w:val="none" w:sz="6" w:space="0" w:color="auto"/>
              <w:bottom w:val="none" w:sz="6" w:space="0" w:color="auto"/>
            </w:tcBorders>
            <w:shd w:val="clear" w:color="auto" w:fill="EFEFEF"/>
            <w:tcMar>
              <w:top w:w="80" w:type="nil"/>
              <w:left w:w="80" w:type="nil"/>
              <w:bottom w:w="80" w:type="nil"/>
              <w:right w:w="80" w:type="nil"/>
            </w:tcMar>
          </w:tcPr>
          <w:p w14:paraId="206A5ECA"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100% (4,913)</w:t>
            </w:r>
          </w:p>
        </w:tc>
      </w:tr>
      <w:tr w:rsidR="00340791" w14:paraId="2E19980F" w14:textId="77777777">
        <w:tblPrEx>
          <w:tblBorders>
            <w:top w:val="none" w:sz="0" w:space="0" w:color="auto"/>
          </w:tblBorders>
          <w:tblCellMar>
            <w:top w:w="0" w:type="dxa"/>
            <w:bottom w:w="0" w:type="dxa"/>
          </w:tblCellMar>
        </w:tblPrEx>
        <w:tc>
          <w:tcPr>
            <w:tcW w:w="1440" w:type="dxa"/>
            <w:tcBorders>
              <w:top w:val="none" w:sz="6" w:space="0" w:color="auto"/>
              <w:bottom w:val="none" w:sz="6" w:space="0" w:color="auto"/>
              <w:right w:val="single" w:sz="8" w:space="0" w:color="6C6C6C"/>
            </w:tcBorders>
            <w:tcMar>
              <w:top w:w="80" w:type="nil"/>
              <w:left w:w="80" w:type="nil"/>
              <w:bottom w:w="80" w:type="nil"/>
              <w:right w:w="80" w:type="nil"/>
            </w:tcMar>
          </w:tcPr>
          <w:p w14:paraId="7780E6B9"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Recruiting staff</w:t>
            </w:r>
          </w:p>
        </w:tc>
        <w:tc>
          <w:tcPr>
            <w:tcW w:w="1500" w:type="dxa"/>
            <w:tcBorders>
              <w:top w:val="none" w:sz="6" w:space="0" w:color="auto"/>
              <w:left w:val="single" w:sz="8" w:space="0" w:color="6C6C6C"/>
              <w:bottom w:val="none" w:sz="6" w:space="0" w:color="auto"/>
              <w:right w:val="none" w:sz="6" w:space="0" w:color="auto"/>
            </w:tcBorders>
            <w:tcMar>
              <w:top w:w="80" w:type="nil"/>
              <w:left w:w="80" w:type="nil"/>
              <w:bottom w:w="80" w:type="nil"/>
              <w:right w:w="80" w:type="nil"/>
            </w:tcMar>
          </w:tcPr>
          <w:p w14:paraId="27204204"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71.0%</w:t>
            </w:r>
          </w:p>
        </w:tc>
        <w:tc>
          <w:tcPr>
            <w:tcW w:w="900" w:type="dxa"/>
            <w:tcBorders>
              <w:top w:val="none" w:sz="6" w:space="0" w:color="auto"/>
              <w:left w:val="none" w:sz="6" w:space="0" w:color="auto"/>
              <w:bottom w:val="none" w:sz="6" w:space="0" w:color="auto"/>
              <w:right w:val="none" w:sz="6" w:space="0" w:color="auto"/>
            </w:tcBorders>
            <w:tcMar>
              <w:top w:w="80" w:type="nil"/>
              <w:left w:w="80" w:type="nil"/>
              <w:bottom w:w="80" w:type="nil"/>
              <w:right w:w="80" w:type="nil"/>
            </w:tcMar>
          </w:tcPr>
          <w:p w14:paraId="1B916235"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2.7%</w:t>
            </w:r>
          </w:p>
        </w:tc>
        <w:tc>
          <w:tcPr>
            <w:tcW w:w="1520" w:type="dxa"/>
            <w:tcBorders>
              <w:top w:val="none" w:sz="6" w:space="0" w:color="auto"/>
              <w:left w:val="none" w:sz="6" w:space="0" w:color="auto"/>
              <w:bottom w:val="none" w:sz="6" w:space="0" w:color="auto"/>
              <w:right w:val="none" w:sz="6" w:space="0" w:color="auto"/>
            </w:tcBorders>
            <w:tcMar>
              <w:top w:w="80" w:type="nil"/>
              <w:left w:w="80" w:type="nil"/>
              <w:bottom w:w="80" w:type="nil"/>
              <w:right w:w="80" w:type="nil"/>
            </w:tcMar>
          </w:tcPr>
          <w:p w14:paraId="33713B0F"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26.3%</w:t>
            </w:r>
          </w:p>
        </w:tc>
        <w:tc>
          <w:tcPr>
            <w:tcW w:w="2840" w:type="dxa"/>
            <w:tcBorders>
              <w:top w:val="none" w:sz="6" w:space="0" w:color="auto"/>
              <w:left w:val="none" w:sz="6" w:space="0" w:color="auto"/>
              <w:bottom w:val="none" w:sz="6" w:space="0" w:color="auto"/>
            </w:tcBorders>
            <w:tcMar>
              <w:top w:w="80" w:type="nil"/>
              <w:left w:w="80" w:type="nil"/>
              <w:bottom w:w="80" w:type="nil"/>
              <w:right w:w="80" w:type="nil"/>
            </w:tcMar>
          </w:tcPr>
          <w:p w14:paraId="19F383F2"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100% (4,913)</w:t>
            </w:r>
          </w:p>
        </w:tc>
      </w:tr>
      <w:tr w:rsidR="00340791" w14:paraId="1F6C03F0" w14:textId="77777777">
        <w:tblPrEx>
          <w:tblBorders>
            <w:top w:val="none" w:sz="0" w:space="0" w:color="auto"/>
          </w:tblBorders>
          <w:tblCellMar>
            <w:top w:w="0" w:type="dxa"/>
            <w:bottom w:w="0" w:type="dxa"/>
          </w:tblCellMar>
        </w:tblPrEx>
        <w:tc>
          <w:tcPr>
            <w:tcW w:w="1440" w:type="dxa"/>
            <w:tcBorders>
              <w:top w:val="none" w:sz="6" w:space="0" w:color="auto"/>
              <w:bottom w:val="none" w:sz="6" w:space="0" w:color="auto"/>
              <w:right w:val="single" w:sz="8" w:space="0" w:color="6C6C6C"/>
            </w:tcBorders>
            <w:shd w:val="clear" w:color="auto" w:fill="EFEFEF"/>
            <w:tcMar>
              <w:top w:w="80" w:type="nil"/>
              <w:left w:w="80" w:type="nil"/>
              <w:bottom w:w="80" w:type="nil"/>
              <w:right w:w="80" w:type="nil"/>
            </w:tcMar>
          </w:tcPr>
          <w:p w14:paraId="26EB3352"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Maintaining morale</w:t>
            </w:r>
          </w:p>
        </w:tc>
        <w:tc>
          <w:tcPr>
            <w:tcW w:w="1500" w:type="dxa"/>
            <w:tcBorders>
              <w:top w:val="none" w:sz="6" w:space="0" w:color="auto"/>
              <w:left w:val="single" w:sz="8" w:space="0" w:color="6C6C6C"/>
              <w:bottom w:val="none" w:sz="6" w:space="0" w:color="auto"/>
              <w:right w:val="none" w:sz="6" w:space="0" w:color="auto"/>
            </w:tcBorders>
            <w:shd w:val="clear" w:color="auto" w:fill="EFEFEF"/>
            <w:tcMar>
              <w:top w:w="80" w:type="nil"/>
              <w:left w:w="80" w:type="nil"/>
              <w:bottom w:w="80" w:type="nil"/>
              <w:right w:w="80" w:type="nil"/>
            </w:tcMar>
          </w:tcPr>
          <w:p w14:paraId="281C8949"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44.2%</w:t>
            </w:r>
          </w:p>
        </w:tc>
        <w:tc>
          <w:tcPr>
            <w:tcW w:w="900" w:type="dxa"/>
            <w:tcBorders>
              <w:top w:val="none" w:sz="6" w:space="0" w:color="auto"/>
              <w:left w:val="none" w:sz="6" w:space="0" w:color="auto"/>
              <w:bottom w:val="none" w:sz="6" w:space="0" w:color="auto"/>
              <w:right w:val="none" w:sz="6" w:space="0" w:color="auto"/>
            </w:tcBorders>
            <w:shd w:val="clear" w:color="auto" w:fill="EFEFEF"/>
            <w:tcMar>
              <w:top w:w="80" w:type="nil"/>
              <w:left w:w="80" w:type="nil"/>
              <w:bottom w:w="80" w:type="nil"/>
              <w:right w:w="80" w:type="nil"/>
            </w:tcMar>
          </w:tcPr>
          <w:p w14:paraId="69CB8DB5"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2.8%</w:t>
            </w:r>
          </w:p>
        </w:tc>
        <w:tc>
          <w:tcPr>
            <w:tcW w:w="1520" w:type="dxa"/>
            <w:tcBorders>
              <w:top w:val="none" w:sz="6" w:space="0" w:color="auto"/>
              <w:left w:val="none" w:sz="6" w:space="0" w:color="auto"/>
              <w:bottom w:val="none" w:sz="6" w:space="0" w:color="auto"/>
              <w:right w:val="none" w:sz="6" w:space="0" w:color="auto"/>
            </w:tcBorders>
            <w:shd w:val="clear" w:color="auto" w:fill="EFEFEF"/>
            <w:tcMar>
              <w:top w:w="80" w:type="nil"/>
              <w:left w:w="80" w:type="nil"/>
              <w:bottom w:w="80" w:type="nil"/>
              <w:right w:w="80" w:type="nil"/>
            </w:tcMar>
          </w:tcPr>
          <w:p w14:paraId="410850F0"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53.0%</w:t>
            </w:r>
          </w:p>
        </w:tc>
        <w:tc>
          <w:tcPr>
            <w:tcW w:w="2840" w:type="dxa"/>
            <w:tcBorders>
              <w:top w:val="none" w:sz="6" w:space="0" w:color="auto"/>
              <w:left w:val="none" w:sz="6" w:space="0" w:color="auto"/>
              <w:bottom w:val="none" w:sz="6" w:space="0" w:color="auto"/>
            </w:tcBorders>
            <w:shd w:val="clear" w:color="auto" w:fill="EFEFEF"/>
            <w:tcMar>
              <w:top w:w="80" w:type="nil"/>
              <w:left w:w="80" w:type="nil"/>
              <w:bottom w:w="80" w:type="nil"/>
              <w:right w:w="80" w:type="nil"/>
            </w:tcMar>
          </w:tcPr>
          <w:p w14:paraId="7715EE83"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100% (4,913)</w:t>
            </w:r>
          </w:p>
        </w:tc>
      </w:tr>
      <w:tr w:rsidR="00340791" w14:paraId="597EE7F3" w14:textId="77777777">
        <w:tblPrEx>
          <w:tblCellMar>
            <w:top w:w="0" w:type="dxa"/>
            <w:bottom w:w="0" w:type="dxa"/>
          </w:tblCellMar>
        </w:tblPrEx>
        <w:tc>
          <w:tcPr>
            <w:tcW w:w="1440" w:type="dxa"/>
            <w:tcBorders>
              <w:top w:val="none" w:sz="6" w:space="0" w:color="auto"/>
              <w:bottom w:val="none" w:sz="6" w:space="0" w:color="auto"/>
              <w:right w:val="single" w:sz="8" w:space="0" w:color="6C6C6C"/>
            </w:tcBorders>
            <w:tcMar>
              <w:top w:w="80" w:type="nil"/>
              <w:left w:w="80" w:type="nil"/>
              <w:bottom w:w="80" w:type="nil"/>
              <w:right w:w="80" w:type="nil"/>
            </w:tcMar>
          </w:tcPr>
          <w:p w14:paraId="0DDFDAD8"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Accessing agency staff</w:t>
            </w:r>
          </w:p>
        </w:tc>
        <w:tc>
          <w:tcPr>
            <w:tcW w:w="1500" w:type="dxa"/>
            <w:tcBorders>
              <w:top w:val="none" w:sz="6" w:space="0" w:color="auto"/>
              <w:left w:val="single" w:sz="8" w:space="0" w:color="6C6C6C"/>
              <w:bottom w:val="none" w:sz="6" w:space="0" w:color="auto"/>
              <w:right w:val="none" w:sz="6" w:space="0" w:color="auto"/>
            </w:tcBorders>
            <w:tcMar>
              <w:top w:w="80" w:type="nil"/>
              <w:left w:w="80" w:type="nil"/>
              <w:bottom w:w="80" w:type="nil"/>
              <w:right w:w="80" w:type="nil"/>
            </w:tcMar>
          </w:tcPr>
          <w:p w14:paraId="5FDB3CF9"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37.5%</w:t>
            </w:r>
          </w:p>
        </w:tc>
        <w:tc>
          <w:tcPr>
            <w:tcW w:w="900" w:type="dxa"/>
            <w:tcBorders>
              <w:top w:val="none" w:sz="6" w:space="0" w:color="auto"/>
              <w:left w:val="none" w:sz="6" w:space="0" w:color="auto"/>
              <w:bottom w:val="none" w:sz="6" w:space="0" w:color="auto"/>
              <w:right w:val="none" w:sz="6" w:space="0" w:color="auto"/>
            </w:tcBorders>
            <w:tcMar>
              <w:top w:w="80" w:type="nil"/>
              <w:left w:w="80" w:type="nil"/>
              <w:bottom w:w="80" w:type="nil"/>
              <w:right w:w="80" w:type="nil"/>
            </w:tcMar>
          </w:tcPr>
          <w:p w14:paraId="78BF189C"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4.1%</w:t>
            </w:r>
          </w:p>
        </w:tc>
        <w:tc>
          <w:tcPr>
            <w:tcW w:w="1520" w:type="dxa"/>
            <w:tcBorders>
              <w:top w:val="none" w:sz="6" w:space="0" w:color="auto"/>
              <w:left w:val="none" w:sz="6" w:space="0" w:color="auto"/>
              <w:bottom w:val="none" w:sz="6" w:space="0" w:color="auto"/>
              <w:right w:val="none" w:sz="6" w:space="0" w:color="auto"/>
            </w:tcBorders>
            <w:tcMar>
              <w:top w:w="80" w:type="nil"/>
              <w:left w:w="80" w:type="nil"/>
              <w:bottom w:w="80" w:type="nil"/>
              <w:right w:w="80" w:type="nil"/>
            </w:tcMar>
          </w:tcPr>
          <w:p w14:paraId="5620180D"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58.4%</w:t>
            </w:r>
          </w:p>
        </w:tc>
        <w:tc>
          <w:tcPr>
            <w:tcW w:w="2840" w:type="dxa"/>
            <w:tcBorders>
              <w:top w:val="none" w:sz="6" w:space="0" w:color="auto"/>
              <w:left w:val="none" w:sz="6" w:space="0" w:color="auto"/>
              <w:bottom w:val="none" w:sz="6" w:space="0" w:color="auto"/>
            </w:tcBorders>
            <w:tcMar>
              <w:top w:w="80" w:type="nil"/>
              <w:left w:w="80" w:type="nil"/>
              <w:bottom w:w="80" w:type="nil"/>
              <w:right w:w="80" w:type="nil"/>
            </w:tcMar>
          </w:tcPr>
          <w:p w14:paraId="28477C79" w14:textId="77777777" w:rsidR="00340791" w:rsidRDefault="00340791">
            <w:pPr>
              <w:autoSpaceDE w:val="0"/>
              <w:autoSpaceDN w:val="0"/>
              <w:adjustRightInd w:val="0"/>
              <w:spacing w:after="450" w:line="360" w:lineRule="auto"/>
              <w:jc w:val="both"/>
              <w:rPr>
                <w:rFonts w:ascii="Carlito" w:hAnsi="Carlito" w:cs="Carlito"/>
                <w:color w:val="000000"/>
                <w:kern w:val="0"/>
              </w:rPr>
            </w:pPr>
            <w:r>
              <w:rPr>
                <w:rFonts w:ascii="Carlito" w:hAnsi="Carlito" w:cs="Carlito"/>
                <w:color w:val="0B0B0B"/>
                <w:kern w:val="0"/>
              </w:rPr>
              <w:t>38.4% (1,888)</w:t>
            </w:r>
          </w:p>
        </w:tc>
      </w:tr>
    </w:tbl>
    <w:p w14:paraId="749545BE" w14:textId="3E3C7FDA" w:rsidR="00340791" w:rsidRDefault="00340791" w:rsidP="00340791">
      <w:pPr>
        <w:pStyle w:val="Heading3"/>
      </w:pPr>
      <w:bookmarkStart w:id="19" w:name="_Toc197736855"/>
      <w:r>
        <w:lastRenderedPageBreak/>
        <w:t xml:space="preserve">3.2.2 </w:t>
      </w:r>
      <w:r>
        <w:t>Retention Challenges by Setting</w:t>
      </w:r>
      <w:bookmarkEnd w:id="19"/>
    </w:p>
    <w:p w14:paraId="1DA17C84"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Care setting played a meaningful role in how retention was experienced. In domiciliary care services, 58.5% of respondents reported retention as challenging, compared with 53.9% in care homes. This discrepancy points to structural differences in work conditions: domiciliary care workers often operate under fragmented shifts, limited peer interaction, and higher levels of contractual insecurity, which may increase their propensity to leave. Conversely, residential care workers may benefit from more consistent shift structures and team cohesion, albeit under similarly stressful workloads.</w:t>
      </w:r>
    </w:p>
    <w:p w14:paraId="57329C68" w14:textId="77777777" w:rsidR="00340791" w:rsidRDefault="00340791" w:rsidP="00340791">
      <w:pPr>
        <w:autoSpaceDE w:val="0"/>
        <w:autoSpaceDN w:val="0"/>
        <w:adjustRightInd w:val="0"/>
        <w:spacing w:line="360" w:lineRule="auto"/>
        <w:jc w:val="both"/>
        <w:rPr>
          <w:rFonts w:ascii="Helvetica" w:hAnsi="Helvetica" w:cs="Helvetica"/>
          <w:color w:val="000000"/>
          <w:kern w:val="0"/>
        </w:rPr>
      </w:pPr>
      <w:r>
        <w:rPr>
          <w:rFonts w:ascii="Carlito" w:hAnsi="Carlito" w:cs="Carlito"/>
          <w:color w:val="000000"/>
          <w:kern w:val="0"/>
        </w:rPr>
        <w:t>Table 2: Challenge in staff retention</w:t>
      </w:r>
      <w:r>
        <w:rPr>
          <w:rFonts w:ascii="Arial" w:hAnsi="Arial" w:cs="Arial"/>
          <w:color w:val="0B0B0B"/>
          <w:kern w:val="0"/>
          <w:sz w:val="29"/>
          <w:szCs w:val="29"/>
        </w:rPr>
        <w:t xml:space="preserve"> </w:t>
      </w:r>
    </w:p>
    <w:tbl>
      <w:tblPr>
        <w:tblW w:w="0" w:type="auto"/>
        <w:tblInd w:w="-16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060"/>
        <w:gridCol w:w="3240"/>
        <w:gridCol w:w="3220"/>
      </w:tblGrid>
      <w:tr w:rsidR="00340791" w14:paraId="59BDB0D2" w14:textId="77777777">
        <w:tblPrEx>
          <w:tblCellMar>
            <w:top w:w="0" w:type="dxa"/>
            <w:bottom w:w="0" w:type="dxa"/>
          </w:tblCellMar>
        </w:tblPrEx>
        <w:tc>
          <w:tcPr>
            <w:tcW w:w="2060" w:type="dxa"/>
            <w:tcBorders>
              <w:top w:val="none" w:sz="6" w:space="0" w:color="auto"/>
              <w:bottom w:val="single" w:sz="8" w:space="0" w:color="6C6C6C"/>
              <w:right w:val="single" w:sz="8" w:space="0" w:color="6C6C6C"/>
            </w:tcBorders>
            <w:tcMar>
              <w:top w:w="80" w:type="nil"/>
              <w:left w:w="80" w:type="nil"/>
              <w:bottom w:w="80" w:type="nil"/>
              <w:right w:w="80" w:type="nil"/>
            </w:tcMar>
          </w:tcPr>
          <w:p w14:paraId="4BA7346C"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Response</w:t>
            </w:r>
          </w:p>
        </w:tc>
        <w:tc>
          <w:tcPr>
            <w:tcW w:w="3240" w:type="dxa"/>
            <w:tcBorders>
              <w:top w:val="none" w:sz="6" w:space="0" w:color="auto"/>
              <w:left w:val="single" w:sz="8" w:space="0" w:color="6C6C6C"/>
              <w:bottom w:val="single" w:sz="8" w:space="0" w:color="6C6C6C"/>
              <w:right w:val="none" w:sz="6" w:space="0" w:color="auto"/>
            </w:tcBorders>
            <w:tcMar>
              <w:top w:w="80" w:type="nil"/>
              <w:left w:w="80" w:type="nil"/>
              <w:bottom w:w="80" w:type="nil"/>
              <w:right w:w="80" w:type="nil"/>
            </w:tcMar>
          </w:tcPr>
          <w:p w14:paraId="6892E9A0"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Residential care location</w:t>
            </w:r>
          </w:p>
        </w:tc>
        <w:tc>
          <w:tcPr>
            <w:tcW w:w="3220" w:type="dxa"/>
            <w:tcBorders>
              <w:top w:val="none" w:sz="6" w:space="0" w:color="auto"/>
              <w:left w:val="none" w:sz="6" w:space="0" w:color="auto"/>
              <w:bottom w:val="single" w:sz="8" w:space="0" w:color="6C6C6C"/>
            </w:tcBorders>
            <w:tcMar>
              <w:top w:w="80" w:type="nil"/>
              <w:left w:w="80" w:type="nil"/>
              <w:bottom w:w="80" w:type="nil"/>
              <w:right w:w="80" w:type="nil"/>
            </w:tcMar>
          </w:tcPr>
          <w:p w14:paraId="67198985"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Domiciliary care settings</w:t>
            </w:r>
          </w:p>
        </w:tc>
      </w:tr>
      <w:tr w:rsidR="00340791" w14:paraId="73F017FE" w14:textId="77777777">
        <w:tblPrEx>
          <w:tblBorders>
            <w:top w:val="none" w:sz="0" w:space="0" w:color="auto"/>
          </w:tblBorders>
          <w:tblCellMar>
            <w:top w:w="0" w:type="dxa"/>
            <w:bottom w:w="0" w:type="dxa"/>
          </w:tblCellMar>
        </w:tblPrEx>
        <w:tc>
          <w:tcPr>
            <w:tcW w:w="2060" w:type="dxa"/>
            <w:tcBorders>
              <w:top w:val="single" w:sz="8" w:space="0" w:color="6C6C6C"/>
              <w:bottom w:val="none" w:sz="6" w:space="0" w:color="auto"/>
              <w:right w:val="single" w:sz="8" w:space="0" w:color="6C6C6C"/>
            </w:tcBorders>
            <w:shd w:val="clear" w:color="auto" w:fill="EFEFEF"/>
            <w:tcMar>
              <w:top w:w="80" w:type="nil"/>
              <w:left w:w="80" w:type="nil"/>
              <w:bottom w:w="80" w:type="nil"/>
              <w:right w:w="80" w:type="nil"/>
            </w:tcMar>
          </w:tcPr>
          <w:p w14:paraId="5D354BA4"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Challenging</w:t>
            </w:r>
          </w:p>
        </w:tc>
        <w:tc>
          <w:tcPr>
            <w:tcW w:w="3240" w:type="dxa"/>
            <w:tcBorders>
              <w:top w:val="single" w:sz="8" w:space="0" w:color="6C6C6C"/>
              <w:left w:val="single" w:sz="8" w:space="0" w:color="6C6C6C"/>
              <w:bottom w:val="none" w:sz="6" w:space="0" w:color="auto"/>
              <w:right w:val="none" w:sz="6" w:space="0" w:color="auto"/>
            </w:tcBorders>
            <w:shd w:val="clear" w:color="auto" w:fill="EFEFEF"/>
            <w:tcMar>
              <w:top w:w="80" w:type="nil"/>
              <w:left w:w="80" w:type="nil"/>
              <w:bottom w:w="80" w:type="nil"/>
              <w:right w:w="80" w:type="nil"/>
            </w:tcMar>
          </w:tcPr>
          <w:p w14:paraId="60A3CD3C"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53.9%</w:t>
            </w:r>
          </w:p>
        </w:tc>
        <w:tc>
          <w:tcPr>
            <w:tcW w:w="3220" w:type="dxa"/>
            <w:tcBorders>
              <w:top w:val="single" w:sz="8" w:space="0" w:color="6C6C6C"/>
              <w:left w:val="none" w:sz="6" w:space="0" w:color="auto"/>
              <w:bottom w:val="none" w:sz="6" w:space="0" w:color="auto"/>
            </w:tcBorders>
            <w:shd w:val="clear" w:color="auto" w:fill="EFEFEF"/>
            <w:tcMar>
              <w:top w:w="80" w:type="nil"/>
              <w:left w:w="80" w:type="nil"/>
              <w:bottom w:w="80" w:type="nil"/>
              <w:right w:w="80" w:type="nil"/>
            </w:tcMar>
          </w:tcPr>
          <w:p w14:paraId="07055DE7"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58.5%</w:t>
            </w:r>
          </w:p>
        </w:tc>
      </w:tr>
      <w:tr w:rsidR="00340791" w14:paraId="618A6621" w14:textId="77777777">
        <w:tblPrEx>
          <w:tblBorders>
            <w:top w:val="none" w:sz="0" w:space="0" w:color="auto"/>
          </w:tblBorders>
          <w:tblCellMar>
            <w:top w:w="0" w:type="dxa"/>
            <w:bottom w:w="0" w:type="dxa"/>
          </w:tblCellMar>
        </w:tblPrEx>
        <w:tc>
          <w:tcPr>
            <w:tcW w:w="2060" w:type="dxa"/>
            <w:tcBorders>
              <w:top w:val="none" w:sz="6" w:space="0" w:color="auto"/>
              <w:bottom w:val="none" w:sz="6" w:space="0" w:color="auto"/>
              <w:right w:val="single" w:sz="8" w:space="0" w:color="6C6C6C"/>
            </w:tcBorders>
            <w:tcMar>
              <w:top w:w="80" w:type="nil"/>
              <w:left w:w="80" w:type="nil"/>
              <w:bottom w:w="80" w:type="nil"/>
              <w:right w:w="80" w:type="nil"/>
            </w:tcMar>
          </w:tcPr>
          <w:p w14:paraId="5CD56A80"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Unable to say</w:t>
            </w:r>
          </w:p>
        </w:tc>
        <w:tc>
          <w:tcPr>
            <w:tcW w:w="3240" w:type="dxa"/>
            <w:tcBorders>
              <w:top w:val="none" w:sz="6" w:space="0" w:color="auto"/>
              <w:left w:val="single" w:sz="8" w:space="0" w:color="6C6C6C"/>
              <w:bottom w:val="none" w:sz="6" w:space="0" w:color="auto"/>
              <w:right w:val="none" w:sz="6" w:space="0" w:color="auto"/>
            </w:tcBorders>
            <w:tcMar>
              <w:top w:w="80" w:type="nil"/>
              <w:left w:w="80" w:type="nil"/>
              <w:bottom w:w="80" w:type="nil"/>
              <w:right w:w="80" w:type="nil"/>
            </w:tcMar>
          </w:tcPr>
          <w:p w14:paraId="02639AD4"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1.0%</w:t>
            </w:r>
          </w:p>
        </w:tc>
        <w:tc>
          <w:tcPr>
            <w:tcW w:w="3220" w:type="dxa"/>
            <w:tcBorders>
              <w:top w:val="none" w:sz="6" w:space="0" w:color="auto"/>
              <w:left w:val="none" w:sz="6" w:space="0" w:color="auto"/>
              <w:bottom w:val="none" w:sz="6" w:space="0" w:color="auto"/>
            </w:tcBorders>
            <w:tcMar>
              <w:top w:w="80" w:type="nil"/>
              <w:left w:w="80" w:type="nil"/>
              <w:bottom w:w="80" w:type="nil"/>
              <w:right w:w="80" w:type="nil"/>
            </w:tcMar>
          </w:tcPr>
          <w:p w14:paraId="423760D3"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1.3%</w:t>
            </w:r>
          </w:p>
        </w:tc>
      </w:tr>
      <w:tr w:rsidR="00340791" w14:paraId="357E8B0C" w14:textId="77777777">
        <w:tblPrEx>
          <w:tblCellMar>
            <w:top w:w="0" w:type="dxa"/>
            <w:bottom w:w="0" w:type="dxa"/>
          </w:tblCellMar>
        </w:tblPrEx>
        <w:tc>
          <w:tcPr>
            <w:tcW w:w="2060" w:type="dxa"/>
            <w:tcBorders>
              <w:top w:val="none" w:sz="6" w:space="0" w:color="auto"/>
              <w:bottom w:val="none" w:sz="6" w:space="0" w:color="auto"/>
              <w:right w:val="single" w:sz="8" w:space="0" w:color="6C6C6C"/>
            </w:tcBorders>
            <w:shd w:val="clear" w:color="auto" w:fill="EFEFEF"/>
            <w:tcMar>
              <w:top w:w="80" w:type="nil"/>
              <w:left w:w="80" w:type="nil"/>
              <w:bottom w:w="80" w:type="nil"/>
              <w:right w:w="80" w:type="nil"/>
            </w:tcMar>
          </w:tcPr>
          <w:p w14:paraId="157CEAEA"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Not challenging</w:t>
            </w:r>
          </w:p>
        </w:tc>
        <w:tc>
          <w:tcPr>
            <w:tcW w:w="3240" w:type="dxa"/>
            <w:tcBorders>
              <w:top w:val="none" w:sz="6" w:space="0" w:color="auto"/>
              <w:left w:val="single" w:sz="8" w:space="0" w:color="6C6C6C"/>
              <w:bottom w:val="none" w:sz="6" w:space="0" w:color="auto"/>
              <w:right w:val="none" w:sz="6" w:space="0" w:color="auto"/>
            </w:tcBorders>
            <w:shd w:val="clear" w:color="auto" w:fill="EFEFEF"/>
            <w:tcMar>
              <w:top w:w="80" w:type="nil"/>
              <w:left w:w="80" w:type="nil"/>
              <w:bottom w:w="80" w:type="nil"/>
              <w:right w:w="80" w:type="nil"/>
            </w:tcMar>
          </w:tcPr>
          <w:p w14:paraId="744CCE33"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45.1%</w:t>
            </w:r>
          </w:p>
        </w:tc>
        <w:tc>
          <w:tcPr>
            <w:tcW w:w="3220" w:type="dxa"/>
            <w:tcBorders>
              <w:top w:val="none" w:sz="6" w:space="0" w:color="auto"/>
              <w:left w:val="none" w:sz="6" w:space="0" w:color="auto"/>
              <w:bottom w:val="none" w:sz="6" w:space="0" w:color="auto"/>
            </w:tcBorders>
            <w:shd w:val="clear" w:color="auto" w:fill="EFEFEF"/>
            <w:tcMar>
              <w:top w:w="80" w:type="nil"/>
              <w:left w:w="80" w:type="nil"/>
              <w:bottom w:w="80" w:type="nil"/>
              <w:right w:w="80" w:type="nil"/>
            </w:tcMar>
          </w:tcPr>
          <w:p w14:paraId="418F6766" w14:textId="77777777" w:rsidR="00340791" w:rsidRDefault="00340791">
            <w:pPr>
              <w:autoSpaceDE w:val="0"/>
              <w:autoSpaceDN w:val="0"/>
              <w:adjustRightInd w:val="0"/>
              <w:spacing w:after="450" w:line="360" w:lineRule="auto"/>
              <w:jc w:val="both"/>
              <w:rPr>
                <w:rFonts w:ascii="Helvetica" w:hAnsi="Helvetica" w:cs="Helvetica"/>
                <w:color w:val="000000"/>
                <w:kern w:val="0"/>
              </w:rPr>
            </w:pPr>
            <w:r>
              <w:rPr>
                <w:rFonts w:ascii="Carlito" w:hAnsi="Carlito" w:cs="Carlito"/>
                <w:color w:val="0B0B0B"/>
                <w:kern w:val="0"/>
              </w:rPr>
              <w:t>40.2%</w:t>
            </w:r>
          </w:p>
        </w:tc>
      </w:tr>
    </w:tbl>
    <w:p w14:paraId="52A920C7" w14:textId="7309CD1B" w:rsidR="00340791" w:rsidRDefault="00340791" w:rsidP="00340791">
      <w:pPr>
        <w:pStyle w:val="Heading3"/>
      </w:pPr>
      <w:bookmarkStart w:id="20" w:name="_Toc197736856"/>
      <w:r>
        <w:t xml:space="preserve">3.2.3 </w:t>
      </w:r>
      <w:r>
        <w:t>Retention Challenges by Region</w:t>
      </w:r>
      <w:bookmarkEnd w:id="20"/>
    </w:p>
    <w:p w14:paraId="3D5B4ED4"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 xml:space="preserve">The regional distribution of perceived challenges was relatively consistent, with slight elevation in the </w:t>
      </w:r>
      <w:proofErr w:type="gramStart"/>
      <w:r>
        <w:rPr>
          <w:rFonts w:ascii="Carlito" w:hAnsi="Carlito" w:cs="Carlito"/>
          <w:color w:val="000000"/>
          <w:kern w:val="0"/>
        </w:rPr>
        <w:t>South West</w:t>
      </w:r>
      <w:proofErr w:type="gramEnd"/>
      <w:r>
        <w:rPr>
          <w:rFonts w:ascii="Carlito" w:hAnsi="Carlito" w:cs="Carlito"/>
          <w:color w:val="000000"/>
          <w:kern w:val="0"/>
        </w:rPr>
        <w:t xml:space="preserve"> and North East and Yorkshire (both at 59.4%), and lower reports in London (53.5%). These small variances may reflect differences in local labour markets, availability of alternative employment, and cost of living pressures. Nevertheless, the ubiquity of the problem across all regions indicates a national trend rather than a geographically isolated issue.</w:t>
      </w:r>
    </w:p>
    <w:p w14:paraId="72EC015D"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Table 3: Retention Challenges by Region</w:t>
      </w:r>
    </w:p>
    <w:p w14:paraId="62FD51A2" w14:textId="77777777" w:rsidR="00340791" w:rsidRDefault="00340791" w:rsidP="00340791">
      <w:pPr>
        <w:autoSpaceDE w:val="0"/>
        <w:autoSpaceDN w:val="0"/>
        <w:adjustRightInd w:val="0"/>
        <w:spacing w:after="0" w:line="240" w:lineRule="auto"/>
        <w:rPr>
          <w:rFonts w:ascii="Helvetica" w:hAnsi="Helvetica" w:cs="Helvetica"/>
          <w:color w:val="000000"/>
          <w:kern w:val="0"/>
        </w:rPr>
      </w:pPr>
    </w:p>
    <w:tbl>
      <w:tblPr>
        <w:tblW w:w="0" w:type="auto"/>
        <w:tblInd w:w="-16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340"/>
        <w:gridCol w:w="6320"/>
      </w:tblGrid>
      <w:tr w:rsidR="00340791" w14:paraId="348E3B01" w14:textId="77777777">
        <w:tblPrEx>
          <w:tblCellMar>
            <w:top w:w="0" w:type="dxa"/>
            <w:bottom w:w="0" w:type="dxa"/>
          </w:tblCellMar>
        </w:tblPrEx>
        <w:tc>
          <w:tcPr>
            <w:tcW w:w="2340" w:type="dxa"/>
            <w:tcBorders>
              <w:top w:val="none" w:sz="6" w:space="0" w:color="auto"/>
              <w:bottom w:val="single" w:sz="8" w:space="0" w:color="6C6C6C"/>
              <w:right w:val="single" w:sz="8" w:space="0" w:color="6C6C6C"/>
            </w:tcBorders>
            <w:tcMar>
              <w:top w:w="80" w:type="nil"/>
              <w:left w:w="80" w:type="nil"/>
              <w:bottom w:w="80" w:type="nil"/>
              <w:right w:w="80" w:type="nil"/>
            </w:tcMar>
          </w:tcPr>
          <w:p w14:paraId="2B318FA4"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lastRenderedPageBreak/>
              <w:t>Region</w:t>
            </w:r>
          </w:p>
        </w:tc>
        <w:tc>
          <w:tcPr>
            <w:tcW w:w="6320" w:type="dxa"/>
            <w:tcBorders>
              <w:top w:val="none" w:sz="6" w:space="0" w:color="auto"/>
              <w:left w:val="single" w:sz="8" w:space="0" w:color="6C6C6C"/>
              <w:bottom w:val="single" w:sz="8" w:space="0" w:color="6C6C6C"/>
            </w:tcBorders>
            <w:tcMar>
              <w:top w:w="80" w:type="nil"/>
              <w:left w:w="80" w:type="nil"/>
              <w:bottom w:w="80" w:type="nil"/>
              <w:right w:w="80" w:type="nil"/>
            </w:tcMar>
          </w:tcPr>
          <w:p w14:paraId="27604D9D"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Percentage of respondents reporting retaining as staff as more challenging</w:t>
            </w:r>
          </w:p>
        </w:tc>
      </w:tr>
      <w:tr w:rsidR="00340791" w14:paraId="57FAE96F" w14:textId="77777777">
        <w:tblPrEx>
          <w:tblBorders>
            <w:top w:val="none" w:sz="0" w:space="0" w:color="auto"/>
          </w:tblBorders>
          <w:tblCellMar>
            <w:top w:w="0" w:type="dxa"/>
            <w:bottom w:w="0" w:type="dxa"/>
          </w:tblCellMar>
        </w:tblPrEx>
        <w:tc>
          <w:tcPr>
            <w:tcW w:w="2340" w:type="dxa"/>
            <w:tcBorders>
              <w:top w:val="single" w:sz="8" w:space="0" w:color="6C6C6C"/>
              <w:bottom w:val="none" w:sz="6" w:space="0" w:color="auto"/>
              <w:right w:val="single" w:sz="8" w:space="0" w:color="6C6C6C"/>
            </w:tcBorders>
            <w:shd w:val="clear" w:color="auto" w:fill="EFEFEF"/>
            <w:tcMar>
              <w:top w:w="80" w:type="nil"/>
              <w:left w:w="80" w:type="nil"/>
              <w:bottom w:w="80" w:type="nil"/>
              <w:right w:w="80" w:type="nil"/>
            </w:tcMar>
          </w:tcPr>
          <w:p w14:paraId="4F7A6D54"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East of England</w:t>
            </w:r>
          </w:p>
        </w:tc>
        <w:tc>
          <w:tcPr>
            <w:tcW w:w="6320" w:type="dxa"/>
            <w:tcBorders>
              <w:top w:val="single" w:sz="8" w:space="0" w:color="6C6C6C"/>
              <w:left w:val="single" w:sz="8" w:space="0" w:color="6C6C6C"/>
              <w:bottom w:val="none" w:sz="6" w:space="0" w:color="auto"/>
            </w:tcBorders>
            <w:shd w:val="clear" w:color="auto" w:fill="EFEFEF"/>
            <w:tcMar>
              <w:top w:w="80" w:type="nil"/>
              <w:left w:w="80" w:type="nil"/>
              <w:bottom w:w="80" w:type="nil"/>
              <w:right w:w="80" w:type="nil"/>
            </w:tcMar>
          </w:tcPr>
          <w:p w14:paraId="26C112CC"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54.0%</w:t>
            </w:r>
          </w:p>
        </w:tc>
      </w:tr>
      <w:tr w:rsidR="00340791" w14:paraId="12BA8F7D" w14:textId="77777777">
        <w:tblPrEx>
          <w:tblBorders>
            <w:top w:val="none" w:sz="0" w:space="0" w:color="auto"/>
          </w:tblBorders>
          <w:tblCellMar>
            <w:top w:w="0" w:type="dxa"/>
            <w:bottom w:w="0" w:type="dxa"/>
          </w:tblCellMar>
        </w:tblPrEx>
        <w:tc>
          <w:tcPr>
            <w:tcW w:w="2340" w:type="dxa"/>
            <w:tcBorders>
              <w:top w:val="none" w:sz="6" w:space="0" w:color="auto"/>
              <w:bottom w:val="none" w:sz="6" w:space="0" w:color="auto"/>
              <w:right w:val="single" w:sz="8" w:space="0" w:color="6C6C6C"/>
            </w:tcBorders>
            <w:tcMar>
              <w:top w:w="80" w:type="nil"/>
              <w:left w:w="80" w:type="nil"/>
              <w:bottom w:w="80" w:type="nil"/>
              <w:right w:w="80" w:type="nil"/>
            </w:tcMar>
          </w:tcPr>
          <w:p w14:paraId="4FDA328C"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London</w:t>
            </w:r>
          </w:p>
        </w:tc>
        <w:tc>
          <w:tcPr>
            <w:tcW w:w="6320" w:type="dxa"/>
            <w:tcBorders>
              <w:top w:val="none" w:sz="6" w:space="0" w:color="auto"/>
              <w:left w:val="single" w:sz="8" w:space="0" w:color="6C6C6C"/>
              <w:bottom w:val="none" w:sz="6" w:space="0" w:color="auto"/>
            </w:tcBorders>
            <w:tcMar>
              <w:top w:w="80" w:type="nil"/>
              <w:left w:w="80" w:type="nil"/>
              <w:bottom w:w="80" w:type="nil"/>
              <w:right w:w="80" w:type="nil"/>
            </w:tcMar>
          </w:tcPr>
          <w:p w14:paraId="00D1FBEE"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53.5%</w:t>
            </w:r>
          </w:p>
        </w:tc>
      </w:tr>
      <w:tr w:rsidR="00340791" w14:paraId="4D995F54" w14:textId="77777777">
        <w:tblPrEx>
          <w:tblBorders>
            <w:top w:val="none" w:sz="0" w:space="0" w:color="auto"/>
          </w:tblBorders>
          <w:tblCellMar>
            <w:top w:w="0" w:type="dxa"/>
            <w:bottom w:w="0" w:type="dxa"/>
          </w:tblCellMar>
        </w:tblPrEx>
        <w:tc>
          <w:tcPr>
            <w:tcW w:w="2340" w:type="dxa"/>
            <w:tcBorders>
              <w:top w:val="none" w:sz="6" w:space="0" w:color="auto"/>
              <w:bottom w:val="none" w:sz="6" w:space="0" w:color="auto"/>
              <w:right w:val="single" w:sz="8" w:space="0" w:color="6C6C6C"/>
            </w:tcBorders>
            <w:shd w:val="clear" w:color="auto" w:fill="EFEFEF"/>
            <w:tcMar>
              <w:top w:w="80" w:type="nil"/>
              <w:left w:w="80" w:type="nil"/>
              <w:bottom w:w="80" w:type="nil"/>
              <w:right w:w="80" w:type="nil"/>
            </w:tcMar>
          </w:tcPr>
          <w:p w14:paraId="1A1F6077"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Midlands</w:t>
            </w:r>
          </w:p>
        </w:tc>
        <w:tc>
          <w:tcPr>
            <w:tcW w:w="6320" w:type="dxa"/>
            <w:tcBorders>
              <w:top w:val="none" w:sz="6" w:space="0" w:color="auto"/>
              <w:left w:val="single" w:sz="8" w:space="0" w:color="6C6C6C"/>
              <w:bottom w:val="none" w:sz="6" w:space="0" w:color="auto"/>
            </w:tcBorders>
            <w:shd w:val="clear" w:color="auto" w:fill="EFEFEF"/>
            <w:tcMar>
              <w:top w:w="80" w:type="nil"/>
              <w:left w:w="80" w:type="nil"/>
              <w:bottom w:w="80" w:type="nil"/>
              <w:right w:w="80" w:type="nil"/>
            </w:tcMar>
          </w:tcPr>
          <w:p w14:paraId="40C48118"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57.3%</w:t>
            </w:r>
          </w:p>
        </w:tc>
      </w:tr>
      <w:tr w:rsidR="00340791" w14:paraId="264D3F22" w14:textId="77777777">
        <w:tblPrEx>
          <w:tblBorders>
            <w:top w:val="none" w:sz="0" w:space="0" w:color="auto"/>
          </w:tblBorders>
          <w:tblCellMar>
            <w:top w:w="0" w:type="dxa"/>
            <w:bottom w:w="0" w:type="dxa"/>
          </w:tblCellMar>
        </w:tblPrEx>
        <w:tc>
          <w:tcPr>
            <w:tcW w:w="2340" w:type="dxa"/>
            <w:tcBorders>
              <w:top w:val="none" w:sz="6" w:space="0" w:color="auto"/>
              <w:bottom w:val="none" w:sz="6" w:space="0" w:color="auto"/>
              <w:right w:val="single" w:sz="8" w:space="0" w:color="6C6C6C"/>
            </w:tcBorders>
            <w:tcMar>
              <w:top w:w="80" w:type="nil"/>
              <w:left w:w="80" w:type="nil"/>
              <w:bottom w:w="80" w:type="nil"/>
              <w:right w:w="80" w:type="nil"/>
            </w:tcMar>
          </w:tcPr>
          <w:p w14:paraId="0FEB075D" w14:textId="77777777" w:rsidR="00340791" w:rsidRDefault="00340791">
            <w:pPr>
              <w:autoSpaceDE w:val="0"/>
              <w:autoSpaceDN w:val="0"/>
              <w:adjustRightInd w:val="0"/>
              <w:spacing w:after="450" w:line="360" w:lineRule="auto"/>
              <w:jc w:val="both"/>
              <w:rPr>
                <w:rFonts w:ascii="Helvetica" w:hAnsi="Helvetica" w:cs="Helvetica"/>
                <w:kern w:val="0"/>
              </w:rPr>
            </w:pPr>
            <w:proofErr w:type="gramStart"/>
            <w:r>
              <w:rPr>
                <w:rFonts w:ascii="Carlito" w:hAnsi="Carlito" w:cs="Carlito"/>
                <w:color w:val="0B0B0B"/>
                <w:kern w:val="0"/>
              </w:rPr>
              <w:t>North East</w:t>
            </w:r>
            <w:proofErr w:type="gramEnd"/>
            <w:r>
              <w:rPr>
                <w:rFonts w:ascii="Carlito" w:hAnsi="Carlito" w:cs="Carlito"/>
                <w:color w:val="0B0B0B"/>
                <w:kern w:val="0"/>
              </w:rPr>
              <w:t xml:space="preserve"> and Yorkshire</w:t>
            </w:r>
          </w:p>
        </w:tc>
        <w:tc>
          <w:tcPr>
            <w:tcW w:w="6320" w:type="dxa"/>
            <w:tcBorders>
              <w:top w:val="none" w:sz="6" w:space="0" w:color="auto"/>
              <w:left w:val="single" w:sz="8" w:space="0" w:color="6C6C6C"/>
              <w:bottom w:val="none" w:sz="6" w:space="0" w:color="auto"/>
            </w:tcBorders>
            <w:tcMar>
              <w:top w:w="80" w:type="nil"/>
              <w:left w:w="80" w:type="nil"/>
              <w:bottom w:w="80" w:type="nil"/>
              <w:right w:w="80" w:type="nil"/>
            </w:tcMar>
          </w:tcPr>
          <w:p w14:paraId="46863933"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59.4%</w:t>
            </w:r>
          </w:p>
        </w:tc>
      </w:tr>
      <w:tr w:rsidR="00340791" w14:paraId="2A17DC6C" w14:textId="77777777">
        <w:tblPrEx>
          <w:tblBorders>
            <w:top w:val="none" w:sz="0" w:space="0" w:color="auto"/>
          </w:tblBorders>
          <w:tblCellMar>
            <w:top w:w="0" w:type="dxa"/>
            <w:bottom w:w="0" w:type="dxa"/>
          </w:tblCellMar>
        </w:tblPrEx>
        <w:tc>
          <w:tcPr>
            <w:tcW w:w="2340" w:type="dxa"/>
            <w:tcBorders>
              <w:top w:val="none" w:sz="6" w:space="0" w:color="auto"/>
              <w:bottom w:val="none" w:sz="6" w:space="0" w:color="auto"/>
              <w:right w:val="single" w:sz="8" w:space="0" w:color="6C6C6C"/>
            </w:tcBorders>
            <w:shd w:val="clear" w:color="auto" w:fill="EFEFEF"/>
            <w:tcMar>
              <w:top w:w="80" w:type="nil"/>
              <w:left w:w="80" w:type="nil"/>
              <w:bottom w:w="80" w:type="nil"/>
              <w:right w:w="80" w:type="nil"/>
            </w:tcMar>
          </w:tcPr>
          <w:p w14:paraId="7C7BBA83" w14:textId="77777777" w:rsidR="00340791" w:rsidRDefault="00340791">
            <w:pPr>
              <w:autoSpaceDE w:val="0"/>
              <w:autoSpaceDN w:val="0"/>
              <w:adjustRightInd w:val="0"/>
              <w:spacing w:after="450" w:line="360" w:lineRule="auto"/>
              <w:jc w:val="both"/>
              <w:rPr>
                <w:rFonts w:ascii="Helvetica" w:hAnsi="Helvetica" w:cs="Helvetica"/>
                <w:kern w:val="0"/>
              </w:rPr>
            </w:pPr>
            <w:proofErr w:type="gramStart"/>
            <w:r>
              <w:rPr>
                <w:rFonts w:ascii="Carlito" w:hAnsi="Carlito" w:cs="Carlito"/>
                <w:color w:val="0B0B0B"/>
                <w:kern w:val="0"/>
              </w:rPr>
              <w:t>North West</w:t>
            </w:r>
            <w:proofErr w:type="gramEnd"/>
          </w:p>
        </w:tc>
        <w:tc>
          <w:tcPr>
            <w:tcW w:w="6320" w:type="dxa"/>
            <w:tcBorders>
              <w:top w:val="none" w:sz="6" w:space="0" w:color="auto"/>
              <w:left w:val="single" w:sz="8" w:space="0" w:color="6C6C6C"/>
              <w:bottom w:val="none" w:sz="6" w:space="0" w:color="auto"/>
            </w:tcBorders>
            <w:shd w:val="clear" w:color="auto" w:fill="EFEFEF"/>
            <w:tcMar>
              <w:top w:w="80" w:type="nil"/>
              <w:left w:w="80" w:type="nil"/>
              <w:bottom w:w="80" w:type="nil"/>
              <w:right w:w="80" w:type="nil"/>
            </w:tcMar>
          </w:tcPr>
          <w:p w14:paraId="31AF3884"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55.2%</w:t>
            </w:r>
          </w:p>
        </w:tc>
      </w:tr>
      <w:tr w:rsidR="00340791" w14:paraId="3D41E528" w14:textId="77777777">
        <w:tblPrEx>
          <w:tblBorders>
            <w:top w:val="none" w:sz="0" w:space="0" w:color="auto"/>
          </w:tblBorders>
          <w:tblCellMar>
            <w:top w:w="0" w:type="dxa"/>
            <w:bottom w:w="0" w:type="dxa"/>
          </w:tblCellMar>
        </w:tblPrEx>
        <w:tc>
          <w:tcPr>
            <w:tcW w:w="2340" w:type="dxa"/>
            <w:tcBorders>
              <w:top w:val="none" w:sz="6" w:space="0" w:color="auto"/>
              <w:bottom w:val="none" w:sz="6" w:space="0" w:color="auto"/>
              <w:right w:val="single" w:sz="8" w:space="0" w:color="6C6C6C"/>
            </w:tcBorders>
            <w:tcMar>
              <w:top w:w="80" w:type="nil"/>
              <w:left w:w="80" w:type="nil"/>
              <w:bottom w:w="80" w:type="nil"/>
              <w:right w:w="80" w:type="nil"/>
            </w:tcMar>
          </w:tcPr>
          <w:p w14:paraId="706FE51C" w14:textId="77777777" w:rsidR="00340791" w:rsidRDefault="00340791">
            <w:pPr>
              <w:autoSpaceDE w:val="0"/>
              <w:autoSpaceDN w:val="0"/>
              <w:adjustRightInd w:val="0"/>
              <w:spacing w:after="450" w:line="360" w:lineRule="auto"/>
              <w:jc w:val="both"/>
              <w:rPr>
                <w:rFonts w:ascii="Helvetica" w:hAnsi="Helvetica" w:cs="Helvetica"/>
                <w:kern w:val="0"/>
              </w:rPr>
            </w:pPr>
            <w:proofErr w:type="gramStart"/>
            <w:r>
              <w:rPr>
                <w:rFonts w:ascii="Carlito" w:hAnsi="Carlito" w:cs="Carlito"/>
                <w:color w:val="0B0B0B"/>
                <w:kern w:val="0"/>
              </w:rPr>
              <w:t>South West</w:t>
            </w:r>
            <w:proofErr w:type="gramEnd"/>
          </w:p>
        </w:tc>
        <w:tc>
          <w:tcPr>
            <w:tcW w:w="6320" w:type="dxa"/>
            <w:tcBorders>
              <w:top w:val="none" w:sz="6" w:space="0" w:color="auto"/>
              <w:left w:val="single" w:sz="8" w:space="0" w:color="6C6C6C"/>
              <w:bottom w:val="none" w:sz="6" w:space="0" w:color="auto"/>
            </w:tcBorders>
            <w:tcMar>
              <w:top w:w="80" w:type="nil"/>
              <w:left w:w="80" w:type="nil"/>
              <w:bottom w:w="80" w:type="nil"/>
              <w:right w:w="80" w:type="nil"/>
            </w:tcMar>
          </w:tcPr>
          <w:p w14:paraId="0FB56720" w14:textId="77777777" w:rsidR="00340791" w:rsidRDefault="00340791">
            <w:pPr>
              <w:autoSpaceDE w:val="0"/>
              <w:autoSpaceDN w:val="0"/>
              <w:adjustRightInd w:val="0"/>
              <w:spacing w:after="450" w:line="360" w:lineRule="auto"/>
              <w:jc w:val="both"/>
              <w:rPr>
                <w:rFonts w:ascii="Helvetica" w:hAnsi="Helvetica" w:cs="Helvetica"/>
                <w:kern w:val="0"/>
              </w:rPr>
            </w:pPr>
            <w:r>
              <w:rPr>
                <w:rFonts w:ascii="Carlito" w:hAnsi="Carlito" w:cs="Carlito"/>
                <w:color w:val="0B0B0B"/>
                <w:kern w:val="0"/>
              </w:rPr>
              <w:t>59.4%</w:t>
            </w:r>
          </w:p>
        </w:tc>
      </w:tr>
      <w:tr w:rsidR="00340791" w14:paraId="591C70B9" w14:textId="77777777">
        <w:tblPrEx>
          <w:tblCellMar>
            <w:top w:w="0" w:type="dxa"/>
            <w:bottom w:w="0" w:type="dxa"/>
          </w:tblCellMar>
        </w:tblPrEx>
        <w:tc>
          <w:tcPr>
            <w:tcW w:w="2340" w:type="dxa"/>
            <w:tcBorders>
              <w:top w:val="none" w:sz="6" w:space="0" w:color="auto"/>
              <w:bottom w:val="none" w:sz="6" w:space="0" w:color="auto"/>
              <w:right w:val="single" w:sz="8" w:space="0" w:color="6C6C6C"/>
            </w:tcBorders>
            <w:shd w:val="clear" w:color="auto" w:fill="EFEFEF"/>
            <w:tcMar>
              <w:top w:w="80" w:type="nil"/>
              <w:left w:w="80" w:type="nil"/>
              <w:bottom w:w="80" w:type="nil"/>
              <w:right w:w="80" w:type="nil"/>
            </w:tcMar>
          </w:tcPr>
          <w:p w14:paraId="240101A8" w14:textId="77777777" w:rsidR="00340791" w:rsidRDefault="00340791">
            <w:pPr>
              <w:autoSpaceDE w:val="0"/>
              <w:autoSpaceDN w:val="0"/>
              <w:adjustRightInd w:val="0"/>
              <w:spacing w:after="450" w:line="360" w:lineRule="auto"/>
              <w:jc w:val="both"/>
              <w:rPr>
                <w:rFonts w:ascii="Helvetica" w:hAnsi="Helvetica" w:cs="Helvetica"/>
                <w:kern w:val="0"/>
              </w:rPr>
            </w:pPr>
            <w:proofErr w:type="gramStart"/>
            <w:r>
              <w:rPr>
                <w:rFonts w:ascii="Carlito" w:hAnsi="Carlito" w:cs="Carlito"/>
                <w:color w:val="0B0B0B"/>
                <w:kern w:val="0"/>
              </w:rPr>
              <w:t>South East</w:t>
            </w:r>
            <w:proofErr w:type="gramEnd"/>
          </w:p>
        </w:tc>
        <w:tc>
          <w:tcPr>
            <w:tcW w:w="6320" w:type="dxa"/>
            <w:tcBorders>
              <w:top w:val="none" w:sz="6" w:space="0" w:color="auto"/>
              <w:left w:val="single" w:sz="8" w:space="0" w:color="6C6C6C"/>
              <w:bottom w:val="none" w:sz="6" w:space="0" w:color="auto"/>
            </w:tcBorders>
            <w:shd w:val="clear" w:color="auto" w:fill="EFEFEF"/>
            <w:tcMar>
              <w:top w:w="80" w:type="nil"/>
              <w:left w:w="80" w:type="nil"/>
              <w:bottom w:w="80" w:type="nil"/>
              <w:right w:w="80" w:type="nil"/>
            </w:tcMar>
          </w:tcPr>
          <w:p w14:paraId="55A94081" w14:textId="77777777" w:rsidR="00340791" w:rsidRDefault="00340791">
            <w:pPr>
              <w:autoSpaceDE w:val="0"/>
              <w:autoSpaceDN w:val="0"/>
              <w:adjustRightInd w:val="0"/>
              <w:spacing w:after="450" w:line="360" w:lineRule="auto"/>
              <w:jc w:val="both"/>
              <w:rPr>
                <w:rFonts w:ascii="Helvetica" w:hAnsi="Helvetica" w:cs="Helvetica"/>
                <w:color w:val="000000"/>
                <w:kern w:val="0"/>
              </w:rPr>
            </w:pPr>
            <w:r>
              <w:rPr>
                <w:rFonts w:ascii="Carlito" w:hAnsi="Carlito" w:cs="Carlito"/>
                <w:color w:val="0B0B0B"/>
                <w:kern w:val="0"/>
              </w:rPr>
              <w:t>56.7%</w:t>
            </w:r>
          </w:p>
        </w:tc>
      </w:tr>
    </w:tbl>
    <w:p w14:paraId="331D5D92" w14:textId="149FA6DD" w:rsidR="00340791" w:rsidRDefault="00340791" w:rsidP="00340791">
      <w:pPr>
        <w:pStyle w:val="Heading3"/>
      </w:pPr>
      <w:bookmarkStart w:id="21" w:name="_Toc197736857"/>
      <w:r>
        <w:t xml:space="preserve">3.2.4 </w:t>
      </w:r>
      <w:r>
        <w:t>Reasons for Staff Turnover</w:t>
      </w:r>
      <w:bookmarkEnd w:id="21"/>
    </w:p>
    <w:p w14:paraId="089B8741"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When asked to identify the main reason for increased retention difficulties, 35.2% of respondents selected “better pay outside the adult social care sector.” Other frequently cited reasons included better pay within the care sector (16–17%) and the appeal of less demanding roles in other sectors (around 11–12%). Notably, this theme — compensation — persisted regardless of setting. In domiciliary care, 35.3% cited external pay as the primary factor, while in care homes, this was 35.0%.</w:t>
      </w:r>
    </w:p>
    <w:p w14:paraId="51A07A97"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 xml:space="preserve">Furthermore, when allowed to select all relevant reasons, 52.3% of providers listed “better pay outside of care,” 29.8% cited better pay within the sector, and 28.8% noted better hours outside the sector. These findings confirm that adult social care is increasingly unable to </w:t>
      </w:r>
      <w:r>
        <w:rPr>
          <w:rFonts w:ascii="Carlito" w:hAnsi="Carlito" w:cs="Carlito"/>
          <w:color w:val="000000"/>
          <w:kern w:val="0"/>
        </w:rPr>
        <w:lastRenderedPageBreak/>
        <w:t xml:space="preserve">compete with other industries offering better compensation, working hours, or reduced responsibility — </w:t>
      </w:r>
      <w:proofErr w:type="gramStart"/>
      <w:r>
        <w:rPr>
          <w:rFonts w:ascii="Carlito" w:hAnsi="Carlito" w:cs="Carlito"/>
          <w:color w:val="000000"/>
          <w:kern w:val="0"/>
        </w:rPr>
        <w:t>all of</w:t>
      </w:r>
      <w:proofErr w:type="gramEnd"/>
      <w:r>
        <w:rPr>
          <w:rFonts w:ascii="Carlito" w:hAnsi="Carlito" w:cs="Carlito"/>
          <w:color w:val="000000"/>
          <w:kern w:val="0"/>
        </w:rPr>
        <w:t xml:space="preserve"> which impact worker attrition.</w:t>
      </w:r>
    </w:p>
    <w:p w14:paraId="148BD29E" w14:textId="5C0D3750" w:rsidR="00340791" w:rsidRDefault="00340791" w:rsidP="00340791">
      <w:pPr>
        <w:pStyle w:val="Heading2"/>
      </w:pPr>
      <w:bookmarkStart w:id="22" w:name="_Toc197736858"/>
      <w:r>
        <w:t xml:space="preserve">3.3 </w:t>
      </w:r>
      <w:r>
        <w:t>Recruitment: The Most Pressing Workforce Concern</w:t>
      </w:r>
      <w:bookmarkEnd w:id="22"/>
    </w:p>
    <w:p w14:paraId="531BB01E" w14:textId="356BF9DA" w:rsidR="00340791" w:rsidRDefault="00340791" w:rsidP="00340791">
      <w:pPr>
        <w:pStyle w:val="Heading3"/>
      </w:pPr>
      <w:bookmarkStart w:id="23" w:name="_Toc197736859"/>
      <w:r>
        <w:t xml:space="preserve">3.3.1 </w:t>
      </w:r>
      <w:r>
        <w:t>General Findings</w:t>
      </w:r>
      <w:bookmarkEnd w:id="23"/>
    </w:p>
    <w:p w14:paraId="68405BFE"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 xml:space="preserve">Recruitment was the most frequently cited challenge across the workforce domains. An overwhelming 71.0% of providers found recruitment to be a problem, compared with only 26.3% who did not. This reflects a severe mismatch between sector needs and available </w:t>
      </w:r>
      <w:proofErr w:type="spellStart"/>
      <w:r>
        <w:rPr>
          <w:rFonts w:ascii="Carlito" w:hAnsi="Carlito" w:cs="Carlito"/>
          <w:color w:val="000000"/>
          <w:kern w:val="0"/>
        </w:rPr>
        <w:t>labor</w:t>
      </w:r>
      <w:proofErr w:type="spellEnd"/>
      <w:r>
        <w:rPr>
          <w:rFonts w:ascii="Carlito" w:hAnsi="Carlito" w:cs="Carlito"/>
          <w:color w:val="000000"/>
          <w:kern w:val="0"/>
        </w:rPr>
        <w:t xml:space="preserve"> supply. Only 2.7% were unsure of the situation.</w:t>
      </w:r>
    </w:p>
    <w:p w14:paraId="08160B19" w14:textId="665BE09D" w:rsidR="00340791" w:rsidRDefault="00340791" w:rsidP="00340791">
      <w:pPr>
        <w:pStyle w:val="Heading3"/>
      </w:pPr>
      <w:bookmarkStart w:id="24" w:name="_Toc197736860"/>
      <w:r>
        <w:t xml:space="preserve">3.3.2 </w:t>
      </w:r>
      <w:r>
        <w:t>Recruitment by Provider Type</w:t>
      </w:r>
      <w:bookmarkEnd w:id="24"/>
    </w:p>
    <w:p w14:paraId="50B4802B"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Recruitment difficulties were again more pronounced in domiciliary care settings, where 74.0% of respondents reported challenges, versus 66.7% in care homes. This disparity likely stems from the added demands of domiciliary care: irregular scheduling, travel requirements, lone working, and often lower pay for the same or greater emotional labour. These conditions make such roles less attractive and less sustainable, especially compared to positions in retail or hospitality, which often offer higher pay and more predictable hours.</w:t>
      </w:r>
    </w:p>
    <w:p w14:paraId="37A5D367" w14:textId="62CE8B65" w:rsidR="00340791" w:rsidRDefault="00340791" w:rsidP="00340791">
      <w:pPr>
        <w:pStyle w:val="Heading3"/>
      </w:pPr>
      <w:bookmarkStart w:id="25" w:name="_Toc197736861"/>
      <w:r>
        <w:t xml:space="preserve">3.3.3 </w:t>
      </w:r>
      <w:r>
        <w:t>Regional Differences</w:t>
      </w:r>
      <w:bookmarkEnd w:id="25"/>
    </w:p>
    <w:p w14:paraId="6FABF1D4"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 xml:space="preserve">Recruitment was particularly problematic in the </w:t>
      </w:r>
      <w:proofErr w:type="gramStart"/>
      <w:r>
        <w:rPr>
          <w:rFonts w:ascii="Carlito" w:hAnsi="Carlito" w:cs="Carlito"/>
          <w:color w:val="000000"/>
          <w:kern w:val="0"/>
        </w:rPr>
        <w:t>South West</w:t>
      </w:r>
      <w:proofErr w:type="gramEnd"/>
      <w:r>
        <w:rPr>
          <w:rFonts w:ascii="Carlito" w:hAnsi="Carlito" w:cs="Carlito"/>
          <w:color w:val="000000"/>
          <w:kern w:val="0"/>
        </w:rPr>
        <w:t xml:space="preserve"> (74.7%) and South East (74.2%), whereas London providers reported the lowest recruitment difficulty at 64.5%. Regional economic factors such as employment alternatives, housing costs, and transport access may help explain these variances.</w:t>
      </w:r>
    </w:p>
    <w:p w14:paraId="326942EF" w14:textId="6C845429" w:rsidR="00340791" w:rsidRDefault="00340791" w:rsidP="00340791">
      <w:pPr>
        <w:pStyle w:val="Heading3"/>
      </w:pPr>
      <w:bookmarkStart w:id="26" w:name="_Toc197736862"/>
      <w:r>
        <w:t xml:space="preserve">3.3.4 </w:t>
      </w:r>
      <w:r>
        <w:t>Declining Volume and Quality of Applications</w:t>
      </w:r>
      <w:bookmarkEnd w:id="26"/>
    </w:p>
    <w:p w14:paraId="0B399A7A"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 xml:space="preserve">Of those who had recruited recently, 33.1% reported a decline in the number of applications compared with the previous year, while 23.5% saw an improvement. More concerning, however, was the reported decline in the </w:t>
      </w:r>
      <w:r>
        <w:rPr>
          <w:rFonts w:ascii="Carlito-Bold" w:hAnsi="Carlito-Bold" w:cs="Carlito-Bold"/>
          <w:b/>
          <w:bCs/>
          <w:color w:val="000000"/>
          <w:kern w:val="0"/>
        </w:rPr>
        <w:t>quality</w:t>
      </w:r>
      <w:r>
        <w:rPr>
          <w:rFonts w:ascii="Carlito" w:hAnsi="Carlito" w:cs="Carlito"/>
          <w:color w:val="000000"/>
          <w:kern w:val="0"/>
        </w:rPr>
        <w:t xml:space="preserve"> of applicants: 36.2% said application quality had decreased, while only 10.5% said it had improved. This triple disparity implies that the talent pool is not only shrinking but also less suitable, compounding recruitment challenges.</w:t>
      </w:r>
    </w:p>
    <w:p w14:paraId="3BE7F105" w14:textId="73646076" w:rsidR="00340791" w:rsidRDefault="00340791" w:rsidP="00340791">
      <w:pPr>
        <w:pStyle w:val="Heading3"/>
      </w:pPr>
      <w:bookmarkStart w:id="27" w:name="_Toc197736863"/>
      <w:r>
        <w:t xml:space="preserve">3.3.5 </w:t>
      </w:r>
      <w:r>
        <w:t>Roles Most Difficult to Recruit</w:t>
      </w:r>
      <w:bookmarkEnd w:id="27"/>
    </w:p>
    <w:p w14:paraId="4C161738"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 xml:space="preserve">Providers identified several positions as increasingly hard to fill. For care homes, the most problematic roles were senior care workers (39.8%), chefs/catering staff (23.4%), and </w:t>
      </w:r>
      <w:r>
        <w:rPr>
          <w:rFonts w:ascii="Carlito" w:hAnsi="Carlito" w:cs="Carlito"/>
          <w:color w:val="000000"/>
          <w:kern w:val="0"/>
        </w:rPr>
        <w:lastRenderedPageBreak/>
        <w:t>registered nurses (22.2%). For domiciliary providers, the primary challenge was home care workers (58.0%), followed by senior care workers (27.2%) and support/outreach staff (13.0%). These results underline the reliance on front-line care roles and the widening gap in the supply of qualified and committed candidates.</w:t>
      </w:r>
    </w:p>
    <w:p w14:paraId="0685A759" w14:textId="73118A9F" w:rsidR="00340791" w:rsidRDefault="00340791" w:rsidP="00340791">
      <w:pPr>
        <w:pStyle w:val="Heading2"/>
      </w:pPr>
      <w:bookmarkStart w:id="28" w:name="_Toc197736864"/>
      <w:r>
        <w:t xml:space="preserve">3.4 </w:t>
      </w:r>
      <w:r>
        <w:t>Morale and Its Operational Impact</w:t>
      </w:r>
      <w:bookmarkEnd w:id="28"/>
    </w:p>
    <w:p w14:paraId="5071B94E" w14:textId="664D466B" w:rsidR="00340791" w:rsidRDefault="00340791" w:rsidP="00340791">
      <w:pPr>
        <w:pStyle w:val="Heading3"/>
      </w:pPr>
      <w:bookmarkStart w:id="29" w:name="_Toc197736865"/>
      <w:r>
        <w:t xml:space="preserve">3.4.1 </w:t>
      </w:r>
      <w:r>
        <w:t>Morale as a Workforce Indicator</w:t>
      </w:r>
      <w:bookmarkEnd w:id="29"/>
    </w:p>
    <w:p w14:paraId="35DEB31D"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While slightly less critical than recruitment or retention, staff morale was still a notable concern for 44.2% of providers, whereas 53.0% said it was not challenging. Domiciliary care providers were again more likely to report difficulties (46.1%) compared with care homes (41.4%).</w:t>
      </w:r>
    </w:p>
    <w:p w14:paraId="3B8A27D7" w14:textId="6679754A" w:rsidR="00340791" w:rsidRDefault="00340791" w:rsidP="00340791">
      <w:pPr>
        <w:pStyle w:val="Heading3"/>
      </w:pPr>
      <w:bookmarkStart w:id="30" w:name="_Toc197736866"/>
      <w:r>
        <w:t xml:space="preserve">3.4.2 </w:t>
      </w:r>
      <w:r>
        <w:t>Quantitative Breakdown from Survey Tables</w:t>
      </w:r>
      <w:bookmarkEnd w:id="30"/>
    </w:p>
    <w:p w14:paraId="3E2747CF"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The dataset shows that “extremely challenging” morale levels were reported by 20 care homes and 54 domiciliary care providers. In contrast, 344 care homes and 545 domiciliary providers selected “not challenging at all.” These data align closely with the general sentiment that morale is moderately problematic but not uniformly critical across the sector.</w:t>
      </w:r>
    </w:p>
    <w:p w14:paraId="03FAAED6" w14:textId="61703ECA" w:rsidR="00340791" w:rsidRDefault="00340791" w:rsidP="00340791">
      <w:pPr>
        <w:autoSpaceDE w:val="0"/>
        <w:autoSpaceDN w:val="0"/>
        <w:adjustRightInd w:val="0"/>
        <w:spacing w:after="100" w:line="360" w:lineRule="auto"/>
        <w:jc w:val="both"/>
        <w:rPr>
          <w:rFonts w:ascii="Helvetica" w:hAnsi="Helvetica" w:cs="Helvetica"/>
          <w:color w:val="000000"/>
          <w:kern w:val="0"/>
        </w:rPr>
      </w:pPr>
      <w:r>
        <w:rPr>
          <w:rFonts w:ascii="Carlito" w:hAnsi="Carlito" w:cs="Carlito"/>
          <w:noProof/>
          <w:color w:val="000000"/>
          <w:kern w:val="0"/>
        </w:rPr>
        <w:drawing>
          <wp:inline distT="0" distB="0" distL="0" distR="0" wp14:anchorId="5E65D96C" wp14:editId="2A25B46F">
            <wp:extent cx="2772410" cy="1250315"/>
            <wp:effectExtent l="0" t="0" r="0" b="0"/>
            <wp:docPr id="2144171056" name="Picture 5"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171056" name="Picture 5" descr="A graph of different colored ba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2410" cy="1250315"/>
                    </a:xfrm>
                    <a:prstGeom prst="rect">
                      <a:avLst/>
                    </a:prstGeom>
                    <a:noFill/>
                    <a:ln>
                      <a:noFill/>
                    </a:ln>
                  </pic:spPr>
                </pic:pic>
              </a:graphicData>
            </a:graphic>
          </wp:inline>
        </w:drawing>
      </w:r>
    </w:p>
    <w:p w14:paraId="43120B07" w14:textId="77777777" w:rsidR="00340791" w:rsidRDefault="00340791" w:rsidP="00340791">
      <w:pPr>
        <w:autoSpaceDE w:val="0"/>
        <w:autoSpaceDN w:val="0"/>
        <w:adjustRightInd w:val="0"/>
        <w:spacing w:line="360" w:lineRule="auto"/>
        <w:jc w:val="center"/>
        <w:rPr>
          <w:rFonts w:ascii="Carlito" w:hAnsi="Carlito" w:cs="Carlito"/>
          <w:color w:val="000000"/>
          <w:kern w:val="0"/>
        </w:rPr>
      </w:pPr>
      <w:r>
        <w:rPr>
          <w:rFonts w:ascii="Carlito" w:hAnsi="Carlito" w:cs="Carlito"/>
          <w:color w:val="000000"/>
          <w:kern w:val="0"/>
        </w:rPr>
        <w:t>Figure 1: Challenges faced by care providers</w:t>
      </w:r>
    </w:p>
    <w:p w14:paraId="263DE9BB" w14:textId="6D8369D6" w:rsidR="00340791" w:rsidRDefault="00340791" w:rsidP="00340791">
      <w:pPr>
        <w:pStyle w:val="Heading3"/>
      </w:pPr>
      <w:bookmarkStart w:id="31" w:name="_Toc197736867"/>
      <w:r>
        <w:t xml:space="preserve">3.4.3 </w:t>
      </w:r>
      <w:r>
        <w:t>Operational Impacts of Poor Morale</w:t>
      </w:r>
      <w:bookmarkEnd w:id="31"/>
    </w:p>
    <w:p w14:paraId="303C6AC6"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Table 3.3 of the dataset examined specific operational consequences attributed to low staff morale. The most frequently reported impacts were:</w:t>
      </w:r>
    </w:p>
    <w:p w14:paraId="18D8FE7B" w14:textId="77777777" w:rsidR="00340791" w:rsidRDefault="00340791" w:rsidP="00340791">
      <w:pPr>
        <w:numPr>
          <w:ilvl w:val="0"/>
          <w:numId w:val="27"/>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Staff not willing to take on additional hours (reported by 447 care homes and 823 domiciliary care providers)</w:t>
      </w:r>
    </w:p>
    <w:p w14:paraId="57A77246" w14:textId="77777777" w:rsidR="00340791" w:rsidRDefault="00340791" w:rsidP="00340791">
      <w:pPr>
        <w:numPr>
          <w:ilvl w:val="0"/>
          <w:numId w:val="27"/>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Staff less energised (419 care homes, 481 domiciliary care)</w:t>
      </w:r>
    </w:p>
    <w:p w14:paraId="4DD7CD1B" w14:textId="77777777" w:rsidR="00340791" w:rsidRDefault="00340791" w:rsidP="00340791">
      <w:pPr>
        <w:numPr>
          <w:ilvl w:val="0"/>
          <w:numId w:val="27"/>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Increased sickness levels (318 care homes, 396 domiciliary care)</w:t>
      </w:r>
    </w:p>
    <w:p w14:paraId="6AE4714D"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lastRenderedPageBreak/>
        <w:t>These findings suggest that reduced morale not only threatens long-term retention but also undermines day-to-day operational resilience. Notably, “staff indicating they are thinking of leaving” was reported by 291 care homes and 503 domiciliary care providers, making it one of the clearest links between morale and retention.</w:t>
      </w:r>
    </w:p>
    <w:p w14:paraId="58DB97C6" w14:textId="624876F2" w:rsidR="00340791" w:rsidRDefault="00340791" w:rsidP="00340791">
      <w:pPr>
        <w:autoSpaceDE w:val="0"/>
        <w:autoSpaceDN w:val="0"/>
        <w:adjustRightInd w:val="0"/>
        <w:spacing w:after="100" w:line="360" w:lineRule="auto"/>
        <w:jc w:val="both"/>
        <w:rPr>
          <w:rFonts w:ascii="Helvetica" w:hAnsi="Helvetica" w:cs="Helvetica"/>
          <w:color w:val="000000"/>
          <w:kern w:val="0"/>
        </w:rPr>
      </w:pPr>
      <w:r>
        <w:rPr>
          <w:rFonts w:ascii="Carlito" w:hAnsi="Carlito" w:cs="Carlito"/>
          <w:noProof/>
          <w:color w:val="000000"/>
          <w:kern w:val="0"/>
        </w:rPr>
        <w:drawing>
          <wp:inline distT="0" distB="0" distL="0" distR="0" wp14:anchorId="0452F78E" wp14:editId="0387D321">
            <wp:extent cx="2922905" cy="2141220"/>
            <wp:effectExtent l="0" t="0" r="0" b="5080"/>
            <wp:docPr id="1943931162" name="Picture 4" descr="A graph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31162" name="Picture 4" descr="A graph with text and numb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2905" cy="2141220"/>
                    </a:xfrm>
                    <a:prstGeom prst="rect">
                      <a:avLst/>
                    </a:prstGeom>
                    <a:noFill/>
                    <a:ln>
                      <a:noFill/>
                    </a:ln>
                  </pic:spPr>
                </pic:pic>
              </a:graphicData>
            </a:graphic>
          </wp:inline>
        </w:drawing>
      </w:r>
    </w:p>
    <w:p w14:paraId="7B5A6A0E" w14:textId="77777777" w:rsidR="00340791" w:rsidRDefault="00340791" w:rsidP="00340791">
      <w:pPr>
        <w:autoSpaceDE w:val="0"/>
        <w:autoSpaceDN w:val="0"/>
        <w:adjustRightInd w:val="0"/>
        <w:spacing w:line="360" w:lineRule="auto"/>
        <w:jc w:val="center"/>
        <w:rPr>
          <w:rFonts w:ascii="Carlito" w:hAnsi="Carlito" w:cs="Carlito"/>
          <w:color w:val="000000"/>
          <w:kern w:val="0"/>
        </w:rPr>
      </w:pPr>
      <w:r>
        <w:rPr>
          <w:rFonts w:ascii="Carlito" w:hAnsi="Carlito" w:cs="Carlito"/>
          <w:color w:val="000000"/>
          <w:kern w:val="0"/>
        </w:rPr>
        <w:t>Figure 2: Operational Impacts of Poor Morale</w:t>
      </w:r>
    </w:p>
    <w:p w14:paraId="56A3A733" w14:textId="0CB2A46B" w:rsidR="00340791" w:rsidRDefault="00340791" w:rsidP="00340791">
      <w:pPr>
        <w:pStyle w:val="Heading2"/>
      </w:pPr>
      <w:bookmarkStart w:id="32" w:name="_Toc197736868"/>
      <w:r>
        <w:t xml:space="preserve">3.5 </w:t>
      </w:r>
      <w:r>
        <w:t>Barriers to Retention and Recruitment</w:t>
      </w:r>
      <w:bookmarkEnd w:id="32"/>
    </w:p>
    <w:p w14:paraId="5F524324" w14:textId="404387BF" w:rsidR="00340791" w:rsidRDefault="00340791" w:rsidP="00340791">
      <w:pPr>
        <w:pStyle w:val="Heading3"/>
      </w:pPr>
      <w:bookmarkStart w:id="33" w:name="_Toc197736869"/>
      <w:r>
        <w:t xml:space="preserve">3.5.1 </w:t>
      </w:r>
      <w:r>
        <w:t>Key Structural Barriers</w:t>
      </w:r>
      <w:bookmarkEnd w:id="33"/>
    </w:p>
    <w:p w14:paraId="71E6A054"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Barriers reported provide further insight into the systemic issues affecting recruitment and retention. The most frequently cited was the “level of pay compared with other sectors,” selected by 60.7% of respondents. This reflects a consensus across provider types that compensation is uncompetitive and a core reason why staff leave or are not attracted to the field.</w:t>
      </w:r>
    </w:p>
    <w:p w14:paraId="37A1B811" w14:textId="03E3C8E8" w:rsidR="00340791" w:rsidRDefault="00340791" w:rsidP="00340791">
      <w:pPr>
        <w:autoSpaceDE w:val="0"/>
        <w:autoSpaceDN w:val="0"/>
        <w:adjustRightInd w:val="0"/>
        <w:spacing w:after="100" w:line="360" w:lineRule="auto"/>
        <w:jc w:val="both"/>
        <w:rPr>
          <w:rFonts w:ascii="Helvetica" w:hAnsi="Helvetica" w:cs="Helvetica"/>
          <w:color w:val="000000"/>
          <w:kern w:val="0"/>
        </w:rPr>
      </w:pPr>
      <w:r>
        <w:rPr>
          <w:rFonts w:ascii="Carlito" w:hAnsi="Carlito" w:cs="Carlito"/>
          <w:noProof/>
          <w:color w:val="000000"/>
          <w:kern w:val="0"/>
        </w:rPr>
        <w:drawing>
          <wp:inline distT="0" distB="0" distL="0" distR="0" wp14:anchorId="7DEFA49A" wp14:editId="0CBB5370">
            <wp:extent cx="2864485" cy="2465705"/>
            <wp:effectExtent l="0" t="0" r="5715" b="0"/>
            <wp:docPr id="712729635" name="Picture 3"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29635" name="Picture 3" descr="A graph of a number of peopl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4485" cy="2465705"/>
                    </a:xfrm>
                    <a:prstGeom prst="rect">
                      <a:avLst/>
                    </a:prstGeom>
                    <a:noFill/>
                    <a:ln>
                      <a:noFill/>
                    </a:ln>
                  </pic:spPr>
                </pic:pic>
              </a:graphicData>
            </a:graphic>
          </wp:inline>
        </w:drawing>
      </w:r>
    </w:p>
    <w:p w14:paraId="521F4043" w14:textId="77777777" w:rsidR="00340791" w:rsidRDefault="00340791" w:rsidP="00340791">
      <w:pPr>
        <w:autoSpaceDE w:val="0"/>
        <w:autoSpaceDN w:val="0"/>
        <w:adjustRightInd w:val="0"/>
        <w:spacing w:line="360" w:lineRule="auto"/>
        <w:jc w:val="center"/>
        <w:rPr>
          <w:rFonts w:ascii="Carlito" w:hAnsi="Carlito" w:cs="Carlito"/>
          <w:color w:val="000000"/>
          <w:kern w:val="0"/>
        </w:rPr>
      </w:pPr>
      <w:r>
        <w:rPr>
          <w:rFonts w:ascii="Carlito" w:hAnsi="Carlito" w:cs="Carlito"/>
          <w:color w:val="000000"/>
          <w:kern w:val="0"/>
        </w:rPr>
        <w:t>Figure 3: Main barriers to recruitment and retention</w:t>
      </w:r>
    </w:p>
    <w:p w14:paraId="13F12D40"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lastRenderedPageBreak/>
        <w:t>Other frequently cited barriers included “access to childcare support” (34.6%) and “funding to pay for childcare” (30.9%), both of which disproportionately affect female-dominated workforces like social care. Additionally, 30.8% cited slow Disclosure and Barring Service (DBS) checks as a barrier, suggesting administrative delays can also impede onboarding.</w:t>
      </w:r>
    </w:p>
    <w:p w14:paraId="26619ABC" w14:textId="6DD0B757" w:rsidR="00340791" w:rsidRDefault="00340791" w:rsidP="00340791">
      <w:pPr>
        <w:pStyle w:val="Heading3"/>
      </w:pPr>
      <w:bookmarkStart w:id="34" w:name="_Toc197736870"/>
      <w:r>
        <w:t xml:space="preserve">3.5.2 </w:t>
      </w:r>
      <w:r>
        <w:t>Variation by Setting</w:t>
      </w:r>
      <w:bookmarkEnd w:id="34"/>
    </w:p>
    <w:p w14:paraId="0979F7C4"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There were some variations. For example, access to childcare was cited as a barrier by 35.4% of domiciliary care providers versus 33.6% for care home staff. This implies that childcare related issues are slightly worse for domiciliary staff </w:t>
      </w:r>
      <w:proofErr w:type="gramStart"/>
      <w:r>
        <w:rPr>
          <w:rFonts w:ascii="Carlito" w:hAnsi="Carlito" w:cs="Carlito"/>
          <w:color w:val="000000"/>
          <w:kern w:val="0"/>
        </w:rPr>
        <w:t>as a result of</w:t>
      </w:r>
      <w:proofErr w:type="gramEnd"/>
      <w:r>
        <w:rPr>
          <w:rFonts w:ascii="Carlito" w:hAnsi="Carlito" w:cs="Carlito"/>
          <w:color w:val="000000"/>
          <w:kern w:val="0"/>
        </w:rPr>
        <w:t xml:space="preserve"> their dispersed working patterns and lower pay which may make it harder for them to calculate the cost/benefit analysis of being in the workforce.</w:t>
      </w:r>
    </w:p>
    <w:p w14:paraId="2722C909"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 results of the April 2025 survey paint a vivid and worrying picture of the adult social care workforce in England. The recruitment challenge and its related problems of retention, morale and agency reliance are most severe. Overall, we find that domiciliary care providers experience more severe difficulties than residential care providers in almost all metrics, </w:t>
      </w:r>
      <w:proofErr w:type="spellStart"/>
      <w:r>
        <w:rPr>
          <w:rFonts w:ascii="Carlito" w:hAnsi="Carlito" w:cs="Carlito"/>
          <w:color w:val="000000"/>
          <w:kern w:val="0"/>
        </w:rPr>
        <w:t>signaling</w:t>
      </w:r>
      <w:proofErr w:type="spellEnd"/>
      <w:r>
        <w:rPr>
          <w:rFonts w:ascii="Carlito" w:hAnsi="Carlito" w:cs="Carlito"/>
          <w:color w:val="000000"/>
          <w:kern w:val="0"/>
        </w:rPr>
        <w:t xml:space="preserve"> the special vulnerabilities of this subsector. Systemic barriers to workforce sustainability include poor pay, childcare pressures and administrative delays such as delays in DBS checks.</w:t>
      </w:r>
    </w:p>
    <w:p w14:paraId="7C8725E6"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While morale is reported to be more stable, it is an undercurrent issue with clear operational consequences — examples including increased sickness, reluctance to work additional hours, or outright plans to leave. Firmly confirming prior research on workforce instability, these results also underscore the importance of policy action to promote pay equity, improve working conditions, and reforms of structures.</w:t>
      </w:r>
    </w:p>
    <w:p w14:paraId="67C5DB45" w14:textId="1EF719EC" w:rsidR="00340791" w:rsidRDefault="00340791" w:rsidP="00340791">
      <w:pPr>
        <w:pStyle w:val="Heading2"/>
      </w:pPr>
      <w:bookmarkStart w:id="35" w:name="_Toc197736871"/>
      <w:r>
        <w:t xml:space="preserve">3.6 </w:t>
      </w:r>
      <w:r>
        <w:t>Interpretation of Barriers to Recruitment and Retention</w:t>
      </w:r>
      <w:bookmarkEnd w:id="35"/>
    </w:p>
    <w:p w14:paraId="2C79C381"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To assess whether the perceived barriers to recruitment and retention differ significantly between care homes and domiciliary care settings, a paired two-sample t-test was conducted using data from 19 shared response categories. These responses were drawn from the survey question: “What do you think are the most important barriers to recruitment and retention in the sector that need to be addressed?” The test compared the mean number of selections for each barrier between the two provider types.</w:t>
      </w:r>
    </w:p>
    <w:p w14:paraId="564DF2BF"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lastRenderedPageBreak/>
        <w:t>The results revealed a mean response count of 339.63 for care homes and 487.16 for domiciliary care settings. The t-statistic (-4.39) far exceeded the critical values for both one-tailed and two-tailed tests, and the two-tailed p-value of 0.00035 indicated a highly statistically significant difference. These findings confirm that domiciliary care providers selected significantly more barriers than care homes, suggesting that they perceive the recruitment and retention landscape as more complex and challenging.</w:t>
      </w:r>
    </w:p>
    <w:p w14:paraId="07665CC9"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This finding aligns with broader sectoral patterns highlighted throughout the survey. Domiciliary care providers consistently reported higher levels of difficulty with staff recruitment (74.0% vs. 66.7% in care homes), retention (58.5% vs. 53.9%), and morale (46.1% vs. 41.4%). The higher number of selected barriers likely reflects both objective working condition differences and subjective perceptions of disadvantage. Domiciliary roles often involve fragmented hours, unpaid travel, limited peer interaction, and fewer support structures—factors which contribute to poorer job satisfaction and higher turnover. It is also noteworthy that the Pearson correlation coefficient between the two groups' responses was 0.92, indicating that although both settings recognize similar issues, domiciliary providers consistently experience them more acutely.</w:t>
      </w:r>
    </w:p>
    <w:p w14:paraId="7D0244DC" w14:textId="77777777" w:rsidR="00340791" w:rsidRDefault="00340791" w:rsidP="00340791">
      <w:pPr>
        <w:autoSpaceDE w:val="0"/>
        <w:autoSpaceDN w:val="0"/>
        <w:adjustRightInd w:val="0"/>
        <w:spacing w:after="240" w:line="360" w:lineRule="auto"/>
        <w:jc w:val="both"/>
        <w:rPr>
          <w:rFonts w:ascii="Carlito" w:hAnsi="Carlito" w:cs="Carlito"/>
          <w:color w:val="000000"/>
          <w:kern w:val="0"/>
        </w:rPr>
      </w:pPr>
      <w:r>
        <w:rPr>
          <w:rFonts w:ascii="Carlito" w:hAnsi="Carlito" w:cs="Carlito"/>
          <w:color w:val="000000"/>
          <w:kern w:val="0"/>
        </w:rPr>
        <w:t>These findings directly address the study’s research question: “Is there a statistically significant difference in the perceived challenges of staff retention between care homes and domiciliary care settings?” The statistical evidence affirms that such a difference does exist. Domiciliary care providers not only face greater difficulties in retaining staff but also report more systemic barriers impeding recruitment and long-term workforce sustainability. This suggests that retention challenges in the adult social care sector are not uniformly experienced, and that policy interventions may need to be setting-specific, with targeted strategies to support the unique operational context of domiciliary care.</w:t>
      </w:r>
    </w:p>
    <w:p w14:paraId="5B18B4D1" w14:textId="70B8039D" w:rsidR="00340791" w:rsidRDefault="00340791" w:rsidP="00340791">
      <w:pPr>
        <w:pStyle w:val="Heading1"/>
      </w:pPr>
      <w:bookmarkStart w:id="36" w:name="_Toc197736872"/>
      <w:r>
        <w:t xml:space="preserve">4. </w:t>
      </w:r>
      <w:r>
        <w:t>Discussion</w:t>
      </w:r>
      <w:bookmarkEnd w:id="36"/>
    </w:p>
    <w:p w14:paraId="5DDD8A5E"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 xml:space="preserve">This study investigated whether the smarting of staff retention perceived by staff within the adult social care sector is statistically different between care homes and domiciliary care settings. The findings are based on the analysis of secondary data from the Adult Social Care Workforce Survey – April 2025 (DHSC, 2025) and show clear and statistically significant differences between the two provider types. Consistently reported higher levels of difficulty </w:t>
      </w:r>
      <w:r>
        <w:rPr>
          <w:rFonts w:ascii="Carlito" w:hAnsi="Carlito" w:cs="Carlito"/>
          <w:color w:val="000000"/>
          <w:kern w:val="0"/>
        </w:rPr>
        <w:lastRenderedPageBreak/>
        <w:t>in retaining staff, recruiting staff and maintaining morale, domiciliary care providers demonstrated. A paired sample t test also showed that domiciliary care providers chose significantly more recruitment and retention barriers than care homes gave (p = 0.00035), indicating that these barriers are perceived more acutely in the domiciliary setting.</w:t>
      </w:r>
    </w:p>
    <w:p w14:paraId="17122D30"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More than 71 percent found recruitment difficult, while more than 56.6 percent found retention equally difficult. Care homes were more prone to report challenges across all categories than domiciliary services. The main reasons provided for leaving the sector were better pay elsewhere in social care (52.3%) and better working hours elsewhere (28.8%). The operational findings support this conclusion strongly with workforce pressures appearing sector wide but their severity and complexity by care setting, with domiciliary care bearing the brunt of the current pressures.</w:t>
      </w:r>
    </w:p>
    <w:p w14:paraId="2F5C59A3" w14:textId="41B30842" w:rsidR="00340791" w:rsidRDefault="00340791" w:rsidP="00340791">
      <w:pPr>
        <w:pStyle w:val="Heading2"/>
      </w:pPr>
      <w:bookmarkStart w:id="37" w:name="_Toc197736873"/>
      <w:r>
        <w:t xml:space="preserve">4.1 </w:t>
      </w:r>
      <w:r>
        <w:t>Explanations for Setting-Based Differences</w:t>
      </w:r>
      <w:bookmarkEnd w:id="37"/>
    </w:p>
    <w:p w14:paraId="04E79BD5"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 xml:space="preserve">Structurally and environmentally different ways in which services are delivered contribute to the increased difficulties facing domiciliary care providers. Because domiciliary care workers often work in isolation, travel between client homes, and have fragmented schedules and sometimes receive insufficient or no compensation for travel time and fuel costs (Randell 2021), domiciliary care workers are perceived to be at an elevated risk of contracting COVID-19. Moreover, they are also more likely to be on zero hours contracts and have less access to </w:t>
      </w:r>
      <w:proofErr w:type="spellStart"/>
      <w:r>
        <w:rPr>
          <w:rFonts w:ascii="Carlito" w:hAnsi="Carlito" w:cs="Carlito"/>
          <w:color w:val="000000"/>
          <w:kern w:val="0"/>
        </w:rPr>
        <w:t>on site</w:t>
      </w:r>
      <w:proofErr w:type="spellEnd"/>
      <w:r>
        <w:rPr>
          <w:rFonts w:ascii="Carlito" w:hAnsi="Carlito" w:cs="Carlito"/>
          <w:color w:val="000000"/>
          <w:kern w:val="0"/>
        </w:rPr>
        <w:t xml:space="preserve"> peer support or supervision (</w:t>
      </w:r>
      <w:proofErr w:type="spellStart"/>
      <w:r>
        <w:rPr>
          <w:rFonts w:ascii="Carlito" w:hAnsi="Carlito" w:cs="Carlito"/>
          <w:color w:val="000000"/>
          <w:kern w:val="0"/>
        </w:rPr>
        <w:t>Estabrooks</w:t>
      </w:r>
      <w:proofErr w:type="spellEnd"/>
      <w:r>
        <w:rPr>
          <w:rFonts w:ascii="Carlito" w:hAnsi="Carlito" w:cs="Carlito"/>
          <w:color w:val="000000"/>
          <w:kern w:val="0"/>
        </w:rPr>
        <w:t xml:space="preserve"> et al., 2015). According to the literature of frontline care work, these conditions result in feelings of isolation, lower job satisfaction and a greater vulnerability for burnout (Johnston et al., 2021; </w:t>
      </w:r>
      <w:proofErr w:type="spellStart"/>
      <w:r>
        <w:rPr>
          <w:rFonts w:ascii="Carlito" w:hAnsi="Carlito" w:cs="Carlito"/>
          <w:color w:val="000000"/>
          <w:kern w:val="0"/>
        </w:rPr>
        <w:t>Lizano</w:t>
      </w:r>
      <w:proofErr w:type="spellEnd"/>
      <w:r>
        <w:rPr>
          <w:rFonts w:ascii="Carlito" w:hAnsi="Carlito" w:cs="Carlito"/>
          <w:color w:val="000000"/>
          <w:kern w:val="0"/>
        </w:rPr>
        <w:t>, 2015).</w:t>
      </w:r>
    </w:p>
    <w:p w14:paraId="4451F725" w14:textId="77777777" w:rsidR="00340791" w:rsidRDefault="00340791" w:rsidP="00340791">
      <w:pPr>
        <w:autoSpaceDE w:val="0"/>
        <w:autoSpaceDN w:val="0"/>
        <w:adjustRightInd w:val="0"/>
        <w:spacing w:after="100" w:line="360" w:lineRule="auto"/>
        <w:jc w:val="both"/>
        <w:rPr>
          <w:rFonts w:ascii="Carlito" w:hAnsi="Carlito" w:cs="Carlito"/>
          <w:color w:val="000000"/>
          <w:kern w:val="0"/>
        </w:rPr>
      </w:pPr>
      <w:r>
        <w:rPr>
          <w:rFonts w:ascii="Carlito" w:hAnsi="Carlito" w:cs="Carlito"/>
          <w:color w:val="000000"/>
          <w:kern w:val="0"/>
        </w:rPr>
        <w:t>Care homes offer fixed location environments, more consistent shifts, and opportunities for support within a team. Care home roles can be emotionally and physically demanding but they can provide a stronger sense of community and more slightly more job security. And yet this does not mean retention is not a problem in care homes; it is. However, the reality of working conditions spread out within the domiciliary care service, combined with an administrative burden and under resourcing, means that the workforce for domiciliary care is particularly prone to attrition.</w:t>
      </w:r>
    </w:p>
    <w:p w14:paraId="17832C32"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This distinction also helps explain the much larger number of barriers selected by domiciliary care providers in the survey. For instance, domiciliary providers cited access to childcare </w:t>
      </w:r>
      <w:r>
        <w:rPr>
          <w:rFonts w:ascii="Carlito" w:hAnsi="Carlito" w:cs="Carlito"/>
          <w:color w:val="000000"/>
          <w:kern w:val="0"/>
        </w:rPr>
        <w:lastRenderedPageBreak/>
        <w:t xml:space="preserve">support more frequently (35.4%) than care homes (33.6%), perhaps due to the difficulty of domiciliary workers to access conventional childcare services in conjunction with fragmented and inconsistent shifts (Berta, Coral, </w:t>
      </w:r>
      <w:proofErr w:type="spellStart"/>
      <w:r>
        <w:rPr>
          <w:rFonts w:ascii="Carlito" w:hAnsi="Carlito" w:cs="Carlito"/>
          <w:color w:val="000000"/>
          <w:kern w:val="0"/>
        </w:rPr>
        <w:t>Dolfe</w:t>
      </w:r>
      <w:proofErr w:type="spellEnd"/>
      <w:r>
        <w:rPr>
          <w:rFonts w:ascii="Carlito" w:hAnsi="Carlito" w:cs="Carlito"/>
          <w:color w:val="000000"/>
          <w:kern w:val="0"/>
        </w:rPr>
        <w:t xml:space="preserve">, </w:t>
      </w:r>
      <w:proofErr w:type="spellStart"/>
      <w:r>
        <w:rPr>
          <w:rFonts w:ascii="Carlito" w:hAnsi="Carlito" w:cs="Carlito"/>
          <w:color w:val="000000"/>
          <w:kern w:val="0"/>
        </w:rPr>
        <w:t>Lagvis</w:t>
      </w:r>
      <w:proofErr w:type="spellEnd"/>
      <w:r>
        <w:rPr>
          <w:rFonts w:ascii="Carlito" w:hAnsi="Carlito" w:cs="Carlito"/>
          <w:color w:val="000000"/>
          <w:kern w:val="0"/>
        </w:rPr>
        <w:t xml:space="preserve">, &amp; </w:t>
      </w:r>
      <w:proofErr w:type="spellStart"/>
      <w:r>
        <w:rPr>
          <w:rFonts w:ascii="Carlito" w:hAnsi="Carlito" w:cs="Carlito"/>
          <w:color w:val="000000"/>
          <w:kern w:val="0"/>
        </w:rPr>
        <w:t>Peluffo</w:t>
      </w:r>
      <w:proofErr w:type="spellEnd"/>
      <w:r>
        <w:rPr>
          <w:rFonts w:ascii="Carlito" w:hAnsi="Carlito" w:cs="Carlito"/>
          <w:color w:val="000000"/>
          <w:kern w:val="0"/>
        </w:rPr>
        <w:t>, 2018). Furthermore, the problems of long delays in DBS clearance and deficient onboarding aid are exaggerated when care workers are widely dispersed.</w:t>
      </w:r>
    </w:p>
    <w:p w14:paraId="1E434745" w14:textId="455EA297" w:rsidR="00340791" w:rsidRDefault="00340791" w:rsidP="00340791">
      <w:pPr>
        <w:pStyle w:val="Heading2"/>
      </w:pPr>
      <w:bookmarkStart w:id="38" w:name="_Toc197736874"/>
      <w:r>
        <w:t xml:space="preserve">4.2 </w:t>
      </w:r>
      <w:r>
        <w:t>Relationship to Existing Literature</w:t>
      </w:r>
      <w:bookmarkEnd w:id="38"/>
    </w:p>
    <w:p w14:paraId="1611D206"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These findings are consistent with and help to explain existing research on workforce instability in adult social care. According to Johnston et al. (2020, 2021), frontline care workers, particularly care homes, experience high emotional fatigue and lack of institutional support. This is expanded further in the present study, showing that in domiciliary </w:t>
      </w:r>
      <w:proofErr w:type="gramStart"/>
      <w:r>
        <w:rPr>
          <w:rFonts w:ascii="Carlito" w:hAnsi="Carlito" w:cs="Carlito"/>
          <w:color w:val="000000"/>
          <w:kern w:val="0"/>
        </w:rPr>
        <w:t>care ,</w:t>
      </w:r>
      <w:proofErr w:type="gramEnd"/>
      <w:r>
        <w:rPr>
          <w:rFonts w:ascii="Carlito" w:hAnsi="Carlito" w:cs="Carlito"/>
          <w:color w:val="000000"/>
          <w:kern w:val="0"/>
        </w:rPr>
        <w:t xml:space="preserve"> lone working and poor structural supports make even harsher conditions.</w:t>
      </w:r>
    </w:p>
    <w:p w14:paraId="44B2ED3F"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Additionally, findings are consistent with those of Wheatley (2017) and Van der Heijden et al. (2017), who stress the role of autonomy and social support in keeping employees healthy. While autonomy is theoretically high in domiciliary care, it is undermined by poor scheduling, lack of control over caseloads and few opportunities for social interaction and career progression. In my view, wellbeing has a direct impact on the individual, as well as organisational outcomes and service quality, as highlighted by Raj (2020) and Abdullah et al. (2021) who also advocate that ignoring wellbeing leads to adversely affected performance.</w:t>
      </w:r>
    </w:p>
    <w:p w14:paraId="1F446527"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These reported impacts of low morale such as increased sickness, staff's rejection to do overtime hours, and staff's intent to leave also confirm what </w:t>
      </w:r>
      <w:proofErr w:type="spellStart"/>
      <w:r>
        <w:rPr>
          <w:rFonts w:ascii="Carlito" w:hAnsi="Carlito" w:cs="Carlito"/>
          <w:color w:val="000000"/>
          <w:kern w:val="0"/>
        </w:rPr>
        <w:t>Lizano</w:t>
      </w:r>
      <w:proofErr w:type="spellEnd"/>
      <w:r>
        <w:rPr>
          <w:rFonts w:ascii="Carlito" w:hAnsi="Carlito" w:cs="Carlito"/>
          <w:color w:val="000000"/>
          <w:kern w:val="0"/>
        </w:rPr>
        <w:t xml:space="preserve"> (2015) showed that human service workers' burnout leads to disengage and deterioration of health. This is evidenced operationally in the current dataset in which 503 domiciliary care providers reported that staff were thinking of leaving because of morale issues compared to 291 in care homes.</w:t>
      </w:r>
    </w:p>
    <w:p w14:paraId="1DE945CA"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Additionally, the focus on pay as a predominant cause of recruitment and recall difficulty is consistent with national trends and academic consensus (Gordon et al., 2020; Pradhan &amp; Hati, 2022). Like the Canadian study discussed by </w:t>
      </w:r>
      <w:proofErr w:type="spellStart"/>
      <w:r>
        <w:rPr>
          <w:rFonts w:ascii="Carlito" w:hAnsi="Carlito" w:cs="Carlito"/>
          <w:color w:val="000000"/>
          <w:kern w:val="0"/>
        </w:rPr>
        <w:t>Estabrooks</w:t>
      </w:r>
      <w:proofErr w:type="spellEnd"/>
      <w:r>
        <w:rPr>
          <w:rFonts w:ascii="Carlito" w:hAnsi="Carlito" w:cs="Carlito"/>
          <w:color w:val="000000"/>
          <w:kern w:val="0"/>
        </w:rPr>
        <w:t xml:space="preserve"> et al. (2015), unregulated, low wage care roles are characterized by high turnover, which is unlikely to be the case if strategic support for training, recognition and progression (currently absent in much of English social care) is provided.</w:t>
      </w:r>
    </w:p>
    <w:p w14:paraId="192707D7" w14:textId="5F68D7DA" w:rsidR="00340791" w:rsidRDefault="00340791" w:rsidP="00340791">
      <w:pPr>
        <w:pStyle w:val="Heading2"/>
      </w:pPr>
      <w:bookmarkStart w:id="39" w:name="_Toc197736875"/>
      <w:r>
        <w:lastRenderedPageBreak/>
        <w:t xml:space="preserve">4.3 </w:t>
      </w:r>
      <w:r>
        <w:t>Implications for Workforce Support and Retention Strategies</w:t>
      </w:r>
      <w:bookmarkEnd w:id="39"/>
    </w:p>
    <w:p w14:paraId="09647217"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There is much evidence to support the conclusion that the adult social care workforce crisis will require setting specific interventions. National pay reform is critical to raising competitiveness of the sector, but with underlying structural and emotional challenges for domiciliary care workers, they must be supported with specific guidance. Strategies may include:</w:t>
      </w:r>
    </w:p>
    <w:p w14:paraId="6D798B8F" w14:textId="77777777" w:rsidR="00340791" w:rsidRDefault="00340791" w:rsidP="00340791">
      <w:pPr>
        <w:numPr>
          <w:ilvl w:val="0"/>
          <w:numId w:val="35"/>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Subsidised travel time and fuel reimbursement for home visits</w:t>
      </w:r>
    </w:p>
    <w:p w14:paraId="6AEBD76C" w14:textId="77777777" w:rsidR="00340791" w:rsidRDefault="00340791" w:rsidP="00340791">
      <w:pPr>
        <w:numPr>
          <w:ilvl w:val="0"/>
          <w:numId w:val="35"/>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Access to affordable and flexible childcare</w:t>
      </w:r>
    </w:p>
    <w:p w14:paraId="74B4286B" w14:textId="77777777" w:rsidR="00340791" w:rsidRDefault="00340791" w:rsidP="00340791">
      <w:pPr>
        <w:numPr>
          <w:ilvl w:val="0"/>
          <w:numId w:val="35"/>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Streamlined DBS and onboarding processes</w:t>
      </w:r>
    </w:p>
    <w:p w14:paraId="3E7F7726" w14:textId="77777777" w:rsidR="00340791" w:rsidRDefault="00340791" w:rsidP="00340791">
      <w:pPr>
        <w:numPr>
          <w:ilvl w:val="0"/>
          <w:numId w:val="35"/>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Structured mentorship or buddy systems to reduce isolation</w:t>
      </w:r>
    </w:p>
    <w:p w14:paraId="3B0AC466" w14:textId="77777777" w:rsidR="00340791" w:rsidRDefault="00340791" w:rsidP="00340791">
      <w:pPr>
        <w:numPr>
          <w:ilvl w:val="0"/>
          <w:numId w:val="35"/>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Guaranteed minimum hour contracts to reduce financial instability</w:t>
      </w:r>
    </w:p>
    <w:p w14:paraId="271D3D7F"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Focusing </w:t>
      </w:r>
      <w:proofErr w:type="gramStart"/>
      <w:r>
        <w:rPr>
          <w:rFonts w:ascii="Carlito" w:hAnsi="Carlito" w:cs="Carlito"/>
          <w:color w:val="000000"/>
          <w:kern w:val="0"/>
        </w:rPr>
        <w:t>in</w:t>
      </w:r>
      <w:proofErr w:type="gramEnd"/>
      <w:r>
        <w:rPr>
          <w:rFonts w:ascii="Carlito" w:hAnsi="Carlito" w:cs="Carlito"/>
          <w:color w:val="000000"/>
          <w:kern w:val="0"/>
        </w:rPr>
        <w:t xml:space="preserve"> care homes may be about improving emotional resilience, advancing team based support, and more clearly conceptualise internal progression pathways e.g. from care home to senior, or registered role (Johnston et al., 2021). Enhanced wellbeing support, structured reflection time and mental health resources that sit within the context of organisational culture (Abdullah et al., 2021; Johnson et al., 2017) would also be beneficial to both settings.</w:t>
      </w:r>
    </w:p>
    <w:p w14:paraId="27CCECB5"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These findings at the policy level highlight the need for social care providers to benefit from stable, </w:t>
      </w:r>
      <w:proofErr w:type="gramStart"/>
      <w:r>
        <w:rPr>
          <w:rFonts w:ascii="Carlito" w:hAnsi="Carlito" w:cs="Carlito"/>
          <w:color w:val="000000"/>
          <w:kern w:val="0"/>
        </w:rPr>
        <w:t>long term</w:t>
      </w:r>
      <w:proofErr w:type="gramEnd"/>
      <w:r>
        <w:rPr>
          <w:rFonts w:ascii="Carlito" w:hAnsi="Carlito" w:cs="Carlito"/>
          <w:color w:val="000000"/>
          <w:kern w:val="0"/>
        </w:rPr>
        <w:t xml:space="preserve"> sources of funding to invest in training, salaries and recruitment infrastructure. Unfortunately, the current system is wholly dependent on short term emergency funding that limits sustainable workforce development and erodes provider confidence in workers’ ability to perform the jobs they accept.</w:t>
      </w:r>
    </w:p>
    <w:p w14:paraId="7BA19EBD" w14:textId="0EDFEA81" w:rsidR="00340791" w:rsidRDefault="00340791" w:rsidP="00340791">
      <w:pPr>
        <w:pStyle w:val="Heading2"/>
      </w:pPr>
      <w:bookmarkStart w:id="40" w:name="_Toc197736876"/>
      <w:r>
        <w:t xml:space="preserve">4.4 </w:t>
      </w:r>
      <w:r>
        <w:t>Strengths and Limitations of the Study</w:t>
      </w:r>
      <w:bookmarkEnd w:id="40"/>
    </w:p>
    <w:p w14:paraId="0253A157"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This study offers several strengths. It then relies on a huge and nationally representative secondary dataset, which captures responses from 4,913 adult social care providers in England. Rigorous comparisons between regions and </w:t>
      </w:r>
      <w:proofErr w:type="gramStart"/>
      <w:r>
        <w:rPr>
          <w:rFonts w:ascii="Carlito" w:hAnsi="Carlito" w:cs="Carlito"/>
          <w:color w:val="000000"/>
          <w:kern w:val="0"/>
        </w:rPr>
        <w:t>providers’</w:t>
      </w:r>
      <w:proofErr w:type="gramEnd"/>
      <w:r>
        <w:rPr>
          <w:rFonts w:ascii="Carlito" w:hAnsi="Carlito" w:cs="Carlito"/>
          <w:color w:val="000000"/>
          <w:kern w:val="0"/>
        </w:rPr>
        <w:t xml:space="preserve"> types are possible using the data’s scope and granularity, providing a vivid picture of workforce conditions during a period of acute stress following the precipitous reduction in international recruitment early on in 2024 (DHSC, 2025).</w:t>
      </w:r>
    </w:p>
    <w:p w14:paraId="5D6130A4"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lastRenderedPageBreak/>
        <w:t>Additionally, descriptive statistics combined with inferential testing (t test) and workforce segmentation add breadth as well as depth in analysis. The analysis triangulates between overall trends and statistically significant differences to present a nuanced understanding of the sector wide and setting specific challenges.</w:t>
      </w:r>
    </w:p>
    <w:p w14:paraId="7493D998"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Some limitations are, however. Since this is a secondary data analysis, the researcher could not have influence over survey design, question phrasing and sampling strategy. Although the response rate was high (100% in some areas), the voluntary nature of the survey might have introduced </w:t>
      </w:r>
      <w:proofErr w:type="spellStart"/>
      <w:r>
        <w:rPr>
          <w:rFonts w:ascii="Carlito" w:hAnsi="Carlito" w:cs="Carlito"/>
          <w:color w:val="000000"/>
          <w:kern w:val="0"/>
        </w:rPr>
        <w:t>self selection</w:t>
      </w:r>
      <w:proofErr w:type="spellEnd"/>
      <w:r>
        <w:rPr>
          <w:rFonts w:ascii="Carlito" w:hAnsi="Carlito" w:cs="Carlito"/>
          <w:color w:val="000000"/>
          <w:kern w:val="0"/>
        </w:rPr>
        <w:t xml:space="preserve"> bias, so that more distressed or engaged providers might be more likely to respond.</w:t>
      </w:r>
    </w:p>
    <w:p w14:paraId="670FA124"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First, there is no individual level demographic data. The lack of variables like staff age, ethnicity, years of experience, and contract type (</w:t>
      </w:r>
      <w:proofErr w:type="spellStart"/>
      <w:r>
        <w:rPr>
          <w:rFonts w:ascii="Carlito" w:hAnsi="Carlito" w:cs="Carlito"/>
          <w:color w:val="000000"/>
          <w:kern w:val="0"/>
        </w:rPr>
        <w:t>Rothausen</w:t>
      </w:r>
      <w:proofErr w:type="spellEnd"/>
      <w:r>
        <w:rPr>
          <w:rFonts w:ascii="Carlito" w:hAnsi="Carlito" w:cs="Carlito"/>
          <w:color w:val="000000"/>
          <w:kern w:val="0"/>
        </w:rPr>
        <w:t xml:space="preserve"> et al., 2017; Ariza-Montes et al., 2018) could be very important when the outcomes related to the retention and wellbeing are considered. The dataset does not directly explore frontline worker perspectives but rather uses provider-level interpretation to interpret the sentiment, and it may underreport or misrepresent what frontline workers </w:t>
      </w:r>
      <w:proofErr w:type="gramStart"/>
      <w:r>
        <w:rPr>
          <w:rFonts w:ascii="Carlito" w:hAnsi="Carlito" w:cs="Carlito"/>
          <w:color w:val="000000"/>
          <w:kern w:val="0"/>
        </w:rPr>
        <w:t>actually think</w:t>
      </w:r>
      <w:proofErr w:type="gramEnd"/>
      <w:r>
        <w:rPr>
          <w:rFonts w:ascii="Carlito" w:hAnsi="Carlito" w:cs="Carlito"/>
          <w:color w:val="000000"/>
          <w:kern w:val="0"/>
        </w:rPr>
        <w:t xml:space="preserve"> (Gordon et al. 2020).</w:t>
      </w:r>
    </w:p>
    <w:p w14:paraId="5DA5C4E8" w14:textId="77777777" w:rsidR="00340791" w:rsidRDefault="00340791" w:rsidP="00340791">
      <w:pPr>
        <w:autoSpaceDE w:val="0"/>
        <w:autoSpaceDN w:val="0"/>
        <w:adjustRightInd w:val="0"/>
        <w:spacing w:after="240" w:line="360" w:lineRule="auto"/>
        <w:jc w:val="both"/>
        <w:rPr>
          <w:rFonts w:ascii="Carlito" w:hAnsi="Carlito" w:cs="Carlito"/>
          <w:color w:val="000000"/>
          <w:kern w:val="0"/>
        </w:rPr>
      </w:pPr>
      <w:r>
        <w:rPr>
          <w:rFonts w:ascii="Carlito" w:hAnsi="Carlito" w:cs="Carlito"/>
          <w:color w:val="000000"/>
          <w:kern w:val="0"/>
        </w:rPr>
        <w:t xml:space="preserve">It also found that statistically significant differences in perceived barriers were found while not capturing the causal mechanisms behind those differences. Future research should look at retirement and turnover over time </w:t>
      </w:r>
      <w:proofErr w:type="gramStart"/>
      <w:r>
        <w:rPr>
          <w:rFonts w:ascii="Carlito" w:hAnsi="Carlito" w:cs="Carlito"/>
          <w:color w:val="000000"/>
          <w:kern w:val="0"/>
        </w:rPr>
        <w:t>through the use of</w:t>
      </w:r>
      <w:proofErr w:type="gramEnd"/>
      <w:r>
        <w:rPr>
          <w:rFonts w:ascii="Carlito" w:hAnsi="Carlito" w:cs="Carlito"/>
          <w:color w:val="000000"/>
          <w:kern w:val="0"/>
        </w:rPr>
        <w:t xml:space="preserve"> longitudinal data and qualitative techniques (such as interviewing staff or conducting focus groups) to better study what motivates those decisions.</w:t>
      </w:r>
    </w:p>
    <w:p w14:paraId="3B7FE886" w14:textId="3EF8C20D" w:rsidR="00340791" w:rsidRDefault="00340791" w:rsidP="00340791">
      <w:pPr>
        <w:pStyle w:val="Heading1"/>
      </w:pPr>
      <w:bookmarkStart w:id="41" w:name="_Toc197736877"/>
      <w:r>
        <w:t xml:space="preserve">5. </w:t>
      </w:r>
      <w:r>
        <w:t>Conclusion</w:t>
      </w:r>
      <w:bookmarkEnd w:id="41"/>
      <w:r>
        <w:t xml:space="preserve"> </w:t>
      </w:r>
    </w:p>
    <w:p w14:paraId="35083A44"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 problems of recruitment, retention and wellbeing of the adult social care workforce in England are widespread and intensifying. The objective of this study was to examine whether these challenges are experienced differently within the two major types of service sector: care homes and domiciliary care services. This research provides empirical evidence from secondary data from the Adult Social Care Workforce Survey – April 2025 (Department of Health and Social Care [DHSC], 2025) that not all care providers are experiencing workforce pressures in the same way. In fact, they discovered that recruitment and retention in </w:t>
      </w:r>
      <w:r>
        <w:rPr>
          <w:rFonts w:ascii="Carlito" w:hAnsi="Carlito" w:cs="Carlito"/>
          <w:color w:val="000000"/>
          <w:kern w:val="0"/>
        </w:rPr>
        <w:lastRenderedPageBreak/>
        <w:t xml:space="preserve">domiciliary care settings was significantly more </w:t>
      </w:r>
      <w:proofErr w:type="gramStart"/>
      <w:r>
        <w:rPr>
          <w:rFonts w:ascii="Carlito" w:hAnsi="Carlito" w:cs="Carlito"/>
          <w:color w:val="000000"/>
          <w:kern w:val="0"/>
        </w:rPr>
        <w:t>pronounced</w:t>
      </w:r>
      <w:proofErr w:type="gramEnd"/>
      <w:r>
        <w:rPr>
          <w:rFonts w:ascii="Carlito" w:hAnsi="Carlito" w:cs="Carlito"/>
          <w:color w:val="000000"/>
          <w:kern w:val="0"/>
        </w:rPr>
        <w:t xml:space="preserve"> and complex compared to the residential care counterparts.</w:t>
      </w:r>
    </w:p>
    <w:p w14:paraId="17B01786"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This study's findings clearly illustrate that recruitment and retention problems are </w:t>
      </w:r>
      <w:proofErr w:type="gramStart"/>
      <w:r>
        <w:rPr>
          <w:rFonts w:ascii="Carlito" w:hAnsi="Carlito" w:cs="Carlito"/>
          <w:color w:val="000000"/>
          <w:kern w:val="0"/>
        </w:rPr>
        <w:t>actually perceived</w:t>
      </w:r>
      <w:proofErr w:type="gramEnd"/>
      <w:r>
        <w:rPr>
          <w:rFonts w:ascii="Carlito" w:hAnsi="Carlito" w:cs="Carlito"/>
          <w:color w:val="000000"/>
          <w:kern w:val="0"/>
        </w:rPr>
        <w:t xml:space="preserve"> as more problematic by domiciliary care providers who are also more likely to identify a broader and more varied range of systemic barriers that help to explain how these problems continue to persist. Concretely, 66.7% of care home respondents reported recruitment to be difficult compared to 74% of domiciliary care. In terms of staff retention, domestic care providers also faced difficulty with 58.5% compared to care homes with 53.9%. They were also apparent in responses to morale related questions and operational implications of low staff wellbeing, like increased levels of sickness, staff not wanting to take on extra hours and staff wanting to leave their role.</w:t>
      </w:r>
    </w:p>
    <w:p w14:paraId="59833AD5"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These descriptive findings are supported by the statistical analysis conducted as a part of this research. </w:t>
      </w:r>
      <w:proofErr w:type="gramStart"/>
      <w:r>
        <w:rPr>
          <w:rFonts w:ascii="Carlito" w:hAnsi="Carlito" w:cs="Carlito"/>
          <w:color w:val="000000"/>
          <w:kern w:val="0"/>
        </w:rPr>
        <w:t>Thus</w:t>
      </w:r>
      <w:proofErr w:type="gramEnd"/>
      <w:r>
        <w:rPr>
          <w:rFonts w:ascii="Carlito" w:hAnsi="Carlito" w:cs="Carlito"/>
          <w:color w:val="000000"/>
          <w:kern w:val="0"/>
        </w:rPr>
        <w:t xml:space="preserve"> a paired t test comparing the number of perceived recruitment and retention barriers between care homes and domiciliary care services produced a very highly significant difference (p = 0.00035). On average, 19 measured categories of barriers were significantly more reported by firms providing domiciliary care. This indicates that the challenges are greater and the causes more diverse and more deeply entrenched in domiciliary care.</w:t>
      </w:r>
    </w:p>
    <w:p w14:paraId="1A74DE57"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These results directly answer the study’s central research question, which is whether there is a statistically significant difference in the perceived challenges of staff retention between care homes and domiciliary care settings. The answer is unequivocally yes. Combined with the consistency of results across morale, turnover and recruitment indicators, this suggests that the results are statistically significant, and that setting type is a critical variable in trying to understand adult social care workforce challenges. The market for domiciliary care services is distinctly more difficult to attract and retain staff in.</w:t>
      </w:r>
    </w:p>
    <w:p w14:paraId="108264BC"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Medical staff experience differential practice conditions mainly because of operational and structural elements. Workers in domiciliary care face various challenges stemming from their split shifts as well as unpaid travel time and being alone and lacking access to both co-worker support and on-site training and wellness resources. The demanding nature of care home roles is supported by their centralized work locations, established shift arrangements and chance for interactive teamwork. The dissimilar work environments influence both workforce </w:t>
      </w:r>
      <w:r>
        <w:rPr>
          <w:rFonts w:ascii="Carlito" w:hAnsi="Carlito" w:cs="Carlito"/>
          <w:color w:val="000000"/>
          <w:kern w:val="0"/>
        </w:rPr>
        <w:lastRenderedPageBreak/>
        <w:t xml:space="preserve">quality and staff levels of job support and satisfaction and security - key factors known to affect staff retention (Johnston et al., 2021; Wheatley, 2017; </w:t>
      </w:r>
      <w:proofErr w:type="spellStart"/>
      <w:r>
        <w:rPr>
          <w:rFonts w:ascii="Carlito" w:hAnsi="Carlito" w:cs="Carlito"/>
          <w:color w:val="000000"/>
          <w:kern w:val="0"/>
        </w:rPr>
        <w:t>Lizano</w:t>
      </w:r>
      <w:proofErr w:type="spellEnd"/>
      <w:r>
        <w:rPr>
          <w:rFonts w:ascii="Carlito" w:hAnsi="Carlito" w:cs="Carlito"/>
          <w:color w:val="000000"/>
          <w:kern w:val="0"/>
        </w:rPr>
        <w:t>, 2015).</w:t>
      </w:r>
    </w:p>
    <w:p w14:paraId="755F2B74"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This investigation indicates that frontline care workers routinely choose low pay as their top barrier against both staffing acquisition and workforce maintenance. The research revealed that better wages outside the care sector became the leading factor driving employees to leave their positions as pay issues were identified by more than sixty percent of respondents. Minimum wage earnings for many frontline care workers stand as a major factor since their work requires both emotional intensity and skilled competence. The combination of minimal career advancement and insufficient staff recognition together with low pay creates conditions which explain the high employee turnover rates mostly affecting new and young members of staff in the sector.</w:t>
      </w:r>
    </w:p>
    <w:p w14:paraId="5F12F2F5"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Multiple significant findings from this study will have practical impacts and policy implications. The general application of a uniform strategy fails to meet the workforce development requirements. The support requirements of domiciliary care differ from those needed in care homes despite both facing an intense level of pressure. Policy needs to distinguish these different work environments since solutions require specific targets. Domiciliary care benefit should consist of:</w:t>
      </w:r>
    </w:p>
    <w:p w14:paraId="74FF778B" w14:textId="77777777" w:rsidR="00340791" w:rsidRDefault="00340791" w:rsidP="00340791">
      <w:pPr>
        <w:numPr>
          <w:ilvl w:val="0"/>
          <w:numId w:val="38"/>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Introducing minimum pay benchmarks that exceed the National Minimum Wage to reflect the complexity of the role.</w:t>
      </w:r>
    </w:p>
    <w:p w14:paraId="079A07D6" w14:textId="77777777" w:rsidR="00340791" w:rsidRDefault="00340791" w:rsidP="00340791">
      <w:pPr>
        <w:numPr>
          <w:ilvl w:val="0"/>
          <w:numId w:val="38"/>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Ensuring care workers are paid for travel time between clients, along with mileage reimbursement.</w:t>
      </w:r>
    </w:p>
    <w:p w14:paraId="3B2B456E" w14:textId="77777777" w:rsidR="00340791" w:rsidRDefault="00340791" w:rsidP="00340791">
      <w:pPr>
        <w:numPr>
          <w:ilvl w:val="0"/>
          <w:numId w:val="38"/>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Expanding access to affordable childcare, recognising that many domiciliary care workers are women balancing caregiving roles both professionally and personally.</w:t>
      </w:r>
    </w:p>
    <w:p w14:paraId="061358A4" w14:textId="77777777" w:rsidR="00340791" w:rsidRDefault="00340791" w:rsidP="00340791">
      <w:pPr>
        <w:numPr>
          <w:ilvl w:val="0"/>
          <w:numId w:val="38"/>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Streamlining administrative processes such as Disclosure and Barring Service (DBS) checks to reduce onboarding delays.</w:t>
      </w:r>
    </w:p>
    <w:p w14:paraId="2F3C5097" w14:textId="77777777" w:rsidR="00340791" w:rsidRDefault="00340791" w:rsidP="00340791">
      <w:pPr>
        <w:numPr>
          <w:ilvl w:val="0"/>
          <w:numId w:val="38"/>
        </w:numPr>
        <w:tabs>
          <w:tab w:val="left" w:pos="360"/>
          <w:tab w:val="left" w:pos="720"/>
        </w:tabs>
        <w:autoSpaceDE w:val="0"/>
        <w:autoSpaceDN w:val="0"/>
        <w:adjustRightInd w:val="0"/>
        <w:spacing w:after="100" w:line="360" w:lineRule="auto"/>
        <w:ind w:hanging="720"/>
        <w:jc w:val="both"/>
        <w:rPr>
          <w:rFonts w:ascii="Carlito" w:hAnsi="Carlito" w:cs="Carlito"/>
          <w:color w:val="000000"/>
          <w:kern w:val="0"/>
        </w:rPr>
      </w:pPr>
      <w:r>
        <w:rPr>
          <w:rFonts w:ascii="Carlito" w:hAnsi="Carlito" w:cs="Carlito"/>
          <w:color w:val="000000"/>
          <w:kern w:val="0"/>
        </w:rPr>
        <w:t>Providing structured peer support systems to mitigate the isolation of lone working, such as digital check-ins, mobile supervision, or regular team meetings.</w:t>
      </w:r>
    </w:p>
    <w:p w14:paraId="37EC6F7F"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 xml:space="preserve">The interventions for care homes would direct efforts toward building emotional resilience alongside training enhancements and senior role succession from within the organization. </w:t>
      </w:r>
      <w:r>
        <w:rPr>
          <w:rFonts w:ascii="Carlito" w:hAnsi="Carlito" w:cs="Carlito"/>
          <w:color w:val="000000"/>
          <w:kern w:val="0"/>
        </w:rPr>
        <w:lastRenderedPageBreak/>
        <w:t>Maintaining worker well-being while establishing care work as an established skilled career that gets proper respect rather than minimum-wage status will help minimize staffing losses throughout the field.</w:t>
      </w:r>
    </w:p>
    <w:p w14:paraId="047E2F49"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 situation produces long-lasting impacts at various organizational levels. Current social care funding systems demonstrate limited capability to solve the fundamental workforce issues stemming from the sector. The provision of short-reactive funding allocations leads to brief emergency relief while preventing providers from creating enduring staff recruitment foundations and strategic operational plans. A sustainable funding plan from government with dedicated protection would provide support for providers to redesign work environments.</w:t>
      </w:r>
    </w:p>
    <w:p w14:paraId="77E8B651"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Projects from this study demonstrate ways in which researchers need to expand their investigation. The analysis uses data from a large representative dataset of providers but depends on answers from provider organizations. Further studies require direct inclusion of care staff voices through qualitative methods such as interviews and focus groups to reveal actual service experiences that underpin statistical data. Observing workforce trends over time requires consistent long-term research because policy changes and economic shifts may affect workforce patterns.</w:t>
      </w:r>
    </w:p>
    <w:p w14:paraId="35A74779" w14:textId="77777777" w:rsidR="00340791" w:rsidRDefault="00340791" w:rsidP="00340791">
      <w:pPr>
        <w:autoSpaceDE w:val="0"/>
        <w:autoSpaceDN w:val="0"/>
        <w:adjustRightInd w:val="0"/>
        <w:spacing w:line="360" w:lineRule="auto"/>
        <w:jc w:val="both"/>
        <w:rPr>
          <w:rFonts w:ascii="Carlito" w:hAnsi="Carlito" w:cs="Carlito"/>
          <w:color w:val="000000"/>
          <w:kern w:val="0"/>
        </w:rPr>
      </w:pPr>
      <w:r>
        <w:rPr>
          <w:rFonts w:ascii="Carlito" w:hAnsi="Carlito" w:cs="Carlito"/>
          <w:color w:val="000000"/>
          <w:kern w:val="0"/>
        </w:rPr>
        <w:t>The research proves that residential care faces better workforce recruitment and retention than domiciliary care because of the differences in work settings. The existing data requires policies specifically designed for different settings along with increased salary features and enhanced working conditions that view care work through its dual social importance and professional complexity. Urgent measures for workforce sustainability in adult social care along with quality individual care for vulnerable people stay at risk.</w:t>
      </w:r>
    </w:p>
    <w:p w14:paraId="6D6DC525" w14:textId="59CAFAF1" w:rsidR="00340791" w:rsidRDefault="00340791" w:rsidP="00340791">
      <w:pPr>
        <w:pStyle w:val="Heading1"/>
      </w:pPr>
      <w:r>
        <w:rPr>
          <w:rFonts w:ascii="Carlito" w:hAnsi="Carlito" w:cs="Carlito"/>
        </w:rPr>
        <w:br w:type="page"/>
      </w:r>
      <w:bookmarkStart w:id="42" w:name="_Toc197736878"/>
      <w:r>
        <w:rPr>
          <w:rFonts w:ascii="Carlito" w:hAnsi="Carlito" w:cs="Carlito"/>
        </w:rPr>
        <w:lastRenderedPageBreak/>
        <w:t xml:space="preserve">6. </w:t>
      </w:r>
      <w:r>
        <w:t>References</w:t>
      </w:r>
      <w:bookmarkEnd w:id="42"/>
    </w:p>
    <w:p w14:paraId="273114A1"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r>
        <w:rPr>
          <w:rFonts w:ascii="Carlito" w:hAnsi="Carlito" w:cs="Carlito"/>
          <w:color w:val="1A1A1A"/>
          <w:kern w:val="0"/>
        </w:rPr>
        <w:t xml:space="preserve">Abdullah, M. I., Huang, D., Sarfraz, M., </w:t>
      </w:r>
      <w:proofErr w:type="spellStart"/>
      <w:r>
        <w:rPr>
          <w:rFonts w:ascii="Carlito" w:hAnsi="Carlito" w:cs="Carlito"/>
          <w:color w:val="1A1A1A"/>
          <w:kern w:val="0"/>
        </w:rPr>
        <w:t>Ivascu</w:t>
      </w:r>
      <w:proofErr w:type="spellEnd"/>
      <w:r>
        <w:rPr>
          <w:rFonts w:ascii="Carlito" w:hAnsi="Carlito" w:cs="Carlito"/>
          <w:color w:val="1A1A1A"/>
          <w:kern w:val="0"/>
        </w:rPr>
        <w:t>, L., &amp; Riaz, A. (2021). Effects of internal service quality on nurses’ job satisfaction, commitment and performance: Mediating role of employee well‐being. </w:t>
      </w:r>
      <w:r>
        <w:rPr>
          <w:rFonts w:ascii="Carlito-Italic" w:hAnsi="Carlito-Italic" w:cs="Carlito-Italic"/>
          <w:i/>
          <w:iCs/>
          <w:color w:val="1A1A1A"/>
          <w:kern w:val="0"/>
        </w:rPr>
        <w:t>Nursing Open</w:t>
      </w:r>
      <w:r>
        <w:rPr>
          <w:rFonts w:ascii="Carlito" w:hAnsi="Carlito" w:cs="Carlito"/>
          <w:color w:val="1A1A1A"/>
          <w:kern w:val="0"/>
        </w:rPr>
        <w:t>, </w:t>
      </w:r>
      <w:r>
        <w:rPr>
          <w:rFonts w:ascii="Carlito-Italic" w:hAnsi="Carlito-Italic" w:cs="Carlito-Italic"/>
          <w:i/>
          <w:iCs/>
          <w:color w:val="1A1A1A"/>
          <w:kern w:val="0"/>
        </w:rPr>
        <w:t>8</w:t>
      </w:r>
      <w:r>
        <w:rPr>
          <w:rFonts w:ascii="Carlito" w:hAnsi="Carlito" w:cs="Carlito"/>
          <w:color w:val="1A1A1A"/>
          <w:kern w:val="0"/>
        </w:rPr>
        <w:t>(2), 607-619.</w:t>
      </w:r>
    </w:p>
    <w:p w14:paraId="20F12574"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r>
        <w:rPr>
          <w:rFonts w:ascii="Carlito" w:hAnsi="Carlito" w:cs="Carlito"/>
          <w:color w:val="1A1A1A"/>
          <w:kern w:val="0"/>
        </w:rPr>
        <w:t xml:space="preserve">Ariza-Montes, A., </w:t>
      </w:r>
      <w:proofErr w:type="spellStart"/>
      <w:r>
        <w:rPr>
          <w:rFonts w:ascii="Carlito" w:hAnsi="Carlito" w:cs="Carlito"/>
          <w:color w:val="1A1A1A"/>
          <w:kern w:val="0"/>
        </w:rPr>
        <w:t>Arjona</w:t>
      </w:r>
      <w:proofErr w:type="spellEnd"/>
      <w:r>
        <w:rPr>
          <w:rFonts w:ascii="Carlito" w:hAnsi="Carlito" w:cs="Carlito"/>
          <w:color w:val="1A1A1A"/>
          <w:kern w:val="0"/>
        </w:rPr>
        <w:t>-Fuentes, J. M., Han, H., &amp; Law, R. (2018). Work environment and well-being of different occupational groups in hospitality: Job Demand–Control–Support model. </w:t>
      </w:r>
      <w:r>
        <w:rPr>
          <w:rFonts w:ascii="Carlito-Italic" w:hAnsi="Carlito-Italic" w:cs="Carlito-Italic"/>
          <w:i/>
          <w:iCs/>
          <w:color w:val="1A1A1A"/>
          <w:kern w:val="0"/>
        </w:rPr>
        <w:t>International Journal of Hospitality Management</w:t>
      </w:r>
      <w:r>
        <w:rPr>
          <w:rFonts w:ascii="Carlito" w:hAnsi="Carlito" w:cs="Carlito"/>
          <w:color w:val="1A1A1A"/>
          <w:kern w:val="0"/>
        </w:rPr>
        <w:t>, </w:t>
      </w:r>
      <w:r>
        <w:rPr>
          <w:rFonts w:ascii="Carlito-Italic" w:hAnsi="Carlito-Italic" w:cs="Carlito-Italic"/>
          <w:i/>
          <w:iCs/>
          <w:color w:val="1A1A1A"/>
          <w:kern w:val="0"/>
        </w:rPr>
        <w:t>73</w:t>
      </w:r>
      <w:r>
        <w:rPr>
          <w:rFonts w:ascii="Carlito" w:hAnsi="Carlito" w:cs="Carlito"/>
          <w:color w:val="1A1A1A"/>
          <w:kern w:val="0"/>
        </w:rPr>
        <w:t>, 1-11.</w:t>
      </w:r>
    </w:p>
    <w:p w14:paraId="5E36991F" w14:textId="77777777" w:rsidR="00340791" w:rsidRDefault="00340791" w:rsidP="00340791">
      <w:pPr>
        <w:autoSpaceDE w:val="0"/>
        <w:autoSpaceDN w:val="0"/>
        <w:adjustRightInd w:val="0"/>
        <w:spacing w:after="100" w:line="360" w:lineRule="auto"/>
        <w:ind w:left="720" w:hanging="720"/>
        <w:jc w:val="both"/>
        <w:rPr>
          <w:rFonts w:ascii="Carlito" w:hAnsi="Carlito" w:cs="Carlito"/>
          <w:color w:val="1A1A1A"/>
          <w:kern w:val="0"/>
        </w:rPr>
      </w:pPr>
      <w:r>
        <w:rPr>
          <w:rFonts w:ascii="Carlito" w:hAnsi="Carlito" w:cs="Carlito"/>
          <w:color w:val="1A1A1A"/>
          <w:kern w:val="0"/>
        </w:rPr>
        <w:t xml:space="preserve">Berta, W., Laporte, A., </w:t>
      </w:r>
      <w:proofErr w:type="spellStart"/>
      <w:r>
        <w:rPr>
          <w:rFonts w:ascii="Carlito" w:hAnsi="Carlito" w:cs="Carlito"/>
          <w:color w:val="1A1A1A"/>
          <w:kern w:val="0"/>
        </w:rPr>
        <w:t>Perreira</w:t>
      </w:r>
      <w:proofErr w:type="spellEnd"/>
      <w:r>
        <w:rPr>
          <w:rFonts w:ascii="Carlito" w:hAnsi="Carlito" w:cs="Carlito"/>
          <w:color w:val="1A1A1A"/>
          <w:kern w:val="0"/>
        </w:rPr>
        <w:t xml:space="preserve">, T., Ginsburg, L., Dass, A. R., </w:t>
      </w:r>
      <w:proofErr w:type="spellStart"/>
      <w:r>
        <w:rPr>
          <w:rFonts w:ascii="Carlito" w:hAnsi="Carlito" w:cs="Carlito"/>
          <w:color w:val="1A1A1A"/>
          <w:kern w:val="0"/>
        </w:rPr>
        <w:t>Deber</w:t>
      </w:r>
      <w:proofErr w:type="spellEnd"/>
      <w:r>
        <w:rPr>
          <w:rFonts w:ascii="Carlito" w:hAnsi="Carlito" w:cs="Carlito"/>
          <w:color w:val="1A1A1A"/>
          <w:kern w:val="0"/>
        </w:rPr>
        <w:t>, R., ... &amp; Neves, P. (2018). Relationships between work outcomes, work attitudes and work environments of health support workers in Ontario long-term care and home and community care settings. </w:t>
      </w:r>
      <w:r>
        <w:rPr>
          <w:rFonts w:ascii="Carlito-Italic" w:hAnsi="Carlito-Italic" w:cs="Carlito-Italic"/>
          <w:i/>
          <w:iCs/>
          <w:color w:val="1A1A1A"/>
          <w:kern w:val="0"/>
        </w:rPr>
        <w:t>Human Resources for Health</w:t>
      </w:r>
      <w:r>
        <w:rPr>
          <w:rFonts w:ascii="Carlito" w:hAnsi="Carlito" w:cs="Carlito"/>
          <w:color w:val="1A1A1A"/>
          <w:kern w:val="0"/>
        </w:rPr>
        <w:t>, </w:t>
      </w:r>
      <w:r>
        <w:rPr>
          <w:rFonts w:ascii="Carlito-Italic" w:hAnsi="Carlito-Italic" w:cs="Carlito-Italic"/>
          <w:i/>
          <w:iCs/>
          <w:color w:val="1A1A1A"/>
          <w:kern w:val="0"/>
        </w:rPr>
        <w:t>16</w:t>
      </w:r>
      <w:r>
        <w:rPr>
          <w:rFonts w:ascii="Carlito" w:hAnsi="Carlito" w:cs="Carlito"/>
          <w:color w:val="1A1A1A"/>
          <w:kern w:val="0"/>
        </w:rPr>
        <w:t>, 1-11.</w:t>
      </w:r>
    </w:p>
    <w:p w14:paraId="6F9D2D20" w14:textId="77777777" w:rsidR="00340791" w:rsidRDefault="00340791" w:rsidP="00340791">
      <w:pPr>
        <w:autoSpaceDE w:val="0"/>
        <w:autoSpaceDN w:val="0"/>
        <w:adjustRightInd w:val="0"/>
        <w:spacing w:after="100" w:line="360" w:lineRule="auto"/>
        <w:ind w:left="720" w:hanging="720"/>
        <w:jc w:val="both"/>
        <w:rPr>
          <w:rFonts w:ascii="Carlito" w:hAnsi="Carlito" w:cs="Carlito"/>
          <w:color w:val="000000"/>
          <w:kern w:val="0"/>
        </w:rPr>
      </w:pPr>
      <w:r>
        <w:rPr>
          <w:rFonts w:ascii="Carlito" w:hAnsi="Carlito" w:cs="Carlito"/>
          <w:color w:val="000000"/>
          <w:kern w:val="0"/>
        </w:rPr>
        <w:t xml:space="preserve">Bryman, A. (2016). </w:t>
      </w:r>
      <w:r>
        <w:rPr>
          <w:rFonts w:ascii="Carlito-Italic" w:hAnsi="Carlito-Italic" w:cs="Carlito-Italic"/>
          <w:i/>
          <w:iCs/>
          <w:color w:val="000000"/>
          <w:kern w:val="0"/>
        </w:rPr>
        <w:t>Social Research Methods</w:t>
      </w:r>
      <w:r>
        <w:rPr>
          <w:rFonts w:ascii="Carlito" w:hAnsi="Carlito" w:cs="Carlito"/>
          <w:color w:val="000000"/>
          <w:kern w:val="0"/>
        </w:rPr>
        <w:t xml:space="preserve"> (5th ed.). Oxford University Press.</w:t>
      </w:r>
    </w:p>
    <w:p w14:paraId="7BD90FEB" w14:textId="77777777" w:rsidR="00340791" w:rsidRDefault="00340791" w:rsidP="00340791">
      <w:pPr>
        <w:autoSpaceDE w:val="0"/>
        <w:autoSpaceDN w:val="0"/>
        <w:adjustRightInd w:val="0"/>
        <w:spacing w:after="100" w:line="360" w:lineRule="auto"/>
        <w:ind w:left="720" w:hanging="720"/>
        <w:jc w:val="both"/>
        <w:rPr>
          <w:rFonts w:ascii="Carlito" w:hAnsi="Carlito" w:cs="Carlito"/>
          <w:color w:val="000000"/>
          <w:kern w:val="0"/>
        </w:rPr>
      </w:pPr>
      <w:r>
        <w:rPr>
          <w:rFonts w:ascii="Carlito" w:hAnsi="Carlito" w:cs="Carlito"/>
          <w:color w:val="000000"/>
          <w:kern w:val="0"/>
        </w:rPr>
        <w:t xml:space="preserve">Department of Health and Social Care (DHSC). (2025). </w:t>
      </w:r>
      <w:r>
        <w:rPr>
          <w:rFonts w:ascii="Carlito-Italic" w:hAnsi="Carlito-Italic" w:cs="Carlito-Italic"/>
          <w:i/>
          <w:iCs/>
          <w:color w:val="000000"/>
          <w:kern w:val="0"/>
        </w:rPr>
        <w:t>Adult Social Care Workforce Survey, April 2025 Report</w:t>
      </w:r>
      <w:r>
        <w:rPr>
          <w:rFonts w:ascii="Carlito" w:hAnsi="Carlito" w:cs="Carlito"/>
          <w:color w:val="000000"/>
          <w:kern w:val="0"/>
        </w:rPr>
        <w:t xml:space="preserve">. Retrieved from </w:t>
      </w:r>
      <w:hyperlink r:id="rId13" w:history="1">
        <w:r>
          <w:rPr>
            <w:rFonts w:ascii="Carlito" w:hAnsi="Carlito" w:cs="Carlito"/>
            <w:color w:val="0000FF"/>
            <w:kern w:val="0"/>
            <w:u w:val="single" w:color="0000FF"/>
          </w:rPr>
          <w:t>https://www.gov.uk/government/statistics/adult-social-care-workforce-survey-april-2025/adult-social-care-workforce-survey-april-2025-report</w:t>
        </w:r>
      </w:hyperlink>
    </w:p>
    <w:p w14:paraId="5144AEC5" w14:textId="77777777" w:rsidR="00340791" w:rsidRDefault="00340791" w:rsidP="00340791">
      <w:pPr>
        <w:autoSpaceDE w:val="0"/>
        <w:autoSpaceDN w:val="0"/>
        <w:adjustRightInd w:val="0"/>
        <w:spacing w:after="100" w:line="360" w:lineRule="auto"/>
        <w:ind w:left="720" w:hanging="720"/>
        <w:jc w:val="both"/>
        <w:rPr>
          <w:rFonts w:ascii="Carlito" w:hAnsi="Carlito" w:cs="Carlito"/>
          <w:color w:val="000000"/>
          <w:kern w:val="0"/>
        </w:rPr>
      </w:pPr>
      <w:r>
        <w:rPr>
          <w:rFonts w:ascii="Carlito" w:hAnsi="Carlito" w:cs="Carlito"/>
          <w:color w:val="000000"/>
          <w:kern w:val="0"/>
        </w:rPr>
        <w:t xml:space="preserve">Economic and Social Research Council (ESRC). (2022). </w:t>
      </w:r>
      <w:r>
        <w:rPr>
          <w:rFonts w:ascii="Carlito-Italic" w:hAnsi="Carlito-Italic" w:cs="Carlito-Italic"/>
          <w:i/>
          <w:iCs/>
          <w:color w:val="000000"/>
          <w:kern w:val="0"/>
        </w:rPr>
        <w:t>Framework for Research Ethics</w:t>
      </w:r>
      <w:r>
        <w:rPr>
          <w:rFonts w:ascii="Carlito" w:hAnsi="Carlito" w:cs="Carlito"/>
          <w:color w:val="000000"/>
          <w:kern w:val="0"/>
        </w:rPr>
        <w:t>.</w:t>
      </w:r>
    </w:p>
    <w:p w14:paraId="52F193E8"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proofErr w:type="spellStart"/>
      <w:r>
        <w:rPr>
          <w:rFonts w:ascii="Carlito" w:hAnsi="Carlito" w:cs="Carlito"/>
          <w:color w:val="1A1A1A"/>
          <w:kern w:val="0"/>
        </w:rPr>
        <w:t>Estabrooks</w:t>
      </w:r>
      <w:proofErr w:type="spellEnd"/>
      <w:r>
        <w:rPr>
          <w:rFonts w:ascii="Carlito" w:hAnsi="Carlito" w:cs="Carlito"/>
          <w:color w:val="1A1A1A"/>
          <w:kern w:val="0"/>
        </w:rPr>
        <w:t>, C. A., Squires, J. E., Carleton, H. L., Cummings, G. G., &amp; Norton, P. G. (2015). Who is looking after mom and dad? Unregulated workers in Canadian long-term care homes. </w:t>
      </w:r>
      <w:r>
        <w:rPr>
          <w:rFonts w:ascii="Carlito-Italic" w:hAnsi="Carlito-Italic" w:cs="Carlito-Italic"/>
          <w:i/>
          <w:iCs/>
          <w:color w:val="1A1A1A"/>
          <w:kern w:val="0"/>
        </w:rPr>
        <w:t xml:space="preserve">Canadian Journal on Aging/La Revue </w:t>
      </w:r>
      <w:proofErr w:type="spellStart"/>
      <w:r>
        <w:rPr>
          <w:rFonts w:ascii="Carlito-Italic" w:hAnsi="Carlito-Italic" w:cs="Carlito-Italic"/>
          <w:i/>
          <w:iCs/>
          <w:color w:val="1A1A1A"/>
          <w:kern w:val="0"/>
        </w:rPr>
        <w:t>canadienne</w:t>
      </w:r>
      <w:proofErr w:type="spellEnd"/>
      <w:r>
        <w:rPr>
          <w:rFonts w:ascii="Carlito-Italic" w:hAnsi="Carlito-Italic" w:cs="Carlito-Italic"/>
          <w:i/>
          <w:iCs/>
          <w:color w:val="1A1A1A"/>
          <w:kern w:val="0"/>
        </w:rPr>
        <w:t xml:space="preserve"> du </w:t>
      </w:r>
      <w:proofErr w:type="spellStart"/>
      <w:r>
        <w:rPr>
          <w:rFonts w:ascii="Carlito-Italic" w:hAnsi="Carlito-Italic" w:cs="Carlito-Italic"/>
          <w:i/>
          <w:iCs/>
          <w:color w:val="1A1A1A"/>
          <w:kern w:val="0"/>
        </w:rPr>
        <w:t>vieillissement</w:t>
      </w:r>
      <w:proofErr w:type="spellEnd"/>
      <w:r>
        <w:rPr>
          <w:rFonts w:ascii="Carlito" w:hAnsi="Carlito" w:cs="Carlito"/>
          <w:color w:val="1A1A1A"/>
          <w:kern w:val="0"/>
        </w:rPr>
        <w:t>, </w:t>
      </w:r>
      <w:r>
        <w:rPr>
          <w:rFonts w:ascii="Carlito-Italic" w:hAnsi="Carlito-Italic" w:cs="Carlito-Italic"/>
          <w:i/>
          <w:iCs/>
          <w:color w:val="1A1A1A"/>
          <w:kern w:val="0"/>
        </w:rPr>
        <w:t>34</w:t>
      </w:r>
      <w:r>
        <w:rPr>
          <w:rFonts w:ascii="Carlito" w:hAnsi="Carlito" w:cs="Carlito"/>
          <w:color w:val="1A1A1A"/>
          <w:kern w:val="0"/>
        </w:rPr>
        <w:t>(1), 47-59.</w:t>
      </w:r>
    </w:p>
    <w:p w14:paraId="18C40B0B"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r>
        <w:rPr>
          <w:rFonts w:ascii="Carlito" w:hAnsi="Carlito" w:cs="Carlito"/>
          <w:color w:val="1A1A1A"/>
          <w:kern w:val="0"/>
        </w:rPr>
        <w:t xml:space="preserve">Gordon, A. L., Goodman, C., </w:t>
      </w:r>
      <w:proofErr w:type="spellStart"/>
      <w:r>
        <w:rPr>
          <w:rFonts w:ascii="Carlito" w:hAnsi="Carlito" w:cs="Carlito"/>
          <w:color w:val="1A1A1A"/>
          <w:kern w:val="0"/>
        </w:rPr>
        <w:t>Achterberg</w:t>
      </w:r>
      <w:proofErr w:type="spellEnd"/>
      <w:r>
        <w:rPr>
          <w:rFonts w:ascii="Carlito" w:hAnsi="Carlito" w:cs="Carlito"/>
          <w:color w:val="1A1A1A"/>
          <w:kern w:val="0"/>
        </w:rPr>
        <w:t xml:space="preserve">, W., Barker, R. O., Burns, E., Hanratty, B., ... &amp; </w:t>
      </w:r>
      <w:proofErr w:type="spellStart"/>
      <w:r>
        <w:rPr>
          <w:rFonts w:ascii="Carlito" w:hAnsi="Carlito" w:cs="Carlito"/>
          <w:color w:val="1A1A1A"/>
          <w:kern w:val="0"/>
        </w:rPr>
        <w:t>Spilsbury</w:t>
      </w:r>
      <w:proofErr w:type="spellEnd"/>
      <w:r>
        <w:rPr>
          <w:rFonts w:ascii="Carlito" w:hAnsi="Carlito" w:cs="Carlito"/>
          <w:color w:val="1A1A1A"/>
          <w:kern w:val="0"/>
        </w:rPr>
        <w:t>, K. (2020). Commentary: COVID in care homes—challenges and dilemmas in healthcare delivery. </w:t>
      </w:r>
      <w:r>
        <w:rPr>
          <w:rFonts w:ascii="Carlito-Italic" w:hAnsi="Carlito-Italic" w:cs="Carlito-Italic"/>
          <w:i/>
          <w:iCs/>
          <w:color w:val="1A1A1A"/>
          <w:kern w:val="0"/>
        </w:rPr>
        <w:t>Age and ageing</w:t>
      </w:r>
      <w:r>
        <w:rPr>
          <w:rFonts w:ascii="Carlito" w:hAnsi="Carlito" w:cs="Carlito"/>
          <w:color w:val="1A1A1A"/>
          <w:kern w:val="0"/>
        </w:rPr>
        <w:t>, </w:t>
      </w:r>
      <w:r>
        <w:rPr>
          <w:rFonts w:ascii="Carlito-Italic" w:hAnsi="Carlito-Italic" w:cs="Carlito-Italic"/>
          <w:i/>
          <w:iCs/>
          <w:color w:val="1A1A1A"/>
          <w:kern w:val="0"/>
        </w:rPr>
        <w:t>49</w:t>
      </w:r>
      <w:r>
        <w:rPr>
          <w:rFonts w:ascii="Carlito" w:hAnsi="Carlito" w:cs="Carlito"/>
          <w:color w:val="1A1A1A"/>
          <w:kern w:val="0"/>
        </w:rPr>
        <w:t>(5), 701-705.</w:t>
      </w:r>
    </w:p>
    <w:p w14:paraId="33E85DB8"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r>
        <w:rPr>
          <w:rFonts w:ascii="Carlito" w:hAnsi="Carlito" w:cs="Carlito"/>
          <w:color w:val="1A1A1A"/>
          <w:kern w:val="0"/>
        </w:rPr>
        <w:t>Johnson, S., Robertson, I., &amp; Cooper, C. L. (2017). </w:t>
      </w:r>
      <w:r>
        <w:rPr>
          <w:rFonts w:ascii="Carlito-Italic" w:hAnsi="Carlito-Italic" w:cs="Carlito-Italic"/>
          <w:i/>
          <w:iCs/>
          <w:color w:val="1A1A1A"/>
          <w:kern w:val="0"/>
        </w:rPr>
        <w:t>Well-being: Productivity and happiness at work</w:t>
      </w:r>
      <w:r>
        <w:rPr>
          <w:rFonts w:ascii="Carlito" w:hAnsi="Carlito" w:cs="Carlito"/>
          <w:color w:val="1A1A1A"/>
          <w:kern w:val="0"/>
        </w:rPr>
        <w:t>. Springer.</w:t>
      </w:r>
    </w:p>
    <w:p w14:paraId="74602293"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r>
        <w:rPr>
          <w:rFonts w:ascii="Carlito" w:hAnsi="Carlito" w:cs="Carlito"/>
          <w:color w:val="1A1A1A"/>
          <w:kern w:val="0"/>
        </w:rPr>
        <w:t xml:space="preserve">Johnston, L., Malcolm, C., Rambabu, L., Hockley, J., &amp; </w:t>
      </w:r>
      <w:proofErr w:type="spellStart"/>
      <w:r>
        <w:rPr>
          <w:rFonts w:ascii="Carlito" w:hAnsi="Carlito" w:cs="Carlito"/>
          <w:color w:val="1A1A1A"/>
          <w:kern w:val="0"/>
        </w:rPr>
        <w:t>Shenkin</w:t>
      </w:r>
      <w:proofErr w:type="spellEnd"/>
      <w:r>
        <w:rPr>
          <w:rFonts w:ascii="Carlito" w:hAnsi="Carlito" w:cs="Carlito"/>
          <w:color w:val="1A1A1A"/>
          <w:kern w:val="0"/>
        </w:rPr>
        <w:t xml:space="preserve">, S. D. (2021). Practice based approaches to supporting the </w:t>
      </w:r>
      <w:proofErr w:type="gramStart"/>
      <w:r>
        <w:rPr>
          <w:rFonts w:ascii="Carlito" w:hAnsi="Carlito" w:cs="Carlito"/>
          <w:color w:val="1A1A1A"/>
          <w:kern w:val="0"/>
        </w:rPr>
        <w:t>work related</w:t>
      </w:r>
      <w:proofErr w:type="gramEnd"/>
      <w:r>
        <w:rPr>
          <w:rFonts w:ascii="Carlito" w:hAnsi="Carlito" w:cs="Carlito"/>
          <w:color w:val="1A1A1A"/>
          <w:kern w:val="0"/>
        </w:rPr>
        <w:t xml:space="preserve"> wellbeing of frontline care workers in care homes: A scoping review. </w:t>
      </w:r>
      <w:r>
        <w:rPr>
          <w:rFonts w:ascii="Carlito-Italic" w:hAnsi="Carlito-Italic" w:cs="Carlito-Italic"/>
          <w:i/>
          <w:iCs/>
          <w:color w:val="1A1A1A"/>
          <w:kern w:val="0"/>
        </w:rPr>
        <w:t>Journal of Long-Term Care</w:t>
      </w:r>
      <w:r>
        <w:rPr>
          <w:rFonts w:ascii="Carlito" w:hAnsi="Carlito" w:cs="Carlito"/>
          <w:color w:val="1A1A1A"/>
          <w:kern w:val="0"/>
        </w:rPr>
        <w:t>, </w:t>
      </w:r>
      <w:r>
        <w:rPr>
          <w:rFonts w:ascii="Carlito-Italic" w:hAnsi="Carlito-Italic" w:cs="Carlito-Italic"/>
          <w:i/>
          <w:iCs/>
          <w:color w:val="1A1A1A"/>
          <w:kern w:val="0"/>
        </w:rPr>
        <w:t>2021</w:t>
      </w:r>
      <w:r>
        <w:rPr>
          <w:rFonts w:ascii="Carlito" w:hAnsi="Carlito" w:cs="Carlito"/>
          <w:color w:val="1A1A1A"/>
          <w:kern w:val="0"/>
        </w:rPr>
        <w:t>, 230-240.</w:t>
      </w:r>
    </w:p>
    <w:p w14:paraId="271B4D3A" w14:textId="77777777" w:rsidR="00340791" w:rsidRDefault="00340791" w:rsidP="00340791">
      <w:pPr>
        <w:autoSpaceDE w:val="0"/>
        <w:autoSpaceDN w:val="0"/>
        <w:adjustRightInd w:val="0"/>
        <w:spacing w:after="100" w:line="360" w:lineRule="auto"/>
        <w:ind w:left="720" w:hanging="720"/>
        <w:jc w:val="both"/>
        <w:rPr>
          <w:rFonts w:ascii="Carlito" w:hAnsi="Carlito" w:cs="Carlito"/>
          <w:color w:val="1A1A1A"/>
          <w:kern w:val="0"/>
        </w:rPr>
      </w:pPr>
      <w:r>
        <w:rPr>
          <w:rFonts w:ascii="Carlito" w:hAnsi="Carlito" w:cs="Carlito"/>
          <w:color w:val="1A1A1A"/>
          <w:kern w:val="0"/>
        </w:rPr>
        <w:lastRenderedPageBreak/>
        <w:t xml:space="preserve">Johnston, L., Malcolm, C., Rambabu, L., Hockley, J., &amp; </w:t>
      </w:r>
      <w:proofErr w:type="spellStart"/>
      <w:r>
        <w:rPr>
          <w:rFonts w:ascii="Carlito" w:hAnsi="Carlito" w:cs="Carlito"/>
          <w:color w:val="1A1A1A"/>
          <w:kern w:val="0"/>
        </w:rPr>
        <w:t>Shenkin</w:t>
      </w:r>
      <w:proofErr w:type="spellEnd"/>
      <w:r>
        <w:rPr>
          <w:rFonts w:ascii="Carlito" w:hAnsi="Carlito" w:cs="Carlito"/>
          <w:color w:val="1A1A1A"/>
          <w:kern w:val="0"/>
        </w:rPr>
        <w:t>, S. D. (2020). Supporting the resilience and retention of frontline care workers in care homes for older people: A scoping review and thematic synthesis. </w:t>
      </w:r>
      <w:proofErr w:type="spellStart"/>
      <w:r>
        <w:rPr>
          <w:rFonts w:ascii="Carlito-Italic" w:hAnsi="Carlito-Italic" w:cs="Carlito-Italic"/>
          <w:i/>
          <w:iCs/>
          <w:color w:val="1A1A1A"/>
          <w:kern w:val="0"/>
        </w:rPr>
        <w:t>MedRxiv</w:t>
      </w:r>
      <w:proofErr w:type="spellEnd"/>
      <w:r>
        <w:rPr>
          <w:rFonts w:ascii="Carlito" w:hAnsi="Carlito" w:cs="Carlito"/>
          <w:color w:val="1A1A1A"/>
          <w:kern w:val="0"/>
        </w:rPr>
        <w:t>, 2020-09.</w:t>
      </w:r>
    </w:p>
    <w:p w14:paraId="5D6E6C3B" w14:textId="77777777" w:rsidR="00340791" w:rsidRDefault="00340791" w:rsidP="00340791">
      <w:pPr>
        <w:autoSpaceDE w:val="0"/>
        <w:autoSpaceDN w:val="0"/>
        <w:adjustRightInd w:val="0"/>
        <w:spacing w:after="100" w:line="360" w:lineRule="auto"/>
        <w:ind w:left="720" w:hanging="720"/>
        <w:jc w:val="both"/>
        <w:rPr>
          <w:rFonts w:ascii="Carlito" w:hAnsi="Carlito" w:cs="Carlito"/>
          <w:color w:val="000000"/>
          <w:kern w:val="0"/>
        </w:rPr>
      </w:pPr>
      <w:r>
        <w:rPr>
          <w:rFonts w:ascii="Carlito" w:hAnsi="Carlito" w:cs="Carlito"/>
          <w:color w:val="000000"/>
          <w:kern w:val="0"/>
        </w:rPr>
        <w:t xml:space="preserve">Johnston, M. P. (2014). Secondary data analysis: A method of which the time has come. </w:t>
      </w:r>
      <w:r>
        <w:rPr>
          <w:rFonts w:ascii="Carlito-Italic" w:hAnsi="Carlito-Italic" w:cs="Carlito-Italic"/>
          <w:i/>
          <w:iCs/>
          <w:color w:val="000000"/>
          <w:kern w:val="0"/>
        </w:rPr>
        <w:t>Qualitative and Quantitative Methods in Libraries</w:t>
      </w:r>
      <w:r>
        <w:rPr>
          <w:rFonts w:ascii="Carlito" w:hAnsi="Carlito" w:cs="Carlito"/>
          <w:color w:val="000000"/>
          <w:kern w:val="0"/>
        </w:rPr>
        <w:t>, 3(3), 619–626.</w:t>
      </w:r>
    </w:p>
    <w:p w14:paraId="703AFC2E"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proofErr w:type="spellStart"/>
      <w:r>
        <w:rPr>
          <w:rFonts w:ascii="Carlito" w:hAnsi="Carlito" w:cs="Carlito"/>
          <w:color w:val="1A1A1A"/>
          <w:kern w:val="0"/>
        </w:rPr>
        <w:t>Lizano</w:t>
      </w:r>
      <w:proofErr w:type="spellEnd"/>
      <w:r>
        <w:rPr>
          <w:rFonts w:ascii="Carlito" w:hAnsi="Carlito" w:cs="Carlito"/>
          <w:color w:val="1A1A1A"/>
          <w:kern w:val="0"/>
        </w:rPr>
        <w:t>, E. L. (2015). Examining the impact of job burnout on the health and well-being of human service workers: A systematic review and synthesis. </w:t>
      </w:r>
      <w:r>
        <w:rPr>
          <w:rFonts w:ascii="Carlito-Italic" w:hAnsi="Carlito-Italic" w:cs="Carlito-Italic"/>
          <w:i/>
          <w:iCs/>
          <w:color w:val="1A1A1A"/>
          <w:kern w:val="0"/>
        </w:rPr>
        <w:t>Human Service Organizations: Management, Leadership &amp; Governance</w:t>
      </w:r>
      <w:r>
        <w:rPr>
          <w:rFonts w:ascii="Carlito" w:hAnsi="Carlito" w:cs="Carlito"/>
          <w:color w:val="1A1A1A"/>
          <w:kern w:val="0"/>
        </w:rPr>
        <w:t>, </w:t>
      </w:r>
      <w:r>
        <w:rPr>
          <w:rFonts w:ascii="Carlito-Italic" w:hAnsi="Carlito-Italic" w:cs="Carlito-Italic"/>
          <w:i/>
          <w:iCs/>
          <w:color w:val="1A1A1A"/>
          <w:kern w:val="0"/>
        </w:rPr>
        <w:t>39</w:t>
      </w:r>
      <w:r>
        <w:rPr>
          <w:rFonts w:ascii="Carlito" w:hAnsi="Carlito" w:cs="Carlito"/>
          <w:color w:val="1A1A1A"/>
          <w:kern w:val="0"/>
        </w:rPr>
        <w:t>(3), 167-181.</w:t>
      </w:r>
    </w:p>
    <w:p w14:paraId="21E96E5E"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r>
        <w:rPr>
          <w:rFonts w:ascii="Carlito" w:hAnsi="Carlito" w:cs="Carlito"/>
          <w:color w:val="1A1A1A"/>
          <w:kern w:val="0"/>
        </w:rPr>
        <w:t>Pradhan, R. K., &amp; Hati, L. (2022). The measurement of employee well-being: development and validation of a scale. </w:t>
      </w:r>
      <w:r>
        <w:rPr>
          <w:rFonts w:ascii="Carlito-Italic" w:hAnsi="Carlito-Italic" w:cs="Carlito-Italic"/>
          <w:i/>
          <w:iCs/>
          <w:color w:val="1A1A1A"/>
          <w:kern w:val="0"/>
        </w:rPr>
        <w:t>Global Business Review</w:t>
      </w:r>
      <w:r>
        <w:rPr>
          <w:rFonts w:ascii="Carlito" w:hAnsi="Carlito" w:cs="Carlito"/>
          <w:color w:val="1A1A1A"/>
          <w:kern w:val="0"/>
        </w:rPr>
        <w:t>, </w:t>
      </w:r>
      <w:r>
        <w:rPr>
          <w:rFonts w:ascii="Carlito-Italic" w:hAnsi="Carlito-Italic" w:cs="Carlito-Italic"/>
          <w:i/>
          <w:iCs/>
          <w:color w:val="1A1A1A"/>
          <w:kern w:val="0"/>
        </w:rPr>
        <w:t>23</w:t>
      </w:r>
      <w:r>
        <w:rPr>
          <w:rFonts w:ascii="Carlito" w:hAnsi="Carlito" w:cs="Carlito"/>
          <w:color w:val="1A1A1A"/>
          <w:kern w:val="0"/>
        </w:rPr>
        <w:t>(2), 385-407.</w:t>
      </w:r>
    </w:p>
    <w:p w14:paraId="133BD728"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r>
        <w:rPr>
          <w:rFonts w:ascii="Carlito" w:hAnsi="Carlito" w:cs="Carlito"/>
          <w:color w:val="1A1A1A"/>
          <w:kern w:val="0"/>
        </w:rPr>
        <w:t>Raj, A. B. (2020). Employee well-being through internal branding: An integrated approach for achieving employee-based brand outcomes. </w:t>
      </w:r>
      <w:r>
        <w:rPr>
          <w:rFonts w:ascii="Carlito-Italic" w:hAnsi="Carlito-Italic" w:cs="Carlito-Italic"/>
          <w:i/>
          <w:iCs/>
          <w:color w:val="1A1A1A"/>
          <w:kern w:val="0"/>
        </w:rPr>
        <w:t>Global business review</w:t>
      </w:r>
      <w:r>
        <w:rPr>
          <w:rFonts w:ascii="Carlito" w:hAnsi="Carlito" w:cs="Carlito"/>
          <w:color w:val="1A1A1A"/>
          <w:kern w:val="0"/>
        </w:rPr>
        <w:t>, </w:t>
      </w:r>
      <w:r>
        <w:rPr>
          <w:rFonts w:ascii="Carlito-Italic" w:hAnsi="Carlito-Italic" w:cs="Carlito-Italic"/>
          <w:i/>
          <w:iCs/>
          <w:color w:val="1A1A1A"/>
          <w:kern w:val="0"/>
        </w:rPr>
        <w:t>21</w:t>
      </w:r>
      <w:r>
        <w:rPr>
          <w:rFonts w:ascii="Carlito" w:hAnsi="Carlito" w:cs="Carlito"/>
          <w:color w:val="1A1A1A"/>
          <w:kern w:val="0"/>
        </w:rPr>
        <w:t>(4), 1065-1086.</w:t>
      </w:r>
    </w:p>
    <w:p w14:paraId="79B9C62F"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r>
        <w:rPr>
          <w:rFonts w:ascii="Carlito" w:hAnsi="Carlito" w:cs="Carlito"/>
          <w:color w:val="1A1A1A"/>
          <w:kern w:val="0"/>
        </w:rPr>
        <w:t>Randell, R. (2021). Recruitment and retention of care workers: A rapid review.</w:t>
      </w:r>
    </w:p>
    <w:p w14:paraId="66F5032A"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proofErr w:type="spellStart"/>
      <w:r>
        <w:rPr>
          <w:rFonts w:ascii="Carlito" w:hAnsi="Carlito" w:cs="Carlito"/>
          <w:color w:val="1A1A1A"/>
          <w:kern w:val="0"/>
        </w:rPr>
        <w:t>Rothausen</w:t>
      </w:r>
      <w:proofErr w:type="spellEnd"/>
      <w:r>
        <w:rPr>
          <w:rFonts w:ascii="Carlito" w:hAnsi="Carlito" w:cs="Carlito"/>
          <w:color w:val="1A1A1A"/>
          <w:kern w:val="0"/>
        </w:rPr>
        <w:t xml:space="preserve">, T. J., Henderson, K. E., Arnold, J. K., &amp; </w:t>
      </w:r>
      <w:proofErr w:type="spellStart"/>
      <w:r>
        <w:rPr>
          <w:rFonts w:ascii="Carlito" w:hAnsi="Carlito" w:cs="Carlito"/>
          <w:color w:val="1A1A1A"/>
          <w:kern w:val="0"/>
        </w:rPr>
        <w:t>Malshe</w:t>
      </w:r>
      <w:proofErr w:type="spellEnd"/>
      <w:r>
        <w:rPr>
          <w:rFonts w:ascii="Carlito" w:hAnsi="Carlito" w:cs="Carlito"/>
          <w:color w:val="1A1A1A"/>
          <w:kern w:val="0"/>
        </w:rPr>
        <w:t>, A. (2017). Should I stay or should I go? Identity and well-being in sensemaking about retention and turnover. </w:t>
      </w:r>
      <w:r>
        <w:rPr>
          <w:rFonts w:ascii="Carlito-Italic" w:hAnsi="Carlito-Italic" w:cs="Carlito-Italic"/>
          <w:i/>
          <w:iCs/>
          <w:color w:val="1A1A1A"/>
          <w:kern w:val="0"/>
        </w:rPr>
        <w:t>Journal of Management</w:t>
      </w:r>
      <w:r>
        <w:rPr>
          <w:rFonts w:ascii="Carlito" w:hAnsi="Carlito" w:cs="Carlito"/>
          <w:color w:val="1A1A1A"/>
          <w:kern w:val="0"/>
        </w:rPr>
        <w:t>, </w:t>
      </w:r>
      <w:r>
        <w:rPr>
          <w:rFonts w:ascii="Carlito-Italic" w:hAnsi="Carlito-Italic" w:cs="Carlito-Italic"/>
          <w:i/>
          <w:iCs/>
          <w:color w:val="1A1A1A"/>
          <w:kern w:val="0"/>
        </w:rPr>
        <w:t>43</w:t>
      </w:r>
      <w:r>
        <w:rPr>
          <w:rFonts w:ascii="Carlito" w:hAnsi="Carlito" w:cs="Carlito"/>
          <w:color w:val="1A1A1A"/>
          <w:kern w:val="0"/>
        </w:rPr>
        <w:t>(7), 2357-2385.</w:t>
      </w:r>
    </w:p>
    <w:p w14:paraId="60875978"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r>
        <w:rPr>
          <w:rFonts w:ascii="Carlito" w:hAnsi="Carlito" w:cs="Carlito"/>
          <w:color w:val="1A1A1A"/>
          <w:kern w:val="0"/>
        </w:rPr>
        <w:t xml:space="preserve">Van der Heijden, B. I., Mulder, R. H., König, C., &amp; </w:t>
      </w:r>
      <w:proofErr w:type="spellStart"/>
      <w:r>
        <w:rPr>
          <w:rFonts w:ascii="Carlito" w:hAnsi="Carlito" w:cs="Carlito"/>
          <w:color w:val="1A1A1A"/>
          <w:kern w:val="0"/>
        </w:rPr>
        <w:t>Anselmann</w:t>
      </w:r>
      <w:proofErr w:type="spellEnd"/>
      <w:r>
        <w:rPr>
          <w:rFonts w:ascii="Carlito" w:hAnsi="Carlito" w:cs="Carlito"/>
          <w:color w:val="1A1A1A"/>
          <w:kern w:val="0"/>
        </w:rPr>
        <w:t>, V. (2017). Toward a mediation model for nurses’ well-being and psychological distress effects of quality of leadership and social support at work. </w:t>
      </w:r>
      <w:r>
        <w:rPr>
          <w:rFonts w:ascii="Carlito-Italic" w:hAnsi="Carlito-Italic" w:cs="Carlito-Italic"/>
          <w:i/>
          <w:iCs/>
          <w:color w:val="1A1A1A"/>
          <w:kern w:val="0"/>
        </w:rPr>
        <w:t>Medicine</w:t>
      </w:r>
      <w:r>
        <w:rPr>
          <w:rFonts w:ascii="Carlito" w:hAnsi="Carlito" w:cs="Carlito"/>
          <w:color w:val="1A1A1A"/>
          <w:kern w:val="0"/>
        </w:rPr>
        <w:t>, </w:t>
      </w:r>
      <w:r>
        <w:rPr>
          <w:rFonts w:ascii="Carlito-Italic" w:hAnsi="Carlito-Italic" w:cs="Carlito-Italic"/>
          <w:i/>
          <w:iCs/>
          <w:color w:val="1A1A1A"/>
          <w:kern w:val="0"/>
        </w:rPr>
        <w:t>96</w:t>
      </w:r>
      <w:r>
        <w:rPr>
          <w:rFonts w:ascii="Carlito" w:hAnsi="Carlito" w:cs="Carlito"/>
          <w:color w:val="1A1A1A"/>
          <w:kern w:val="0"/>
        </w:rPr>
        <w:t>(15), e6505.</w:t>
      </w:r>
    </w:p>
    <w:p w14:paraId="43802A0F" w14:textId="77777777" w:rsidR="00340791" w:rsidRDefault="00340791" w:rsidP="00340791">
      <w:pPr>
        <w:autoSpaceDE w:val="0"/>
        <w:autoSpaceDN w:val="0"/>
        <w:adjustRightInd w:val="0"/>
        <w:spacing w:after="0" w:line="360" w:lineRule="auto"/>
        <w:ind w:left="720" w:hanging="720"/>
        <w:jc w:val="both"/>
        <w:rPr>
          <w:rFonts w:ascii="Carlito" w:hAnsi="Carlito" w:cs="Carlito"/>
          <w:color w:val="1A1A1A"/>
          <w:kern w:val="0"/>
        </w:rPr>
      </w:pPr>
      <w:r>
        <w:rPr>
          <w:rFonts w:ascii="Carlito" w:hAnsi="Carlito" w:cs="Carlito"/>
          <w:color w:val="1A1A1A"/>
          <w:kern w:val="0"/>
        </w:rPr>
        <w:t>Wheatley, D. (2017). Autonomy in paid work and employee subjective well-being. </w:t>
      </w:r>
      <w:r>
        <w:rPr>
          <w:rFonts w:ascii="Carlito-Italic" w:hAnsi="Carlito-Italic" w:cs="Carlito-Italic"/>
          <w:i/>
          <w:iCs/>
          <w:color w:val="1A1A1A"/>
          <w:kern w:val="0"/>
        </w:rPr>
        <w:t>Work and occupations</w:t>
      </w:r>
      <w:r>
        <w:rPr>
          <w:rFonts w:ascii="Carlito" w:hAnsi="Carlito" w:cs="Carlito"/>
          <w:color w:val="1A1A1A"/>
          <w:kern w:val="0"/>
        </w:rPr>
        <w:t>, </w:t>
      </w:r>
      <w:r>
        <w:rPr>
          <w:rFonts w:ascii="Carlito-Italic" w:hAnsi="Carlito-Italic" w:cs="Carlito-Italic"/>
          <w:i/>
          <w:iCs/>
          <w:color w:val="1A1A1A"/>
          <w:kern w:val="0"/>
        </w:rPr>
        <w:t>44</w:t>
      </w:r>
      <w:r>
        <w:rPr>
          <w:rFonts w:ascii="Carlito" w:hAnsi="Carlito" w:cs="Carlito"/>
          <w:color w:val="1A1A1A"/>
          <w:kern w:val="0"/>
        </w:rPr>
        <w:t>(3), 296-328.</w:t>
      </w:r>
    </w:p>
    <w:p w14:paraId="26DA56A5" w14:textId="77777777" w:rsidR="00340791" w:rsidRDefault="00340791" w:rsidP="00340791">
      <w:pPr>
        <w:autoSpaceDE w:val="0"/>
        <w:autoSpaceDN w:val="0"/>
        <w:adjustRightInd w:val="0"/>
        <w:spacing w:after="240" w:line="360" w:lineRule="auto"/>
        <w:jc w:val="both"/>
        <w:rPr>
          <w:rFonts w:ascii="Carlito-Italic" w:hAnsi="Carlito-Italic" w:cs="Carlito-Italic"/>
          <w:i/>
          <w:iCs/>
          <w:color w:val="244084"/>
          <w:kern w:val="0"/>
        </w:rPr>
      </w:pPr>
    </w:p>
    <w:p w14:paraId="4DF437E3" w14:textId="77777777" w:rsidR="00340791" w:rsidRDefault="00340791" w:rsidP="00340791">
      <w:pPr>
        <w:autoSpaceDE w:val="0"/>
        <w:autoSpaceDN w:val="0"/>
        <w:adjustRightInd w:val="0"/>
        <w:spacing w:after="240" w:line="360" w:lineRule="auto"/>
        <w:jc w:val="both"/>
        <w:rPr>
          <w:rFonts w:ascii="Carlito-Italic" w:hAnsi="Carlito-Italic" w:cs="Carlito-Italic"/>
          <w:i/>
          <w:iCs/>
          <w:color w:val="244084"/>
          <w:kern w:val="0"/>
        </w:rPr>
      </w:pPr>
    </w:p>
    <w:p w14:paraId="7A959532" w14:textId="77777777" w:rsidR="00340791" w:rsidRDefault="00340791" w:rsidP="00340791">
      <w:pPr>
        <w:autoSpaceDE w:val="0"/>
        <w:autoSpaceDN w:val="0"/>
        <w:adjustRightInd w:val="0"/>
        <w:spacing w:after="240" w:line="360" w:lineRule="auto"/>
        <w:jc w:val="both"/>
        <w:rPr>
          <w:rFonts w:ascii="Carlito-Italic" w:hAnsi="Carlito-Italic" w:cs="Carlito-Italic"/>
          <w:i/>
          <w:iCs/>
          <w:color w:val="244084"/>
          <w:kern w:val="0"/>
        </w:rPr>
      </w:pPr>
    </w:p>
    <w:p w14:paraId="52BCCD09" w14:textId="77777777" w:rsidR="00340791" w:rsidRDefault="00340791" w:rsidP="00340791">
      <w:pPr>
        <w:autoSpaceDE w:val="0"/>
        <w:autoSpaceDN w:val="0"/>
        <w:adjustRightInd w:val="0"/>
        <w:spacing w:after="240" w:line="360" w:lineRule="auto"/>
        <w:jc w:val="both"/>
        <w:rPr>
          <w:rFonts w:ascii="Carlito-Italic" w:hAnsi="Carlito-Italic" w:cs="Carlito-Italic"/>
          <w:i/>
          <w:iCs/>
          <w:color w:val="244084"/>
          <w:kern w:val="0"/>
        </w:rPr>
      </w:pPr>
    </w:p>
    <w:p w14:paraId="5A6C7CCC" w14:textId="77777777" w:rsidR="00340791" w:rsidRDefault="00340791" w:rsidP="00340791">
      <w:pPr>
        <w:autoSpaceDE w:val="0"/>
        <w:autoSpaceDN w:val="0"/>
        <w:adjustRightInd w:val="0"/>
        <w:spacing w:after="240" w:line="360" w:lineRule="auto"/>
        <w:jc w:val="both"/>
        <w:rPr>
          <w:rFonts w:ascii="Carlito-Italic" w:hAnsi="Carlito-Italic" w:cs="Carlito-Italic"/>
          <w:i/>
          <w:iCs/>
          <w:color w:val="244084"/>
          <w:kern w:val="0"/>
        </w:rPr>
      </w:pPr>
    </w:p>
    <w:p w14:paraId="213ABF93" w14:textId="5708B4ED" w:rsidR="00340791" w:rsidRDefault="00340791" w:rsidP="00340791">
      <w:pPr>
        <w:pStyle w:val="Heading1"/>
      </w:pPr>
      <w:bookmarkStart w:id="43" w:name="_Toc197736879"/>
      <w:r>
        <w:lastRenderedPageBreak/>
        <w:t>7.</w:t>
      </w:r>
      <w:r>
        <w:t>Appendices</w:t>
      </w:r>
      <w:bookmarkEnd w:id="43"/>
    </w:p>
    <w:p w14:paraId="65D436C1" w14:textId="2360CFDF" w:rsidR="00340791" w:rsidRPr="00340791" w:rsidRDefault="00340791" w:rsidP="00340791">
      <w:pPr>
        <w:pStyle w:val="Heading2"/>
      </w:pPr>
      <w:bookmarkStart w:id="44" w:name="_Toc197736880"/>
      <w:r>
        <w:t>7.1</w:t>
      </w:r>
      <w:r w:rsidRPr="00340791">
        <w:t>Data details</w:t>
      </w:r>
      <w:bookmarkEnd w:id="44"/>
      <w:r w:rsidRPr="00340791">
        <w:t xml:space="preserve"> </w:t>
      </w:r>
    </w:p>
    <w:p w14:paraId="1945677A" w14:textId="67581526" w:rsidR="00340791" w:rsidRDefault="00340791" w:rsidP="00340791">
      <w:pPr>
        <w:autoSpaceDE w:val="0"/>
        <w:autoSpaceDN w:val="0"/>
        <w:adjustRightInd w:val="0"/>
        <w:spacing w:after="0" w:line="360" w:lineRule="auto"/>
        <w:jc w:val="both"/>
        <w:rPr>
          <w:rFonts w:ascii="Carlito" w:hAnsi="Carlito" w:cs="Carlito"/>
          <w:color w:val="000000"/>
          <w:kern w:val="0"/>
        </w:rPr>
      </w:pPr>
      <w:r>
        <w:rPr>
          <w:rFonts w:ascii="Carlito" w:hAnsi="Carlito" w:cs="Carlito"/>
          <w:noProof/>
          <w:color w:val="000000"/>
          <w:kern w:val="0"/>
        </w:rPr>
        <w:drawing>
          <wp:inline distT="0" distB="0" distL="0" distR="0" wp14:anchorId="6D8A939D" wp14:editId="097C96E1">
            <wp:extent cx="2864485" cy="1851660"/>
            <wp:effectExtent l="0" t="0" r="5715" b="2540"/>
            <wp:docPr id="1953162941" name="Picture 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162941" name="Picture 2" descr="A screenshot of a documen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4485" cy="1851660"/>
                    </a:xfrm>
                    <a:prstGeom prst="rect">
                      <a:avLst/>
                    </a:prstGeom>
                    <a:noFill/>
                    <a:ln>
                      <a:noFill/>
                    </a:ln>
                  </pic:spPr>
                </pic:pic>
              </a:graphicData>
            </a:graphic>
          </wp:inline>
        </w:drawing>
      </w:r>
    </w:p>
    <w:p w14:paraId="169F733D" w14:textId="69F128CE" w:rsidR="00340791" w:rsidRDefault="00340791" w:rsidP="00340791">
      <w:pPr>
        <w:autoSpaceDE w:val="0"/>
        <w:autoSpaceDN w:val="0"/>
        <w:adjustRightInd w:val="0"/>
        <w:spacing w:after="0" w:line="360" w:lineRule="auto"/>
        <w:jc w:val="both"/>
        <w:rPr>
          <w:rFonts w:ascii="Carlito" w:hAnsi="Carlito" w:cs="Carlito"/>
          <w:color w:val="000000"/>
          <w:kern w:val="0"/>
        </w:rPr>
      </w:pPr>
      <w:r>
        <w:rPr>
          <w:rFonts w:ascii="Carlito" w:hAnsi="Carlito" w:cs="Carlito"/>
          <w:noProof/>
          <w:color w:val="000000"/>
          <w:kern w:val="0"/>
        </w:rPr>
        <w:drawing>
          <wp:inline distT="0" distB="0" distL="0" distR="0" wp14:anchorId="784DEEFC" wp14:editId="0BB4E925">
            <wp:extent cx="2864485" cy="1035685"/>
            <wp:effectExtent l="0" t="0" r="5715" b="5715"/>
            <wp:docPr id="1836761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6146" name="Picture 1"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64485" cy="1035685"/>
                    </a:xfrm>
                    <a:prstGeom prst="rect">
                      <a:avLst/>
                    </a:prstGeom>
                    <a:noFill/>
                    <a:ln>
                      <a:noFill/>
                    </a:ln>
                  </pic:spPr>
                </pic:pic>
              </a:graphicData>
            </a:graphic>
          </wp:inline>
        </w:drawing>
      </w:r>
    </w:p>
    <w:p w14:paraId="7E149C4F" w14:textId="77777777" w:rsidR="00340791" w:rsidRDefault="00340791" w:rsidP="00340791">
      <w:pPr>
        <w:autoSpaceDE w:val="0"/>
        <w:autoSpaceDN w:val="0"/>
        <w:adjustRightInd w:val="0"/>
        <w:spacing w:after="0" w:line="360" w:lineRule="auto"/>
        <w:jc w:val="both"/>
        <w:rPr>
          <w:rFonts w:ascii="Carlito" w:hAnsi="Carlito" w:cs="Carlito"/>
          <w:color w:val="000000"/>
          <w:kern w:val="0"/>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4120"/>
        <w:gridCol w:w="1960"/>
        <w:gridCol w:w="2400"/>
      </w:tblGrid>
      <w:tr w:rsidR="00340791" w14:paraId="69AC9C18" w14:textId="77777777">
        <w:tblPrEx>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77BD88E5" w14:textId="77777777" w:rsidR="00340791" w:rsidRDefault="00340791">
            <w:pPr>
              <w:numPr>
                <w:ilvl w:val="1"/>
                <w:numId w:val="41"/>
              </w:numPr>
              <w:tabs>
                <w:tab w:val="left" w:pos="20"/>
                <w:tab w:val="left" w:pos="576"/>
              </w:tabs>
              <w:autoSpaceDE w:val="0"/>
              <w:autoSpaceDN w:val="0"/>
              <w:adjustRightInd w:val="0"/>
              <w:spacing w:after="0" w:line="360" w:lineRule="auto"/>
              <w:ind w:left="576" w:hanging="576"/>
              <w:jc w:val="both"/>
              <w:rPr>
                <w:rFonts w:ascii="Helvetica" w:hAnsi="Helvetica" w:cs="Helvetica"/>
                <w:kern w:val="0"/>
              </w:rPr>
            </w:pPr>
            <w:r>
              <w:rPr>
                <w:rFonts w:ascii="Carlito-Bold" w:hAnsi="Carlito-Bold" w:cs="Carlito-Bold"/>
                <w:b/>
                <w:bCs/>
                <w:color w:val="000000"/>
                <w:kern w:val="0"/>
              </w:rPr>
              <w:t>t-Test: Paired Two Sample for Means</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3D399F52"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66A1D671"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r>
      <w:tr w:rsidR="00340791" w14:paraId="52C24043"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1DED25E7"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2DD3D8F3"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3336A770"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r>
      <w:tr w:rsidR="00340791" w14:paraId="65520E36"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01283C9C"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Italic" w:hAnsi="Carlito-Italic" w:cs="Carlito-Italic"/>
                <w:i/>
                <w:iCs/>
                <w:color w:val="000000"/>
                <w:kern w:val="0"/>
              </w:rPr>
              <w:t> </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7FA9E038"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Italic" w:hAnsi="Carlito-Italic" w:cs="Carlito-Italic"/>
                <w:i/>
                <w:iCs/>
                <w:color w:val="000000"/>
                <w:kern w:val="0"/>
              </w:rPr>
              <w:t>Care homes - number</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330BC359"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Italic" w:hAnsi="Carlito-Italic" w:cs="Carlito-Italic"/>
                <w:i/>
                <w:iCs/>
                <w:color w:val="000000"/>
                <w:kern w:val="0"/>
              </w:rPr>
              <w:t>Domiciliary care - number</w:t>
            </w:r>
          </w:p>
        </w:tc>
      </w:tr>
      <w:tr w:rsidR="00340791" w14:paraId="63BDF24E"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17F82881"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Mean</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26368C25"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339.6315789</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15AB3286"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487.1578947</w:t>
            </w:r>
          </w:p>
        </w:tc>
      </w:tr>
      <w:tr w:rsidR="00340791" w14:paraId="2116C818"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090579F3"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Variance</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32240A10"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68982.02339</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2BA2D6CA"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121047.2515</w:t>
            </w:r>
          </w:p>
        </w:tc>
      </w:tr>
      <w:tr w:rsidR="00340791" w14:paraId="2573B22E"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020709DA"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Observations</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6311AE75"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19</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385EBC89"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19</w:t>
            </w:r>
          </w:p>
        </w:tc>
      </w:tr>
      <w:tr w:rsidR="00340791" w14:paraId="747220A3"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62876374"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Pearson Correlation</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7EFF43AF"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0.922470939</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21D49C05"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r>
      <w:tr w:rsidR="00340791" w14:paraId="2A462C92"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595B0F97"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Hypothesized Mean Difference</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1571EFCC"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0</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4F0913B7"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r>
      <w:tr w:rsidR="00340791" w14:paraId="20D2E31B"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6128B5C1" w14:textId="77777777" w:rsidR="00340791" w:rsidRDefault="00340791">
            <w:pPr>
              <w:autoSpaceDE w:val="0"/>
              <w:autoSpaceDN w:val="0"/>
              <w:adjustRightInd w:val="0"/>
              <w:spacing w:after="0" w:line="360" w:lineRule="auto"/>
              <w:jc w:val="both"/>
              <w:rPr>
                <w:rFonts w:ascii="Helvetica" w:hAnsi="Helvetica" w:cs="Helvetica"/>
                <w:kern w:val="0"/>
              </w:rPr>
            </w:pPr>
            <w:proofErr w:type="spellStart"/>
            <w:r>
              <w:rPr>
                <w:rFonts w:ascii="Carlito" w:hAnsi="Carlito" w:cs="Carlito"/>
                <w:color w:val="000000"/>
                <w:kern w:val="0"/>
              </w:rPr>
              <w:t>df</w:t>
            </w:r>
            <w:proofErr w:type="spellEnd"/>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71D18959"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18</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0E8F0C2D"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r>
      <w:tr w:rsidR="00340791" w14:paraId="038D29C2"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555F4498"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t Stat</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42D7677E"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-4.391640082</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5CAA124E"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r>
      <w:tr w:rsidR="00340791" w14:paraId="12B22CB6"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5987AEC6"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P(T&lt;=t) one-tail</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4548BDB8"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0.000175956</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12A302E1"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r>
      <w:tr w:rsidR="00340791" w14:paraId="11F1F281"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5869F3B8"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t Critical one-tail</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73B7BD1F"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1.734063607</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6ADF41F3"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r>
      <w:tr w:rsidR="00340791" w14:paraId="202FA814" w14:textId="77777777">
        <w:tblPrEx>
          <w:tblBorders>
            <w:top w:val="none" w:sz="0" w:space="0" w:color="auto"/>
          </w:tblBorders>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09F0EFA5"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P(T&lt;=t) two-tail</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7B2649EE"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0.000351911</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06EF2A1F" w14:textId="77777777" w:rsidR="00340791" w:rsidRDefault="003407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p>
        </w:tc>
      </w:tr>
      <w:tr w:rsidR="00340791" w14:paraId="18696DAF" w14:textId="77777777">
        <w:tblPrEx>
          <w:tblCellMar>
            <w:top w:w="0" w:type="dxa"/>
            <w:bottom w:w="0" w:type="dxa"/>
          </w:tblCellMar>
        </w:tblPrEx>
        <w:tc>
          <w:tcPr>
            <w:tcW w:w="41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5F4FBF4F"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t Critical two-tail</w:t>
            </w:r>
          </w:p>
        </w:tc>
        <w:tc>
          <w:tcPr>
            <w:tcW w:w="19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116B34CF" w14:textId="77777777" w:rsidR="00340791" w:rsidRDefault="00340791">
            <w:pPr>
              <w:autoSpaceDE w:val="0"/>
              <w:autoSpaceDN w:val="0"/>
              <w:adjustRightInd w:val="0"/>
              <w:spacing w:after="0" w:line="360" w:lineRule="auto"/>
              <w:jc w:val="both"/>
              <w:rPr>
                <w:rFonts w:ascii="Helvetica" w:hAnsi="Helvetica" w:cs="Helvetica"/>
                <w:kern w:val="0"/>
              </w:rPr>
            </w:pPr>
            <w:r>
              <w:rPr>
                <w:rFonts w:ascii="Carlito" w:hAnsi="Carlito" w:cs="Carlito"/>
                <w:color w:val="000000"/>
                <w:kern w:val="0"/>
              </w:rPr>
              <w:t>2.10092204</w:t>
            </w:r>
          </w:p>
        </w:tc>
        <w:tc>
          <w:tcPr>
            <w:tcW w:w="24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bottom"/>
          </w:tcPr>
          <w:p w14:paraId="58D5AD62" w14:textId="77777777" w:rsidR="00340791" w:rsidRDefault="00340791">
            <w:pPr>
              <w:autoSpaceDE w:val="0"/>
              <w:autoSpaceDN w:val="0"/>
              <w:adjustRightInd w:val="0"/>
              <w:spacing w:after="0" w:line="360" w:lineRule="auto"/>
              <w:jc w:val="both"/>
              <w:rPr>
                <w:rFonts w:ascii="Carlito" w:hAnsi="Carlito" w:cs="Carlito"/>
                <w:color w:val="000000"/>
                <w:kern w:val="0"/>
              </w:rPr>
            </w:pPr>
            <w:r>
              <w:rPr>
                <w:rFonts w:ascii="Carlito" w:hAnsi="Carlito" w:cs="Carlito"/>
                <w:color w:val="000000"/>
                <w:kern w:val="0"/>
              </w:rPr>
              <w:t> </w:t>
            </w:r>
          </w:p>
        </w:tc>
      </w:tr>
    </w:tbl>
    <w:p w14:paraId="4ED86A41" w14:textId="77777777" w:rsidR="00340791" w:rsidRDefault="00340791"/>
    <w:sectPr w:rsidR="00340791" w:rsidSect="00340791">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6FA3A3" w14:textId="77777777" w:rsidR="00482A87" w:rsidRDefault="00482A87" w:rsidP="00340791">
      <w:pPr>
        <w:spacing w:after="0" w:line="240" w:lineRule="auto"/>
      </w:pPr>
      <w:r>
        <w:separator/>
      </w:r>
    </w:p>
  </w:endnote>
  <w:endnote w:type="continuationSeparator" w:id="0">
    <w:p w14:paraId="43AB5EFF" w14:textId="77777777" w:rsidR="00482A87" w:rsidRDefault="00482A87" w:rsidP="00340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rlito-Italic">
    <w:altName w:val="Calibri"/>
    <w:panose1 w:val="020B0604020202020204"/>
    <w:charset w:val="00"/>
    <w:family w:val="auto"/>
    <w:notTrueType/>
    <w:pitch w:val="default"/>
    <w:sig w:usb0="00000003" w:usb1="00000000" w:usb2="00000000" w:usb3="00000000" w:csb0="00000001" w:csb1="00000000"/>
  </w:font>
  <w:font w:name="Carlito-Bold">
    <w:altName w:val="Calibri"/>
    <w:panose1 w:val="020B0604020202020204"/>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rlito">
    <w:altName w:val="Calibri"/>
    <w:panose1 w:val="020B0604020202020204"/>
    <w:charset w:val="00"/>
    <w:family w:val="auto"/>
    <w:notTrueType/>
    <w:pitch w:val="default"/>
    <w:sig w:usb0="00000003" w:usb1="00000000" w:usb2="00000000" w:usb3="00000000" w:csb0="00000001" w:csb1="00000000"/>
  </w:font>
  <w:font w:name="Carlito-BoldItalic">
    <w:altName w:val="Calibri"/>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10632" w14:textId="75F521F9" w:rsidR="00340791" w:rsidRDefault="00340791">
    <w:pPr>
      <w:pStyle w:val="Footer"/>
    </w:pP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A9EC1C" w14:textId="77777777" w:rsidR="00482A87" w:rsidRDefault="00482A87" w:rsidP="00340791">
      <w:pPr>
        <w:spacing w:after="0" w:line="240" w:lineRule="auto"/>
      </w:pPr>
      <w:r>
        <w:separator/>
      </w:r>
    </w:p>
  </w:footnote>
  <w:footnote w:type="continuationSeparator" w:id="0">
    <w:p w14:paraId="32F5208D" w14:textId="77777777" w:rsidR="00482A87" w:rsidRDefault="00482A87" w:rsidP="00340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8CC13" w14:textId="591DB8C6" w:rsidR="00340791" w:rsidRDefault="00340791">
    <w:pPr>
      <w:pStyle w:val="Header"/>
    </w:pPr>
    <w:r>
      <w:t>1602087</w:t>
    </w:r>
    <w:r>
      <w:ptab w:relativeTo="margin" w:alignment="center" w:leader="none"/>
    </w:r>
    <w:r>
      <w:ptab w:relativeTo="margin" w:alignment="right" w:leader="none"/>
    </w:r>
    <w:r>
      <w:t>11.05.2025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0000006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decimal"/>
      <w:lvlText w:val="%1."/>
      <w:lvlJc w:val="left"/>
      <w:pPr>
        <w:ind w:left="720" w:hanging="360"/>
      </w:pPr>
    </w:lvl>
    <w:lvl w:ilvl="1" w:tplc="000000CA">
      <w:start w:val="2"/>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decimal"/>
      <w:lvlText w:val="%1."/>
      <w:lvlJc w:val="left"/>
      <w:pPr>
        <w:ind w:left="720" w:hanging="360"/>
      </w:pPr>
    </w:lvl>
    <w:lvl w:ilvl="1" w:tplc="0000012E">
      <w:start w:val="3"/>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decimal"/>
      <w:lvlText w:val="%1."/>
      <w:lvlJc w:val="left"/>
      <w:pPr>
        <w:ind w:left="720" w:hanging="360"/>
      </w:pPr>
    </w:lvl>
    <w:lvl w:ilvl="1" w:tplc="00000192">
      <w:start w:val="4"/>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2"/>
      <w:numFmt w:val="decimal"/>
      <w:lvlText w:val="%1."/>
      <w:lvlJc w:val="left"/>
      <w:pPr>
        <w:ind w:left="720" w:hanging="360"/>
      </w:pPr>
    </w:lvl>
    <w:lvl w:ilvl="1" w:tplc="000001F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2"/>
      <w:numFmt w:val="decimal"/>
      <w:lvlText w:val="%1."/>
      <w:lvlJc w:val="left"/>
      <w:pPr>
        <w:ind w:left="720" w:hanging="360"/>
      </w:pPr>
    </w:lvl>
    <w:lvl w:ilvl="1" w:tplc="0000025A">
      <w:start w:val="2"/>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2"/>
      <w:numFmt w:val="decimal"/>
      <w:lvlText w:val="%1."/>
      <w:lvlJc w:val="left"/>
      <w:pPr>
        <w:ind w:left="720" w:hanging="360"/>
      </w:pPr>
    </w:lvl>
    <w:lvl w:ilvl="1" w:tplc="000002BE">
      <w:start w:val="3"/>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2"/>
      <w:numFmt w:val="decimal"/>
      <w:lvlText w:val="%1."/>
      <w:lvlJc w:val="left"/>
      <w:pPr>
        <w:ind w:left="720" w:hanging="360"/>
      </w:pPr>
    </w:lvl>
    <w:lvl w:ilvl="1" w:tplc="00000322">
      <w:start w:val="4"/>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2"/>
      <w:numFmt w:val="decimal"/>
      <w:lvlText w:val="%1."/>
      <w:lvlJc w:val="left"/>
      <w:pPr>
        <w:ind w:left="720" w:hanging="360"/>
      </w:pPr>
    </w:lvl>
    <w:lvl w:ilvl="1" w:tplc="00000386">
      <w:start w:val="5"/>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2"/>
      <w:numFmt w:val="decimal"/>
      <w:lvlText w:val="%1."/>
      <w:lvlJc w:val="left"/>
      <w:pPr>
        <w:ind w:left="720" w:hanging="360"/>
      </w:pPr>
    </w:lvl>
    <w:lvl w:ilvl="1" w:tplc="000003EA">
      <w:start w:val="6"/>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2"/>
      <w:numFmt w:val="decimal"/>
      <w:lvlText w:val="%1."/>
      <w:lvlJc w:val="left"/>
      <w:pPr>
        <w:ind w:left="720" w:hanging="360"/>
      </w:pPr>
    </w:lvl>
    <w:lvl w:ilvl="1" w:tplc="0000044E">
      <w:start w:val="7"/>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2"/>
      <w:numFmt w:val="decimal"/>
      <w:lvlText w:val="%1."/>
      <w:lvlJc w:val="left"/>
      <w:pPr>
        <w:ind w:left="720" w:hanging="360"/>
      </w:pPr>
    </w:lvl>
    <w:lvl w:ilvl="1" w:tplc="000004B2">
      <w:start w:val="8"/>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3"/>
      <w:numFmt w:val="decimal"/>
      <w:lvlText w:val="%1."/>
      <w:lvlJc w:val="left"/>
      <w:pPr>
        <w:ind w:left="720" w:hanging="360"/>
      </w:pPr>
    </w:lvl>
    <w:lvl w:ilvl="1" w:tplc="0000051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3"/>
      <w:numFmt w:val="decimal"/>
      <w:lvlText w:val="%1."/>
      <w:lvlJc w:val="left"/>
      <w:pPr>
        <w:ind w:left="720" w:hanging="360"/>
      </w:pPr>
    </w:lvl>
    <w:lvl w:ilvl="1" w:tplc="0000057A">
      <w:start w:val="2"/>
      <w:numFmt w:val="decimal"/>
      <w:lvlText w:val="%2."/>
      <w:lvlJc w:val="left"/>
      <w:pPr>
        <w:ind w:left="2486" w:hanging="360"/>
      </w:pPr>
    </w:lvl>
    <w:lvl w:ilvl="2" w:tplc="0000057B">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decimal"/>
      <w:lvlText w:val="%1."/>
      <w:lvlJc w:val="left"/>
      <w:pPr>
        <w:ind w:left="720" w:hanging="360"/>
      </w:pPr>
    </w:lvl>
    <w:lvl w:ilvl="1" w:tplc="000005DE">
      <w:start w:val="1"/>
      <w:numFmt w:val="decimal"/>
      <w:lvlText w:val="%2."/>
      <w:lvlJc w:val="left"/>
      <w:pPr>
        <w:ind w:left="1440" w:hanging="360"/>
      </w:pPr>
    </w:lvl>
    <w:lvl w:ilvl="2" w:tplc="000005DF">
      <w:start w:val="2"/>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decimal"/>
      <w:lvlText w:val="%1."/>
      <w:lvlJc w:val="left"/>
      <w:pPr>
        <w:ind w:left="720" w:hanging="360"/>
      </w:pPr>
    </w:lvl>
    <w:lvl w:ilvl="1" w:tplc="00000642">
      <w:start w:val="1"/>
      <w:numFmt w:val="decimal"/>
      <w:lvlText w:val="%2."/>
      <w:lvlJc w:val="left"/>
      <w:pPr>
        <w:ind w:left="1440" w:hanging="360"/>
      </w:pPr>
    </w:lvl>
    <w:lvl w:ilvl="2" w:tplc="00000643">
      <w:start w:val="3"/>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decimal"/>
      <w:lvlText w:val="%1."/>
      <w:lvlJc w:val="left"/>
      <w:pPr>
        <w:ind w:left="720" w:hanging="360"/>
      </w:pPr>
    </w:lvl>
    <w:lvl w:ilvl="1" w:tplc="000006A6">
      <w:start w:val="1"/>
      <w:numFmt w:val="decimal"/>
      <w:lvlText w:val="%2."/>
      <w:lvlJc w:val="left"/>
      <w:pPr>
        <w:ind w:left="1440" w:hanging="360"/>
      </w:pPr>
    </w:lvl>
    <w:lvl w:ilvl="2" w:tplc="000006A7">
      <w:start w:val="4"/>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FFFFFFFF"/>
    <w:lvl w:ilvl="0" w:tplc="00000709">
      <w:numFmt w:val="decimal"/>
      <w:lvlText w:val="%1."/>
      <w:lvlJc w:val="left"/>
      <w:pPr>
        <w:ind w:left="720" w:hanging="360"/>
      </w:pPr>
    </w:lvl>
    <w:lvl w:ilvl="1" w:tplc="0000070A">
      <w:start w:val="3"/>
      <w:numFmt w:val="decimal"/>
      <w:lvlText w:val="%2."/>
      <w:lvlJc w:val="left"/>
      <w:pPr>
        <w:ind w:left="1440" w:hanging="360"/>
      </w:pPr>
    </w:lvl>
    <w:lvl w:ilvl="2" w:tplc="0000070B">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FFFFFFFF"/>
    <w:lvl w:ilvl="0" w:tplc="0000076D">
      <w:numFmt w:val="decimal"/>
      <w:lvlText w:val="%1."/>
      <w:lvlJc w:val="left"/>
      <w:pPr>
        <w:ind w:left="720" w:hanging="360"/>
      </w:pPr>
    </w:lvl>
    <w:lvl w:ilvl="1" w:tplc="0000076E">
      <w:start w:val="3"/>
      <w:numFmt w:val="decimal"/>
      <w:lvlText w:val="%2."/>
      <w:lvlJc w:val="left"/>
      <w:pPr>
        <w:ind w:left="1440" w:hanging="360"/>
      </w:pPr>
    </w:lvl>
    <w:lvl w:ilvl="2" w:tplc="0000076F">
      <w:start w:val="2"/>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5"/>
    <w:multiLevelType w:val="hybridMultilevel"/>
    <w:tmpl w:val="FFFFFFFF"/>
    <w:lvl w:ilvl="0" w:tplc="000007D1">
      <w:numFmt w:val="decimal"/>
      <w:lvlText w:val="%1."/>
      <w:lvlJc w:val="left"/>
      <w:pPr>
        <w:ind w:left="720" w:hanging="360"/>
      </w:pPr>
    </w:lvl>
    <w:lvl w:ilvl="1" w:tplc="000007D2">
      <w:start w:val="3"/>
      <w:numFmt w:val="decimal"/>
      <w:lvlText w:val="%2."/>
      <w:lvlJc w:val="left"/>
      <w:pPr>
        <w:ind w:left="1440" w:hanging="360"/>
      </w:pPr>
    </w:lvl>
    <w:lvl w:ilvl="2" w:tplc="000007D3">
      <w:start w:val="3"/>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6"/>
    <w:multiLevelType w:val="hybridMultilevel"/>
    <w:tmpl w:val="FFFFFFFF"/>
    <w:lvl w:ilvl="0" w:tplc="00000835">
      <w:numFmt w:val="decimal"/>
      <w:lvlText w:val="%1."/>
      <w:lvlJc w:val="left"/>
      <w:pPr>
        <w:ind w:left="720" w:hanging="360"/>
      </w:pPr>
    </w:lvl>
    <w:lvl w:ilvl="1" w:tplc="00000836">
      <w:start w:val="3"/>
      <w:numFmt w:val="decimal"/>
      <w:lvlText w:val="%2."/>
      <w:lvlJc w:val="left"/>
      <w:pPr>
        <w:ind w:left="1440" w:hanging="360"/>
      </w:pPr>
    </w:lvl>
    <w:lvl w:ilvl="2" w:tplc="00000837">
      <w:start w:val="4"/>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0017"/>
    <w:multiLevelType w:val="hybridMultilevel"/>
    <w:tmpl w:val="FFFFFFFF"/>
    <w:lvl w:ilvl="0" w:tplc="00000899">
      <w:numFmt w:val="decimal"/>
      <w:lvlText w:val="%1."/>
      <w:lvlJc w:val="left"/>
      <w:pPr>
        <w:ind w:left="720" w:hanging="360"/>
      </w:pPr>
    </w:lvl>
    <w:lvl w:ilvl="1" w:tplc="0000089A">
      <w:start w:val="3"/>
      <w:numFmt w:val="decimal"/>
      <w:lvlText w:val="%2."/>
      <w:lvlJc w:val="left"/>
      <w:pPr>
        <w:ind w:left="1440" w:hanging="360"/>
      </w:pPr>
    </w:lvl>
    <w:lvl w:ilvl="2" w:tplc="0000089B">
      <w:start w:val="5"/>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0018"/>
    <w:multiLevelType w:val="hybridMultilevel"/>
    <w:tmpl w:val="FFFFFFFF"/>
    <w:lvl w:ilvl="0" w:tplc="000008FD">
      <w:numFmt w:val="decimal"/>
      <w:lvlText w:val="%1."/>
      <w:lvlJc w:val="left"/>
      <w:pPr>
        <w:ind w:left="720" w:hanging="360"/>
      </w:pPr>
    </w:lvl>
    <w:lvl w:ilvl="1" w:tplc="000008FE">
      <w:start w:val="4"/>
      <w:numFmt w:val="decimal"/>
      <w:lvlText w:val="%2."/>
      <w:lvlJc w:val="left"/>
      <w:pPr>
        <w:ind w:left="1440" w:hanging="360"/>
      </w:pPr>
    </w:lvl>
    <w:lvl w:ilvl="2" w:tplc="000008FF">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0019"/>
    <w:multiLevelType w:val="hybridMultilevel"/>
    <w:tmpl w:val="FFFFFFFF"/>
    <w:lvl w:ilvl="0" w:tplc="00000961">
      <w:numFmt w:val="decimal"/>
      <w:lvlText w:val="%1."/>
      <w:lvlJc w:val="left"/>
      <w:pPr>
        <w:ind w:left="720" w:hanging="360"/>
      </w:pPr>
    </w:lvl>
    <w:lvl w:ilvl="1" w:tplc="00000962">
      <w:start w:val="4"/>
      <w:numFmt w:val="decimal"/>
      <w:lvlText w:val="%2."/>
      <w:lvlJc w:val="left"/>
      <w:pPr>
        <w:ind w:left="1440" w:hanging="360"/>
      </w:pPr>
    </w:lvl>
    <w:lvl w:ilvl="2" w:tplc="00000963">
      <w:start w:val="2"/>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001A"/>
    <w:multiLevelType w:val="hybridMultilevel"/>
    <w:tmpl w:val="FFFFFFFF"/>
    <w:lvl w:ilvl="0" w:tplc="000009C5">
      <w:numFmt w:val="decimal"/>
      <w:lvlText w:val="%1."/>
      <w:lvlJc w:val="left"/>
      <w:pPr>
        <w:ind w:left="720" w:hanging="360"/>
      </w:pPr>
    </w:lvl>
    <w:lvl w:ilvl="1" w:tplc="000009C6">
      <w:start w:val="4"/>
      <w:numFmt w:val="decimal"/>
      <w:lvlText w:val="%2."/>
      <w:lvlJc w:val="left"/>
      <w:pPr>
        <w:ind w:left="1440" w:hanging="360"/>
      </w:pPr>
    </w:lvl>
    <w:lvl w:ilvl="2" w:tplc="000009C7">
      <w:start w:val="3"/>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001B"/>
    <w:multiLevelType w:val="hybridMultilevel"/>
    <w:tmpl w:val="FFFFFFFF"/>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001C"/>
    <w:multiLevelType w:val="hybridMultilevel"/>
    <w:tmpl w:val="FFFFFFFF"/>
    <w:lvl w:ilvl="0" w:tplc="00000A8D">
      <w:numFmt w:val="decimal"/>
      <w:lvlText w:val="%1."/>
      <w:lvlJc w:val="left"/>
      <w:pPr>
        <w:ind w:left="720" w:hanging="360"/>
      </w:pPr>
    </w:lvl>
    <w:lvl w:ilvl="1" w:tplc="00000A8E">
      <w:start w:val="5"/>
      <w:numFmt w:val="decimal"/>
      <w:lvlText w:val="%2."/>
      <w:lvlJc w:val="left"/>
      <w:pPr>
        <w:ind w:left="1440" w:hanging="360"/>
      </w:pPr>
    </w:lvl>
    <w:lvl w:ilvl="2" w:tplc="00000A8F">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001D"/>
    <w:multiLevelType w:val="hybridMultilevel"/>
    <w:tmpl w:val="FFFFFFFF"/>
    <w:lvl w:ilvl="0" w:tplc="00000AF1">
      <w:numFmt w:val="decimal"/>
      <w:lvlText w:val="%1."/>
      <w:lvlJc w:val="left"/>
      <w:pPr>
        <w:ind w:left="720" w:hanging="360"/>
      </w:pPr>
    </w:lvl>
    <w:lvl w:ilvl="1" w:tplc="00000AF2">
      <w:start w:val="5"/>
      <w:numFmt w:val="decimal"/>
      <w:lvlText w:val="%2."/>
      <w:lvlJc w:val="left"/>
      <w:pPr>
        <w:ind w:left="1440" w:hanging="360"/>
      </w:pPr>
    </w:lvl>
    <w:lvl w:ilvl="2" w:tplc="00000AF3">
      <w:start w:val="2"/>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001E"/>
    <w:multiLevelType w:val="hybridMultilevel"/>
    <w:tmpl w:val="FFFFFFFF"/>
    <w:lvl w:ilvl="0" w:tplc="00000B55">
      <w:numFmt w:val="decimal"/>
      <w:lvlText w:val="%1."/>
      <w:lvlJc w:val="left"/>
      <w:pPr>
        <w:ind w:left="720" w:hanging="360"/>
      </w:pPr>
    </w:lvl>
    <w:lvl w:ilvl="1" w:tplc="00000B56">
      <w:start w:val="6"/>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001F"/>
    <w:multiLevelType w:val="hybridMultilevel"/>
    <w:tmpl w:val="FFFFFFFF"/>
    <w:lvl w:ilvl="0" w:tplc="00000BB9">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0000020"/>
    <w:multiLevelType w:val="hybridMultilevel"/>
    <w:tmpl w:val="FFFFFFFF"/>
    <w:lvl w:ilvl="0" w:tplc="00000C1D">
      <w:start w:val="1"/>
      <w:numFmt w:val="decimal"/>
      <w:lvlText w:val="%1."/>
      <w:lvlJc w:val="left"/>
      <w:pPr>
        <w:ind w:left="720" w:hanging="360"/>
      </w:pPr>
    </w:lvl>
    <w:lvl w:ilvl="1" w:tplc="00000C1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00000021"/>
    <w:multiLevelType w:val="hybridMultilevel"/>
    <w:tmpl w:val="FFFFFFFF"/>
    <w:lvl w:ilvl="0" w:tplc="00000C81">
      <w:start w:val="4"/>
      <w:numFmt w:val="decimal"/>
      <w:lvlText w:val="%1."/>
      <w:lvlJc w:val="left"/>
      <w:pPr>
        <w:ind w:left="720" w:hanging="360"/>
      </w:pPr>
    </w:lvl>
    <w:lvl w:ilvl="1" w:tplc="00000C82">
      <w:start w:val="2"/>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00000022"/>
    <w:multiLevelType w:val="hybridMultilevel"/>
    <w:tmpl w:val="FFFFFFFF"/>
    <w:lvl w:ilvl="0" w:tplc="00000CE5">
      <w:start w:val="4"/>
      <w:numFmt w:val="decimal"/>
      <w:lvlText w:val="%1."/>
      <w:lvlJc w:val="left"/>
      <w:pPr>
        <w:ind w:left="720" w:hanging="360"/>
      </w:pPr>
    </w:lvl>
    <w:lvl w:ilvl="1" w:tplc="00000CE6">
      <w:start w:val="3"/>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00000023"/>
    <w:multiLevelType w:val="hybridMultilevel"/>
    <w:tmpl w:val="FFFFFFFF"/>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00000024"/>
    <w:multiLevelType w:val="hybridMultilevel"/>
    <w:tmpl w:val="FFFFFFFF"/>
    <w:lvl w:ilvl="0" w:tplc="00000DAD">
      <w:start w:val="4"/>
      <w:numFmt w:val="decimal"/>
      <w:lvlText w:val="%1."/>
      <w:lvlJc w:val="left"/>
      <w:pPr>
        <w:ind w:left="720" w:hanging="360"/>
      </w:pPr>
    </w:lvl>
    <w:lvl w:ilvl="1" w:tplc="00000DAE">
      <w:start w:val="4"/>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00000025"/>
    <w:multiLevelType w:val="hybridMultilevel"/>
    <w:tmpl w:val="FFFFFFFF"/>
    <w:lvl w:ilvl="0" w:tplc="00000E1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00000026"/>
    <w:multiLevelType w:val="hybridMultilevel"/>
    <w:tmpl w:val="FFFFFFFF"/>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00000027"/>
    <w:multiLevelType w:val="hybridMultilevel"/>
    <w:tmpl w:val="FFFFFFFF"/>
    <w:lvl w:ilvl="0" w:tplc="00000ED9">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00000028"/>
    <w:multiLevelType w:val="hybridMultilevel"/>
    <w:tmpl w:val="FFFFFFFF"/>
    <w:lvl w:ilvl="0" w:tplc="00000F3D">
      <w:start w:val="7"/>
      <w:numFmt w:val="decimal"/>
      <w:lvlText w:val="%1."/>
      <w:lvlJc w:val="left"/>
      <w:pPr>
        <w:ind w:left="720" w:hanging="360"/>
      </w:pPr>
    </w:lvl>
    <w:lvl w:ilvl="1" w:tplc="00000F3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00000029"/>
    <w:multiLevelType w:val="hybridMultilevel"/>
    <w:tmpl w:val="FFFFFFFF"/>
    <w:lvl w:ilvl="0" w:tplc="00000FA1">
      <w:start w:val="1"/>
      <w:numFmt w:val="decimal"/>
      <w:lvlText w:val="%1."/>
      <w:lvlJc w:val="left"/>
      <w:pPr>
        <w:ind w:left="720" w:hanging="360"/>
      </w:pPr>
    </w:lvl>
    <w:lvl w:ilvl="1" w:tplc="00000FA2">
      <w:start w:val="2"/>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16782B90"/>
    <w:multiLevelType w:val="multilevel"/>
    <w:tmpl w:val="F6F4B7E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2" w15:restartNumberingAfterBreak="0">
    <w:nsid w:val="6C3B595D"/>
    <w:multiLevelType w:val="hybridMultilevel"/>
    <w:tmpl w:val="431257A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2395811">
    <w:abstractNumId w:val="0"/>
  </w:num>
  <w:num w:numId="2" w16cid:durableId="2092656876">
    <w:abstractNumId w:val="1"/>
  </w:num>
  <w:num w:numId="3" w16cid:durableId="1647469967">
    <w:abstractNumId w:val="2"/>
  </w:num>
  <w:num w:numId="4" w16cid:durableId="1558587008">
    <w:abstractNumId w:val="3"/>
  </w:num>
  <w:num w:numId="5" w16cid:durableId="733503411">
    <w:abstractNumId w:val="4"/>
  </w:num>
  <w:num w:numId="6" w16cid:durableId="362875065">
    <w:abstractNumId w:val="5"/>
  </w:num>
  <w:num w:numId="7" w16cid:durableId="1485050856">
    <w:abstractNumId w:val="6"/>
  </w:num>
  <w:num w:numId="8" w16cid:durableId="1310329067">
    <w:abstractNumId w:val="7"/>
  </w:num>
  <w:num w:numId="9" w16cid:durableId="1037850181">
    <w:abstractNumId w:val="8"/>
  </w:num>
  <w:num w:numId="10" w16cid:durableId="1485395220">
    <w:abstractNumId w:val="9"/>
  </w:num>
  <w:num w:numId="11" w16cid:durableId="801921132">
    <w:abstractNumId w:val="10"/>
  </w:num>
  <w:num w:numId="12" w16cid:durableId="1610241998">
    <w:abstractNumId w:val="11"/>
  </w:num>
  <w:num w:numId="13" w16cid:durableId="1033193280">
    <w:abstractNumId w:val="12"/>
  </w:num>
  <w:num w:numId="14" w16cid:durableId="325325203">
    <w:abstractNumId w:val="13"/>
  </w:num>
  <w:num w:numId="15" w16cid:durableId="1651979301">
    <w:abstractNumId w:val="14"/>
  </w:num>
  <w:num w:numId="16" w16cid:durableId="1019156747">
    <w:abstractNumId w:val="15"/>
  </w:num>
  <w:num w:numId="17" w16cid:durableId="1827160925">
    <w:abstractNumId w:val="16"/>
  </w:num>
  <w:num w:numId="18" w16cid:durableId="547975">
    <w:abstractNumId w:val="17"/>
  </w:num>
  <w:num w:numId="19" w16cid:durableId="1761026389">
    <w:abstractNumId w:val="18"/>
  </w:num>
  <w:num w:numId="20" w16cid:durableId="1683823665">
    <w:abstractNumId w:val="19"/>
  </w:num>
  <w:num w:numId="21" w16cid:durableId="1286540324">
    <w:abstractNumId w:val="20"/>
  </w:num>
  <w:num w:numId="22" w16cid:durableId="2042318676">
    <w:abstractNumId w:val="21"/>
  </w:num>
  <w:num w:numId="23" w16cid:durableId="2131436721">
    <w:abstractNumId w:val="22"/>
  </w:num>
  <w:num w:numId="24" w16cid:durableId="1479494447">
    <w:abstractNumId w:val="23"/>
  </w:num>
  <w:num w:numId="25" w16cid:durableId="440614248">
    <w:abstractNumId w:val="24"/>
  </w:num>
  <w:num w:numId="26" w16cid:durableId="285161843">
    <w:abstractNumId w:val="25"/>
  </w:num>
  <w:num w:numId="27" w16cid:durableId="866336245">
    <w:abstractNumId w:val="26"/>
  </w:num>
  <w:num w:numId="28" w16cid:durableId="331378753">
    <w:abstractNumId w:val="27"/>
  </w:num>
  <w:num w:numId="29" w16cid:durableId="1143079045">
    <w:abstractNumId w:val="28"/>
  </w:num>
  <w:num w:numId="30" w16cid:durableId="273251879">
    <w:abstractNumId w:val="29"/>
  </w:num>
  <w:num w:numId="31" w16cid:durableId="2050252339">
    <w:abstractNumId w:val="30"/>
  </w:num>
  <w:num w:numId="32" w16cid:durableId="632103518">
    <w:abstractNumId w:val="31"/>
  </w:num>
  <w:num w:numId="33" w16cid:durableId="921455292">
    <w:abstractNumId w:val="32"/>
  </w:num>
  <w:num w:numId="34" w16cid:durableId="1472361517">
    <w:abstractNumId w:val="33"/>
  </w:num>
  <w:num w:numId="35" w16cid:durableId="1145977323">
    <w:abstractNumId w:val="34"/>
  </w:num>
  <w:num w:numId="36" w16cid:durableId="904921473">
    <w:abstractNumId w:val="35"/>
  </w:num>
  <w:num w:numId="37" w16cid:durableId="1936546756">
    <w:abstractNumId w:val="36"/>
  </w:num>
  <w:num w:numId="38" w16cid:durableId="653997791">
    <w:abstractNumId w:val="37"/>
  </w:num>
  <w:num w:numId="39" w16cid:durableId="1473909435">
    <w:abstractNumId w:val="38"/>
  </w:num>
  <w:num w:numId="40" w16cid:durableId="1133401445">
    <w:abstractNumId w:val="39"/>
  </w:num>
  <w:num w:numId="41" w16cid:durableId="1225868691">
    <w:abstractNumId w:val="40"/>
  </w:num>
  <w:num w:numId="42" w16cid:durableId="869031422">
    <w:abstractNumId w:val="41"/>
  </w:num>
  <w:num w:numId="43" w16cid:durableId="175928046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791"/>
    <w:rsid w:val="0006732F"/>
    <w:rsid w:val="00340791"/>
    <w:rsid w:val="00482A87"/>
    <w:rsid w:val="00513A11"/>
    <w:rsid w:val="007E02D2"/>
    <w:rsid w:val="008C5BD0"/>
    <w:rsid w:val="009F4BE7"/>
    <w:rsid w:val="00EA4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72727"/>
  <w15:chartTrackingRefBased/>
  <w15:docId w15:val="{486050F9-B6F9-EA43-BD95-DCBEF0989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7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07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407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07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07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07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07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07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07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7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07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407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07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07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07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7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7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791"/>
    <w:rPr>
      <w:rFonts w:eastAsiaTheme="majorEastAsia" w:cstheme="majorBidi"/>
      <w:color w:val="272727" w:themeColor="text1" w:themeTint="D8"/>
    </w:rPr>
  </w:style>
  <w:style w:type="paragraph" w:styleId="Title">
    <w:name w:val="Title"/>
    <w:basedOn w:val="Normal"/>
    <w:next w:val="Normal"/>
    <w:link w:val="TitleChar"/>
    <w:uiPriority w:val="10"/>
    <w:qFormat/>
    <w:rsid w:val="003407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7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7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07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791"/>
    <w:pPr>
      <w:spacing w:before="160"/>
      <w:jc w:val="center"/>
    </w:pPr>
    <w:rPr>
      <w:i/>
      <w:iCs/>
      <w:color w:val="404040" w:themeColor="text1" w:themeTint="BF"/>
    </w:rPr>
  </w:style>
  <w:style w:type="character" w:customStyle="1" w:styleId="QuoteChar">
    <w:name w:val="Quote Char"/>
    <w:basedOn w:val="DefaultParagraphFont"/>
    <w:link w:val="Quote"/>
    <w:uiPriority w:val="29"/>
    <w:rsid w:val="00340791"/>
    <w:rPr>
      <w:i/>
      <w:iCs/>
      <w:color w:val="404040" w:themeColor="text1" w:themeTint="BF"/>
    </w:rPr>
  </w:style>
  <w:style w:type="paragraph" w:styleId="ListParagraph">
    <w:name w:val="List Paragraph"/>
    <w:basedOn w:val="Normal"/>
    <w:uiPriority w:val="34"/>
    <w:qFormat/>
    <w:rsid w:val="00340791"/>
    <w:pPr>
      <w:ind w:left="720"/>
      <w:contextualSpacing/>
    </w:pPr>
  </w:style>
  <w:style w:type="character" w:styleId="IntenseEmphasis">
    <w:name w:val="Intense Emphasis"/>
    <w:basedOn w:val="DefaultParagraphFont"/>
    <w:uiPriority w:val="21"/>
    <w:qFormat/>
    <w:rsid w:val="00340791"/>
    <w:rPr>
      <w:i/>
      <w:iCs/>
      <w:color w:val="0F4761" w:themeColor="accent1" w:themeShade="BF"/>
    </w:rPr>
  </w:style>
  <w:style w:type="paragraph" w:styleId="IntenseQuote">
    <w:name w:val="Intense Quote"/>
    <w:basedOn w:val="Normal"/>
    <w:next w:val="Normal"/>
    <w:link w:val="IntenseQuoteChar"/>
    <w:uiPriority w:val="30"/>
    <w:qFormat/>
    <w:rsid w:val="003407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0791"/>
    <w:rPr>
      <w:i/>
      <w:iCs/>
      <w:color w:val="0F4761" w:themeColor="accent1" w:themeShade="BF"/>
    </w:rPr>
  </w:style>
  <w:style w:type="character" w:styleId="IntenseReference">
    <w:name w:val="Intense Reference"/>
    <w:basedOn w:val="DefaultParagraphFont"/>
    <w:uiPriority w:val="32"/>
    <w:qFormat/>
    <w:rsid w:val="00340791"/>
    <w:rPr>
      <w:b/>
      <w:bCs/>
      <w:smallCaps/>
      <w:color w:val="0F4761" w:themeColor="accent1" w:themeShade="BF"/>
      <w:spacing w:val="5"/>
    </w:rPr>
  </w:style>
  <w:style w:type="paragraph" w:styleId="TOCHeading">
    <w:name w:val="TOC Heading"/>
    <w:basedOn w:val="Heading1"/>
    <w:next w:val="Normal"/>
    <w:uiPriority w:val="39"/>
    <w:unhideWhenUsed/>
    <w:qFormat/>
    <w:rsid w:val="0034079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40791"/>
    <w:pPr>
      <w:spacing w:before="120" w:after="0"/>
    </w:pPr>
    <w:rPr>
      <w:b/>
      <w:bCs/>
      <w:i/>
      <w:iCs/>
    </w:rPr>
  </w:style>
  <w:style w:type="paragraph" w:styleId="TOC2">
    <w:name w:val="toc 2"/>
    <w:basedOn w:val="Normal"/>
    <w:next w:val="Normal"/>
    <w:autoRedefine/>
    <w:uiPriority w:val="39"/>
    <w:unhideWhenUsed/>
    <w:rsid w:val="00340791"/>
    <w:pPr>
      <w:spacing w:before="120" w:after="0"/>
      <w:ind w:left="240"/>
    </w:pPr>
    <w:rPr>
      <w:b/>
      <w:bCs/>
      <w:sz w:val="22"/>
      <w:szCs w:val="22"/>
    </w:rPr>
  </w:style>
  <w:style w:type="paragraph" w:styleId="TOC3">
    <w:name w:val="toc 3"/>
    <w:basedOn w:val="Normal"/>
    <w:next w:val="Normal"/>
    <w:autoRedefine/>
    <w:uiPriority w:val="39"/>
    <w:unhideWhenUsed/>
    <w:rsid w:val="00340791"/>
    <w:pPr>
      <w:spacing w:after="0"/>
      <w:ind w:left="480"/>
    </w:pPr>
    <w:rPr>
      <w:sz w:val="20"/>
      <w:szCs w:val="20"/>
    </w:rPr>
  </w:style>
  <w:style w:type="paragraph" w:styleId="TOC4">
    <w:name w:val="toc 4"/>
    <w:basedOn w:val="Normal"/>
    <w:next w:val="Normal"/>
    <w:autoRedefine/>
    <w:uiPriority w:val="39"/>
    <w:semiHidden/>
    <w:unhideWhenUsed/>
    <w:rsid w:val="00340791"/>
    <w:pPr>
      <w:spacing w:after="0"/>
      <w:ind w:left="720"/>
    </w:pPr>
    <w:rPr>
      <w:sz w:val="20"/>
      <w:szCs w:val="20"/>
    </w:rPr>
  </w:style>
  <w:style w:type="paragraph" w:styleId="TOC5">
    <w:name w:val="toc 5"/>
    <w:basedOn w:val="Normal"/>
    <w:next w:val="Normal"/>
    <w:autoRedefine/>
    <w:uiPriority w:val="39"/>
    <w:semiHidden/>
    <w:unhideWhenUsed/>
    <w:rsid w:val="00340791"/>
    <w:pPr>
      <w:spacing w:after="0"/>
      <w:ind w:left="960"/>
    </w:pPr>
    <w:rPr>
      <w:sz w:val="20"/>
      <w:szCs w:val="20"/>
    </w:rPr>
  </w:style>
  <w:style w:type="paragraph" w:styleId="TOC6">
    <w:name w:val="toc 6"/>
    <w:basedOn w:val="Normal"/>
    <w:next w:val="Normal"/>
    <w:autoRedefine/>
    <w:uiPriority w:val="39"/>
    <w:semiHidden/>
    <w:unhideWhenUsed/>
    <w:rsid w:val="00340791"/>
    <w:pPr>
      <w:spacing w:after="0"/>
      <w:ind w:left="1200"/>
    </w:pPr>
    <w:rPr>
      <w:sz w:val="20"/>
      <w:szCs w:val="20"/>
    </w:rPr>
  </w:style>
  <w:style w:type="paragraph" w:styleId="TOC7">
    <w:name w:val="toc 7"/>
    <w:basedOn w:val="Normal"/>
    <w:next w:val="Normal"/>
    <w:autoRedefine/>
    <w:uiPriority w:val="39"/>
    <w:semiHidden/>
    <w:unhideWhenUsed/>
    <w:rsid w:val="00340791"/>
    <w:pPr>
      <w:spacing w:after="0"/>
      <w:ind w:left="1440"/>
    </w:pPr>
    <w:rPr>
      <w:sz w:val="20"/>
      <w:szCs w:val="20"/>
    </w:rPr>
  </w:style>
  <w:style w:type="paragraph" w:styleId="TOC8">
    <w:name w:val="toc 8"/>
    <w:basedOn w:val="Normal"/>
    <w:next w:val="Normal"/>
    <w:autoRedefine/>
    <w:uiPriority w:val="39"/>
    <w:semiHidden/>
    <w:unhideWhenUsed/>
    <w:rsid w:val="00340791"/>
    <w:pPr>
      <w:spacing w:after="0"/>
      <w:ind w:left="1680"/>
    </w:pPr>
    <w:rPr>
      <w:sz w:val="20"/>
      <w:szCs w:val="20"/>
    </w:rPr>
  </w:style>
  <w:style w:type="paragraph" w:styleId="TOC9">
    <w:name w:val="toc 9"/>
    <w:basedOn w:val="Normal"/>
    <w:next w:val="Normal"/>
    <w:autoRedefine/>
    <w:uiPriority w:val="39"/>
    <w:semiHidden/>
    <w:unhideWhenUsed/>
    <w:rsid w:val="00340791"/>
    <w:pPr>
      <w:spacing w:after="0"/>
      <w:ind w:left="1920"/>
    </w:pPr>
    <w:rPr>
      <w:sz w:val="20"/>
      <w:szCs w:val="20"/>
    </w:rPr>
  </w:style>
  <w:style w:type="paragraph" w:styleId="NoSpacing">
    <w:name w:val="No Spacing"/>
    <w:link w:val="NoSpacingChar"/>
    <w:uiPriority w:val="1"/>
    <w:qFormat/>
    <w:rsid w:val="00340791"/>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40791"/>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340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791"/>
  </w:style>
  <w:style w:type="paragraph" w:styleId="Footer">
    <w:name w:val="footer"/>
    <w:basedOn w:val="Normal"/>
    <w:link w:val="FooterChar"/>
    <w:uiPriority w:val="99"/>
    <w:unhideWhenUsed/>
    <w:rsid w:val="00340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791"/>
  </w:style>
  <w:style w:type="character" w:styleId="Hyperlink">
    <w:name w:val="Hyperlink"/>
    <w:basedOn w:val="DefaultParagraphFont"/>
    <w:uiPriority w:val="99"/>
    <w:unhideWhenUsed/>
    <w:rsid w:val="0034079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151620">
      <w:bodyDiv w:val="1"/>
      <w:marLeft w:val="0"/>
      <w:marRight w:val="0"/>
      <w:marTop w:val="0"/>
      <w:marBottom w:val="0"/>
      <w:divBdr>
        <w:top w:val="none" w:sz="0" w:space="0" w:color="auto"/>
        <w:left w:val="none" w:sz="0" w:space="0" w:color="auto"/>
        <w:bottom w:val="none" w:sz="0" w:space="0" w:color="auto"/>
        <w:right w:val="none" w:sz="0" w:space="0" w:color="auto"/>
      </w:divBdr>
    </w:div>
    <w:div w:id="755398718">
      <w:bodyDiv w:val="1"/>
      <w:marLeft w:val="0"/>
      <w:marRight w:val="0"/>
      <w:marTop w:val="0"/>
      <w:marBottom w:val="0"/>
      <w:divBdr>
        <w:top w:val="none" w:sz="0" w:space="0" w:color="auto"/>
        <w:left w:val="none" w:sz="0" w:space="0" w:color="auto"/>
        <w:bottom w:val="none" w:sz="0" w:space="0" w:color="auto"/>
        <w:right w:val="none" w:sz="0" w:space="0" w:color="auto"/>
      </w:divBdr>
    </w:div>
    <w:div w:id="905646221">
      <w:bodyDiv w:val="1"/>
      <w:marLeft w:val="0"/>
      <w:marRight w:val="0"/>
      <w:marTop w:val="0"/>
      <w:marBottom w:val="0"/>
      <w:divBdr>
        <w:top w:val="none" w:sz="0" w:space="0" w:color="auto"/>
        <w:left w:val="none" w:sz="0" w:space="0" w:color="auto"/>
        <w:bottom w:val="none" w:sz="0" w:space="0" w:color="auto"/>
        <w:right w:val="none" w:sz="0" w:space="0" w:color="auto"/>
      </w:divBdr>
    </w:div>
    <w:div w:id="947396357">
      <w:bodyDiv w:val="1"/>
      <w:marLeft w:val="0"/>
      <w:marRight w:val="0"/>
      <w:marTop w:val="0"/>
      <w:marBottom w:val="0"/>
      <w:divBdr>
        <w:top w:val="none" w:sz="0" w:space="0" w:color="auto"/>
        <w:left w:val="none" w:sz="0" w:space="0" w:color="auto"/>
        <w:bottom w:val="none" w:sz="0" w:space="0" w:color="auto"/>
        <w:right w:val="none" w:sz="0" w:space="0" w:color="auto"/>
      </w:divBdr>
    </w:div>
    <w:div w:id="1118724716">
      <w:bodyDiv w:val="1"/>
      <w:marLeft w:val="0"/>
      <w:marRight w:val="0"/>
      <w:marTop w:val="0"/>
      <w:marBottom w:val="0"/>
      <w:divBdr>
        <w:top w:val="none" w:sz="0" w:space="0" w:color="auto"/>
        <w:left w:val="none" w:sz="0" w:space="0" w:color="auto"/>
        <w:bottom w:val="none" w:sz="0" w:space="0" w:color="auto"/>
        <w:right w:val="none" w:sz="0" w:space="0" w:color="auto"/>
      </w:divBdr>
    </w:div>
    <w:div w:id="180145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statistics/adult-social-care-workforce-survey-april-2025/adult-social-care-workforce-survey-april-2025-repor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76023-C569-3645-9636-26E49385F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33</Pages>
  <Words>9413</Words>
  <Characters>53657</Characters>
  <Application>Microsoft Office Word</Application>
  <DocSecurity>0</DocSecurity>
  <Lines>447</Lines>
  <Paragraphs>125</Paragraphs>
  <ScaleCrop>false</ScaleCrop>
  <Company/>
  <LinksUpToDate>false</LinksUpToDate>
  <CharactersWithSpaces>62945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Qauntitative assignment
bmdp7009</dc:title>
  <dc:subject/>
  <dc:creator>Tanatswanashe Dzvova</dc:creator>
  <cp:keywords/>
  <dc:description/>
  <cp:lastModifiedBy>Tanatswanashe Dzvova</cp:lastModifiedBy>
  <cp:revision>3</cp:revision>
  <dcterms:created xsi:type="dcterms:W3CDTF">2025-05-10T21:50:00Z</dcterms:created>
  <dcterms:modified xsi:type="dcterms:W3CDTF">2025-05-10T22:05:00Z</dcterms:modified>
</cp:coreProperties>
</file>