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620A0" w14:textId="77777777" w:rsidR="00E50EF0" w:rsidRPr="00FD744D" w:rsidRDefault="00E50EF0" w:rsidP="00FD744D">
      <w:pPr>
        <w:rPr>
          <w:rFonts w:ascii="Arial" w:hAnsi="Arial" w:cs="Arial"/>
        </w:rPr>
      </w:pPr>
    </w:p>
    <w:p w14:paraId="6AA98DE6" w14:textId="77777777" w:rsidR="00FD744D" w:rsidRDefault="00FD744D" w:rsidP="00FD744D">
      <w:pPr>
        <w:rPr>
          <w:rFonts w:ascii="Arial" w:hAnsi="Arial" w:cs="Arial"/>
        </w:rPr>
      </w:pPr>
    </w:p>
    <w:p w14:paraId="24B58663" w14:textId="77777777" w:rsidR="00FD744D" w:rsidRDefault="00FD744D" w:rsidP="00FD744D">
      <w:pPr>
        <w:rPr>
          <w:rFonts w:ascii="Arial" w:hAnsi="Arial" w:cs="Arial"/>
        </w:rPr>
      </w:pPr>
    </w:p>
    <w:p w14:paraId="14CBDA98" w14:textId="62F13C9C" w:rsidR="00E50EF0" w:rsidRDefault="00FD744D" w:rsidP="00FD744D">
      <w:pPr>
        <w:rPr>
          <w:rFonts w:ascii="Arial" w:hAnsi="Arial" w:cs="Arial"/>
        </w:rPr>
      </w:pPr>
      <w:r w:rsidRPr="00FD744D">
        <w:rPr>
          <w:rFonts w:ascii="Arial" w:hAnsi="Arial" w:cs="Arial"/>
        </w:rPr>
        <w:t>ECAD6008</w:t>
      </w:r>
    </w:p>
    <w:p w14:paraId="5BAF12CC" w14:textId="723D55E5" w:rsidR="00FD744D" w:rsidRDefault="00FD744D" w:rsidP="00FD744D">
      <w:pPr>
        <w:rPr>
          <w:rFonts w:ascii="Arial" w:hAnsi="Arial" w:cs="Arial"/>
        </w:rPr>
      </w:pPr>
      <w:r>
        <w:rPr>
          <w:rFonts w:ascii="Arial" w:hAnsi="Arial" w:cs="Arial"/>
        </w:rPr>
        <w:t>1800843</w:t>
      </w:r>
    </w:p>
    <w:p w14:paraId="36152FEC" w14:textId="65DC42C7" w:rsidR="00FD744D" w:rsidRDefault="00FD744D" w:rsidP="00FD744D">
      <w:pPr>
        <w:rPr>
          <w:rFonts w:ascii="Arial" w:hAnsi="Arial" w:cs="Arial"/>
        </w:rPr>
      </w:pPr>
    </w:p>
    <w:tbl>
      <w:tblPr>
        <w:tblStyle w:val="TableGrid"/>
        <w:tblW w:w="0" w:type="auto"/>
        <w:tblLook w:val="04A0" w:firstRow="1" w:lastRow="0" w:firstColumn="1" w:lastColumn="0" w:noHBand="0" w:noVBand="1"/>
      </w:tblPr>
      <w:tblGrid>
        <w:gridCol w:w="1838"/>
        <w:gridCol w:w="7172"/>
      </w:tblGrid>
      <w:tr w:rsidR="00FD744D" w14:paraId="6C0BC4D9" w14:textId="77777777" w:rsidTr="00DC68E0">
        <w:tc>
          <w:tcPr>
            <w:tcW w:w="1838" w:type="dxa"/>
          </w:tcPr>
          <w:p w14:paraId="09DFAC54" w14:textId="77777777" w:rsidR="00FD744D" w:rsidRDefault="00FD744D" w:rsidP="00DC68E0">
            <w:pPr>
              <w:pStyle w:val="AssignBody"/>
            </w:pPr>
            <w:proofErr w:type="spellStart"/>
            <w:r>
              <w:t>T</w:t>
            </w:r>
            <w:bookmarkStart w:id="0" w:name="cysill"/>
            <w:bookmarkEnd w:id="0"/>
            <w:r>
              <w:t>arged</w:t>
            </w:r>
            <w:proofErr w:type="spellEnd"/>
            <w:r>
              <w:t>/Target 1</w:t>
            </w:r>
          </w:p>
        </w:tc>
        <w:tc>
          <w:tcPr>
            <w:tcW w:w="7172" w:type="dxa"/>
          </w:tcPr>
          <w:p w14:paraId="12E56EF5" w14:textId="77777777" w:rsidR="00FD744D" w:rsidRDefault="00FD744D" w:rsidP="00FD744D">
            <w:pPr>
              <w:jc w:val="both"/>
              <w:rPr>
                <w:rFonts w:ascii="Helvetica Neue" w:hAnsi="Helvetica Neue"/>
                <w:color w:val="283041"/>
                <w:sz w:val="21"/>
                <w:szCs w:val="21"/>
              </w:rPr>
            </w:pPr>
            <w:r>
              <w:rPr>
                <w:rFonts w:ascii="Helvetica Neue" w:hAnsi="Helvetica Neue"/>
                <w:b/>
                <w:bCs/>
                <w:i/>
                <w:iCs/>
                <w:color w:val="283041"/>
                <w:sz w:val="21"/>
                <w:szCs w:val="21"/>
              </w:rPr>
              <w:t>Proofread sentences to ensure fluency and clarity of expression</w:t>
            </w:r>
          </w:p>
          <w:p w14:paraId="64E2CE28" w14:textId="0D6F19E4" w:rsidR="00FD744D" w:rsidRPr="00990957" w:rsidRDefault="00FD744D" w:rsidP="00DC68E0">
            <w:pPr>
              <w:rPr>
                <w:rFonts w:ascii="Arial" w:hAnsi="Arial" w:cs="Arial"/>
              </w:rPr>
            </w:pPr>
          </w:p>
        </w:tc>
      </w:tr>
      <w:tr w:rsidR="00FD744D" w14:paraId="1C629808" w14:textId="77777777" w:rsidTr="00DC68E0">
        <w:tc>
          <w:tcPr>
            <w:tcW w:w="1838" w:type="dxa"/>
          </w:tcPr>
          <w:p w14:paraId="1A8B9D63" w14:textId="77777777" w:rsidR="00FD744D" w:rsidRDefault="00FD744D" w:rsidP="00DC68E0">
            <w:pPr>
              <w:pStyle w:val="AssignBody"/>
            </w:pPr>
            <w:proofErr w:type="spellStart"/>
            <w:r>
              <w:t>Targed</w:t>
            </w:r>
            <w:proofErr w:type="spellEnd"/>
            <w:r>
              <w:t>/Target 2</w:t>
            </w:r>
          </w:p>
        </w:tc>
        <w:tc>
          <w:tcPr>
            <w:tcW w:w="7172" w:type="dxa"/>
          </w:tcPr>
          <w:p w14:paraId="2CEB0C53" w14:textId="77777777" w:rsidR="00FD744D" w:rsidRDefault="00FD744D" w:rsidP="00FD744D">
            <w:pPr>
              <w:jc w:val="both"/>
              <w:rPr>
                <w:rFonts w:ascii="Helvetica Neue" w:hAnsi="Helvetica Neue"/>
                <w:color w:val="283041"/>
                <w:sz w:val="21"/>
                <w:szCs w:val="21"/>
              </w:rPr>
            </w:pPr>
            <w:r>
              <w:rPr>
                <w:rFonts w:ascii="Helvetica Neue" w:hAnsi="Helvetica Neue"/>
                <w:b/>
                <w:bCs/>
                <w:i/>
                <w:iCs/>
                <w:color w:val="283041"/>
                <w:sz w:val="21"/>
                <w:szCs w:val="21"/>
              </w:rPr>
              <w:t>Try to paraphrase ideas where you can, rather than over-rely on direct citations</w:t>
            </w:r>
          </w:p>
          <w:p w14:paraId="7921AFCF" w14:textId="0B19A58D" w:rsidR="00FD744D" w:rsidRPr="00D47890" w:rsidRDefault="00FD744D" w:rsidP="00DC68E0">
            <w:pPr>
              <w:rPr>
                <w:rFonts w:ascii="Arial" w:hAnsi="Arial" w:cs="Arial"/>
              </w:rPr>
            </w:pPr>
          </w:p>
        </w:tc>
      </w:tr>
    </w:tbl>
    <w:p w14:paraId="4DFAC886" w14:textId="77777777" w:rsidR="00FD744D" w:rsidRPr="00FD744D" w:rsidRDefault="00FD744D" w:rsidP="00FD744D">
      <w:pPr>
        <w:rPr>
          <w:rFonts w:ascii="Arial" w:hAnsi="Arial" w:cs="Arial"/>
        </w:rPr>
      </w:pPr>
    </w:p>
    <w:p w14:paraId="16C7ACC7" w14:textId="77777777" w:rsidR="00FD744D" w:rsidRPr="00FD744D" w:rsidRDefault="00FD744D" w:rsidP="00FD744D">
      <w:pPr>
        <w:rPr>
          <w:rFonts w:ascii="Arial" w:hAnsi="Arial" w:cs="Arial"/>
        </w:rPr>
      </w:pPr>
    </w:p>
    <w:p w14:paraId="68288211" w14:textId="43784D6B" w:rsidR="00FD744D" w:rsidRDefault="00FD744D" w:rsidP="00FD744D">
      <w:pPr>
        <w:rPr>
          <w:rFonts w:ascii="Arial" w:hAnsi="Arial" w:cs="Arial"/>
          <w:b/>
          <w:bCs/>
          <w:sz w:val="36"/>
          <w:szCs w:val="36"/>
          <w:u w:val="single"/>
        </w:rPr>
      </w:pPr>
      <w:r w:rsidRPr="00FD744D">
        <w:rPr>
          <w:rFonts w:ascii="Arial" w:hAnsi="Arial" w:cs="Arial"/>
          <w:b/>
          <w:bCs/>
          <w:sz w:val="36"/>
          <w:szCs w:val="36"/>
          <w:u w:val="single"/>
        </w:rPr>
        <w:t>Critically reflect on your pedagogical progress demonstrated through required elements of the Professional Learning Passport, identifying a specific area for professional development and justifying next steps for improvement.</w:t>
      </w:r>
    </w:p>
    <w:p w14:paraId="793EED64" w14:textId="77777777" w:rsidR="00FD744D" w:rsidRPr="00FD744D" w:rsidRDefault="00FD744D" w:rsidP="00FD744D">
      <w:pPr>
        <w:rPr>
          <w:rFonts w:ascii="Arial" w:hAnsi="Arial" w:cs="Arial"/>
          <w:b/>
          <w:bCs/>
          <w:sz w:val="36"/>
          <w:szCs w:val="36"/>
          <w:u w:val="single"/>
        </w:rPr>
      </w:pPr>
    </w:p>
    <w:p w14:paraId="3338BF57" w14:textId="77777777" w:rsidR="00FD744D" w:rsidRDefault="00BD008D" w:rsidP="00FD744D">
      <w:r w:rsidRPr="00722EEA">
        <w:rPr>
          <w:rFonts w:ascii="Arial" w:hAnsi="Arial" w:cs="Arial"/>
          <w:sz w:val="22"/>
          <w:szCs w:val="22"/>
        </w:rPr>
        <w:t>Link to</w:t>
      </w:r>
      <w:r w:rsidR="00FD744D">
        <w:rPr>
          <w:rFonts w:ascii="Arial" w:hAnsi="Arial" w:cs="Arial"/>
          <w:sz w:val="22"/>
          <w:szCs w:val="22"/>
        </w:rPr>
        <w:t xml:space="preserve"> PLP: </w:t>
      </w:r>
      <w:hyperlink r:id="rId5" w:anchor="/public/kwhG4ZWR8ybRqgyhwrm484k7pw" w:tooltip="https://v3.pebblepad.co.uk/spa/#/public/kwhG4ZWR8ybRqgyhwrm484k7pw" w:history="1">
        <w:r w:rsidR="00FD744D">
          <w:rPr>
            <w:rStyle w:val="Hyperlink"/>
            <w:rFonts w:ascii="Calibri" w:hAnsi="Calibri" w:cs="Calibri"/>
            <w:color w:val="0563C1"/>
            <w:sz w:val="22"/>
            <w:szCs w:val="22"/>
          </w:rPr>
          <w:t>https://v3.pebblepad.co.uk/spa/#/public/kwhG</w:t>
        </w:r>
        <w:r w:rsidR="00FD744D">
          <w:rPr>
            <w:rStyle w:val="Hyperlink"/>
            <w:rFonts w:ascii="Calibri" w:hAnsi="Calibri" w:cs="Calibri"/>
            <w:color w:val="0563C1"/>
            <w:sz w:val="22"/>
            <w:szCs w:val="22"/>
          </w:rPr>
          <w:t>4</w:t>
        </w:r>
        <w:r w:rsidR="00FD744D">
          <w:rPr>
            <w:rStyle w:val="Hyperlink"/>
            <w:rFonts w:ascii="Calibri" w:hAnsi="Calibri" w:cs="Calibri"/>
            <w:color w:val="0563C1"/>
            <w:sz w:val="22"/>
            <w:szCs w:val="22"/>
          </w:rPr>
          <w:t>ZWR8ybRqgyhwrm484k7pw</w:t>
        </w:r>
      </w:hyperlink>
    </w:p>
    <w:p w14:paraId="37EFDA44" w14:textId="2311354A" w:rsidR="00E50EF0" w:rsidRPr="00722EEA" w:rsidRDefault="00E50EF0" w:rsidP="00722EEA">
      <w:pPr>
        <w:rPr>
          <w:rFonts w:ascii="Arial" w:hAnsi="Arial" w:cs="Arial"/>
          <w:sz w:val="22"/>
          <w:szCs w:val="22"/>
        </w:rPr>
      </w:pPr>
    </w:p>
    <w:p w14:paraId="5BD59883" w14:textId="66908E64" w:rsidR="00722EEA" w:rsidRDefault="00722EEA" w:rsidP="00722EEA">
      <w:pPr>
        <w:rPr>
          <w:rFonts w:ascii="Arial" w:hAnsi="Arial" w:cs="Arial"/>
          <w:sz w:val="22"/>
          <w:szCs w:val="22"/>
        </w:rPr>
      </w:pPr>
    </w:p>
    <w:p w14:paraId="52B3742F" w14:textId="7FEA75FE" w:rsidR="00722EEA" w:rsidRPr="00722EEA" w:rsidRDefault="00722EEA" w:rsidP="00722EEA">
      <w:pPr>
        <w:rPr>
          <w:rFonts w:ascii="Arial" w:hAnsi="Arial" w:cs="Arial"/>
          <w:b/>
          <w:bCs/>
          <w:sz w:val="22"/>
          <w:szCs w:val="22"/>
          <w:u w:val="single"/>
        </w:rPr>
      </w:pPr>
      <w:r w:rsidRPr="00722EEA">
        <w:rPr>
          <w:rFonts w:ascii="Arial" w:hAnsi="Arial" w:cs="Arial"/>
          <w:b/>
          <w:bCs/>
          <w:sz w:val="22"/>
          <w:szCs w:val="22"/>
          <w:u w:val="single"/>
        </w:rPr>
        <w:t>Reflection on subject knowledge development</w:t>
      </w:r>
    </w:p>
    <w:p w14:paraId="0FDE2D4C" w14:textId="77777777" w:rsidR="00FD744D" w:rsidRPr="00FD744D" w:rsidRDefault="00FD744D" w:rsidP="00FD744D">
      <w:pPr>
        <w:rPr>
          <w:rFonts w:ascii="Arial" w:hAnsi="Arial" w:cs="Arial"/>
          <w:sz w:val="22"/>
          <w:szCs w:val="22"/>
          <w:u w:val="single"/>
        </w:rPr>
      </w:pPr>
      <w:r w:rsidRPr="00FD744D">
        <w:rPr>
          <w:rFonts w:ascii="Arial" w:hAnsi="Arial" w:cs="Arial"/>
          <w:sz w:val="22"/>
          <w:szCs w:val="22"/>
          <w:u w:val="single"/>
        </w:rPr>
        <w:t xml:space="preserve">Asset 1: </w:t>
      </w:r>
    </w:p>
    <w:p w14:paraId="597C66CB" w14:textId="77777777" w:rsidR="00FD744D" w:rsidRPr="00FD744D" w:rsidRDefault="00FD744D" w:rsidP="00FD744D">
      <w:pPr>
        <w:rPr>
          <w:rFonts w:ascii="Arial" w:hAnsi="Arial" w:cs="Arial"/>
          <w:sz w:val="22"/>
          <w:szCs w:val="22"/>
        </w:rPr>
      </w:pPr>
      <w:r w:rsidRPr="00FD744D">
        <w:rPr>
          <w:rFonts w:ascii="Arial" w:hAnsi="Arial" w:cs="Arial"/>
          <w:sz w:val="22"/>
          <w:szCs w:val="22"/>
        </w:rPr>
        <w:t>When transferring to the English medium Primary Education course from the Welsh-medium course I knew it was important to remain on top of my Welsh language skills. To ensure my oral and written skills continued to develop I completed tasks from my Welsh language lecturer which allowed me to remain confident when using the Welsh language after transferring to the English medium Primary Education course. Even though I am fluent in Welsh it proved to be a worry when completing my final practice for the first time through the medium of English. Knowing I would need to teach pupils a certain specific level of Welsh, but as a second language, I needed to gain an understanding of how to not overcomplicate the standard of Welsh. Welsh Government (2017) explains how “English medium schools generally only deliver Welsh as a subject”, and don’t use it when and if possible”. To ensure I taught pupils the correct level and standard of Welsh language, without complicating it, I took it upon myself to ask my Professional tutor within the University, who is also bilingual, for advice. After discussing with my Professional tutor, I was forwarded some Welsh second language resources and books to help and support my Welsh development in order to get a better understanding of the level of Welsh used within an English medium school which would later help with my planning and teaching whilst on my final practice. The resources and books were successful in ensuring I wasn't overcomplicating the teaching of the Welsh language for the pupils. The resources gave me an insight into the amount of incidental Welsh that I was able to use around staff and pupils. This allowed my Welsh skills to develop as I grew a deeper understanding of Welsh as a second language rather than a first. As I began using incidental Welsh and gradually strengthening the standard of Welsh in the classroom it was clear to see the pupils understand a variety of commands to which they were responding accurately. In addition, when using the Welsh language, I ensured to put any work, whether it may be resources or lesson plans, through an online Welsh language spelling and grammar checker, ‘</w:t>
      </w:r>
      <w:proofErr w:type="spellStart"/>
      <w:r w:rsidRPr="00FD744D">
        <w:rPr>
          <w:rFonts w:ascii="Arial" w:hAnsi="Arial" w:cs="Arial"/>
          <w:sz w:val="22"/>
          <w:szCs w:val="22"/>
        </w:rPr>
        <w:t>Cysill</w:t>
      </w:r>
      <w:proofErr w:type="spellEnd"/>
      <w:r w:rsidRPr="00FD744D">
        <w:rPr>
          <w:rFonts w:ascii="Arial" w:hAnsi="Arial" w:cs="Arial"/>
          <w:sz w:val="22"/>
          <w:szCs w:val="22"/>
        </w:rPr>
        <w:t xml:space="preserve">’. The checker allowed me to see and correct any Welsh language errors and mistakes that were made in the work such as spellings and </w:t>
      </w:r>
      <w:r w:rsidRPr="00FD744D">
        <w:rPr>
          <w:rFonts w:ascii="Arial" w:hAnsi="Arial" w:cs="Arial"/>
          <w:sz w:val="22"/>
          <w:szCs w:val="22"/>
        </w:rPr>
        <w:lastRenderedPageBreak/>
        <w:t xml:space="preserve">mutations. Being able to understand and correct errors allowed me to strengthen my own personal Welsh language development as I was constantly reminded on how to better and ensure my Welsh grammar and spellings were always correct, whether that may be as a first language or second. </w:t>
      </w:r>
    </w:p>
    <w:p w14:paraId="14805DB4" w14:textId="77777777" w:rsidR="00FD744D" w:rsidRPr="00FD744D" w:rsidRDefault="00FD744D" w:rsidP="00FD744D">
      <w:pPr>
        <w:rPr>
          <w:rFonts w:ascii="Arial" w:hAnsi="Arial" w:cs="Arial"/>
          <w:sz w:val="22"/>
          <w:szCs w:val="22"/>
        </w:rPr>
      </w:pPr>
    </w:p>
    <w:p w14:paraId="1B9781B5" w14:textId="77777777" w:rsidR="00FD744D" w:rsidRPr="00FD744D" w:rsidRDefault="00FD744D" w:rsidP="00FD744D">
      <w:pPr>
        <w:rPr>
          <w:rFonts w:ascii="Arial" w:hAnsi="Arial" w:cs="Arial"/>
          <w:sz w:val="22"/>
          <w:szCs w:val="22"/>
          <w:u w:val="single"/>
        </w:rPr>
      </w:pPr>
      <w:r w:rsidRPr="00FD744D">
        <w:rPr>
          <w:rFonts w:ascii="Arial" w:hAnsi="Arial" w:cs="Arial"/>
          <w:sz w:val="22"/>
          <w:szCs w:val="22"/>
          <w:u w:val="single"/>
        </w:rPr>
        <w:t xml:space="preserve">Asset 2: </w:t>
      </w:r>
    </w:p>
    <w:p w14:paraId="1E57C2E4"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When put on my final teaching practice I was faced with the challenge of having to teach a mixed class of Year 1 and Reception pupils all online. As I was not familiar with any kind of online tools and resources, I asked to join an online course that the school held for myself to gain a better understanding of what and how to use specific apps and resources that were required when having to teach my class online. All work that was being planned and completed online had to be uploaded to the school’s ‘Hwb’. I was familiar with Hwb but unfamiliar with how it worked. By attending the courses held by the school I developed an understanding of how Hwb worked and what it entailed. Once I gained an understanding, I developed my skills further by not only uploading work for the pupils on </w:t>
      </w:r>
      <w:proofErr w:type="gramStart"/>
      <w:r w:rsidRPr="00FD744D">
        <w:rPr>
          <w:rFonts w:ascii="Arial" w:hAnsi="Arial" w:cs="Arial"/>
          <w:sz w:val="22"/>
          <w:szCs w:val="22"/>
        </w:rPr>
        <w:t>Hwb, but</w:t>
      </w:r>
      <w:proofErr w:type="gramEnd"/>
      <w:r w:rsidRPr="00FD744D">
        <w:rPr>
          <w:rFonts w:ascii="Arial" w:hAnsi="Arial" w:cs="Arial"/>
          <w:sz w:val="22"/>
          <w:szCs w:val="22"/>
        </w:rPr>
        <w:t xml:space="preserve"> developing an understanding of how I was able to mark and assess every pupils’ work, and also learn how to interact with parents using Hwb. Once I began to feel comfortable using Hwb, I challenged myself further to develop my Digital competence skills by using apps such as ‘</w:t>
      </w:r>
      <w:proofErr w:type="spellStart"/>
      <w:r w:rsidRPr="00FD744D">
        <w:rPr>
          <w:rFonts w:ascii="Arial" w:hAnsi="Arial" w:cs="Arial"/>
          <w:sz w:val="22"/>
          <w:szCs w:val="22"/>
        </w:rPr>
        <w:t>Wordwall</w:t>
      </w:r>
      <w:proofErr w:type="spellEnd"/>
      <w:r w:rsidRPr="00FD744D">
        <w:rPr>
          <w:rFonts w:ascii="Arial" w:hAnsi="Arial" w:cs="Arial"/>
          <w:sz w:val="22"/>
          <w:szCs w:val="22"/>
        </w:rPr>
        <w:t>’, ‘</w:t>
      </w:r>
      <w:proofErr w:type="spellStart"/>
      <w:r w:rsidRPr="00FD744D">
        <w:rPr>
          <w:rFonts w:ascii="Arial" w:hAnsi="Arial" w:cs="Arial"/>
          <w:sz w:val="22"/>
          <w:szCs w:val="22"/>
        </w:rPr>
        <w:t>Flipgrid</w:t>
      </w:r>
      <w:proofErr w:type="spellEnd"/>
      <w:r w:rsidRPr="00FD744D">
        <w:rPr>
          <w:rFonts w:ascii="Arial" w:hAnsi="Arial" w:cs="Arial"/>
          <w:sz w:val="22"/>
          <w:szCs w:val="22"/>
        </w:rPr>
        <w:t>’, and ‘Twinkl’ to create all-new digital resources that all pupils could access whilst learning from home. The digital resources allowed pupils to learn in a new, simple way, whilst also being straightforward for parents to use too. Again, I had no previous knowledge or understanding of what and how the apps worked, but with a little bit of practice, I developed an understanding of them which allowed my own personal Digital competence skills to develop. In addition, after time went by, it was clear that the digital explanation of pupils’ work that was being handed out daily was not being understood clearly by pupils and parents. After a mutual discussion and agreement with my mentor, it was decided that I would record myself giving a daily explanation of each task that was planned for the pupils and upload it to Hwb, that way pupils and parents would be able to watch the explanation videos every day rather than being sent a written explanation of each task. I used the app ‘iMovie to create simple and fun video explanations. I had no understanding of how the app worked, but once again I learnt how to use it in order to create effective explanations for all to understand. The more I used ‘</w:t>
      </w:r>
      <w:proofErr w:type="spellStart"/>
      <w:r w:rsidRPr="00FD744D">
        <w:rPr>
          <w:rFonts w:ascii="Arial" w:hAnsi="Arial" w:cs="Arial"/>
          <w:sz w:val="22"/>
          <w:szCs w:val="22"/>
        </w:rPr>
        <w:t>imovie</w:t>
      </w:r>
      <w:proofErr w:type="spellEnd"/>
      <w:r w:rsidRPr="00FD744D">
        <w:rPr>
          <w:rFonts w:ascii="Arial" w:hAnsi="Arial" w:cs="Arial"/>
          <w:sz w:val="22"/>
          <w:szCs w:val="22"/>
        </w:rPr>
        <w:t>’ the more my Digital competence skills developed as I then began recording myself on the app telling classroom stories and bedtime stories for the pupils and their parents to listen to during the lockdown period. Developing an understanding of the app ‘</w:t>
      </w:r>
      <w:proofErr w:type="spellStart"/>
      <w:r w:rsidRPr="00FD744D">
        <w:rPr>
          <w:rFonts w:ascii="Arial" w:hAnsi="Arial" w:cs="Arial"/>
          <w:sz w:val="22"/>
          <w:szCs w:val="22"/>
        </w:rPr>
        <w:t>imovie</w:t>
      </w:r>
      <w:proofErr w:type="spellEnd"/>
      <w:r w:rsidRPr="00FD744D">
        <w:rPr>
          <w:rFonts w:ascii="Arial" w:hAnsi="Arial" w:cs="Arial"/>
          <w:sz w:val="22"/>
          <w:szCs w:val="22"/>
        </w:rPr>
        <w:t xml:space="preserve">’ allowed me to create further digital resources which ensured that the pupils’ engagement and interaction developed and remained concrete. </w:t>
      </w:r>
    </w:p>
    <w:p w14:paraId="27DC58E8" w14:textId="77777777" w:rsidR="00FD744D" w:rsidRPr="00FD744D" w:rsidRDefault="00FD744D" w:rsidP="00FD744D">
      <w:pPr>
        <w:rPr>
          <w:rFonts w:ascii="Arial" w:hAnsi="Arial" w:cs="Arial"/>
          <w:sz w:val="22"/>
          <w:szCs w:val="22"/>
        </w:rPr>
      </w:pPr>
    </w:p>
    <w:p w14:paraId="4B4B78F9" w14:textId="77777777" w:rsidR="00FD744D" w:rsidRPr="00FD744D" w:rsidRDefault="00FD744D" w:rsidP="00FD744D">
      <w:pPr>
        <w:rPr>
          <w:rFonts w:ascii="Arial" w:hAnsi="Arial" w:cs="Arial"/>
          <w:sz w:val="22"/>
          <w:szCs w:val="22"/>
          <w:u w:val="single"/>
        </w:rPr>
      </w:pPr>
      <w:r w:rsidRPr="00FD744D">
        <w:rPr>
          <w:rFonts w:ascii="Arial" w:hAnsi="Arial" w:cs="Arial"/>
          <w:sz w:val="22"/>
          <w:szCs w:val="22"/>
          <w:u w:val="single"/>
        </w:rPr>
        <w:t xml:space="preserve">Asset 3: </w:t>
      </w:r>
    </w:p>
    <w:p w14:paraId="296CC73E" w14:textId="77777777" w:rsidR="00FD744D" w:rsidRPr="00FD744D" w:rsidRDefault="00FD744D" w:rsidP="00FD744D">
      <w:pPr>
        <w:rPr>
          <w:rFonts w:ascii="Arial" w:hAnsi="Arial" w:cs="Arial"/>
          <w:sz w:val="22"/>
          <w:szCs w:val="22"/>
        </w:rPr>
      </w:pPr>
      <w:r w:rsidRPr="00FD744D">
        <w:rPr>
          <w:rFonts w:ascii="Arial" w:hAnsi="Arial" w:cs="Arial"/>
          <w:sz w:val="22"/>
          <w:szCs w:val="22"/>
        </w:rPr>
        <w:t>Being bilingual I am fairly confident with my literacy. However, when on my final PTE practice, I was faced with a hurdle as there was an ALN pupil in my class who had Language, Literacy, and Communication difficulties which resulted in complications when communicating with him. I was keen to know how I would be able to communicate with the pupil in a way where we both understood one another. As ALN is a subject that I am passionate about I undertook some research and had discussions with my lead/class mentor to conclude what might be best to begin communicating with the pupil. It was suggested that I begin to sign keywords and phrases that the pupil needed to use daily by using British sign language and Makaton. Black (2020), explains how “Makaton is used for teaching communication, language and literacy skills to children and adults who are at an early stage of communication and language development. This structured approach can also help people who are learning English as an additional language, helping them to communicate straightaway”.</w:t>
      </w:r>
    </w:p>
    <w:p w14:paraId="4D2466BF"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With support from my mentor and class TA, who already knew how to sign to the pupil, I was able to sign words, for example, 'toilet', different colours, and food. These words were ones that the pupil needed to use daily. Other pupils in the classroom also began using this new </w:t>
      </w:r>
      <w:r w:rsidRPr="00FD744D">
        <w:rPr>
          <w:rFonts w:ascii="Arial" w:hAnsi="Arial" w:cs="Arial"/>
          <w:sz w:val="22"/>
          <w:szCs w:val="22"/>
        </w:rPr>
        <w:lastRenderedPageBreak/>
        <w:t xml:space="preserve">language to communicate with the pupil, making the language universal in the classroom. This process allowed the pupil to gain trust and confidence in me and his classmates which resulted in him communicating happily with me and others on a daily basis. This allowed me to develop my literacy skills as I had never used sign language or Makaton before, and it was a language that I was unfamiliar with. Now, I can use the new literacy skills that I developed in my future practice as developing a knowledge and understanding of sign language and Makaton influenced me, allowing me to be more of an inclusive teacher as I have now had that experience. I used online and paper resources from the class mentor that were pinned on the wall of the classroom every day to help support and remind me of how to sign correctly whilst online teaching and face to face. I also did my own research and used social media channels such as ‘Makaton with Lucinda’ to further my literacy development within this area. </w:t>
      </w:r>
    </w:p>
    <w:p w14:paraId="08868355" w14:textId="77777777" w:rsidR="00FD744D" w:rsidRPr="00FD744D" w:rsidRDefault="00FD744D" w:rsidP="00FD744D">
      <w:pPr>
        <w:rPr>
          <w:rFonts w:ascii="Arial" w:hAnsi="Arial" w:cs="Arial"/>
          <w:sz w:val="22"/>
          <w:szCs w:val="22"/>
        </w:rPr>
      </w:pPr>
    </w:p>
    <w:p w14:paraId="2B691478" w14:textId="77777777" w:rsidR="00FD744D" w:rsidRPr="00FD744D" w:rsidRDefault="00FD744D" w:rsidP="00FD744D">
      <w:pPr>
        <w:rPr>
          <w:rFonts w:ascii="Arial" w:hAnsi="Arial" w:cs="Arial"/>
          <w:sz w:val="22"/>
          <w:szCs w:val="22"/>
        </w:rPr>
      </w:pPr>
    </w:p>
    <w:p w14:paraId="79430918" w14:textId="77777777" w:rsidR="00FD744D" w:rsidRPr="00FD744D" w:rsidRDefault="00FD744D" w:rsidP="00FD744D">
      <w:pPr>
        <w:rPr>
          <w:rFonts w:ascii="Arial" w:hAnsi="Arial" w:cs="Arial"/>
          <w:b/>
          <w:bCs/>
          <w:sz w:val="22"/>
          <w:szCs w:val="22"/>
          <w:u w:val="single"/>
        </w:rPr>
      </w:pPr>
      <w:r w:rsidRPr="00FD744D">
        <w:rPr>
          <w:rFonts w:ascii="Arial" w:hAnsi="Arial" w:cs="Arial"/>
          <w:b/>
          <w:bCs/>
          <w:sz w:val="22"/>
          <w:szCs w:val="22"/>
          <w:u w:val="single"/>
        </w:rPr>
        <w:t>Reflection on planning for progression</w:t>
      </w:r>
    </w:p>
    <w:p w14:paraId="1BC0E531" w14:textId="77777777" w:rsidR="00FD744D" w:rsidRPr="00FD744D" w:rsidRDefault="00FD744D" w:rsidP="00FD744D">
      <w:pPr>
        <w:rPr>
          <w:rFonts w:ascii="Arial" w:hAnsi="Arial" w:cs="Arial"/>
          <w:sz w:val="22"/>
          <w:szCs w:val="22"/>
          <w:u w:val="single"/>
        </w:rPr>
      </w:pPr>
      <w:r w:rsidRPr="00FD744D">
        <w:rPr>
          <w:rFonts w:ascii="Arial" w:hAnsi="Arial" w:cs="Arial"/>
          <w:sz w:val="22"/>
          <w:szCs w:val="22"/>
          <w:u w:val="single"/>
        </w:rPr>
        <w:t xml:space="preserve">Literacy-Phonics: </w:t>
      </w:r>
    </w:p>
    <w:p w14:paraId="52254BDC" w14:textId="77777777" w:rsidR="00FD744D" w:rsidRPr="00FD744D" w:rsidRDefault="00FD744D" w:rsidP="00FD744D">
      <w:pPr>
        <w:rPr>
          <w:rFonts w:ascii="Arial" w:hAnsi="Arial" w:cs="Arial"/>
          <w:sz w:val="22"/>
          <w:szCs w:val="22"/>
        </w:rPr>
      </w:pPr>
      <w:r w:rsidRPr="00FD744D">
        <w:rPr>
          <w:rFonts w:ascii="Arial" w:hAnsi="Arial" w:cs="Arial"/>
          <w:sz w:val="22"/>
          <w:szCs w:val="22"/>
        </w:rPr>
        <w:t>I wanted the pupils to learn new Welsh words in connection to the class story ‘</w:t>
      </w:r>
      <w:proofErr w:type="spellStart"/>
      <w:r w:rsidRPr="00FD744D">
        <w:rPr>
          <w:rFonts w:ascii="Arial" w:hAnsi="Arial" w:cs="Arial"/>
          <w:sz w:val="22"/>
          <w:szCs w:val="22"/>
        </w:rPr>
        <w:t>Coblyn</w:t>
      </w:r>
      <w:proofErr w:type="spellEnd"/>
      <w:r w:rsidRPr="00FD744D">
        <w:rPr>
          <w:rFonts w:ascii="Arial" w:hAnsi="Arial" w:cs="Arial"/>
          <w:sz w:val="22"/>
          <w:szCs w:val="22"/>
        </w:rPr>
        <w:t>’, and to also practice specific sounds and how to write letters of each sound, such as' c ',' s', 'e' &amp; correctly, all of which connect with the new Welsh words. The letters and sounds used within the activity were ones shown and taught during the pupil’s ‘</w:t>
      </w:r>
      <w:proofErr w:type="spellStart"/>
      <w:r w:rsidRPr="00FD744D">
        <w:rPr>
          <w:rFonts w:ascii="Arial" w:hAnsi="Arial" w:cs="Arial"/>
          <w:sz w:val="22"/>
          <w:szCs w:val="22"/>
        </w:rPr>
        <w:t>Clonc</w:t>
      </w:r>
      <w:proofErr w:type="spellEnd"/>
      <w:r w:rsidRPr="00FD744D">
        <w:rPr>
          <w:rFonts w:ascii="Arial" w:hAnsi="Arial" w:cs="Arial"/>
          <w:sz w:val="22"/>
          <w:szCs w:val="22"/>
        </w:rPr>
        <w:t>’ sessions, which is similar to phonics, that had been happening through the week. The pupils practiced writing the ‘</w:t>
      </w:r>
      <w:proofErr w:type="spellStart"/>
      <w:r w:rsidRPr="00FD744D">
        <w:rPr>
          <w:rFonts w:ascii="Arial" w:hAnsi="Arial" w:cs="Arial"/>
          <w:sz w:val="22"/>
          <w:szCs w:val="22"/>
        </w:rPr>
        <w:t>clonc</w:t>
      </w:r>
      <w:proofErr w:type="spellEnd"/>
      <w:r w:rsidRPr="00FD744D">
        <w:rPr>
          <w:rFonts w:ascii="Arial" w:hAnsi="Arial" w:cs="Arial"/>
          <w:sz w:val="22"/>
          <w:szCs w:val="22"/>
        </w:rPr>
        <w:t>’ letters using the letter templates created by myself. To develop and progress the pupils’ learning it was key that this activity built on from the ‘</w:t>
      </w:r>
      <w:proofErr w:type="spellStart"/>
      <w:r w:rsidRPr="00FD744D">
        <w:rPr>
          <w:rFonts w:ascii="Arial" w:hAnsi="Arial" w:cs="Arial"/>
          <w:sz w:val="22"/>
          <w:szCs w:val="22"/>
        </w:rPr>
        <w:t>clonc</w:t>
      </w:r>
      <w:proofErr w:type="spellEnd"/>
      <w:r w:rsidRPr="00FD744D">
        <w:rPr>
          <w:rFonts w:ascii="Arial" w:hAnsi="Arial" w:cs="Arial"/>
          <w:sz w:val="22"/>
          <w:szCs w:val="22"/>
        </w:rPr>
        <w:t>’ sessions using their knowledge gained from previous sessions to expand and develop the pupils’ progression. To strengthen their knowledge, I guided the pupils through the ‘</w:t>
      </w:r>
      <w:proofErr w:type="spellStart"/>
      <w:r w:rsidRPr="00FD744D">
        <w:rPr>
          <w:rFonts w:ascii="Arial" w:hAnsi="Arial" w:cs="Arial"/>
          <w:sz w:val="22"/>
          <w:szCs w:val="22"/>
        </w:rPr>
        <w:t>Clonc</w:t>
      </w:r>
      <w:proofErr w:type="spellEnd"/>
      <w:r w:rsidRPr="00FD744D">
        <w:rPr>
          <w:rFonts w:ascii="Arial" w:hAnsi="Arial" w:cs="Arial"/>
          <w:sz w:val="22"/>
          <w:szCs w:val="22"/>
        </w:rPr>
        <w:t>’ letters such as ‘c’, ‘e’, ‘s’, allowing them to show me the movements and letter formations that came with each letter. To build on to the phonics, I had created letter templates of the phonics letters for the pupils to follow as a guideline that allowed them to practice writing the specific letters. It's important to mention the 'Progression in learning' standard as the lesson I planned for the pupils was built on a previous lesson that was taught. By creating a lesson that was built from a previous lesson enabled me to clearly see how it impacts the pupils’ progression. Similarly, to Piaget's Cognitive theory, “As kids interact with the world around them, they continually add new knowledge, build upon existing knowledge, and adapt previously held ideas to accommodate new information”, Cherry (2020). This experience met the intended outcomes as it was created to support all of the pupils with further learning. All pupils at the beginning of the week would be introduced to new letters and sounds, which would be taught to pupils every day. Then the pupils at the end of the week would be given this activity in which they would practice forming/ writing the new letters and pronouncing the sounds. If some pupils showed a strong understanding of ‘week 1’ phonics sounds and letters they would be introduced to new letters and sounds the following week. Each week would come with new letters and sounds suitable for the pupils’ abilities. All pupils were able to show a stronger knowledge of the letters and sounds that were taught as each week went on. It may take some pupil's more time than others to understand and grasp the concept of the activity, but I learned by creating a lesson built on from a previous lesson, I was able to take a step back and go back to the beginning using the previous lesson with individuals if needed to ensure all pupil's progression will eventually develop.</w:t>
      </w:r>
    </w:p>
    <w:p w14:paraId="7BDC2690" w14:textId="77777777" w:rsidR="00FD744D" w:rsidRPr="00FD744D" w:rsidRDefault="00FD744D" w:rsidP="00FD744D">
      <w:pPr>
        <w:rPr>
          <w:rFonts w:ascii="Arial" w:hAnsi="Arial" w:cs="Arial"/>
          <w:sz w:val="22"/>
          <w:szCs w:val="22"/>
        </w:rPr>
      </w:pPr>
    </w:p>
    <w:p w14:paraId="47C054E1" w14:textId="77777777" w:rsidR="00FD744D" w:rsidRPr="00FD744D" w:rsidRDefault="00FD744D" w:rsidP="00FD744D">
      <w:pPr>
        <w:rPr>
          <w:rFonts w:ascii="Arial" w:hAnsi="Arial" w:cs="Arial"/>
          <w:sz w:val="22"/>
          <w:szCs w:val="22"/>
          <w:u w:val="single"/>
        </w:rPr>
      </w:pPr>
      <w:r w:rsidRPr="00FD744D">
        <w:rPr>
          <w:rFonts w:ascii="Arial" w:hAnsi="Arial" w:cs="Arial"/>
          <w:sz w:val="22"/>
          <w:szCs w:val="22"/>
          <w:u w:val="single"/>
        </w:rPr>
        <w:t>Humanities- Recycling:</w:t>
      </w:r>
    </w:p>
    <w:p w14:paraId="38850B3D"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During my PTE3 I taught pupils all about the topic, recycling. Even though the topic of recycling had been taught briefly in the past to the pupils they lacked knowledge and understanding of the topic and only knew a handful of information, therefore I knew the pupils would need more than one activity and task to ensure their knowledge and understanding of the topic was progressing over time. Pupils were given three different tasks all in connection with recycling that would later support the pupils in progressing their knowledge and understanding of the topic. For the first activity, the pupils were given a </w:t>
      </w:r>
      <w:r w:rsidRPr="00FD744D">
        <w:rPr>
          <w:rFonts w:ascii="Arial" w:hAnsi="Arial" w:cs="Arial"/>
          <w:sz w:val="22"/>
          <w:szCs w:val="22"/>
        </w:rPr>
        <w:lastRenderedPageBreak/>
        <w:t xml:space="preserve">worksheet that contained a variety of different items that could be recycled, such as plastic bottles, glass, paper, cans, and much more. The worksheet also contained pictures of the different recyclable bins that we use to recycle the items. The aim of this task was for pupils to draw a line to connect each recyclable item to the correct recycling bin. It was great to see the pupils complete this task successfully and that their knowledge and understanding of recycling was slowly beginning to progress. This was a starting point for the pupils to start to gain an understanding of how and what can be recycled. The next Recycling activity was a follow-up activity which had pupils having to think back on their first activity to complete this one. With this activity, the pupils were told all about how to reuse, reduce and recycle. Using the recyclable items from the previous worksheet pupils had to list and write which items could be reused, which ones could be reduced, and which could be recycled. This activity seemed to be more of a challenge for the pupils as they had to begin to widen their knowledge by understanding the difference between the ‘3R’s (reuse, reduce, recycle). Once pupils had done this, they were encouraged to discuss their findings. By continuing a similar learning pattern for the pupils, it allowed their understanding of this topic to progress. For the final activity, pupils were asked to draw a picture and explain what the world would look like if we didn’t reuse, reduce or recycle. This task allowed me to see the pupils’ knowledge and understanding of the topic come together, and it allowed me to see the progression in learning that each pupil achieved over time. They showed progression through slowly building upon their prior knowledge and understanding from other recycling activities and using it to build on new knowledge to form a result of a clear understanding of the topic of recycling. The tasks that were created were all Humanities based, however, they also contained other skills from other areas of learning. The tasks were mainly built within the Humanities area of learning, however by involving written, communication, and drawing tasks, the tasks became cross-curricular as skills from the Language, Literacy, and communication, and the Expressive Arts areas of learning were achieved also. </w:t>
      </w:r>
    </w:p>
    <w:p w14:paraId="630CF248" w14:textId="77777777" w:rsidR="00FD744D" w:rsidRPr="00FD744D" w:rsidRDefault="00FD744D" w:rsidP="00FD744D">
      <w:pPr>
        <w:rPr>
          <w:rFonts w:ascii="Arial" w:hAnsi="Arial" w:cs="Arial"/>
          <w:sz w:val="22"/>
          <w:szCs w:val="22"/>
        </w:rPr>
      </w:pPr>
    </w:p>
    <w:p w14:paraId="02B7AD2B" w14:textId="77777777" w:rsidR="00FD744D" w:rsidRPr="00FD744D" w:rsidRDefault="00FD744D" w:rsidP="00FD744D">
      <w:pPr>
        <w:rPr>
          <w:rFonts w:ascii="Arial" w:hAnsi="Arial" w:cs="Arial"/>
          <w:b/>
          <w:bCs/>
          <w:sz w:val="22"/>
          <w:szCs w:val="22"/>
          <w:u w:val="single"/>
        </w:rPr>
      </w:pPr>
      <w:r w:rsidRPr="00FD744D">
        <w:rPr>
          <w:rFonts w:ascii="Arial" w:hAnsi="Arial" w:cs="Arial"/>
          <w:b/>
          <w:bCs/>
          <w:sz w:val="22"/>
          <w:szCs w:val="22"/>
          <w:u w:val="single"/>
        </w:rPr>
        <w:t>Reflection on planning for the four purposes</w:t>
      </w:r>
    </w:p>
    <w:p w14:paraId="5B7B0B82" w14:textId="77777777" w:rsidR="00FD744D" w:rsidRPr="00FD744D" w:rsidRDefault="00FD744D" w:rsidP="00FD744D">
      <w:pPr>
        <w:rPr>
          <w:rFonts w:ascii="Arial" w:hAnsi="Arial" w:cs="Arial"/>
          <w:sz w:val="22"/>
          <w:szCs w:val="22"/>
          <w:u w:val="single"/>
        </w:rPr>
      </w:pPr>
      <w:r w:rsidRPr="00FD744D">
        <w:rPr>
          <w:rFonts w:ascii="Arial" w:hAnsi="Arial" w:cs="Arial"/>
          <w:sz w:val="22"/>
          <w:szCs w:val="22"/>
          <w:u w:val="single"/>
        </w:rPr>
        <w:t>Mathematics activity- ambitious, capable learners:</w:t>
      </w:r>
    </w:p>
    <w:p w14:paraId="1A755F9C"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For the purposes of the mathematical activity, I planned for the pupils to work within groups and individually work within their ability groups. The task was differentiated in four different ways, for the higher ability group, moderate ability group, lower ability group, and also for the pupils with Additional Learning Needs. This allowed me to meet the needs of all learners in my class. The aim of the task was for the pupils to work as a group within their ability groups first and, then moving on to working individually, in order to solve the variety of mathematical sums provided to them which involved adding, subtracting, and working out which numbers are missing in the sums by using </w:t>
      </w:r>
      <w:proofErr w:type="spellStart"/>
      <w:r w:rsidRPr="00FD744D">
        <w:rPr>
          <w:rFonts w:ascii="Arial" w:hAnsi="Arial" w:cs="Arial"/>
          <w:sz w:val="22"/>
          <w:szCs w:val="22"/>
        </w:rPr>
        <w:t>numicons</w:t>
      </w:r>
      <w:proofErr w:type="spellEnd"/>
      <w:r w:rsidRPr="00FD744D">
        <w:rPr>
          <w:rFonts w:ascii="Arial" w:hAnsi="Arial" w:cs="Arial"/>
          <w:sz w:val="22"/>
          <w:szCs w:val="22"/>
        </w:rPr>
        <w:t xml:space="preserve"> as a tool to support if needed. Each group was given different mathematical sums to solve depending on their ability, and each pupil had the opportunity to practice calculating and forming the missing numbers independently. Through differentiation, I was able to allow each pupil to meet the four purpose of becoming an ‘ambitious, capable learner’ because I had planned and prepared for each </w:t>
      </w:r>
      <w:proofErr w:type="gramStart"/>
      <w:r w:rsidRPr="00FD744D">
        <w:rPr>
          <w:rFonts w:ascii="Arial" w:hAnsi="Arial" w:cs="Arial"/>
          <w:sz w:val="22"/>
          <w:szCs w:val="22"/>
        </w:rPr>
        <w:t>pupils</w:t>
      </w:r>
      <w:proofErr w:type="gramEnd"/>
      <w:r w:rsidRPr="00FD744D">
        <w:rPr>
          <w:rFonts w:ascii="Arial" w:hAnsi="Arial" w:cs="Arial"/>
          <w:sz w:val="22"/>
          <w:szCs w:val="22"/>
        </w:rPr>
        <w:t xml:space="preserve">' needs and allowed them to work comfortably within their ability groups first in order for them to then work confidently and independently to be able to “use numbers effectively in different contexts”, Welsh Government (2020). Providing the pupils in the lower ability group and the pupils with ALN with </w:t>
      </w:r>
      <w:proofErr w:type="spellStart"/>
      <w:r w:rsidRPr="00FD744D">
        <w:rPr>
          <w:rFonts w:ascii="Arial" w:hAnsi="Arial" w:cs="Arial"/>
          <w:sz w:val="22"/>
          <w:szCs w:val="22"/>
        </w:rPr>
        <w:t>numicons</w:t>
      </w:r>
      <w:proofErr w:type="spellEnd"/>
      <w:r w:rsidRPr="00FD744D">
        <w:rPr>
          <w:rFonts w:ascii="Arial" w:hAnsi="Arial" w:cs="Arial"/>
          <w:sz w:val="22"/>
          <w:szCs w:val="22"/>
        </w:rPr>
        <w:t xml:space="preserve"> as an additional support tool to help them be more independent with the work supported them in developing into an ambitious, capable learner so that they too would be able to use numbers effectively in different contexts. I was able to encourage the pupils in this task to be ambitious, capable learners as they were all given the challenge of solving the mathematical sums. They were, therefore, able to "set themselves high standards and seek and enjoy challenge" Donaldson (2015), when having to work out and explain which numbers were missing. I've learned that this lesson and activity that I created also supported the pupils in becoming ambitious, capable learners, as it strengthened their abilities as individuals because what was set for them allowed them all to ‘question and enjoy solving problems’ whilst also being able to ‘explain the ideas and concepts they are learning about’ which supported them to develop and progress within the </w:t>
      </w:r>
      <w:r w:rsidRPr="00FD744D">
        <w:rPr>
          <w:rFonts w:ascii="Arial" w:hAnsi="Arial" w:cs="Arial"/>
          <w:sz w:val="22"/>
          <w:szCs w:val="22"/>
        </w:rPr>
        <w:lastRenderedPageBreak/>
        <w:t xml:space="preserve">Mathematics area of learning whilst also progressing in the Language, Literacy and Communication area of learning, making this activity cross-curricular. </w:t>
      </w:r>
    </w:p>
    <w:p w14:paraId="23E1A4F0" w14:textId="77777777" w:rsidR="00FD744D" w:rsidRPr="00FD744D" w:rsidRDefault="00FD744D" w:rsidP="00FD744D">
      <w:pPr>
        <w:rPr>
          <w:rFonts w:ascii="Arial" w:hAnsi="Arial" w:cs="Arial"/>
          <w:sz w:val="22"/>
          <w:szCs w:val="22"/>
        </w:rPr>
      </w:pPr>
    </w:p>
    <w:p w14:paraId="228146AF" w14:textId="7C4F6F13" w:rsidR="00FD744D" w:rsidRPr="00FD744D" w:rsidRDefault="00FD744D" w:rsidP="00FD744D">
      <w:pPr>
        <w:rPr>
          <w:rFonts w:ascii="Arial" w:hAnsi="Arial" w:cs="Arial"/>
          <w:sz w:val="22"/>
          <w:szCs w:val="22"/>
          <w:u w:val="single"/>
        </w:rPr>
      </w:pPr>
      <w:r w:rsidRPr="00FD744D">
        <w:rPr>
          <w:rFonts w:ascii="Arial" w:hAnsi="Arial" w:cs="Arial"/>
          <w:sz w:val="22"/>
          <w:szCs w:val="22"/>
          <w:u w:val="single"/>
        </w:rPr>
        <w:t>Dance activity – healthy, confident individuals</w:t>
      </w:r>
      <w:r>
        <w:rPr>
          <w:rFonts w:ascii="Arial" w:hAnsi="Arial" w:cs="Arial"/>
          <w:sz w:val="22"/>
          <w:szCs w:val="22"/>
          <w:u w:val="single"/>
        </w:rPr>
        <w:t>:</w:t>
      </w:r>
    </w:p>
    <w:p w14:paraId="54816397"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During the lockdown period, I wanted to ensure that the pupils in my class were remaining active and happy whilst having to learn from home. Not only was I not able to teach the pupils face to face but I wasn’t able to fully see the extent of their mental and physical wellbeing whilst teaching online and because of this, I wanted to ensure that I provided the pupils with the opportunity to have as many creative tasks as possible without them and their parents worrying about resources that they may or may not have at home. Therefore, one activity that I decided to plan was an Expressive arts activity where I had planned for the pupils to create a ‘Gingerbread man dance’ of their own, which tied into the class theme of Fairy tales. This would allow the pupils to build “their mental and emotional well-being by developing confidence, resilience, and empathy”, whilst “taking part in physical activity”, Welsh Government (2020). To spark some ideas for the pupils’ dance I filmed myself doing a series of different dance moves for the pupils to watch online. By creating a video of myself dancing and showing all the different dance moves that the pupils could do was a concrete form of showing and encouraging the pupils to “have the confidence to participate in performance”, Donaldson (2015). This activity was also delivered in the style of Vygotsky’s theory of scaffolding as I was able to provide example dance videos for the pupils in order to support them to complete the activity independently. McLeod (2019) explains scaffolding to “consist of the activities provided by the educator, or more competent peer, to support the student as he or she is led through the zone of proximal development”. The pupils reacted well to the activity and enjoyed having the opportunity to have fun whilst having to learn from home. It taught me that by providing the pupils with examples of myself doing crazy and fun activities for them to see that they were more likely to have confidence when completing my lessons. This was promising as the pupils had not met me face to face which provided space for the pupils to “form positive relationships based upon trust and mutual respect”, Welsh Government (2020) with myself as their teacher. </w:t>
      </w:r>
    </w:p>
    <w:p w14:paraId="02D684A8" w14:textId="77777777" w:rsidR="00FD744D" w:rsidRPr="00FD744D" w:rsidRDefault="00FD744D" w:rsidP="00FD744D">
      <w:pPr>
        <w:rPr>
          <w:rFonts w:ascii="Arial" w:hAnsi="Arial" w:cs="Arial"/>
          <w:sz w:val="22"/>
          <w:szCs w:val="22"/>
        </w:rPr>
      </w:pPr>
    </w:p>
    <w:p w14:paraId="7AABCA9D" w14:textId="77777777" w:rsidR="00FD744D" w:rsidRPr="00FD744D" w:rsidRDefault="00FD744D" w:rsidP="00FD744D">
      <w:pPr>
        <w:rPr>
          <w:rFonts w:ascii="Arial" w:hAnsi="Arial" w:cs="Arial"/>
          <w:b/>
          <w:bCs/>
          <w:sz w:val="22"/>
          <w:szCs w:val="22"/>
          <w:u w:val="single"/>
        </w:rPr>
      </w:pPr>
      <w:r w:rsidRPr="00FD744D">
        <w:rPr>
          <w:rFonts w:ascii="Arial" w:hAnsi="Arial" w:cs="Arial"/>
          <w:b/>
          <w:bCs/>
          <w:sz w:val="22"/>
          <w:szCs w:val="22"/>
          <w:u w:val="single"/>
        </w:rPr>
        <w:t>Part 2</w:t>
      </w:r>
    </w:p>
    <w:p w14:paraId="2B88E1F9"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The writer has chosen to focus on cross-curricular teaching because in the new curriculum for Wales 2022, “The adopted curriculum must also encompass the mandatory cross-curricular skills”, Welsh Government (2020). This implies the importance of the existence of a cross-curricular approach within teaching and how it should be prioritised when focusing on development for the intention of supporting pupil progression. In addition, Donaldson (2015) emphasises that “Children and young people should have their learning developed across the curriculum through three Cross-curriculum Responsibilities that should be the responsibility of all teachers”, and that “the expectations for progression in the Cross-curriculum Responsibilities should be highlighted and embed, as appropriate, in the progression steps in each of the six Areas of Learning”. Subsequently, the purpose of this essay is to focus on what improvements can be made in relation to the teaching in part one, as well as forming a judgment on cross-curricular teaching by discussing any theory that considers the benefits, limitations, and different perspectives that may exist around cross-curricular approaches that may or may not support pupil progression. </w:t>
      </w:r>
    </w:p>
    <w:p w14:paraId="3D51DE74" w14:textId="77777777" w:rsidR="00FD744D" w:rsidRPr="00FD744D" w:rsidRDefault="00FD744D" w:rsidP="00FD744D">
      <w:pPr>
        <w:rPr>
          <w:rFonts w:ascii="Arial" w:hAnsi="Arial" w:cs="Arial"/>
          <w:sz w:val="22"/>
          <w:szCs w:val="22"/>
        </w:rPr>
      </w:pPr>
      <w:r w:rsidRPr="00FD744D">
        <w:rPr>
          <w:rFonts w:ascii="Arial" w:hAnsi="Arial" w:cs="Arial"/>
          <w:sz w:val="22"/>
          <w:szCs w:val="22"/>
        </w:rPr>
        <w:t>Cross-curricular is “a way to combine different school subjects to deliver a curriculum that children find engaging and enjoyable”, Dalton (2021). The writer addresses cross-curricular teaching in part one when discussing activities based on the Humanities area of learning. However, the writer is aware that the activities within the Literacy area for learning do not have a link to cross-curricular teaching. When looking at the Humanities subject and understanding that the planning for progression activities within it include cross-curricular teaching, whilst the Literacy activities do not, it’s in the writer’s belief that exploring cross-curricular teaching, in general, will allow a judgment to be formulated on whether the writer was correct to teach the lessons in such style for specific lessons.</w:t>
      </w:r>
    </w:p>
    <w:p w14:paraId="08CFEF8C" w14:textId="77777777" w:rsidR="00FD744D" w:rsidRPr="00FD744D" w:rsidRDefault="00FD744D" w:rsidP="00FD744D">
      <w:pPr>
        <w:rPr>
          <w:rFonts w:ascii="Arial" w:hAnsi="Arial" w:cs="Arial"/>
          <w:sz w:val="22"/>
          <w:szCs w:val="22"/>
        </w:rPr>
      </w:pPr>
      <w:r w:rsidRPr="00FD744D">
        <w:rPr>
          <w:rFonts w:ascii="Arial" w:hAnsi="Arial" w:cs="Arial"/>
          <w:sz w:val="22"/>
          <w:szCs w:val="22"/>
        </w:rPr>
        <w:lastRenderedPageBreak/>
        <w:t xml:space="preserve">For cross-curricular teaching to be seen as effective, ultimately pupil progression must be checked. Coe, et al (2014), explains how “Ultimately, for a judgment about whether teaching is effective, to be seen as trustworthy, it must be checked against the progress being made by students”. For any teaching to be successful it must show some development in pupil progression, that’s the goal. Whether or not the teaching is cross-curricular the pupils’ progression should be measured against the effectiveness of the teaching. Lynch (2019) explains how cross-curricular teaching “has the potential to start off with a bang but fade over time if not well-planned and directed. Keeping students’ attention over time can be challenging”. This can be seen as a negative towards cross-curricular teaching as it suggests that it’s more work for teachers than normal which could result in activities being poorly planned which will later affect the pupils’ progression. However, an argument can be formulated against this quote as what Lynch (2019) suggests doesn’t only apply to cross-curricular teaching but applies to teaching in general. It’s the teachers’ responsibility to ensure development in pupil progression, and pupils’ progression is down to the teaching and environment around them. Every teacher will provide different teaching across a variety of phases and it’s their responsibility to find what teaching style, whether it’s cross-curricular or not, is most beneficial for them to use in lessons, as every pupil is different, so it must be well thought to ensure pupil progression. This is why, as seen in part one, that it was within the writer’s belief to use cross-curricular teaching in some activities and not others, especially when teaching Foundation phase pupils, who are of a very young age. </w:t>
      </w:r>
    </w:p>
    <w:p w14:paraId="2C257473"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When looking at the Humanities activities written in part one, it’s addressed by the writer that the activities that were undertaken were cross-curricular activities that supported pupils’ progression in learning, demonstrating effective teaching. It’s possible to judge the effectiveness of the teaching, which was cross-curricular, as pupils had to use prior knowledge taught to them from the first activity in order to be able to complete the other activities that followed suit. Coe, et al (2020) explains that in order for cross-curricular teaching to remain effective, pupils must learn through ‘building on prior knowledge’, which yet again is what the writer has addressed that the pupils did when completing the Humanities activities explained in part one. This allowed the cross-curricular teaching that was taught to be checked against the pupils’ progression. If the pupils’ progression lacked development this would have shown that the cross-curricular style of teaching that was done by the writer in part one, was not best suited for the planned activities, however, this was not the case. Nevertheless, Estyn’s (2018) example of best practice discusses how a specific school believes that it’s the pupils who “should be at the heart of the teaching and learning process and that pupils should own their school and everything that happens in it.  This is central to the school’s ethos, vision, and daily practice and leads to pupils consistently making informed choices about what and how they learn”. This argues that a cross-curricular teaching approach is not fully necessary to ensure pupil progression and progression can be achieved in different ways, because if pupils are the ones making choices about what and how they learn then there’s no certainty that a cross-curricular approach will always be considered, resulting in pupils being responsible for their progression. Even so, Estyn’s (2018) report notes that the school does “regularly reinforce cross-curriculum responsibilities, including literacy, numeracy, and digital competence, and provides opportunities for pupils to practice them” when possible. This argues that even though cross-curricular teaching may not always be used as the best or first method of teaching, there are ways to apply it to the teaching which will result in pupils’ progression still being able to develop and that effective teaching can be done from a cross-curricular and non-cross-curricular style. Similarly written by the writer in part one, the writer used both a cross-curricular and non-cross-curricular form of teaching which resulted in pupil progression being seen in both lessons. </w:t>
      </w:r>
    </w:p>
    <w:p w14:paraId="33F12829"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In connection, Pickford, et al (2013), discusses cross-curricular teaching when noting that “Planning the cross-curricular approach has to be rigorous, to ensure that the required learning outcomes, knowledge, skills and understanding are delivered and developed and that there is balance and progression across the whole curriculum”, and “a rigorously planned and well-taught cross-curricular approach to the humanities inspires and enthuses </w:t>
      </w:r>
      <w:r w:rsidRPr="00FD744D">
        <w:rPr>
          <w:rFonts w:ascii="Arial" w:hAnsi="Arial" w:cs="Arial"/>
          <w:sz w:val="22"/>
          <w:szCs w:val="22"/>
        </w:rPr>
        <w:lastRenderedPageBreak/>
        <w:t xml:space="preserve">children's imagination”. Referring back to the Humanities activities explained in part one, Pickford, et al (2013) hit the nail on the head as the activities allow the pupils to foster a deep imagination, for example when having to draw an image of what they think the world would look like if we didn’t recycle, balancing out the skills between the Humanities area of learning and the Expressive arts area of learning. Pickford, et </w:t>
      </w:r>
      <w:proofErr w:type="spellStart"/>
      <w:r w:rsidRPr="00FD744D">
        <w:rPr>
          <w:rFonts w:ascii="Arial" w:hAnsi="Arial" w:cs="Arial"/>
          <w:sz w:val="22"/>
          <w:szCs w:val="22"/>
        </w:rPr>
        <w:t>al’s</w:t>
      </w:r>
      <w:proofErr w:type="spellEnd"/>
      <w:r w:rsidRPr="00FD744D">
        <w:rPr>
          <w:rFonts w:ascii="Arial" w:hAnsi="Arial" w:cs="Arial"/>
          <w:sz w:val="22"/>
          <w:szCs w:val="22"/>
        </w:rPr>
        <w:t xml:space="preserve"> (2013) quote leads the writer to understand that if a cross-curricular teaching approach is to be carried out it must balance each skill within the areas of learning, from the curriculum, being used, to ensure progression across the whole curriculum and not just one specific area. Additionally, as each activity was taught in a cross-curricular manner it allowed pupils to achieve the learning outcomes, knowledge, skills, and understandings that were required from them. This resulted in progression in learning being made by the pupils in all areas of learning and skills that were applied to the activities, which implies that cross-curricular teaching does support pupil progression and that the writer was correct to have taught the pupils in such style as activities were completed successfully by all pupils. </w:t>
      </w:r>
    </w:p>
    <w:p w14:paraId="459E7234" w14:textId="77777777" w:rsidR="00FD744D" w:rsidRPr="00FD744D" w:rsidRDefault="00FD744D" w:rsidP="00FD744D">
      <w:pPr>
        <w:rPr>
          <w:rFonts w:ascii="Arial" w:hAnsi="Arial" w:cs="Arial"/>
          <w:sz w:val="22"/>
          <w:szCs w:val="22"/>
        </w:rPr>
      </w:pPr>
      <w:r w:rsidRPr="00FD744D">
        <w:rPr>
          <w:rFonts w:ascii="Arial" w:hAnsi="Arial" w:cs="Arial"/>
          <w:sz w:val="22"/>
          <w:szCs w:val="22"/>
        </w:rPr>
        <w:t xml:space="preserve">On the other hand, Barnes (2014) talks about the limitations that can come with cross-curricular teaching. Even though skills from different areas of learning need to be balanced to form pupil progression in the areas being taught, this isn’t always the case when cross-curricular teaching is being taught to pupils. Barnes (2014) quotes Alexander et al (1992) explaining that “in past manifestations, spurious links were often made between too many subjects” and “progress towards particular subject objectives is not easy to manage even when only two subjects are involved”. It’s suggested that the risks of cross-curricular teaching are that it’s possible that one subject can take over in response to pupils’ curiosity which results in a loss to any other subject that is being intertwined in the lessons. It also suggests that an equal balance of skills being taught to the pupils is not easy to carry out when a certain amount, of subjects, are being taught at once. This will have an impact on any pupil progression. As seen in part one, the writer did not use a cross-curricular teaching approach within the Literacy activities as it was within the writer’s belief to focus mainly on Literacy without intertwining other areas of learning and skills. This was due to the writer teaching a Nursery class, pupils of a young age, and the writer believing that Literacy is one of the key subjects for pupils of a young age to develop. Without overcomplicating the Literacy activities for the pupils, it was best to keep their focus primarily on Literacy and not making the activities cross-curricular. With this in mind, it’s possible to form a judgment that the writer was correct to not use a cross-curricular teaching approach for the specific Literacy activities. </w:t>
      </w:r>
    </w:p>
    <w:p w14:paraId="6A900F67" w14:textId="77777777" w:rsidR="00FD744D" w:rsidRPr="00FD744D" w:rsidRDefault="00FD744D" w:rsidP="00FD744D">
      <w:pPr>
        <w:rPr>
          <w:rFonts w:ascii="Arial" w:hAnsi="Arial" w:cs="Arial"/>
          <w:sz w:val="22"/>
          <w:szCs w:val="22"/>
        </w:rPr>
      </w:pPr>
      <w:r w:rsidRPr="00FD744D">
        <w:rPr>
          <w:rFonts w:ascii="Arial" w:hAnsi="Arial" w:cs="Arial"/>
          <w:sz w:val="22"/>
          <w:szCs w:val="22"/>
        </w:rPr>
        <w:t>As mentioned throughout the essay, it’s clear that there are many different views on cross-curricular teaching and the possible effect of pupil progression that it brings. The writer believes that choosing to use a cross-curricular method in some lessons and not others was correct to do as consideration of the pupils that were being taught was crucial on deciding to use a cross-curricular approach as the pupils completing all lessons were of Foundation phase, and one of the younger ages. Nevertheless, there is always room for development to better future practice. After considering all views on the effectiveness of a cross-curricular teaching approach the writer understands the importance of cross-curricular and therefore can develop within this area by gradually introducing more cross-curricular approaches when suitable whilst working within the Foundation phase. This will allow more opportunities and skills to be developed, but the writer understands that for more cross-curricular to be used within planning and teaching that the writer must have a balance and progression across the whole curriculum and, must take the time to plan cross-curricular lessons.</w:t>
      </w:r>
    </w:p>
    <w:p w14:paraId="7A3BBE09" w14:textId="33ABCC71" w:rsidR="00E50EF0" w:rsidRPr="00722EEA" w:rsidRDefault="00FD744D" w:rsidP="00FD744D">
      <w:pPr>
        <w:rPr>
          <w:rFonts w:ascii="Arial" w:hAnsi="Arial" w:cs="Arial"/>
          <w:sz w:val="22"/>
          <w:szCs w:val="22"/>
        </w:rPr>
      </w:pPr>
      <w:r w:rsidRPr="00FD744D">
        <w:rPr>
          <w:rFonts w:ascii="Arial" w:hAnsi="Arial" w:cs="Arial"/>
          <w:sz w:val="22"/>
          <w:szCs w:val="22"/>
        </w:rPr>
        <w:t xml:space="preserve">With many perspectives seen throughout, the writer concludes that cross-curricular teaching does have the potential to change the way pupils learn, progress, and process information effectively in a variety of ways. However, it can be seen that there needs to be a generous shift in the way a school day is assembled and in how teachers plan and teach their lessons. Having said that, the advantages outweigh the disadvantages as pupils’ progression is the centre point, and if pupils’ progression can develop through a cross-curricular approach it can be more beneficial as more skills are being used and developed by pupils. Similarly, Donaldson (2015) helps conclude that “A curriculum defined largely in terms of discrete </w:t>
      </w:r>
      <w:r w:rsidRPr="00FD744D">
        <w:rPr>
          <w:rFonts w:ascii="Arial" w:hAnsi="Arial" w:cs="Arial"/>
          <w:sz w:val="22"/>
          <w:szCs w:val="22"/>
        </w:rPr>
        <w:lastRenderedPageBreak/>
        <w:t>subjects can become directly translated into a timetable within which important cross-curricular learning can be marginalised. In addition, separate subject planning, combined with a narrow interpretation of how best to develop literacy and numeracy skills, was sometimes inadvertently resulting in a narrow and repetitive set of experiences”.</w:t>
      </w:r>
    </w:p>
    <w:p w14:paraId="6D2B2551" w14:textId="79047FCE" w:rsidR="00E50EF0" w:rsidRDefault="00E50EF0" w:rsidP="0077722E"/>
    <w:p w14:paraId="3CA7F6F3" w14:textId="12B99E86" w:rsidR="00BD008D" w:rsidRDefault="00BD008D" w:rsidP="0077722E"/>
    <w:p w14:paraId="760330C6" w14:textId="460D5B87" w:rsidR="00BD008D" w:rsidRPr="00585337" w:rsidRDefault="00585337" w:rsidP="0077722E">
      <w:pPr>
        <w:rPr>
          <w:rFonts w:ascii="Arial" w:hAnsi="Arial" w:cs="Arial"/>
          <w:sz w:val="22"/>
          <w:szCs w:val="22"/>
          <w:u w:val="single"/>
        </w:rPr>
      </w:pPr>
      <w:r w:rsidRPr="00585337">
        <w:rPr>
          <w:rFonts w:ascii="Arial" w:hAnsi="Arial" w:cs="Arial"/>
          <w:sz w:val="22"/>
          <w:szCs w:val="22"/>
          <w:u w:val="single"/>
        </w:rPr>
        <w:t>Word count: 4,943</w:t>
      </w:r>
    </w:p>
    <w:p w14:paraId="22DFCC88" w14:textId="7EB6396C" w:rsidR="00BD008D" w:rsidRDefault="00BD008D" w:rsidP="0077722E"/>
    <w:p w14:paraId="2FC5D108" w14:textId="52F0EFDB" w:rsidR="00BD008D" w:rsidRDefault="00BD008D" w:rsidP="0077722E"/>
    <w:p w14:paraId="002E7722" w14:textId="119D0D46" w:rsidR="00BD008D" w:rsidRDefault="00BD008D" w:rsidP="0077722E"/>
    <w:p w14:paraId="5112F991" w14:textId="5FFD0E4A" w:rsidR="00BD008D" w:rsidRDefault="00BD008D" w:rsidP="0077722E"/>
    <w:p w14:paraId="0A1A1E67" w14:textId="270D1004" w:rsidR="00BD008D" w:rsidRDefault="00BD008D" w:rsidP="0077722E"/>
    <w:p w14:paraId="3B2C1E94" w14:textId="77777777" w:rsidR="00BD008D" w:rsidRDefault="00BD008D" w:rsidP="0077722E"/>
    <w:p w14:paraId="0C1C9915" w14:textId="40297DC4" w:rsidR="00B23EC8" w:rsidRDefault="00B23EC8" w:rsidP="0077722E"/>
    <w:p w14:paraId="12CA9874" w14:textId="2A22AC52" w:rsidR="00B23EC8" w:rsidRDefault="00B23EC8" w:rsidP="0077722E">
      <w:pPr>
        <w:rPr>
          <w:rFonts w:ascii="Arial" w:hAnsi="Arial" w:cs="Arial"/>
          <w:u w:val="single"/>
        </w:rPr>
      </w:pPr>
      <w:r w:rsidRPr="00B23EC8">
        <w:rPr>
          <w:rFonts w:ascii="Arial" w:hAnsi="Arial" w:cs="Arial"/>
          <w:u w:val="single"/>
        </w:rPr>
        <w:t>Reference</w:t>
      </w:r>
      <w:r w:rsidR="00722EEA">
        <w:rPr>
          <w:rFonts w:ascii="Arial" w:hAnsi="Arial" w:cs="Arial"/>
          <w:u w:val="single"/>
        </w:rPr>
        <w:t>s</w:t>
      </w:r>
    </w:p>
    <w:p w14:paraId="584A69A5" w14:textId="39C3BC4E" w:rsidR="001378A5" w:rsidRDefault="001378A5" w:rsidP="0077722E">
      <w:pPr>
        <w:rPr>
          <w:rFonts w:ascii="Arial" w:hAnsi="Arial" w:cs="Arial"/>
          <w:u w:val="single"/>
        </w:rPr>
      </w:pPr>
    </w:p>
    <w:p w14:paraId="251BBC40" w14:textId="5374E3BC" w:rsidR="001378A5" w:rsidRPr="001378A5" w:rsidRDefault="001378A5" w:rsidP="0077722E">
      <w:pPr>
        <w:rPr>
          <w:rFonts w:ascii="Arial" w:hAnsi="Arial" w:cs="Arial"/>
          <w:sz w:val="22"/>
          <w:szCs w:val="22"/>
        </w:rPr>
      </w:pPr>
      <w:r w:rsidRPr="001378A5">
        <w:rPr>
          <w:rFonts w:ascii="Arial" w:hAnsi="Arial" w:cs="Arial"/>
          <w:sz w:val="22"/>
          <w:szCs w:val="22"/>
        </w:rPr>
        <w:t>Alexander, R., Rose, J. and Woodhead, C. (1992). Curriculum Organisation and Classroom Practice in Primary Schools. London: DES.</w:t>
      </w:r>
    </w:p>
    <w:p w14:paraId="0F3453C3" w14:textId="657E1051" w:rsidR="001378A5" w:rsidRDefault="001378A5" w:rsidP="0077722E">
      <w:pPr>
        <w:rPr>
          <w:rFonts w:ascii="Arial" w:hAnsi="Arial" w:cs="Arial"/>
          <w:u w:val="single"/>
        </w:rPr>
      </w:pPr>
    </w:p>
    <w:p w14:paraId="3044E146" w14:textId="7BA0A379" w:rsidR="001378A5" w:rsidRPr="001378A5" w:rsidRDefault="001378A5" w:rsidP="0077722E">
      <w:pPr>
        <w:rPr>
          <w:rFonts w:ascii="Arial" w:hAnsi="Arial" w:cs="Arial"/>
          <w:sz w:val="22"/>
          <w:szCs w:val="22"/>
        </w:rPr>
      </w:pPr>
      <w:r w:rsidRPr="001378A5">
        <w:rPr>
          <w:rFonts w:ascii="Arial" w:hAnsi="Arial" w:cs="Arial"/>
          <w:sz w:val="22"/>
          <w:szCs w:val="22"/>
        </w:rPr>
        <w:t xml:space="preserve">Barnes, J. (2014). An introduction to cross-curricular learning. Chapter 13. Available at: </w:t>
      </w:r>
      <w:hyperlink r:id="rId6" w:history="1">
        <w:r w:rsidRPr="001378A5">
          <w:rPr>
            <w:rStyle w:val="Hyperlink"/>
            <w:rFonts w:ascii="Arial" w:hAnsi="Arial" w:cs="Arial"/>
            <w:sz w:val="22"/>
            <w:szCs w:val="22"/>
          </w:rPr>
          <w:t>https://www.researchgate.net/profile/Jonathan-Barnes-3/publication/274313611_An_Introduction_to_Cross-Curricular_Learning/links/551b2ab60cf251c35b5080db/An-Introduction-to-Cross-Curricular-Learning.pdf</w:t>
        </w:r>
      </w:hyperlink>
      <w:r w:rsidRPr="001378A5">
        <w:rPr>
          <w:rFonts w:ascii="Arial" w:hAnsi="Arial" w:cs="Arial"/>
          <w:sz w:val="22"/>
          <w:szCs w:val="22"/>
        </w:rPr>
        <w:t xml:space="preserve"> Last accessed</w:t>
      </w:r>
      <w:r>
        <w:rPr>
          <w:rFonts w:ascii="Arial" w:hAnsi="Arial" w:cs="Arial"/>
          <w:sz w:val="22"/>
          <w:szCs w:val="22"/>
        </w:rPr>
        <w:t>,</w:t>
      </w:r>
      <w:r w:rsidRPr="001378A5">
        <w:rPr>
          <w:rFonts w:ascii="Arial" w:hAnsi="Arial" w:cs="Arial"/>
          <w:sz w:val="22"/>
          <w:szCs w:val="22"/>
        </w:rPr>
        <w:t xml:space="preserve"> 1st May 2021.</w:t>
      </w:r>
    </w:p>
    <w:p w14:paraId="2A8FF482" w14:textId="585EDDBA" w:rsidR="00B23EC8" w:rsidRDefault="00B23EC8" w:rsidP="0077722E">
      <w:pPr>
        <w:rPr>
          <w:rFonts w:ascii="Arial" w:hAnsi="Arial" w:cs="Arial"/>
          <w:color w:val="000000"/>
          <w:sz w:val="22"/>
          <w:szCs w:val="22"/>
        </w:rPr>
      </w:pPr>
    </w:p>
    <w:p w14:paraId="4A6CFF43" w14:textId="74F3F7E9" w:rsidR="00415937" w:rsidRDefault="00415937" w:rsidP="0077722E">
      <w:pPr>
        <w:rPr>
          <w:rFonts w:ascii="Arial" w:hAnsi="Arial" w:cs="Arial"/>
          <w:color w:val="000000"/>
          <w:sz w:val="22"/>
          <w:szCs w:val="22"/>
        </w:rPr>
      </w:pPr>
      <w:r>
        <w:rPr>
          <w:rFonts w:ascii="Arial" w:hAnsi="Arial" w:cs="Arial"/>
          <w:color w:val="000000"/>
          <w:sz w:val="22"/>
          <w:szCs w:val="22"/>
        </w:rPr>
        <w:t xml:space="preserve">Black, A. (2020). Why I regularly use Makaton in my classroom. </w:t>
      </w:r>
      <w:proofErr w:type="spellStart"/>
      <w:r>
        <w:rPr>
          <w:rFonts w:ascii="Arial" w:hAnsi="Arial" w:cs="Arial"/>
          <w:color w:val="000000"/>
          <w:sz w:val="22"/>
          <w:szCs w:val="22"/>
        </w:rPr>
        <w:t>Tes</w:t>
      </w:r>
      <w:proofErr w:type="spellEnd"/>
      <w:r>
        <w:rPr>
          <w:rFonts w:ascii="Arial" w:hAnsi="Arial" w:cs="Arial"/>
          <w:color w:val="000000"/>
          <w:sz w:val="22"/>
          <w:szCs w:val="22"/>
        </w:rPr>
        <w:t xml:space="preserve">. Available at: </w:t>
      </w:r>
      <w:hyperlink r:id="rId7" w:history="1">
        <w:r w:rsidRPr="00421868">
          <w:rPr>
            <w:rStyle w:val="Hyperlink"/>
            <w:rFonts w:ascii="Arial" w:hAnsi="Arial" w:cs="Arial"/>
            <w:sz w:val="22"/>
            <w:szCs w:val="22"/>
          </w:rPr>
          <w:t>https://www.tes.com/news/why-i-regularly-use-makaton-my-classroom</w:t>
        </w:r>
      </w:hyperlink>
      <w:r>
        <w:rPr>
          <w:rFonts w:ascii="Arial" w:hAnsi="Arial" w:cs="Arial"/>
          <w:color w:val="000000"/>
          <w:sz w:val="22"/>
          <w:szCs w:val="22"/>
        </w:rPr>
        <w:t xml:space="preserve"> Last accessed, 1</w:t>
      </w:r>
      <w:r w:rsidRPr="00415937">
        <w:rPr>
          <w:rFonts w:ascii="Arial" w:hAnsi="Arial" w:cs="Arial"/>
          <w:color w:val="000000"/>
          <w:sz w:val="22"/>
          <w:szCs w:val="22"/>
          <w:vertAlign w:val="superscript"/>
        </w:rPr>
        <w:t>st</w:t>
      </w:r>
      <w:r>
        <w:rPr>
          <w:rFonts w:ascii="Arial" w:hAnsi="Arial" w:cs="Arial"/>
          <w:color w:val="000000"/>
          <w:sz w:val="22"/>
          <w:szCs w:val="22"/>
        </w:rPr>
        <w:t xml:space="preserve"> May 2021. </w:t>
      </w:r>
    </w:p>
    <w:p w14:paraId="01FC96E9" w14:textId="77777777" w:rsidR="00415937" w:rsidRDefault="00415937" w:rsidP="0077722E">
      <w:pPr>
        <w:rPr>
          <w:rFonts w:ascii="Arial" w:hAnsi="Arial" w:cs="Arial"/>
          <w:color w:val="000000"/>
          <w:sz w:val="22"/>
          <w:szCs w:val="22"/>
        </w:rPr>
      </w:pPr>
    </w:p>
    <w:p w14:paraId="0C4DDE7F" w14:textId="4D5A0325" w:rsidR="0077722E" w:rsidRDefault="00D827D3" w:rsidP="0077722E">
      <w:pPr>
        <w:rPr>
          <w:rFonts w:ascii="Arial" w:hAnsi="Arial" w:cs="Arial"/>
          <w:color w:val="000000"/>
          <w:sz w:val="22"/>
          <w:szCs w:val="22"/>
        </w:rPr>
      </w:pPr>
      <w:r w:rsidRPr="00D827D3">
        <w:rPr>
          <w:rFonts w:ascii="Arial" w:hAnsi="Arial" w:cs="Arial"/>
          <w:color w:val="000000"/>
          <w:sz w:val="22"/>
          <w:szCs w:val="22"/>
        </w:rPr>
        <w:t>Cherry, K.</w:t>
      </w:r>
      <w:r>
        <w:rPr>
          <w:rFonts w:ascii="Arial" w:hAnsi="Arial" w:cs="Arial"/>
          <w:color w:val="000000"/>
          <w:sz w:val="22"/>
          <w:szCs w:val="22"/>
        </w:rPr>
        <w:t xml:space="preserve"> (</w:t>
      </w:r>
      <w:r w:rsidRPr="00D827D3">
        <w:rPr>
          <w:rFonts w:ascii="Arial" w:hAnsi="Arial" w:cs="Arial"/>
          <w:color w:val="000000"/>
          <w:sz w:val="22"/>
          <w:szCs w:val="22"/>
        </w:rPr>
        <w:t>2020). </w:t>
      </w:r>
      <w:r w:rsidRPr="00D827D3">
        <w:rPr>
          <w:rFonts w:ascii="Arial" w:hAnsi="Arial" w:cs="Arial"/>
          <w:i/>
          <w:iCs/>
          <w:color w:val="000000"/>
          <w:sz w:val="22"/>
          <w:szCs w:val="22"/>
        </w:rPr>
        <w:t>The 4 Stages of Cognitive Development.</w:t>
      </w:r>
      <w:r w:rsidRPr="00D827D3">
        <w:rPr>
          <w:rFonts w:ascii="Arial" w:hAnsi="Arial" w:cs="Arial"/>
          <w:color w:val="000000"/>
          <w:sz w:val="22"/>
          <w:szCs w:val="22"/>
        </w:rPr>
        <w:t xml:space="preserve"> Available: </w:t>
      </w:r>
      <w:hyperlink r:id="rId8" w:history="1">
        <w:r w:rsidRPr="00D827D3">
          <w:rPr>
            <w:rStyle w:val="Hyperlink"/>
            <w:rFonts w:ascii="Arial" w:hAnsi="Arial" w:cs="Arial"/>
            <w:sz w:val="22"/>
            <w:szCs w:val="22"/>
          </w:rPr>
          <w:t>https://www.verywellmind.com/piagets-stages-of-cognitive-development-2795457</w:t>
        </w:r>
      </w:hyperlink>
      <w:r w:rsidRPr="00D827D3">
        <w:rPr>
          <w:rFonts w:ascii="Arial" w:hAnsi="Arial" w:cs="Arial"/>
          <w:color w:val="000000"/>
          <w:sz w:val="22"/>
          <w:szCs w:val="22"/>
        </w:rPr>
        <w:t>.</w:t>
      </w:r>
      <w:r>
        <w:rPr>
          <w:rFonts w:ascii="Arial" w:hAnsi="Arial" w:cs="Arial"/>
          <w:color w:val="000000"/>
          <w:sz w:val="22"/>
          <w:szCs w:val="22"/>
        </w:rPr>
        <w:t xml:space="preserve"> </w:t>
      </w:r>
      <w:r w:rsidRPr="00D827D3">
        <w:rPr>
          <w:rFonts w:ascii="Arial" w:hAnsi="Arial" w:cs="Arial"/>
          <w:color w:val="000000"/>
          <w:sz w:val="22"/>
          <w:szCs w:val="22"/>
        </w:rPr>
        <w:t xml:space="preserve"> Last accessed 24th April 2021.</w:t>
      </w:r>
    </w:p>
    <w:p w14:paraId="11377996" w14:textId="18402C7D" w:rsidR="001C6696" w:rsidRPr="001C6696" w:rsidRDefault="001C6696" w:rsidP="0077722E">
      <w:pPr>
        <w:rPr>
          <w:rFonts w:ascii="Arial" w:hAnsi="Arial" w:cs="Arial"/>
          <w:color w:val="000000"/>
          <w:sz w:val="22"/>
          <w:szCs w:val="22"/>
        </w:rPr>
      </w:pPr>
    </w:p>
    <w:p w14:paraId="70F76557" w14:textId="638EE42C" w:rsidR="001C6696" w:rsidRDefault="001C6696" w:rsidP="0077722E">
      <w:pPr>
        <w:rPr>
          <w:rStyle w:val="eop"/>
          <w:rFonts w:ascii="Arial" w:hAnsi="Arial" w:cs="Arial"/>
          <w:sz w:val="22"/>
          <w:szCs w:val="22"/>
        </w:rPr>
      </w:pPr>
      <w:r w:rsidRPr="001C6696">
        <w:rPr>
          <w:rStyle w:val="normaltextrun"/>
          <w:rFonts w:ascii="Arial" w:hAnsi="Arial" w:cs="Arial"/>
          <w:sz w:val="22"/>
          <w:szCs w:val="22"/>
        </w:rPr>
        <w:t>Coe R, </w:t>
      </w:r>
      <w:proofErr w:type="spellStart"/>
      <w:r w:rsidRPr="001C6696">
        <w:rPr>
          <w:rStyle w:val="normaltextrun"/>
          <w:rFonts w:ascii="Arial" w:hAnsi="Arial" w:cs="Arial"/>
          <w:sz w:val="22"/>
          <w:szCs w:val="22"/>
        </w:rPr>
        <w:t>Aloisi</w:t>
      </w:r>
      <w:proofErr w:type="spellEnd"/>
      <w:r w:rsidRPr="001C6696">
        <w:rPr>
          <w:rStyle w:val="normaltextrun"/>
          <w:rFonts w:ascii="Arial" w:hAnsi="Arial" w:cs="Arial"/>
          <w:sz w:val="22"/>
          <w:szCs w:val="22"/>
        </w:rPr>
        <w:t> C, Higgins S, Elliot Major L. (2014) </w:t>
      </w:r>
      <w:r w:rsidRPr="001C6696">
        <w:rPr>
          <w:rStyle w:val="normaltextrun"/>
          <w:rFonts w:ascii="Arial" w:hAnsi="Arial" w:cs="Arial"/>
          <w:i/>
          <w:iCs/>
          <w:sz w:val="22"/>
          <w:szCs w:val="22"/>
        </w:rPr>
        <w:t>What Makes Great Teaching? Review of the Underpinning Research.</w:t>
      </w:r>
      <w:r w:rsidRPr="001C6696">
        <w:rPr>
          <w:rStyle w:val="normaltextrun"/>
          <w:rFonts w:ascii="Arial" w:hAnsi="Arial" w:cs="Arial"/>
          <w:sz w:val="22"/>
          <w:szCs w:val="22"/>
        </w:rPr>
        <w:t> Durham: Centre for Evaluation and Monitoring/The Sutton Trust.</w:t>
      </w:r>
      <w:r w:rsidRPr="001C6696">
        <w:rPr>
          <w:rStyle w:val="eop"/>
          <w:rFonts w:ascii="Arial" w:hAnsi="Arial" w:cs="Arial"/>
          <w:sz w:val="22"/>
          <w:szCs w:val="22"/>
        </w:rPr>
        <w:t> </w:t>
      </w:r>
      <w:r>
        <w:rPr>
          <w:rStyle w:val="eop"/>
          <w:rFonts w:ascii="Arial" w:hAnsi="Arial" w:cs="Arial"/>
          <w:sz w:val="22"/>
          <w:szCs w:val="22"/>
        </w:rPr>
        <w:t xml:space="preserve">Available at: </w:t>
      </w:r>
      <w:hyperlink r:id="rId9" w:history="1">
        <w:r w:rsidRPr="00421868">
          <w:rPr>
            <w:rStyle w:val="Hyperlink"/>
            <w:rFonts w:ascii="Arial" w:hAnsi="Arial" w:cs="Arial"/>
            <w:sz w:val="22"/>
            <w:szCs w:val="22"/>
          </w:rPr>
          <w:t>https://www.suttontrust.com/wp-content/uploads/2014/10/What-Makes-Great-Teaching-REPORT.pdf</w:t>
        </w:r>
      </w:hyperlink>
      <w:r>
        <w:rPr>
          <w:rStyle w:val="eop"/>
          <w:rFonts w:ascii="Arial" w:hAnsi="Arial" w:cs="Arial"/>
          <w:sz w:val="22"/>
          <w:szCs w:val="22"/>
        </w:rPr>
        <w:t xml:space="preserve"> Last accessed, 29</w:t>
      </w:r>
      <w:r w:rsidRPr="001C6696">
        <w:rPr>
          <w:rStyle w:val="eop"/>
          <w:rFonts w:ascii="Arial" w:hAnsi="Arial" w:cs="Arial"/>
          <w:sz w:val="22"/>
          <w:szCs w:val="22"/>
          <w:vertAlign w:val="superscript"/>
        </w:rPr>
        <w:t>th</w:t>
      </w:r>
      <w:r>
        <w:rPr>
          <w:rStyle w:val="eop"/>
          <w:rFonts w:ascii="Arial" w:hAnsi="Arial" w:cs="Arial"/>
          <w:sz w:val="22"/>
          <w:szCs w:val="22"/>
        </w:rPr>
        <w:t xml:space="preserve"> April 2021. </w:t>
      </w:r>
    </w:p>
    <w:p w14:paraId="7BD4546E" w14:textId="1BB8081C" w:rsidR="00F63C9B" w:rsidRDefault="00F63C9B" w:rsidP="0077722E">
      <w:pPr>
        <w:rPr>
          <w:rStyle w:val="eop"/>
          <w:rFonts w:ascii="Arial" w:hAnsi="Arial" w:cs="Arial"/>
          <w:sz w:val="22"/>
          <w:szCs w:val="22"/>
        </w:rPr>
      </w:pPr>
    </w:p>
    <w:p w14:paraId="7E1BCF4B" w14:textId="75D55BD7" w:rsidR="00F63C9B" w:rsidRPr="00F63C9B" w:rsidRDefault="00F63C9B" w:rsidP="00F63C9B">
      <w:pPr>
        <w:pStyle w:val="paragraph"/>
        <w:spacing w:before="0" w:beforeAutospacing="0" w:after="0" w:afterAutospacing="0"/>
        <w:jc w:val="both"/>
        <w:textAlignment w:val="baseline"/>
        <w:rPr>
          <w:rFonts w:ascii="Arial" w:hAnsi="Arial" w:cs="Arial"/>
          <w:sz w:val="22"/>
          <w:szCs w:val="22"/>
        </w:rPr>
      </w:pPr>
      <w:r w:rsidRPr="00F63C9B">
        <w:rPr>
          <w:rStyle w:val="normaltextrun"/>
          <w:rFonts w:ascii="Arial" w:hAnsi="Arial" w:cs="Arial"/>
          <w:sz w:val="22"/>
          <w:szCs w:val="22"/>
        </w:rPr>
        <w:t xml:space="preserve">Coe, R. </w:t>
      </w:r>
      <w:proofErr w:type="spellStart"/>
      <w:r w:rsidRPr="00F63C9B">
        <w:rPr>
          <w:rStyle w:val="normaltextrun"/>
          <w:rFonts w:ascii="Arial" w:hAnsi="Arial" w:cs="Arial"/>
          <w:sz w:val="22"/>
          <w:szCs w:val="22"/>
        </w:rPr>
        <w:t>Rouch</w:t>
      </w:r>
      <w:proofErr w:type="spellEnd"/>
      <w:r w:rsidRPr="00F63C9B">
        <w:rPr>
          <w:rStyle w:val="normaltextrun"/>
          <w:rFonts w:ascii="Arial" w:hAnsi="Arial" w:cs="Arial"/>
          <w:sz w:val="22"/>
          <w:szCs w:val="22"/>
        </w:rPr>
        <w:t xml:space="preserve">, C.J., </w:t>
      </w:r>
      <w:proofErr w:type="spellStart"/>
      <w:r w:rsidRPr="00F63C9B">
        <w:rPr>
          <w:rStyle w:val="normaltextrun"/>
          <w:rFonts w:ascii="Arial" w:hAnsi="Arial" w:cs="Arial"/>
          <w:sz w:val="22"/>
          <w:szCs w:val="22"/>
        </w:rPr>
        <w:t>Kime</w:t>
      </w:r>
      <w:proofErr w:type="spellEnd"/>
      <w:r w:rsidRPr="00F63C9B">
        <w:rPr>
          <w:rStyle w:val="normaltextrun"/>
          <w:rFonts w:ascii="Arial" w:hAnsi="Arial" w:cs="Arial"/>
          <w:sz w:val="22"/>
          <w:szCs w:val="22"/>
        </w:rPr>
        <w:t>, S., Singleton, D. (2020) Great Teaching Toolkit: Evidence Review</w:t>
      </w:r>
      <w:r w:rsidRPr="00F63C9B">
        <w:rPr>
          <w:rStyle w:val="normaltextrun"/>
          <w:rFonts w:ascii="Arial" w:hAnsi="Arial" w:cs="Arial"/>
          <w:sz w:val="22"/>
          <w:szCs w:val="22"/>
        </w:rPr>
        <w:t xml:space="preserve">. Available at: </w:t>
      </w:r>
      <w:hyperlink r:id="rId10" w:history="1">
        <w:r w:rsidRPr="00F63C9B">
          <w:rPr>
            <w:rStyle w:val="Hyperlink"/>
            <w:rFonts w:ascii="Arial" w:hAnsi="Arial" w:cs="Arial"/>
            <w:sz w:val="22"/>
            <w:szCs w:val="22"/>
          </w:rPr>
          <w:t>https://www.cambridgeinternational.org/Images/584543-great-teaching-toolkit-evidence-review.pdf</w:t>
        </w:r>
      </w:hyperlink>
      <w:r w:rsidRPr="00F63C9B">
        <w:rPr>
          <w:rStyle w:val="normaltextrun"/>
          <w:rFonts w:ascii="Arial" w:hAnsi="Arial" w:cs="Arial"/>
          <w:sz w:val="22"/>
          <w:szCs w:val="22"/>
        </w:rPr>
        <w:t xml:space="preserve"> Last accessed, 30</w:t>
      </w:r>
      <w:r w:rsidRPr="00F63C9B">
        <w:rPr>
          <w:rStyle w:val="normaltextrun"/>
          <w:rFonts w:ascii="Arial" w:hAnsi="Arial" w:cs="Arial"/>
          <w:sz w:val="22"/>
          <w:szCs w:val="22"/>
          <w:vertAlign w:val="superscript"/>
        </w:rPr>
        <w:t>th</w:t>
      </w:r>
      <w:r w:rsidRPr="00F63C9B">
        <w:rPr>
          <w:rStyle w:val="normaltextrun"/>
          <w:rFonts w:ascii="Arial" w:hAnsi="Arial" w:cs="Arial"/>
          <w:sz w:val="22"/>
          <w:szCs w:val="22"/>
        </w:rPr>
        <w:t xml:space="preserve"> April 2021. </w:t>
      </w:r>
    </w:p>
    <w:p w14:paraId="22F27613" w14:textId="4AA87D2F" w:rsidR="00E66E10" w:rsidRDefault="00E66E10" w:rsidP="0077722E">
      <w:pPr>
        <w:rPr>
          <w:rFonts w:ascii="Arial" w:hAnsi="Arial" w:cs="Arial"/>
          <w:color w:val="000000"/>
          <w:sz w:val="22"/>
          <w:szCs w:val="22"/>
        </w:rPr>
      </w:pPr>
    </w:p>
    <w:p w14:paraId="41DFFA6D" w14:textId="1B8D3E8A" w:rsidR="00E66E10" w:rsidRPr="00E66E10" w:rsidRDefault="00E66E10" w:rsidP="00E66E10">
      <w:pPr>
        <w:rPr>
          <w:rFonts w:ascii="Arial" w:hAnsi="Arial" w:cs="Arial"/>
          <w:sz w:val="22"/>
          <w:szCs w:val="22"/>
        </w:rPr>
      </w:pPr>
      <w:r w:rsidRPr="00E66E10">
        <w:rPr>
          <w:rFonts w:ascii="Arial" w:hAnsi="Arial" w:cs="Arial"/>
          <w:color w:val="000000"/>
          <w:sz w:val="22"/>
          <w:szCs w:val="22"/>
        </w:rPr>
        <w:t xml:space="preserve">Dalton, K. (2021). </w:t>
      </w:r>
      <w:r w:rsidRPr="00E66E10">
        <w:rPr>
          <w:rFonts w:ascii="Arial" w:hAnsi="Arial" w:cs="Arial"/>
          <w:sz w:val="22"/>
          <w:szCs w:val="22"/>
        </w:rPr>
        <w:t xml:space="preserve">How Cross-Curricular Learning Can Bring Maths </w:t>
      </w:r>
      <w:proofErr w:type="gramStart"/>
      <w:r w:rsidRPr="00E66E10">
        <w:rPr>
          <w:rFonts w:ascii="Arial" w:hAnsi="Arial" w:cs="Arial"/>
          <w:sz w:val="22"/>
          <w:szCs w:val="22"/>
        </w:rPr>
        <w:t>To</w:t>
      </w:r>
      <w:proofErr w:type="gramEnd"/>
      <w:r w:rsidRPr="00E66E10">
        <w:rPr>
          <w:rFonts w:ascii="Arial" w:hAnsi="Arial" w:cs="Arial"/>
          <w:sz w:val="22"/>
          <w:szCs w:val="22"/>
        </w:rPr>
        <w:t xml:space="preserve"> Life For Primary School Pupils</w:t>
      </w:r>
      <w:r>
        <w:rPr>
          <w:rFonts w:ascii="Arial" w:hAnsi="Arial" w:cs="Arial"/>
          <w:sz w:val="22"/>
          <w:szCs w:val="22"/>
        </w:rPr>
        <w:t xml:space="preserve">. Third space learning. Available: </w:t>
      </w:r>
      <w:hyperlink r:id="rId11" w:history="1">
        <w:r w:rsidRPr="00421868">
          <w:rPr>
            <w:rStyle w:val="Hyperlink"/>
            <w:rFonts w:ascii="Arial" w:hAnsi="Arial" w:cs="Arial"/>
            <w:sz w:val="22"/>
            <w:szCs w:val="22"/>
          </w:rPr>
          <w:t>https://thirdspacelearning.com/blog/cross-curricular-learning-everyday-maths/</w:t>
        </w:r>
      </w:hyperlink>
      <w:r>
        <w:rPr>
          <w:rFonts w:ascii="Arial" w:hAnsi="Arial" w:cs="Arial"/>
          <w:sz w:val="22"/>
          <w:szCs w:val="22"/>
        </w:rPr>
        <w:t xml:space="preserve"> Last accessed, 29</w:t>
      </w:r>
      <w:r w:rsidRPr="00E66E10">
        <w:rPr>
          <w:rFonts w:ascii="Arial" w:hAnsi="Arial" w:cs="Arial"/>
          <w:sz w:val="22"/>
          <w:szCs w:val="22"/>
          <w:vertAlign w:val="superscript"/>
        </w:rPr>
        <w:t>th</w:t>
      </w:r>
      <w:r>
        <w:rPr>
          <w:rFonts w:ascii="Arial" w:hAnsi="Arial" w:cs="Arial"/>
          <w:sz w:val="22"/>
          <w:szCs w:val="22"/>
        </w:rPr>
        <w:t xml:space="preserve"> April 2021. </w:t>
      </w:r>
    </w:p>
    <w:p w14:paraId="0BF1BE83" w14:textId="77777777" w:rsidR="0077722E" w:rsidRPr="00D827D3" w:rsidRDefault="0077722E" w:rsidP="0077722E">
      <w:pPr>
        <w:rPr>
          <w:rFonts w:ascii="Arial" w:hAnsi="Arial" w:cs="Arial"/>
          <w:color w:val="000000"/>
          <w:sz w:val="22"/>
          <w:szCs w:val="22"/>
        </w:rPr>
      </w:pPr>
    </w:p>
    <w:p w14:paraId="7D4D8E28" w14:textId="771C7F9E" w:rsidR="0077722E" w:rsidRDefault="0077722E" w:rsidP="0077722E">
      <w:pPr>
        <w:rPr>
          <w:rFonts w:ascii="Arial" w:hAnsi="Arial" w:cs="Arial"/>
          <w:color w:val="000000"/>
          <w:sz w:val="22"/>
          <w:szCs w:val="22"/>
        </w:rPr>
      </w:pPr>
      <w:r w:rsidRPr="0077722E">
        <w:rPr>
          <w:rFonts w:ascii="Arial" w:hAnsi="Arial" w:cs="Arial"/>
          <w:color w:val="000000"/>
          <w:sz w:val="22"/>
          <w:szCs w:val="22"/>
        </w:rPr>
        <w:t>Donaldson</w:t>
      </w:r>
      <w:r w:rsidRPr="00D827D3">
        <w:rPr>
          <w:rFonts w:ascii="Arial" w:hAnsi="Arial" w:cs="Arial"/>
          <w:color w:val="000000"/>
          <w:sz w:val="22"/>
          <w:szCs w:val="22"/>
        </w:rPr>
        <w:t>, G.</w:t>
      </w:r>
      <w:r w:rsidRPr="0077722E">
        <w:rPr>
          <w:rFonts w:ascii="Arial" w:hAnsi="Arial" w:cs="Arial"/>
          <w:color w:val="000000"/>
          <w:sz w:val="22"/>
          <w:szCs w:val="22"/>
        </w:rPr>
        <w:t xml:space="preserve"> (2015). </w:t>
      </w:r>
      <w:r w:rsidRPr="0077722E">
        <w:rPr>
          <w:rFonts w:ascii="Arial" w:hAnsi="Arial" w:cs="Arial"/>
          <w:i/>
          <w:iCs/>
          <w:color w:val="000000"/>
          <w:sz w:val="22"/>
          <w:szCs w:val="22"/>
        </w:rPr>
        <w:t>Successful Futures.</w:t>
      </w:r>
      <w:r w:rsidRPr="0077722E">
        <w:rPr>
          <w:rFonts w:ascii="Arial" w:hAnsi="Arial" w:cs="Arial"/>
          <w:color w:val="000000"/>
          <w:sz w:val="22"/>
          <w:szCs w:val="22"/>
        </w:rPr>
        <w:t xml:space="preserve"> Available: </w:t>
      </w:r>
      <w:hyperlink r:id="rId12" w:history="1">
        <w:r w:rsidRPr="0077722E">
          <w:rPr>
            <w:rStyle w:val="Hyperlink"/>
            <w:rFonts w:ascii="Arial" w:hAnsi="Arial" w:cs="Arial"/>
            <w:sz w:val="22"/>
            <w:szCs w:val="22"/>
          </w:rPr>
          <w:t>https://gov.wales/sites/default/files/publications/2018-03/successful-futures.pdf</w:t>
        </w:r>
      </w:hyperlink>
      <w:r w:rsidRPr="0077722E">
        <w:rPr>
          <w:rFonts w:ascii="Arial" w:hAnsi="Arial" w:cs="Arial"/>
          <w:color w:val="000000"/>
          <w:sz w:val="22"/>
          <w:szCs w:val="22"/>
        </w:rPr>
        <w:t>.</w:t>
      </w:r>
      <w:r w:rsidRPr="00D827D3">
        <w:rPr>
          <w:rFonts w:ascii="Arial" w:hAnsi="Arial" w:cs="Arial"/>
          <w:color w:val="000000"/>
          <w:sz w:val="22"/>
          <w:szCs w:val="22"/>
        </w:rPr>
        <w:t xml:space="preserve"> </w:t>
      </w:r>
      <w:r w:rsidRPr="0077722E">
        <w:rPr>
          <w:rFonts w:ascii="Arial" w:hAnsi="Arial" w:cs="Arial"/>
          <w:color w:val="000000"/>
          <w:sz w:val="22"/>
          <w:szCs w:val="22"/>
        </w:rPr>
        <w:t xml:space="preserve"> Last accessed 21st April 2021.</w:t>
      </w:r>
    </w:p>
    <w:p w14:paraId="1B58C0A5" w14:textId="36E33150" w:rsidR="00CA7AAB" w:rsidRDefault="00CA7AAB" w:rsidP="0077722E">
      <w:pPr>
        <w:rPr>
          <w:rFonts w:ascii="Arial" w:hAnsi="Arial" w:cs="Arial"/>
          <w:color w:val="000000"/>
          <w:sz w:val="22"/>
          <w:szCs w:val="22"/>
        </w:rPr>
      </w:pPr>
    </w:p>
    <w:p w14:paraId="44E7ACD1" w14:textId="36436E3F" w:rsidR="00CA7AAB" w:rsidRDefault="00CA7AAB" w:rsidP="0077722E">
      <w:pPr>
        <w:rPr>
          <w:rFonts w:ascii="Arial" w:hAnsi="Arial" w:cs="Arial"/>
          <w:color w:val="000000"/>
          <w:sz w:val="22"/>
          <w:szCs w:val="22"/>
        </w:rPr>
      </w:pPr>
      <w:r>
        <w:rPr>
          <w:rFonts w:ascii="Arial" w:hAnsi="Arial" w:cs="Arial"/>
          <w:color w:val="000000"/>
          <w:sz w:val="22"/>
          <w:szCs w:val="22"/>
        </w:rPr>
        <w:t xml:space="preserve">Estyn, (2018). Keeping pupils at the centre of teaching and learning. Effective practice. Available at: </w:t>
      </w:r>
      <w:hyperlink r:id="rId13" w:history="1">
        <w:r w:rsidRPr="00421868">
          <w:rPr>
            <w:rStyle w:val="Hyperlink"/>
            <w:rFonts w:ascii="Arial" w:hAnsi="Arial" w:cs="Arial"/>
            <w:sz w:val="22"/>
            <w:szCs w:val="22"/>
          </w:rPr>
          <w:t>https://www.estyn.gov.wales/effective-practice/keeping-pupils-centre-teaching-and-learning</w:t>
        </w:r>
      </w:hyperlink>
      <w:r>
        <w:rPr>
          <w:rFonts w:ascii="Arial" w:hAnsi="Arial" w:cs="Arial"/>
          <w:color w:val="000000"/>
          <w:sz w:val="22"/>
          <w:szCs w:val="22"/>
        </w:rPr>
        <w:t xml:space="preserve"> Last accessed 30th April 2021. </w:t>
      </w:r>
    </w:p>
    <w:p w14:paraId="53E9259A" w14:textId="3254600F" w:rsidR="00CA7AAB" w:rsidRDefault="00CA7AAB" w:rsidP="0077722E">
      <w:pPr>
        <w:rPr>
          <w:rFonts w:ascii="Arial" w:hAnsi="Arial" w:cs="Arial"/>
          <w:color w:val="000000"/>
          <w:sz w:val="22"/>
          <w:szCs w:val="22"/>
        </w:rPr>
      </w:pPr>
    </w:p>
    <w:p w14:paraId="69F5F47E" w14:textId="561AD415" w:rsidR="00CA7AAB" w:rsidRDefault="00CA7AAB" w:rsidP="0077722E">
      <w:pPr>
        <w:rPr>
          <w:rFonts w:ascii="Arial" w:hAnsi="Arial" w:cs="Arial"/>
          <w:color w:val="000000"/>
          <w:sz w:val="22"/>
          <w:szCs w:val="22"/>
        </w:rPr>
      </w:pPr>
      <w:r>
        <w:rPr>
          <w:rFonts w:ascii="Arial" w:hAnsi="Arial" w:cs="Arial"/>
          <w:color w:val="000000"/>
          <w:sz w:val="22"/>
          <w:szCs w:val="22"/>
        </w:rPr>
        <w:lastRenderedPageBreak/>
        <w:t xml:space="preserve">Lynch, M. (2019). Pros and Cons of cross-curricular teaching. The </w:t>
      </w:r>
      <w:proofErr w:type="spellStart"/>
      <w:r>
        <w:rPr>
          <w:rFonts w:ascii="Arial" w:hAnsi="Arial" w:cs="Arial"/>
          <w:color w:val="000000"/>
          <w:sz w:val="22"/>
          <w:szCs w:val="22"/>
        </w:rPr>
        <w:t>edvocate</w:t>
      </w:r>
      <w:proofErr w:type="spellEnd"/>
      <w:r>
        <w:rPr>
          <w:rFonts w:ascii="Arial" w:hAnsi="Arial" w:cs="Arial"/>
          <w:color w:val="000000"/>
          <w:sz w:val="22"/>
          <w:szCs w:val="22"/>
        </w:rPr>
        <w:t xml:space="preserve">. Available at: </w:t>
      </w:r>
      <w:hyperlink r:id="rId14" w:history="1">
        <w:r w:rsidRPr="00421868">
          <w:rPr>
            <w:rStyle w:val="Hyperlink"/>
            <w:rFonts w:ascii="Arial" w:hAnsi="Arial" w:cs="Arial"/>
            <w:sz w:val="22"/>
            <w:szCs w:val="22"/>
          </w:rPr>
          <w:t>https://www.theedadvocate.org/pros-and-cons-of-cross-curricular-teaching/</w:t>
        </w:r>
      </w:hyperlink>
      <w:r>
        <w:rPr>
          <w:rFonts w:ascii="Arial" w:hAnsi="Arial" w:cs="Arial"/>
          <w:color w:val="000000"/>
          <w:sz w:val="22"/>
          <w:szCs w:val="22"/>
        </w:rPr>
        <w:t xml:space="preserve"> Last accessed 30</w:t>
      </w:r>
      <w:r w:rsidRPr="00CA7AAB">
        <w:rPr>
          <w:rFonts w:ascii="Arial" w:hAnsi="Arial" w:cs="Arial"/>
          <w:color w:val="000000"/>
          <w:sz w:val="22"/>
          <w:szCs w:val="22"/>
          <w:vertAlign w:val="superscript"/>
        </w:rPr>
        <w:t>th</w:t>
      </w:r>
      <w:r>
        <w:rPr>
          <w:rFonts w:ascii="Arial" w:hAnsi="Arial" w:cs="Arial"/>
          <w:color w:val="000000"/>
          <w:sz w:val="22"/>
          <w:szCs w:val="22"/>
        </w:rPr>
        <w:t xml:space="preserve"> April 2021. </w:t>
      </w:r>
    </w:p>
    <w:p w14:paraId="68A9AAAD" w14:textId="50059101" w:rsidR="0014744C" w:rsidRDefault="0014744C" w:rsidP="0077722E">
      <w:pPr>
        <w:rPr>
          <w:rFonts w:ascii="Arial" w:hAnsi="Arial" w:cs="Arial"/>
          <w:color w:val="000000"/>
          <w:sz w:val="22"/>
          <w:szCs w:val="22"/>
        </w:rPr>
      </w:pPr>
    </w:p>
    <w:p w14:paraId="429D9E55" w14:textId="3E4E27C8" w:rsidR="00041829" w:rsidRDefault="0014744C" w:rsidP="0077722E">
      <w:pPr>
        <w:rPr>
          <w:rFonts w:ascii="Arial" w:hAnsi="Arial" w:cs="Arial"/>
          <w:color w:val="000000"/>
          <w:sz w:val="22"/>
          <w:szCs w:val="22"/>
          <w:shd w:val="clear" w:color="auto" w:fill="FFFFFF"/>
        </w:rPr>
      </w:pPr>
      <w:r w:rsidRPr="0014744C">
        <w:rPr>
          <w:rFonts w:ascii="Arial" w:hAnsi="Arial" w:cs="Arial"/>
          <w:color w:val="000000"/>
          <w:sz w:val="22"/>
          <w:szCs w:val="22"/>
          <w:shd w:val="clear" w:color="auto" w:fill="FFFFFF"/>
        </w:rPr>
        <w:t xml:space="preserve">McLeod, S. A. (2019). What Is the zone of proximal </w:t>
      </w:r>
      <w:proofErr w:type="gramStart"/>
      <w:r w:rsidRPr="0014744C">
        <w:rPr>
          <w:rFonts w:ascii="Arial" w:hAnsi="Arial" w:cs="Arial"/>
          <w:color w:val="000000"/>
          <w:sz w:val="22"/>
          <w:szCs w:val="22"/>
          <w:shd w:val="clear" w:color="auto" w:fill="FFFFFF"/>
        </w:rPr>
        <w:t>development?.</w:t>
      </w:r>
      <w:proofErr w:type="gramEnd"/>
      <w:r w:rsidRPr="0014744C">
        <w:rPr>
          <w:rFonts w:ascii="Arial" w:hAnsi="Arial" w:cs="Arial"/>
          <w:color w:val="000000"/>
          <w:sz w:val="22"/>
          <w:szCs w:val="22"/>
          <w:shd w:val="clear" w:color="auto" w:fill="FFFFFF"/>
        </w:rPr>
        <w:t xml:space="preserve"> Simply psychology. </w:t>
      </w:r>
      <w:hyperlink r:id="rId15" w:history="1">
        <w:r w:rsidRPr="0014744C">
          <w:rPr>
            <w:rStyle w:val="Hyperlink"/>
            <w:rFonts w:ascii="Arial" w:hAnsi="Arial" w:cs="Arial"/>
            <w:sz w:val="22"/>
            <w:szCs w:val="22"/>
            <w:shd w:val="clear" w:color="auto" w:fill="FFFFFF"/>
          </w:rPr>
          <w:t>https://www.simplypsychology.org/Zone-of-Proximal-Development.html</w:t>
        </w:r>
      </w:hyperlink>
      <w:r w:rsidRPr="0014744C">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Last accessed 24th April 2021. </w:t>
      </w:r>
    </w:p>
    <w:p w14:paraId="575900B7" w14:textId="0C7D5D40" w:rsidR="00ED4FAF" w:rsidRDefault="00ED4FAF" w:rsidP="0077722E">
      <w:pPr>
        <w:rPr>
          <w:rFonts w:ascii="Arial" w:hAnsi="Arial" w:cs="Arial"/>
          <w:color w:val="000000"/>
          <w:sz w:val="22"/>
          <w:szCs w:val="22"/>
          <w:shd w:val="clear" w:color="auto" w:fill="FFFFFF"/>
        </w:rPr>
      </w:pPr>
    </w:p>
    <w:p w14:paraId="4967248F" w14:textId="2220AE51" w:rsidR="00ED4FAF" w:rsidRPr="00ED4FAF" w:rsidRDefault="00ED4FAF" w:rsidP="00ED4FAF">
      <w:pPr>
        <w:rPr>
          <w:rFonts w:ascii="Arial" w:hAnsi="Arial" w:cs="Arial"/>
          <w:sz w:val="22"/>
          <w:szCs w:val="22"/>
        </w:rPr>
      </w:pPr>
      <w:r w:rsidRPr="00ED4FAF">
        <w:rPr>
          <w:rFonts w:ascii="Arial" w:hAnsi="Arial" w:cs="Arial"/>
          <w:sz w:val="22"/>
          <w:szCs w:val="22"/>
        </w:rPr>
        <w:t xml:space="preserve">Pickford, T., Garner, W. and Jackson, E. (2013) </w:t>
      </w:r>
      <w:r w:rsidRPr="00ED4FAF">
        <w:rPr>
          <w:rFonts w:ascii="Arial" w:hAnsi="Arial" w:cs="Arial"/>
          <w:i/>
          <w:sz w:val="22"/>
          <w:szCs w:val="22"/>
        </w:rPr>
        <w:t>Primary Humanities: Learning through Enquiry</w:t>
      </w:r>
      <w:r w:rsidRPr="00ED4FAF">
        <w:rPr>
          <w:rFonts w:ascii="Arial" w:hAnsi="Arial" w:cs="Arial"/>
          <w:sz w:val="22"/>
          <w:szCs w:val="22"/>
        </w:rPr>
        <w:t xml:space="preserve">. London: SAGE. </w:t>
      </w:r>
      <w:r w:rsidRPr="00ED4FAF">
        <w:rPr>
          <w:rFonts w:ascii="Arial" w:hAnsi="Arial" w:cs="Arial"/>
          <w:sz w:val="22"/>
          <w:szCs w:val="22"/>
        </w:rPr>
        <w:t xml:space="preserve">Available at: </w:t>
      </w:r>
      <w:hyperlink r:id="rId16" w:history="1">
        <w:r w:rsidRPr="00ED4FAF">
          <w:rPr>
            <w:rStyle w:val="Hyperlink"/>
            <w:rFonts w:ascii="Arial" w:hAnsi="Arial" w:cs="Arial"/>
            <w:sz w:val="22"/>
            <w:szCs w:val="22"/>
          </w:rPr>
          <w:t>https://sk.sagepub.com/books/primary-humanities-learning-through-enquiry/i685.xml</w:t>
        </w:r>
      </w:hyperlink>
      <w:r w:rsidRPr="00ED4FAF">
        <w:rPr>
          <w:rFonts w:ascii="Arial" w:hAnsi="Arial" w:cs="Arial"/>
          <w:sz w:val="22"/>
          <w:szCs w:val="22"/>
        </w:rPr>
        <w:t xml:space="preserve"> Last accessed, 29th April 2021.</w:t>
      </w:r>
    </w:p>
    <w:p w14:paraId="4E63C1E7" w14:textId="64128EFC" w:rsidR="00041829" w:rsidRDefault="00041829" w:rsidP="0077722E">
      <w:pPr>
        <w:rPr>
          <w:rFonts w:ascii="Arial" w:hAnsi="Arial" w:cs="Arial"/>
          <w:color w:val="000000"/>
          <w:sz w:val="22"/>
          <w:szCs w:val="22"/>
          <w:shd w:val="clear" w:color="auto" w:fill="FFFFFF"/>
        </w:rPr>
      </w:pPr>
    </w:p>
    <w:p w14:paraId="3704521B" w14:textId="36B20CFE" w:rsidR="00041829" w:rsidRPr="00D827D3" w:rsidRDefault="00041829" w:rsidP="0077722E">
      <w:pPr>
        <w:rPr>
          <w:rFonts w:ascii="Arial" w:hAnsi="Arial" w:cs="Arial"/>
          <w:sz w:val="22"/>
          <w:szCs w:val="22"/>
        </w:rPr>
      </w:pPr>
      <w:r w:rsidRPr="00041829">
        <w:rPr>
          <w:rFonts w:ascii="Arial" w:hAnsi="Arial" w:cs="Arial"/>
          <w:color w:val="000000"/>
          <w:sz w:val="22"/>
          <w:szCs w:val="22"/>
          <w:shd w:val="clear" w:color="auto" w:fill="FFFFFF"/>
        </w:rPr>
        <w:t>Welsh Government. (2020</w:t>
      </w:r>
      <w:r w:rsidRPr="00041829">
        <w:rPr>
          <w:rFonts w:ascii="Arial" w:hAnsi="Arial" w:cs="Arial"/>
          <w:sz w:val="22"/>
          <w:szCs w:val="22"/>
          <w:shd w:val="clear" w:color="auto" w:fill="FFFFFF"/>
        </w:rPr>
        <w:t xml:space="preserve">). </w:t>
      </w:r>
      <w:r w:rsidRPr="00041829">
        <w:rPr>
          <w:rFonts w:ascii="Arial" w:hAnsi="Arial" w:cs="Arial"/>
          <w:sz w:val="22"/>
          <w:szCs w:val="22"/>
        </w:rPr>
        <w:t>Curriculum for Wales: summary of proposed legislation</w:t>
      </w:r>
      <w:r w:rsidRPr="00041829">
        <w:rPr>
          <w:rFonts w:ascii="Arial" w:hAnsi="Arial" w:cs="Arial"/>
          <w:sz w:val="22"/>
          <w:szCs w:val="22"/>
        </w:rPr>
        <w:t xml:space="preserve">. Hwb. Available at: </w:t>
      </w:r>
      <w:hyperlink r:id="rId17" w:history="1">
        <w:r w:rsidRPr="00041829">
          <w:rPr>
            <w:rStyle w:val="Hyperlink"/>
            <w:rFonts w:ascii="Arial" w:hAnsi="Arial" w:cs="Arial"/>
            <w:spacing w:val="-5"/>
            <w:sz w:val="22"/>
            <w:szCs w:val="22"/>
          </w:rPr>
          <w:t>https://hwb.gov.wales/curriculum-for-wales/summary-of-proposed-legislation/</w:t>
        </w:r>
      </w:hyperlink>
      <w:r w:rsidRPr="00041829">
        <w:rPr>
          <w:rFonts w:ascii="Arial" w:hAnsi="Arial" w:cs="Arial"/>
          <w:sz w:val="22"/>
          <w:szCs w:val="22"/>
        </w:rPr>
        <w:t xml:space="preserve"> Last accessed, 29</w:t>
      </w:r>
      <w:r w:rsidRPr="00041829">
        <w:rPr>
          <w:rFonts w:ascii="Arial" w:hAnsi="Arial" w:cs="Arial"/>
          <w:sz w:val="22"/>
          <w:szCs w:val="22"/>
          <w:vertAlign w:val="superscript"/>
        </w:rPr>
        <w:t>th</w:t>
      </w:r>
      <w:r w:rsidRPr="00041829">
        <w:rPr>
          <w:rFonts w:ascii="Arial" w:hAnsi="Arial" w:cs="Arial"/>
          <w:sz w:val="22"/>
          <w:szCs w:val="22"/>
        </w:rPr>
        <w:t xml:space="preserve"> April 2021.</w:t>
      </w:r>
    </w:p>
    <w:p w14:paraId="552248A3" w14:textId="77777777" w:rsidR="0077722E" w:rsidRPr="00D827D3" w:rsidRDefault="0077722E" w:rsidP="0077722E">
      <w:pPr>
        <w:rPr>
          <w:rFonts w:ascii="Arial" w:hAnsi="Arial" w:cs="Arial"/>
          <w:color w:val="000000"/>
          <w:sz w:val="22"/>
          <w:szCs w:val="22"/>
        </w:rPr>
      </w:pPr>
    </w:p>
    <w:p w14:paraId="2FD3E3A5" w14:textId="23537E55" w:rsidR="0077722E" w:rsidRPr="0077722E" w:rsidRDefault="0077722E" w:rsidP="0077722E">
      <w:pPr>
        <w:rPr>
          <w:rFonts w:ascii="Arial" w:hAnsi="Arial" w:cs="Arial"/>
          <w:sz w:val="22"/>
          <w:szCs w:val="22"/>
        </w:rPr>
      </w:pPr>
      <w:r w:rsidRPr="0077722E">
        <w:rPr>
          <w:rFonts w:ascii="Arial" w:hAnsi="Arial" w:cs="Arial"/>
          <w:color w:val="000000"/>
          <w:sz w:val="22"/>
          <w:szCs w:val="22"/>
        </w:rPr>
        <w:t>Welsh Government. (2020). </w:t>
      </w:r>
      <w:r w:rsidRPr="0077722E">
        <w:rPr>
          <w:rFonts w:ascii="Arial" w:hAnsi="Arial" w:cs="Arial"/>
          <w:i/>
          <w:iCs/>
          <w:color w:val="000000"/>
          <w:sz w:val="22"/>
          <w:szCs w:val="22"/>
        </w:rPr>
        <w:t>Developing a vision for curriculum design.</w:t>
      </w:r>
      <w:r w:rsidRPr="00D827D3">
        <w:rPr>
          <w:rFonts w:ascii="Arial" w:hAnsi="Arial" w:cs="Arial"/>
          <w:i/>
          <w:iCs/>
          <w:color w:val="000000"/>
          <w:sz w:val="22"/>
          <w:szCs w:val="22"/>
        </w:rPr>
        <w:t xml:space="preserve"> </w:t>
      </w:r>
      <w:r w:rsidRPr="0077722E">
        <w:rPr>
          <w:rFonts w:ascii="Arial" w:hAnsi="Arial" w:cs="Arial"/>
          <w:color w:val="000000"/>
          <w:sz w:val="22"/>
          <w:szCs w:val="22"/>
        </w:rPr>
        <w:t xml:space="preserve">Available: </w:t>
      </w:r>
      <w:hyperlink r:id="rId18" w:anchor="curriculum-design-and-the-four-purposes" w:history="1">
        <w:r w:rsidRPr="0077722E">
          <w:rPr>
            <w:rStyle w:val="Hyperlink"/>
            <w:rFonts w:ascii="Arial" w:hAnsi="Arial" w:cs="Arial"/>
            <w:sz w:val="22"/>
            <w:szCs w:val="22"/>
          </w:rPr>
          <w:t>https://hwb.gov.wales/curriculum-for-wales/designing-your-curriculum/developing-a-vision-for-curriculum-design/#curriculum-design-and-the-four-purposes</w:t>
        </w:r>
      </w:hyperlink>
      <w:r w:rsidRPr="0077722E">
        <w:rPr>
          <w:rFonts w:ascii="Arial" w:hAnsi="Arial" w:cs="Arial"/>
          <w:color w:val="000000"/>
          <w:sz w:val="22"/>
          <w:szCs w:val="22"/>
        </w:rPr>
        <w:t>.</w:t>
      </w:r>
      <w:r w:rsidRPr="00D827D3">
        <w:rPr>
          <w:rFonts w:ascii="Arial" w:hAnsi="Arial" w:cs="Arial"/>
          <w:color w:val="000000"/>
          <w:sz w:val="22"/>
          <w:szCs w:val="22"/>
        </w:rPr>
        <w:t xml:space="preserve"> </w:t>
      </w:r>
      <w:r w:rsidRPr="0077722E">
        <w:rPr>
          <w:rFonts w:ascii="Arial" w:hAnsi="Arial" w:cs="Arial"/>
          <w:color w:val="000000"/>
          <w:sz w:val="22"/>
          <w:szCs w:val="22"/>
        </w:rPr>
        <w:t xml:space="preserve"> Last accessed 21st April 2021.</w:t>
      </w:r>
    </w:p>
    <w:p w14:paraId="71712CFC" w14:textId="2061D733" w:rsidR="0077722E" w:rsidRDefault="0077722E" w:rsidP="0077722E"/>
    <w:p w14:paraId="64897519" w14:textId="20E046D4" w:rsidR="00415937" w:rsidRPr="00415937" w:rsidRDefault="00415937" w:rsidP="0077722E">
      <w:pPr>
        <w:rPr>
          <w:rFonts w:ascii="Arial" w:hAnsi="Arial" w:cs="Arial"/>
          <w:sz w:val="22"/>
          <w:szCs w:val="22"/>
        </w:rPr>
      </w:pPr>
      <w:r w:rsidRPr="00415937">
        <w:rPr>
          <w:rFonts w:ascii="Arial" w:hAnsi="Arial" w:cs="Arial"/>
          <w:sz w:val="22"/>
          <w:szCs w:val="22"/>
        </w:rPr>
        <w:t xml:space="preserve">Welsh Government (2017). Welsh in education. Action plan 2017-21. Available at: </w:t>
      </w:r>
      <w:hyperlink r:id="rId19" w:history="1">
        <w:r w:rsidRPr="00415937">
          <w:rPr>
            <w:rStyle w:val="Hyperlink"/>
            <w:rFonts w:ascii="Arial" w:hAnsi="Arial" w:cs="Arial"/>
            <w:sz w:val="22"/>
            <w:szCs w:val="22"/>
          </w:rPr>
          <w:t>https://gov.wales/sites/default/files/publications/2018-02/welsh-in-education-action-plan-2017–21.pdf</w:t>
        </w:r>
      </w:hyperlink>
      <w:r w:rsidRPr="00415937">
        <w:rPr>
          <w:rFonts w:ascii="Arial" w:hAnsi="Arial" w:cs="Arial"/>
          <w:sz w:val="22"/>
          <w:szCs w:val="22"/>
        </w:rPr>
        <w:t xml:space="preserve"> Last accessed, 1</w:t>
      </w:r>
      <w:r w:rsidRPr="00415937">
        <w:rPr>
          <w:rFonts w:ascii="Arial" w:hAnsi="Arial" w:cs="Arial"/>
          <w:sz w:val="22"/>
          <w:szCs w:val="22"/>
          <w:vertAlign w:val="superscript"/>
        </w:rPr>
        <w:t>st</w:t>
      </w:r>
      <w:r w:rsidRPr="00415937">
        <w:rPr>
          <w:rFonts w:ascii="Arial" w:hAnsi="Arial" w:cs="Arial"/>
          <w:sz w:val="22"/>
          <w:szCs w:val="22"/>
        </w:rPr>
        <w:t xml:space="preserve"> May 2021.</w:t>
      </w:r>
    </w:p>
    <w:p w14:paraId="18CEDF92" w14:textId="662A81FB" w:rsidR="00FC66F4" w:rsidRDefault="00FC66F4"/>
    <w:p w14:paraId="07C96D81" w14:textId="557A8FE1" w:rsidR="006D7A91" w:rsidRDefault="006D7A91"/>
    <w:p w14:paraId="59EE9669" w14:textId="310D14A9" w:rsidR="006D7A91" w:rsidRDefault="006D7A91"/>
    <w:p w14:paraId="5DDE5B0E" w14:textId="365802C0" w:rsidR="006D7A91" w:rsidRDefault="006D7A91"/>
    <w:p w14:paraId="696E5158" w14:textId="483395C1" w:rsidR="006D7A91" w:rsidRDefault="006D7A91"/>
    <w:p w14:paraId="7E04DF75" w14:textId="1BFD7D3F" w:rsidR="006D7A91" w:rsidRDefault="006D7A91"/>
    <w:p w14:paraId="66BAA989" w14:textId="2206C9D5" w:rsidR="006D7A91" w:rsidRDefault="006D7A91"/>
    <w:p w14:paraId="7979BAC8" w14:textId="4DFF72A8" w:rsidR="006D7A91" w:rsidRDefault="006D7A91"/>
    <w:p w14:paraId="5BDE755D" w14:textId="004964EE" w:rsidR="006D7A91" w:rsidRDefault="006D7A91"/>
    <w:p w14:paraId="1AB1A068" w14:textId="2B637420" w:rsidR="006D7A91" w:rsidRDefault="006D7A91"/>
    <w:p w14:paraId="216AB649" w14:textId="15DFCD03" w:rsidR="006D7A91" w:rsidRDefault="006D7A91"/>
    <w:p w14:paraId="45C8B24C" w14:textId="3F6CEF04" w:rsidR="006D7A91" w:rsidRDefault="006D7A91"/>
    <w:p w14:paraId="511A4B63" w14:textId="78CAF41F" w:rsidR="006D7A91" w:rsidRDefault="006D7A91"/>
    <w:p w14:paraId="1D043D54" w14:textId="46B180EE" w:rsidR="006D7A91" w:rsidRDefault="006D7A91"/>
    <w:p w14:paraId="22ABF3E5" w14:textId="39B84BF8" w:rsidR="006D7A91" w:rsidRDefault="006D7A91"/>
    <w:p w14:paraId="6E473046" w14:textId="3C13DCB3" w:rsidR="006D7A91" w:rsidRDefault="006D7A91"/>
    <w:p w14:paraId="61068ED3" w14:textId="53A21FA6" w:rsidR="006D7A91" w:rsidRDefault="006D7A91"/>
    <w:p w14:paraId="0DA50BD5" w14:textId="0FC3ACC5" w:rsidR="006D7A91" w:rsidRDefault="006D7A91"/>
    <w:p w14:paraId="60C7B27E" w14:textId="68177D10" w:rsidR="006D7A91" w:rsidRDefault="006D7A91"/>
    <w:p w14:paraId="6825C13A" w14:textId="0B72B5ED" w:rsidR="006D7A91" w:rsidRDefault="006D7A91"/>
    <w:p w14:paraId="4AB9EF22" w14:textId="5A17C15E" w:rsidR="006D7A91" w:rsidRDefault="006D7A91"/>
    <w:p w14:paraId="5C622111" w14:textId="3B9B74EC" w:rsidR="006D7A91" w:rsidRDefault="006D7A91"/>
    <w:p w14:paraId="55E16337" w14:textId="42A81AE2" w:rsidR="006D7A91" w:rsidRDefault="006D7A91"/>
    <w:p w14:paraId="461C2B24" w14:textId="41AFD227" w:rsidR="006D7A91" w:rsidRDefault="006D7A91"/>
    <w:p w14:paraId="68FB8B55" w14:textId="0622D143" w:rsidR="006D7A91" w:rsidRDefault="006D7A91"/>
    <w:p w14:paraId="00C2A580" w14:textId="4653CEC8" w:rsidR="008B3C6E" w:rsidRDefault="008B3C6E"/>
    <w:p w14:paraId="183099BD" w14:textId="1B86A6C1" w:rsidR="008B3C6E" w:rsidRDefault="008B3C6E"/>
    <w:p w14:paraId="17B7EB58" w14:textId="05CC4F69" w:rsidR="008B3C6E" w:rsidRDefault="008B3C6E"/>
    <w:p w14:paraId="0A0F2AB7" w14:textId="02E67178" w:rsidR="008B3C6E" w:rsidRDefault="008B3C6E"/>
    <w:p w14:paraId="44D87E5C" w14:textId="77777777" w:rsidR="008B3C6E" w:rsidRDefault="008B3C6E"/>
    <w:p w14:paraId="18B45B8F" w14:textId="5A294BEC" w:rsidR="006D7A91" w:rsidRDefault="006D7A91"/>
    <w:p w14:paraId="3E6D6D8B" w14:textId="07103E93" w:rsidR="006D7A91" w:rsidRDefault="006D7A91"/>
    <w:p w14:paraId="153D2F0C" w14:textId="77777777" w:rsidR="006D7A91" w:rsidRDefault="006D7A91"/>
    <w:sectPr w:rsidR="006D7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83E0E"/>
    <w:multiLevelType w:val="multilevel"/>
    <w:tmpl w:val="B77E0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093DAB"/>
    <w:multiLevelType w:val="multilevel"/>
    <w:tmpl w:val="F090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1B3541"/>
    <w:multiLevelType w:val="multilevel"/>
    <w:tmpl w:val="8FC64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446B5E"/>
    <w:multiLevelType w:val="multilevel"/>
    <w:tmpl w:val="7E78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F86CD5"/>
    <w:multiLevelType w:val="multilevel"/>
    <w:tmpl w:val="CCE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1462988"/>
    <w:multiLevelType w:val="multilevel"/>
    <w:tmpl w:val="267012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BE049F"/>
    <w:multiLevelType w:val="multilevel"/>
    <w:tmpl w:val="D8A8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6D1578"/>
    <w:multiLevelType w:val="multilevel"/>
    <w:tmpl w:val="7CE2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C61630"/>
    <w:multiLevelType w:val="multilevel"/>
    <w:tmpl w:val="D574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8"/>
  </w:num>
  <w:num w:numId="4">
    <w:abstractNumId w:val="5"/>
  </w:num>
  <w:num w:numId="5">
    <w:abstractNumId w:val="0"/>
  </w:num>
  <w:num w:numId="6">
    <w:abstractNumId w:val="2"/>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22E"/>
    <w:rsid w:val="00041829"/>
    <w:rsid w:val="000578D9"/>
    <w:rsid w:val="00082D31"/>
    <w:rsid w:val="00084956"/>
    <w:rsid w:val="000D399B"/>
    <w:rsid w:val="001378A5"/>
    <w:rsid w:val="0014744C"/>
    <w:rsid w:val="0015099D"/>
    <w:rsid w:val="00173423"/>
    <w:rsid w:val="001C2FCE"/>
    <w:rsid w:val="001C6696"/>
    <w:rsid w:val="002B6291"/>
    <w:rsid w:val="002C11A0"/>
    <w:rsid w:val="002F29B9"/>
    <w:rsid w:val="00300032"/>
    <w:rsid w:val="003041D5"/>
    <w:rsid w:val="00323AC1"/>
    <w:rsid w:val="00336440"/>
    <w:rsid w:val="00345AFB"/>
    <w:rsid w:val="003C1F05"/>
    <w:rsid w:val="00415937"/>
    <w:rsid w:val="00441545"/>
    <w:rsid w:val="00444D37"/>
    <w:rsid w:val="004C4477"/>
    <w:rsid w:val="00522644"/>
    <w:rsid w:val="00585337"/>
    <w:rsid w:val="005C258D"/>
    <w:rsid w:val="00662F38"/>
    <w:rsid w:val="006D7A91"/>
    <w:rsid w:val="00722EEA"/>
    <w:rsid w:val="00731C37"/>
    <w:rsid w:val="0077722E"/>
    <w:rsid w:val="007C7555"/>
    <w:rsid w:val="007F0DF9"/>
    <w:rsid w:val="0084168B"/>
    <w:rsid w:val="008427D2"/>
    <w:rsid w:val="008463B0"/>
    <w:rsid w:val="00874DA4"/>
    <w:rsid w:val="008B3C6E"/>
    <w:rsid w:val="008E1200"/>
    <w:rsid w:val="00906F12"/>
    <w:rsid w:val="009170F9"/>
    <w:rsid w:val="00931C2F"/>
    <w:rsid w:val="00971EA9"/>
    <w:rsid w:val="00A40E57"/>
    <w:rsid w:val="00AC57E4"/>
    <w:rsid w:val="00AE62AD"/>
    <w:rsid w:val="00B23EC8"/>
    <w:rsid w:val="00B76F0D"/>
    <w:rsid w:val="00BA0513"/>
    <w:rsid w:val="00BD005A"/>
    <w:rsid w:val="00BD008D"/>
    <w:rsid w:val="00C040F7"/>
    <w:rsid w:val="00C45AF2"/>
    <w:rsid w:val="00CA00FC"/>
    <w:rsid w:val="00CA7AAB"/>
    <w:rsid w:val="00CD4E88"/>
    <w:rsid w:val="00D03FC9"/>
    <w:rsid w:val="00D14C9B"/>
    <w:rsid w:val="00D17A39"/>
    <w:rsid w:val="00D70236"/>
    <w:rsid w:val="00D827D3"/>
    <w:rsid w:val="00DA2E1E"/>
    <w:rsid w:val="00E45361"/>
    <w:rsid w:val="00E50EF0"/>
    <w:rsid w:val="00E57D99"/>
    <w:rsid w:val="00E66E10"/>
    <w:rsid w:val="00E870B7"/>
    <w:rsid w:val="00EB6E90"/>
    <w:rsid w:val="00ED4FAF"/>
    <w:rsid w:val="00EF1189"/>
    <w:rsid w:val="00F47AAD"/>
    <w:rsid w:val="00F55355"/>
    <w:rsid w:val="00F63C9B"/>
    <w:rsid w:val="00F64517"/>
    <w:rsid w:val="00F73EB9"/>
    <w:rsid w:val="00FC66F4"/>
    <w:rsid w:val="00FD7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DDFE75"/>
  <w15:chartTrackingRefBased/>
  <w15:docId w15:val="{A07520B3-873F-4A40-91B4-A8521B3F4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E57"/>
    <w:rPr>
      <w:rFonts w:ascii="Times New Roman" w:eastAsia="Times New Roman" w:hAnsi="Times New Roman" w:cs="Times New Roman"/>
      <w:lang w:eastAsia="en-GB"/>
    </w:rPr>
  </w:style>
  <w:style w:type="paragraph" w:styleId="Heading1">
    <w:name w:val="heading 1"/>
    <w:basedOn w:val="Normal"/>
    <w:link w:val="Heading1Char"/>
    <w:uiPriority w:val="9"/>
    <w:qFormat/>
    <w:rsid w:val="00E66E1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7722E"/>
  </w:style>
  <w:style w:type="character" w:styleId="Hyperlink">
    <w:name w:val="Hyperlink"/>
    <w:basedOn w:val="DefaultParagraphFont"/>
    <w:uiPriority w:val="99"/>
    <w:unhideWhenUsed/>
    <w:rsid w:val="0077722E"/>
    <w:rPr>
      <w:color w:val="0563C1" w:themeColor="hyperlink"/>
      <w:u w:val="single"/>
    </w:rPr>
  </w:style>
  <w:style w:type="character" w:styleId="UnresolvedMention">
    <w:name w:val="Unresolved Mention"/>
    <w:basedOn w:val="DefaultParagraphFont"/>
    <w:uiPriority w:val="99"/>
    <w:semiHidden/>
    <w:unhideWhenUsed/>
    <w:rsid w:val="0077722E"/>
    <w:rPr>
      <w:color w:val="605E5C"/>
      <w:shd w:val="clear" w:color="auto" w:fill="E1DFDD"/>
    </w:rPr>
  </w:style>
  <w:style w:type="paragraph" w:styleId="NormalWeb">
    <w:name w:val="Normal (Web)"/>
    <w:basedOn w:val="Normal"/>
    <w:uiPriority w:val="99"/>
    <w:unhideWhenUsed/>
    <w:rsid w:val="0077722E"/>
    <w:pPr>
      <w:spacing w:before="100" w:beforeAutospacing="1" w:after="100" w:afterAutospacing="1"/>
    </w:pPr>
  </w:style>
  <w:style w:type="character" w:customStyle="1" w:styleId="Heading1Char">
    <w:name w:val="Heading 1 Char"/>
    <w:basedOn w:val="DefaultParagraphFont"/>
    <w:link w:val="Heading1"/>
    <w:uiPriority w:val="9"/>
    <w:rsid w:val="00E66E10"/>
    <w:rPr>
      <w:rFonts w:ascii="Times New Roman" w:eastAsia="Times New Roman" w:hAnsi="Times New Roman" w:cs="Times New Roman"/>
      <w:b/>
      <w:bCs/>
      <w:kern w:val="36"/>
      <w:sz w:val="48"/>
      <w:szCs w:val="48"/>
      <w:lang w:eastAsia="en-GB"/>
    </w:rPr>
  </w:style>
  <w:style w:type="character" w:customStyle="1" w:styleId="normaltextrun">
    <w:name w:val="normaltextrun"/>
    <w:rsid w:val="001C6696"/>
  </w:style>
  <w:style w:type="character" w:customStyle="1" w:styleId="eop">
    <w:name w:val="eop"/>
    <w:rsid w:val="001C6696"/>
  </w:style>
  <w:style w:type="paragraph" w:customStyle="1" w:styleId="paragraph">
    <w:name w:val="paragraph"/>
    <w:basedOn w:val="Normal"/>
    <w:rsid w:val="00F63C9B"/>
    <w:pPr>
      <w:spacing w:before="100" w:beforeAutospacing="1" w:after="100" w:afterAutospacing="1"/>
    </w:pPr>
  </w:style>
  <w:style w:type="character" w:styleId="FollowedHyperlink">
    <w:name w:val="FollowedHyperlink"/>
    <w:basedOn w:val="DefaultParagraphFont"/>
    <w:uiPriority w:val="99"/>
    <w:semiHidden/>
    <w:unhideWhenUsed/>
    <w:rsid w:val="00D70236"/>
    <w:rPr>
      <w:color w:val="954F72" w:themeColor="followedHyperlink"/>
      <w:u w:val="single"/>
    </w:rPr>
  </w:style>
  <w:style w:type="paragraph" w:styleId="NoSpacing">
    <w:name w:val="No Spacing"/>
    <w:uiPriority w:val="1"/>
    <w:qFormat/>
    <w:rsid w:val="00722EEA"/>
    <w:rPr>
      <w:rFonts w:ascii="Times New Roman" w:eastAsia="Times New Roman" w:hAnsi="Times New Roman" w:cs="Times New Roman"/>
      <w:lang w:eastAsia="en-GB"/>
    </w:rPr>
  </w:style>
  <w:style w:type="paragraph" w:customStyle="1" w:styleId="AssignBody">
    <w:name w:val="AssignBody"/>
    <w:basedOn w:val="Normal"/>
    <w:link w:val="AssignBodyChar"/>
    <w:qFormat/>
    <w:rsid w:val="00FD744D"/>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D744D"/>
    <w:rPr>
      <w:rFonts w:ascii="Arial" w:hAnsi="Arial"/>
      <w:sz w:val="22"/>
      <w:szCs w:val="22"/>
    </w:rPr>
  </w:style>
  <w:style w:type="table" w:styleId="TableGrid">
    <w:name w:val="Table Grid"/>
    <w:basedOn w:val="TableNormal"/>
    <w:uiPriority w:val="39"/>
    <w:rsid w:val="00FD744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1681">
      <w:bodyDiv w:val="1"/>
      <w:marLeft w:val="0"/>
      <w:marRight w:val="0"/>
      <w:marTop w:val="0"/>
      <w:marBottom w:val="0"/>
      <w:divBdr>
        <w:top w:val="none" w:sz="0" w:space="0" w:color="auto"/>
        <w:left w:val="none" w:sz="0" w:space="0" w:color="auto"/>
        <w:bottom w:val="none" w:sz="0" w:space="0" w:color="auto"/>
        <w:right w:val="none" w:sz="0" w:space="0" w:color="auto"/>
      </w:divBdr>
    </w:div>
    <w:div w:id="116266801">
      <w:bodyDiv w:val="1"/>
      <w:marLeft w:val="0"/>
      <w:marRight w:val="0"/>
      <w:marTop w:val="0"/>
      <w:marBottom w:val="0"/>
      <w:divBdr>
        <w:top w:val="none" w:sz="0" w:space="0" w:color="auto"/>
        <w:left w:val="none" w:sz="0" w:space="0" w:color="auto"/>
        <w:bottom w:val="none" w:sz="0" w:space="0" w:color="auto"/>
        <w:right w:val="none" w:sz="0" w:space="0" w:color="auto"/>
      </w:divBdr>
    </w:div>
    <w:div w:id="121654525">
      <w:bodyDiv w:val="1"/>
      <w:marLeft w:val="0"/>
      <w:marRight w:val="0"/>
      <w:marTop w:val="0"/>
      <w:marBottom w:val="0"/>
      <w:divBdr>
        <w:top w:val="none" w:sz="0" w:space="0" w:color="auto"/>
        <w:left w:val="none" w:sz="0" w:space="0" w:color="auto"/>
        <w:bottom w:val="none" w:sz="0" w:space="0" w:color="auto"/>
        <w:right w:val="none" w:sz="0" w:space="0" w:color="auto"/>
      </w:divBdr>
    </w:div>
    <w:div w:id="127090319">
      <w:bodyDiv w:val="1"/>
      <w:marLeft w:val="0"/>
      <w:marRight w:val="0"/>
      <w:marTop w:val="0"/>
      <w:marBottom w:val="0"/>
      <w:divBdr>
        <w:top w:val="none" w:sz="0" w:space="0" w:color="auto"/>
        <w:left w:val="none" w:sz="0" w:space="0" w:color="auto"/>
        <w:bottom w:val="none" w:sz="0" w:space="0" w:color="auto"/>
        <w:right w:val="none" w:sz="0" w:space="0" w:color="auto"/>
      </w:divBdr>
    </w:div>
    <w:div w:id="198516946">
      <w:bodyDiv w:val="1"/>
      <w:marLeft w:val="0"/>
      <w:marRight w:val="0"/>
      <w:marTop w:val="0"/>
      <w:marBottom w:val="0"/>
      <w:divBdr>
        <w:top w:val="none" w:sz="0" w:space="0" w:color="auto"/>
        <w:left w:val="none" w:sz="0" w:space="0" w:color="auto"/>
        <w:bottom w:val="none" w:sz="0" w:space="0" w:color="auto"/>
        <w:right w:val="none" w:sz="0" w:space="0" w:color="auto"/>
      </w:divBdr>
    </w:div>
    <w:div w:id="219101669">
      <w:bodyDiv w:val="1"/>
      <w:marLeft w:val="0"/>
      <w:marRight w:val="0"/>
      <w:marTop w:val="0"/>
      <w:marBottom w:val="0"/>
      <w:divBdr>
        <w:top w:val="none" w:sz="0" w:space="0" w:color="auto"/>
        <w:left w:val="none" w:sz="0" w:space="0" w:color="auto"/>
        <w:bottom w:val="none" w:sz="0" w:space="0" w:color="auto"/>
        <w:right w:val="none" w:sz="0" w:space="0" w:color="auto"/>
      </w:divBdr>
    </w:div>
    <w:div w:id="274993545">
      <w:bodyDiv w:val="1"/>
      <w:marLeft w:val="0"/>
      <w:marRight w:val="0"/>
      <w:marTop w:val="0"/>
      <w:marBottom w:val="0"/>
      <w:divBdr>
        <w:top w:val="none" w:sz="0" w:space="0" w:color="auto"/>
        <w:left w:val="none" w:sz="0" w:space="0" w:color="auto"/>
        <w:bottom w:val="none" w:sz="0" w:space="0" w:color="auto"/>
        <w:right w:val="none" w:sz="0" w:space="0" w:color="auto"/>
      </w:divBdr>
    </w:div>
    <w:div w:id="373845598">
      <w:bodyDiv w:val="1"/>
      <w:marLeft w:val="0"/>
      <w:marRight w:val="0"/>
      <w:marTop w:val="0"/>
      <w:marBottom w:val="0"/>
      <w:divBdr>
        <w:top w:val="none" w:sz="0" w:space="0" w:color="auto"/>
        <w:left w:val="none" w:sz="0" w:space="0" w:color="auto"/>
        <w:bottom w:val="none" w:sz="0" w:space="0" w:color="auto"/>
        <w:right w:val="none" w:sz="0" w:space="0" w:color="auto"/>
      </w:divBdr>
      <w:divsChild>
        <w:div w:id="1337920884">
          <w:marLeft w:val="0"/>
          <w:marRight w:val="0"/>
          <w:marTop w:val="0"/>
          <w:marBottom w:val="0"/>
          <w:divBdr>
            <w:top w:val="none" w:sz="0" w:space="0" w:color="auto"/>
            <w:left w:val="none" w:sz="0" w:space="0" w:color="auto"/>
            <w:bottom w:val="none" w:sz="0" w:space="0" w:color="auto"/>
            <w:right w:val="none" w:sz="0" w:space="0" w:color="auto"/>
          </w:divBdr>
          <w:divsChild>
            <w:div w:id="1538736268">
              <w:marLeft w:val="0"/>
              <w:marRight w:val="0"/>
              <w:marTop w:val="0"/>
              <w:marBottom w:val="0"/>
              <w:divBdr>
                <w:top w:val="none" w:sz="0" w:space="0" w:color="auto"/>
                <w:left w:val="none" w:sz="0" w:space="0" w:color="auto"/>
                <w:bottom w:val="none" w:sz="0" w:space="0" w:color="auto"/>
                <w:right w:val="none" w:sz="0" w:space="0" w:color="auto"/>
              </w:divBdr>
              <w:divsChild>
                <w:div w:id="296183791">
                  <w:marLeft w:val="0"/>
                  <w:marRight w:val="0"/>
                  <w:marTop w:val="0"/>
                  <w:marBottom w:val="0"/>
                  <w:divBdr>
                    <w:top w:val="none" w:sz="0" w:space="0" w:color="auto"/>
                    <w:left w:val="none" w:sz="0" w:space="0" w:color="auto"/>
                    <w:bottom w:val="none" w:sz="0" w:space="0" w:color="auto"/>
                    <w:right w:val="none" w:sz="0" w:space="0" w:color="auto"/>
                  </w:divBdr>
                  <w:divsChild>
                    <w:div w:id="87268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231930">
      <w:bodyDiv w:val="1"/>
      <w:marLeft w:val="0"/>
      <w:marRight w:val="0"/>
      <w:marTop w:val="0"/>
      <w:marBottom w:val="0"/>
      <w:divBdr>
        <w:top w:val="none" w:sz="0" w:space="0" w:color="auto"/>
        <w:left w:val="none" w:sz="0" w:space="0" w:color="auto"/>
        <w:bottom w:val="none" w:sz="0" w:space="0" w:color="auto"/>
        <w:right w:val="none" w:sz="0" w:space="0" w:color="auto"/>
      </w:divBdr>
    </w:div>
    <w:div w:id="495535985">
      <w:bodyDiv w:val="1"/>
      <w:marLeft w:val="0"/>
      <w:marRight w:val="0"/>
      <w:marTop w:val="0"/>
      <w:marBottom w:val="0"/>
      <w:divBdr>
        <w:top w:val="none" w:sz="0" w:space="0" w:color="auto"/>
        <w:left w:val="none" w:sz="0" w:space="0" w:color="auto"/>
        <w:bottom w:val="none" w:sz="0" w:space="0" w:color="auto"/>
        <w:right w:val="none" w:sz="0" w:space="0" w:color="auto"/>
      </w:divBdr>
    </w:div>
    <w:div w:id="524253868">
      <w:bodyDiv w:val="1"/>
      <w:marLeft w:val="0"/>
      <w:marRight w:val="0"/>
      <w:marTop w:val="0"/>
      <w:marBottom w:val="0"/>
      <w:divBdr>
        <w:top w:val="none" w:sz="0" w:space="0" w:color="auto"/>
        <w:left w:val="none" w:sz="0" w:space="0" w:color="auto"/>
        <w:bottom w:val="none" w:sz="0" w:space="0" w:color="auto"/>
        <w:right w:val="none" w:sz="0" w:space="0" w:color="auto"/>
      </w:divBdr>
    </w:div>
    <w:div w:id="570428035">
      <w:bodyDiv w:val="1"/>
      <w:marLeft w:val="0"/>
      <w:marRight w:val="0"/>
      <w:marTop w:val="0"/>
      <w:marBottom w:val="0"/>
      <w:divBdr>
        <w:top w:val="none" w:sz="0" w:space="0" w:color="auto"/>
        <w:left w:val="none" w:sz="0" w:space="0" w:color="auto"/>
        <w:bottom w:val="none" w:sz="0" w:space="0" w:color="auto"/>
        <w:right w:val="none" w:sz="0" w:space="0" w:color="auto"/>
      </w:divBdr>
    </w:div>
    <w:div w:id="604536152">
      <w:bodyDiv w:val="1"/>
      <w:marLeft w:val="0"/>
      <w:marRight w:val="0"/>
      <w:marTop w:val="0"/>
      <w:marBottom w:val="0"/>
      <w:divBdr>
        <w:top w:val="none" w:sz="0" w:space="0" w:color="auto"/>
        <w:left w:val="none" w:sz="0" w:space="0" w:color="auto"/>
        <w:bottom w:val="none" w:sz="0" w:space="0" w:color="auto"/>
        <w:right w:val="none" w:sz="0" w:space="0" w:color="auto"/>
      </w:divBdr>
    </w:div>
    <w:div w:id="674453637">
      <w:bodyDiv w:val="1"/>
      <w:marLeft w:val="0"/>
      <w:marRight w:val="0"/>
      <w:marTop w:val="0"/>
      <w:marBottom w:val="0"/>
      <w:divBdr>
        <w:top w:val="none" w:sz="0" w:space="0" w:color="auto"/>
        <w:left w:val="none" w:sz="0" w:space="0" w:color="auto"/>
        <w:bottom w:val="none" w:sz="0" w:space="0" w:color="auto"/>
        <w:right w:val="none" w:sz="0" w:space="0" w:color="auto"/>
      </w:divBdr>
    </w:div>
    <w:div w:id="731125635">
      <w:bodyDiv w:val="1"/>
      <w:marLeft w:val="0"/>
      <w:marRight w:val="0"/>
      <w:marTop w:val="0"/>
      <w:marBottom w:val="0"/>
      <w:divBdr>
        <w:top w:val="none" w:sz="0" w:space="0" w:color="auto"/>
        <w:left w:val="none" w:sz="0" w:space="0" w:color="auto"/>
        <w:bottom w:val="none" w:sz="0" w:space="0" w:color="auto"/>
        <w:right w:val="none" w:sz="0" w:space="0" w:color="auto"/>
      </w:divBdr>
    </w:div>
    <w:div w:id="825584726">
      <w:bodyDiv w:val="1"/>
      <w:marLeft w:val="0"/>
      <w:marRight w:val="0"/>
      <w:marTop w:val="0"/>
      <w:marBottom w:val="0"/>
      <w:divBdr>
        <w:top w:val="none" w:sz="0" w:space="0" w:color="auto"/>
        <w:left w:val="none" w:sz="0" w:space="0" w:color="auto"/>
        <w:bottom w:val="none" w:sz="0" w:space="0" w:color="auto"/>
        <w:right w:val="none" w:sz="0" w:space="0" w:color="auto"/>
      </w:divBdr>
    </w:div>
    <w:div w:id="935871031">
      <w:bodyDiv w:val="1"/>
      <w:marLeft w:val="0"/>
      <w:marRight w:val="0"/>
      <w:marTop w:val="0"/>
      <w:marBottom w:val="0"/>
      <w:divBdr>
        <w:top w:val="none" w:sz="0" w:space="0" w:color="auto"/>
        <w:left w:val="none" w:sz="0" w:space="0" w:color="auto"/>
        <w:bottom w:val="none" w:sz="0" w:space="0" w:color="auto"/>
        <w:right w:val="none" w:sz="0" w:space="0" w:color="auto"/>
      </w:divBdr>
    </w:div>
    <w:div w:id="987712985">
      <w:bodyDiv w:val="1"/>
      <w:marLeft w:val="0"/>
      <w:marRight w:val="0"/>
      <w:marTop w:val="0"/>
      <w:marBottom w:val="0"/>
      <w:divBdr>
        <w:top w:val="none" w:sz="0" w:space="0" w:color="auto"/>
        <w:left w:val="none" w:sz="0" w:space="0" w:color="auto"/>
        <w:bottom w:val="none" w:sz="0" w:space="0" w:color="auto"/>
        <w:right w:val="none" w:sz="0" w:space="0" w:color="auto"/>
      </w:divBdr>
    </w:div>
    <w:div w:id="1018459561">
      <w:bodyDiv w:val="1"/>
      <w:marLeft w:val="0"/>
      <w:marRight w:val="0"/>
      <w:marTop w:val="0"/>
      <w:marBottom w:val="0"/>
      <w:divBdr>
        <w:top w:val="none" w:sz="0" w:space="0" w:color="auto"/>
        <w:left w:val="none" w:sz="0" w:space="0" w:color="auto"/>
        <w:bottom w:val="none" w:sz="0" w:space="0" w:color="auto"/>
        <w:right w:val="none" w:sz="0" w:space="0" w:color="auto"/>
      </w:divBdr>
    </w:div>
    <w:div w:id="1086876051">
      <w:bodyDiv w:val="1"/>
      <w:marLeft w:val="0"/>
      <w:marRight w:val="0"/>
      <w:marTop w:val="0"/>
      <w:marBottom w:val="0"/>
      <w:divBdr>
        <w:top w:val="none" w:sz="0" w:space="0" w:color="auto"/>
        <w:left w:val="none" w:sz="0" w:space="0" w:color="auto"/>
        <w:bottom w:val="none" w:sz="0" w:space="0" w:color="auto"/>
        <w:right w:val="none" w:sz="0" w:space="0" w:color="auto"/>
      </w:divBdr>
    </w:div>
    <w:div w:id="1106539872">
      <w:bodyDiv w:val="1"/>
      <w:marLeft w:val="0"/>
      <w:marRight w:val="0"/>
      <w:marTop w:val="0"/>
      <w:marBottom w:val="0"/>
      <w:divBdr>
        <w:top w:val="none" w:sz="0" w:space="0" w:color="auto"/>
        <w:left w:val="none" w:sz="0" w:space="0" w:color="auto"/>
        <w:bottom w:val="none" w:sz="0" w:space="0" w:color="auto"/>
        <w:right w:val="none" w:sz="0" w:space="0" w:color="auto"/>
      </w:divBdr>
    </w:div>
    <w:div w:id="1159806765">
      <w:bodyDiv w:val="1"/>
      <w:marLeft w:val="0"/>
      <w:marRight w:val="0"/>
      <w:marTop w:val="0"/>
      <w:marBottom w:val="0"/>
      <w:divBdr>
        <w:top w:val="none" w:sz="0" w:space="0" w:color="auto"/>
        <w:left w:val="none" w:sz="0" w:space="0" w:color="auto"/>
        <w:bottom w:val="none" w:sz="0" w:space="0" w:color="auto"/>
        <w:right w:val="none" w:sz="0" w:space="0" w:color="auto"/>
      </w:divBdr>
    </w:div>
    <w:div w:id="1182746447">
      <w:bodyDiv w:val="1"/>
      <w:marLeft w:val="0"/>
      <w:marRight w:val="0"/>
      <w:marTop w:val="0"/>
      <w:marBottom w:val="0"/>
      <w:divBdr>
        <w:top w:val="none" w:sz="0" w:space="0" w:color="auto"/>
        <w:left w:val="none" w:sz="0" w:space="0" w:color="auto"/>
        <w:bottom w:val="none" w:sz="0" w:space="0" w:color="auto"/>
        <w:right w:val="none" w:sz="0" w:space="0" w:color="auto"/>
      </w:divBdr>
    </w:div>
    <w:div w:id="1206722695">
      <w:bodyDiv w:val="1"/>
      <w:marLeft w:val="0"/>
      <w:marRight w:val="0"/>
      <w:marTop w:val="0"/>
      <w:marBottom w:val="0"/>
      <w:divBdr>
        <w:top w:val="none" w:sz="0" w:space="0" w:color="auto"/>
        <w:left w:val="none" w:sz="0" w:space="0" w:color="auto"/>
        <w:bottom w:val="none" w:sz="0" w:space="0" w:color="auto"/>
        <w:right w:val="none" w:sz="0" w:space="0" w:color="auto"/>
      </w:divBdr>
    </w:div>
    <w:div w:id="1260135621">
      <w:bodyDiv w:val="1"/>
      <w:marLeft w:val="0"/>
      <w:marRight w:val="0"/>
      <w:marTop w:val="0"/>
      <w:marBottom w:val="0"/>
      <w:divBdr>
        <w:top w:val="none" w:sz="0" w:space="0" w:color="auto"/>
        <w:left w:val="none" w:sz="0" w:space="0" w:color="auto"/>
        <w:bottom w:val="none" w:sz="0" w:space="0" w:color="auto"/>
        <w:right w:val="none" w:sz="0" w:space="0" w:color="auto"/>
      </w:divBdr>
    </w:div>
    <w:div w:id="1281498423">
      <w:bodyDiv w:val="1"/>
      <w:marLeft w:val="0"/>
      <w:marRight w:val="0"/>
      <w:marTop w:val="0"/>
      <w:marBottom w:val="0"/>
      <w:divBdr>
        <w:top w:val="none" w:sz="0" w:space="0" w:color="auto"/>
        <w:left w:val="none" w:sz="0" w:space="0" w:color="auto"/>
        <w:bottom w:val="none" w:sz="0" w:space="0" w:color="auto"/>
        <w:right w:val="none" w:sz="0" w:space="0" w:color="auto"/>
      </w:divBdr>
    </w:div>
    <w:div w:id="1373732244">
      <w:bodyDiv w:val="1"/>
      <w:marLeft w:val="0"/>
      <w:marRight w:val="0"/>
      <w:marTop w:val="0"/>
      <w:marBottom w:val="0"/>
      <w:divBdr>
        <w:top w:val="none" w:sz="0" w:space="0" w:color="auto"/>
        <w:left w:val="none" w:sz="0" w:space="0" w:color="auto"/>
        <w:bottom w:val="none" w:sz="0" w:space="0" w:color="auto"/>
        <w:right w:val="none" w:sz="0" w:space="0" w:color="auto"/>
      </w:divBdr>
    </w:div>
    <w:div w:id="1408110161">
      <w:bodyDiv w:val="1"/>
      <w:marLeft w:val="0"/>
      <w:marRight w:val="0"/>
      <w:marTop w:val="0"/>
      <w:marBottom w:val="0"/>
      <w:divBdr>
        <w:top w:val="none" w:sz="0" w:space="0" w:color="auto"/>
        <w:left w:val="none" w:sz="0" w:space="0" w:color="auto"/>
        <w:bottom w:val="none" w:sz="0" w:space="0" w:color="auto"/>
        <w:right w:val="none" w:sz="0" w:space="0" w:color="auto"/>
      </w:divBdr>
    </w:div>
    <w:div w:id="1435973328">
      <w:bodyDiv w:val="1"/>
      <w:marLeft w:val="0"/>
      <w:marRight w:val="0"/>
      <w:marTop w:val="0"/>
      <w:marBottom w:val="0"/>
      <w:divBdr>
        <w:top w:val="none" w:sz="0" w:space="0" w:color="auto"/>
        <w:left w:val="none" w:sz="0" w:space="0" w:color="auto"/>
        <w:bottom w:val="none" w:sz="0" w:space="0" w:color="auto"/>
        <w:right w:val="none" w:sz="0" w:space="0" w:color="auto"/>
      </w:divBdr>
    </w:div>
    <w:div w:id="1438402962">
      <w:bodyDiv w:val="1"/>
      <w:marLeft w:val="0"/>
      <w:marRight w:val="0"/>
      <w:marTop w:val="0"/>
      <w:marBottom w:val="0"/>
      <w:divBdr>
        <w:top w:val="none" w:sz="0" w:space="0" w:color="auto"/>
        <w:left w:val="none" w:sz="0" w:space="0" w:color="auto"/>
        <w:bottom w:val="none" w:sz="0" w:space="0" w:color="auto"/>
        <w:right w:val="none" w:sz="0" w:space="0" w:color="auto"/>
      </w:divBdr>
    </w:div>
    <w:div w:id="1494251482">
      <w:bodyDiv w:val="1"/>
      <w:marLeft w:val="0"/>
      <w:marRight w:val="0"/>
      <w:marTop w:val="0"/>
      <w:marBottom w:val="0"/>
      <w:divBdr>
        <w:top w:val="none" w:sz="0" w:space="0" w:color="auto"/>
        <w:left w:val="none" w:sz="0" w:space="0" w:color="auto"/>
        <w:bottom w:val="none" w:sz="0" w:space="0" w:color="auto"/>
        <w:right w:val="none" w:sz="0" w:space="0" w:color="auto"/>
      </w:divBdr>
    </w:div>
    <w:div w:id="1501964262">
      <w:bodyDiv w:val="1"/>
      <w:marLeft w:val="0"/>
      <w:marRight w:val="0"/>
      <w:marTop w:val="0"/>
      <w:marBottom w:val="0"/>
      <w:divBdr>
        <w:top w:val="none" w:sz="0" w:space="0" w:color="auto"/>
        <w:left w:val="none" w:sz="0" w:space="0" w:color="auto"/>
        <w:bottom w:val="none" w:sz="0" w:space="0" w:color="auto"/>
        <w:right w:val="none" w:sz="0" w:space="0" w:color="auto"/>
      </w:divBdr>
      <w:divsChild>
        <w:div w:id="1055541776">
          <w:marLeft w:val="0"/>
          <w:marRight w:val="0"/>
          <w:marTop w:val="0"/>
          <w:marBottom w:val="0"/>
          <w:divBdr>
            <w:top w:val="none" w:sz="0" w:space="0" w:color="auto"/>
            <w:left w:val="none" w:sz="0" w:space="0" w:color="auto"/>
            <w:bottom w:val="none" w:sz="0" w:space="0" w:color="auto"/>
            <w:right w:val="none" w:sz="0" w:space="0" w:color="auto"/>
          </w:divBdr>
          <w:divsChild>
            <w:div w:id="867526071">
              <w:marLeft w:val="0"/>
              <w:marRight w:val="0"/>
              <w:marTop w:val="0"/>
              <w:marBottom w:val="0"/>
              <w:divBdr>
                <w:top w:val="none" w:sz="0" w:space="0" w:color="auto"/>
                <w:left w:val="none" w:sz="0" w:space="0" w:color="auto"/>
                <w:bottom w:val="none" w:sz="0" w:space="0" w:color="auto"/>
                <w:right w:val="none" w:sz="0" w:space="0" w:color="auto"/>
              </w:divBdr>
              <w:divsChild>
                <w:div w:id="362361344">
                  <w:marLeft w:val="0"/>
                  <w:marRight w:val="0"/>
                  <w:marTop w:val="0"/>
                  <w:marBottom w:val="0"/>
                  <w:divBdr>
                    <w:top w:val="none" w:sz="0" w:space="0" w:color="auto"/>
                    <w:left w:val="none" w:sz="0" w:space="0" w:color="auto"/>
                    <w:bottom w:val="none" w:sz="0" w:space="0" w:color="auto"/>
                    <w:right w:val="none" w:sz="0" w:space="0" w:color="auto"/>
                  </w:divBdr>
                  <w:divsChild>
                    <w:div w:id="54972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069707">
      <w:bodyDiv w:val="1"/>
      <w:marLeft w:val="0"/>
      <w:marRight w:val="0"/>
      <w:marTop w:val="0"/>
      <w:marBottom w:val="0"/>
      <w:divBdr>
        <w:top w:val="none" w:sz="0" w:space="0" w:color="auto"/>
        <w:left w:val="none" w:sz="0" w:space="0" w:color="auto"/>
        <w:bottom w:val="none" w:sz="0" w:space="0" w:color="auto"/>
        <w:right w:val="none" w:sz="0" w:space="0" w:color="auto"/>
      </w:divBdr>
    </w:div>
    <w:div w:id="1633170736">
      <w:bodyDiv w:val="1"/>
      <w:marLeft w:val="0"/>
      <w:marRight w:val="0"/>
      <w:marTop w:val="0"/>
      <w:marBottom w:val="0"/>
      <w:divBdr>
        <w:top w:val="none" w:sz="0" w:space="0" w:color="auto"/>
        <w:left w:val="none" w:sz="0" w:space="0" w:color="auto"/>
        <w:bottom w:val="none" w:sz="0" w:space="0" w:color="auto"/>
        <w:right w:val="none" w:sz="0" w:space="0" w:color="auto"/>
      </w:divBdr>
    </w:div>
    <w:div w:id="1680085364">
      <w:bodyDiv w:val="1"/>
      <w:marLeft w:val="0"/>
      <w:marRight w:val="0"/>
      <w:marTop w:val="0"/>
      <w:marBottom w:val="0"/>
      <w:divBdr>
        <w:top w:val="none" w:sz="0" w:space="0" w:color="auto"/>
        <w:left w:val="none" w:sz="0" w:space="0" w:color="auto"/>
        <w:bottom w:val="none" w:sz="0" w:space="0" w:color="auto"/>
        <w:right w:val="none" w:sz="0" w:space="0" w:color="auto"/>
      </w:divBdr>
    </w:div>
    <w:div w:id="1813205485">
      <w:bodyDiv w:val="1"/>
      <w:marLeft w:val="0"/>
      <w:marRight w:val="0"/>
      <w:marTop w:val="0"/>
      <w:marBottom w:val="0"/>
      <w:divBdr>
        <w:top w:val="none" w:sz="0" w:space="0" w:color="auto"/>
        <w:left w:val="none" w:sz="0" w:space="0" w:color="auto"/>
        <w:bottom w:val="none" w:sz="0" w:space="0" w:color="auto"/>
        <w:right w:val="none" w:sz="0" w:space="0" w:color="auto"/>
      </w:divBdr>
      <w:divsChild>
        <w:div w:id="272708274">
          <w:marLeft w:val="0"/>
          <w:marRight w:val="0"/>
          <w:marTop w:val="0"/>
          <w:marBottom w:val="0"/>
          <w:divBdr>
            <w:top w:val="none" w:sz="0" w:space="0" w:color="auto"/>
            <w:left w:val="none" w:sz="0" w:space="0" w:color="auto"/>
            <w:bottom w:val="none" w:sz="0" w:space="0" w:color="auto"/>
            <w:right w:val="none" w:sz="0" w:space="0" w:color="auto"/>
          </w:divBdr>
          <w:divsChild>
            <w:div w:id="1806435662">
              <w:marLeft w:val="0"/>
              <w:marRight w:val="0"/>
              <w:marTop w:val="0"/>
              <w:marBottom w:val="0"/>
              <w:divBdr>
                <w:top w:val="none" w:sz="0" w:space="0" w:color="auto"/>
                <w:left w:val="none" w:sz="0" w:space="0" w:color="auto"/>
                <w:bottom w:val="none" w:sz="0" w:space="0" w:color="auto"/>
                <w:right w:val="none" w:sz="0" w:space="0" w:color="auto"/>
              </w:divBdr>
              <w:divsChild>
                <w:div w:id="1294948010">
                  <w:marLeft w:val="0"/>
                  <w:marRight w:val="0"/>
                  <w:marTop w:val="0"/>
                  <w:marBottom w:val="0"/>
                  <w:divBdr>
                    <w:top w:val="none" w:sz="0" w:space="0" w:color="auto"/>
                    <w:left w:val="none" w:sz="0" w:space="0" w:color="auto"/>
                    <w:bottom w:val="none" w:sz="0" w:space="0" w:color="auto"/>
                    <w:right w:val="none" w:sz="0" w:space="0" w:color="auto"/>
                  </w:divBdr>
                  <w:divsChild>
                    <w:div w:id="93567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868808">
      <w:bodyDiv w:val="1"/>
      <w:marLeft w:val="0"/>
      <w:marRight w:val="0"/>
      <w:marTop w:val="0"/>
      <w:marBottom w:val="0"/>
      <w:divBdr>
        <w:top w:val="none" w:sz="0" w:space="0" w:color="auto"/>
        <w:left w:val="none" w:sz="0" w:space="0" w:color="auto"/>
        <w:bottom w:val="none" w:sz="0" w:space="0" w:color="auto"/>
        <w:right w:val="none" w:sz="0" w:space="0" w:color="auto"/>
      </w:divBdr>
    </w:div>
    <w:div w:id="1879783247">
      <w:bodyDiv w:val="1"/>
      <w:marLeft w:val="0"/>
      <w:marRight w:val="0"/>
      <w:marTop w:val="0"/>
      <w:marBottom w:val="0"/>
      <w:divBdr>
        <w:top w:val="none" w:sz="0" w:space="0" w:color="auto"/>
        <w:left w:val="none" w:sz="0" w:space="0" w:color="auto"/>
        <w:bottom w:val="none" w:sz="0" w:space="0" w:color="auto"/>
        <w:right w:val="none" w:sz="0" w:space="0" w:color="auto"/>
      </w:divBdr>
    </w:div>
    <w:div w:id="1981229568">
      <w:bodyDiv w:val="1"/>
      <w:marLeft w:val="0"/>
      <w:marRight w:val="0"/>
      <w:marTop w:val="0"/>
      <w:marBottom w:val="0"/>
      <w:divBdr>
        <w:top w:val="none" w:sz="0" w:space="0" w:color="auto"/>
        <w:left w:val="none" w:sz="0" w:space="0" w:color="auto"/>
        <w:bottom w:val="none" w:sz="0" w:space="0" w:color="auto"/>
        <w:right w:val="none" w:sz="0" w:space="0" w:color="auto"/>
      </w:divBdr>
      <w:divsChild>
        <w:div w:id="184908538">
          <w:marLeft w:val="0"/>
          <w:marRight w:val="0"/>
          <w:marTop w:val="0"/>
          <w:marBottom w:val="0"/>
          <w:divBdr>
            <w:top w:val="none" w:sz="0" w:space="0" w:color="auto"/>
            <w:left w:val="none" w:sz="0" w:space="0" w:color="auto"/>
            <w:bottom w:val="none" w:sz="0" w:space="0" w:color="auto"/>
            <w:right w:val="none" w:sz="0" w:space="0" w:color="auto"/>
          </w:divBdr>
          <w:divsChild>
            <w:div w:id="986786095">
              <w:marLeft w:val="0"/>
              <w:marRight w:val="0"/>
              <w:marTop w:val="0"/>
              <w:marBottom w:val="0"/>
              <w:divBdr>
                <w:top w:val="none" w:sz="0" w:space="0" w:color="auto"/>
                <w:left w:val="none" w:sz="0" w:space="0" w:color="auto"/>
                <w:bottom w:val="none" w:sz="0" w:space="0" w:color="auto"/>
                <w:right w:val="none" w:sz="0" w:space="0" w:color="auto"/>
              </w:divBdr>
              <w:divsChild>
                <w:div w:id="1452748031">
                  <w:marLeft w:val="0"/>
                  <w:marRight w:val="0"/>
                  <w:marTop w:val="0"/>
                  <w:marBottom w:val="0"/>
                  <w:divBdr>
                    <w:top w:val="none" w:sz="0" w:space="0" w:color="auto"/>
                    <w:left w:val="none" w:sz="0" w:space="0" w:color="auto"/>
                    <w:bottom w:val="none" w:sz="0" w:space="0" w:color="auto"/>
                    <w:right w:val="none" w:sz="0" w:space="0" w:color="auto"/>
                  </w:divBdr>
                  <w:divsChild>
                    <w:div w:id="80832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074258">
      <w:bodyDiv w:val="1"/>
      <w:marLeft w:val="0"/>
      <w:marRight w:val="0"/>
      <w:marTop w:val="0"/>
      <w:marBottom w:val="0"/>
      <w:divBdr>
        <w:top w:val="none" w:sz="0" w:space="0" w:color="auto"/>
        <w:left w:val="none" w:sz="0" w:space="0" w:color="auto"/>
        <w:bottom w:val="none" w:sz="0" w:space="0" w:color="auto"/>
        <w:right w:val="none" w:sz="0" w:space="0" w:color="auto"/>
      </w:divBdr>
    </w:div>
    <w:div w:id="211597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iagets-stages-of-cognitive-development-2795457" TargetMode="External"/><Relationship Id="rId13" Type="http://schemas.openxmlformats.org/officeDocument/2006/relationships/hyperlink" Target="https://www.estyn.gov.wales/effective-practice/keeping-pupils-centre-teaching-and-learning" TargetMode="External"/><Relationship Id="rId18" Type="http://schemas.openxmlformats.org/officeDocument/2006/relationships/hyperlink" Target="https://hwb.gov.wales/curriculum-for-wales/designing-your-curriculum/developing-a-vision-for-curriculum-desig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es.com/news/why-i-regularly-use-makaton-my-classroom" TargetMode="Externa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hwb.gov.wales/curriculum-for-wales/summary-of-proposed-legislation/" TargetMode="External"/><Relationship Id="rId2" Type="http://schemas.openxmlformats.org/officeDocument/2006/relationships/styles" Target="styles.xml"/><Relationship Id="rId16" Type="http://schemas.openxmlformats.org/officeDocument/2006/relationships/hyperlink" Target="https://sk.sagepub.com/books/primary-humanities-learning-through-enquiry/i685.x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researchgate.net/profile/Jonathan-Barnes-3/publication/274313611_An_Introduction_to_Cross-Curricular_Learning/links/551b2ab60cf251c35b5080db/An-Introduction-to-Cross-Curricular-Learning.pdf" TargetMode="External"/><Relationship Id="rId11" Type="http://schemas.openxmlformats.org/officeDocument/2006/relationships/hyperlink" Target="https://thirdspacelearning.com/blog/cross-curricular-learning-everyday-maths/" TargetMode="External"/><Relationship Id="rId5" Type="http://schemas.openxmlformats.org/officeDocument/2006/relationships/hyperlink" Target="https://v3.pebblepad.co.uk/spa/" TargetMode="External"/><Relationship Id="rId15" Type="http://schemas.openxmlformats.org/officeDocument/2006/relationships/hyperlink" Target="https://www.simplypsychology.org/Zone-of-Proximal-Development.html" TargetMode="External"/><Relationship Id="rId10" Type="http://schemas.openxmlformats.org/officeDocument/2006/relationships/hyperlink" Target="https://www.cambridgeinternational.org/Images/584543-great-teaching-toolkit-evidence-review.pdf" TargetMode="External"/><Relationship Id="rId19" Type="http://schemas.openxmlformats.org/officeDocument/2006/relationships/hyperlink" Target="https://gov.wales/sites/default/files/publications/2018-02/welsh-in-education-action-plan-2017&#8211;21.pdf" TargetMode="External"/><Relationship Id="rId4" Type="http://schemas.openxmlformats.org/officeDocument/2006/relationships/webSettings" Target="webSettings.xml"/><Relationship Id="rId9" Type="http://schemas.openxmlformats.org/officeDocument/2006/relationships/hyperlink" Target="https://www.suttontrust.com/wp-content/uploads/2014/10/What-Makes-Great-Teaching-REPORT.pdf" TargetMode="External"/><Relationship Id="rId14" Type="http://schemas.openxmlformats.org/officeDocument/2006/relationships/hyperlink" Target="https://www.theedadvocate.org/pros-and-cons-of-cross-curricular-te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1327</TotalTime>
  <Pages>10</Pages>
  <Words>5410</Words>
  <Characters>30840</Characters>
  <Application>Microsoft Office Word</Application>
  <DocSecurity>0</DocSecurity>
  <Lines>257</Lines>
  <Paragraphs>72</Paragraphs>
  <ScaleCrop>false</ScaleCrop>
  <Company/>
  <LinksUpToDate>false</LinksUpToDate>
  <CharactersWithSpaces>36178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Jayne Jones (1800843)</dc:creator>
  <cp:keywords/>
  <dc:description/>
  <cp:lastModifiedBy>Emily Jayne Jones (1800843)</cp:lastModifiedBy>
  <cp:revision>83</cp:revision>
  <dcterms:created xsi:type="dcterms:W3CDTF">2021-04-21T12:12:00Z</dcterms:created>
  <dcterms:modified xsi:type="dcterms:W3CDTF">2021-05-02T11:12:00Z</dcterms:modified>
</cp:coreProperties>
</file>