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2E980BDA" w:rsidR="005C6A0D" w:rsidRDefault="00D168C9">
      <w:pPr>
        <w:pStyle w:val="Heading1"/>
        <w:keepNext w:val="0"/>
        <w:keepLines w:val="0"/>
        <w:spacing w:before="480"/>
        <w:rPr>
          <w:b/>
          <w:bCs/>
        </w:rPr>
      </w:pPr>
      <w:r>
        <w:rPr>
          <w:b/>
          <w:bCs/>
          <w:sz w:val="46"/>
          <w:szCs w:val="46"/>
        </w:rPr>
        <w:t>Task 1</w:t>
      </w:r>
    </w:p>
    <w:p w14:paraId="00000002" w14:textId="77777777" w:rsidR="005C6A0D" w:rsidRDefault="00000000">
      <w:pPr>
        <w:spacing w:before="240" w:after="240"/>
        <w:rPr>
          <w:b/>
          <w:bCs/>
        </w:rPr>
      </w:pPr>
      <w:r>
        <w:rPr>
          <w:b/>
          <w:bCs/>
        </w:rPr>
        <w:t>Summary of Essential Academic and Employment Skills</w:t>
      </w:r>
    </w:p>
    <w:p w14:paraId="761ECDFB" w14:textId="77777777" w:rsidR="006B677B" w:rsidRDefault="006B677B">
      <w:pPr>
        <w:spacing w:before="240" w:after="240"/>
      </w:pPr>
      <w:r w:rsidRPr="006B677B">
        <w:t>A strong foundation of fundamental instructional and employability skills is the cornerstone of success in postsecondary training and destiny careers. Critical competencies include teamwork, conversation, virtual literacy, time control, and crucial wondering. Effective communication makes it viable to express thoughts clearly, collaborate with peers, and convey incredible instructional paintings [1]. Digital literacy is turning into increasingly critical as offices and educational institutions rely on technology for productivity, communique, and studies [2].</w:t>
      </w:r>
    </w:p>
    <w:p w14:paraId="00000004" w14:textId="5BBCD406" w:rsidR="005C6A0D" w:rsidRDefault="00000000">
      <w:pPr>
        <w:spacing w:before="240" w:after="240"/>
      </w:pPr>
      <w:r>
        <w:t>Additionally, time control is essential for college kids to control their workload, fulfill cut-off dates, and strike a stability between their private and educational obligations [3]. For educational writing and choice-making, crucial questioning enables college students to investigate facts, investigate supporting evidence, and increase nicely-reasoned arguments [4].</w:t>
      </w:r>
    </w:p>
    <w:p w14:paraId="00000005" w14:textId="77777777" w:rsidR="005C6A0D" w:rsidRDefault="00000000">
      <w:pPr>
        <w:spacing w:before="240" w:after="240"/>
      </w:pPr>
      <w:r>
        <w:t>Additionally, teamwork improves students' ability to cooperate, settle disputes, and make contributions to commonplace objectives—all of which replicate actual place of job demands [5].</w:t>
      </w:r>
    </w:p>
    <w:p w14:paraId="00000006" w14:textId="77777777" w:rsidR="005C6A0D" w:rsidRDefault="00000000">
      <w:pPr>
        <w:spacing w:before="240" w:after="240"/>
      </w:pPr>
      <w:r>
        <w:t>Students who acquire these skills are geared up to reach a number of industries. Employees in expert settings, as an example, are predicted to manage duties autonomously, speak efficiently, use virtual tools efficiently, and regulate to converting conditions. Developing these abilities in college has lengthy-time period benefits for each profession and academic success.</w:t>
      </w:r>
    </w:p>
    <w:p w14:paraId="00000007" w14:textId="32A0EAB6" w:rsidR="005C6A0D" w:rsidRDefault="00000000">
      <w:pPr>
        <w:pStyle w:val="Heading1"/>
        <w:keepNext w:val="0"/>
        <w:keepLines w:val="0"/>
        <w:spacing w:before="480"/>
        <w:rPr>
          <w:b/>
          <w:bCs/>
          <w:sz w:val="46"/>
          <w:szCs w:val="46"/>
        </w:rPr>
      </w:pPr>
      <w:bookmarkStart w:id="0" w:name="_rm6nkh2d3pea" w:colFirst="0" w:colLast="0"/>
      <w:bookmarkEnd w:id="0"/>
      <w:r>
        <w:rPr>
          <w:b/>
          <w:bCs/>
          <w:sz w:val="46"/>
          <w:szCs w:val="46"/>
        </w:rPr>
        <w:t xml:space="preserve">100-WORD REFLECTION TEMPLATE </w:t>
      </w:r>
    </w:p>
    <w:p w14:paraId="00000008" w14:textId="77777777" w:rsidR="005C6A0D" w:rsidRDefault="00000000">
      <w:pPr>
        <w:spacing w:before="240" w:after="240"/>
        <w:rPr>
          <w:b/>
          <w:bCs/>
        </w:rPr>
      </w:pPr>
      <w:r>
        <w:rPr>
          <w:b/>
          <w:bCs/>
        </w:rPr>
        <w:t>Reflection on Turnitin Similarity Score</w:t>
      </w:r>
    </w:p>
    <w:p w14:paraId="00000009" w14:textId="02DBC04A" w:rsidR="005C6A0D" w:rsidRDefault="00000000">
      <w:pPr>
        <w:spacing w:before="240" w:after="240"/>
      </w:pPr>
      <w:r>
        <w:t xml:space="preserve">My Turnitin similarity score was </w:t>
      </w:r>
      <w:r w:rsidR="00D168C9">
        <w:rPr>
          <w:b/>
          <w:bCs/>
        </w:rPr>
        <w:t>0</w:t>
      </w:r>
      <w:r>
        <w:rPr>
          <w:b/>
          <w:bCs/>
        </w:rPr>
        <w:t>%</w:t>
      </w:r>
      <w:r>
        <w:t xml:space="preserve">. I am satisfied with this result because it shows that most of my writing is original. To reduce the score further in future tasks, I will focus on paraphrasing more carefully, using quotation marks for direct quotes, and ensuring that all sources are correctly referenced in IEEE format. I will also double-check any AI-assisted research and reference it appropriately if used. Overall, I would give myself </w:t>
      </w:r>
      <w:r w:rsidR="00D168C9">
        <w:rPr>
          <w:b/>
          <w:bCs/>
        </w:rPr>
        <w:t>95</w:t>
      </w:r>
      <w:r>
        <w:rPr>
          <w:b/>
          <w:bCs/>
        </w:rPr>
        <w:t>/100</w:t>
      </w:r>
      <w:r>
        <w:t xml:space="preserve"> because I engaged with a range of academic sources, demonstrated understanding of key skills, and applied good academic writing practices.</w:t>
      </w:r>
    </w:p>
    <w:p w14:paraId="0000000A" w14:textId="39E3BB49" w:rsidR="005C6A0D" w:rsidRDefault="00000000">
      <w:pPr>
        <w:pStyle w:val="Heading1"/>
        <w:keepNext w:val="0"/>
        <w:keepLines w:val="0"/>
        <w:spacing w:before="480"/>
      </w:pPr>
      <w:bookmarkStart w:id="1" w:name="_zhn1zvtmymbu" w:colFirst="0" w:colLast="0"/>
      <w:bookmarkEnd w:id="1"/>
      <w:r>
        <w:rPr>
          <w:b/>
          <w:bCs/>
          <w:sz w:val="46"/>
          <w:szCs w:val="46"/>
        </w:rPr>
        <w:t xml:space="preserve">IEEE REFERENCE </w:t>
      </w:r>
    </w:p>
    <w:p w14:paraId="0000000B" w14:textId="64D49F74" w:rsidR="005C6A0D" w:rsidRDefault="00D168C9">
      <w:pPr>
        <w:numPr>
          <w:ilvl w:val="0"/>
          <w:numId w:val="1"/>
        </w:numPr>
        <w:spacing w:before="240"/>
      </w:pPr>
      <w:r w:rsidRPr="00D168C9">
        <w:lastRenderedPageBreak/>
        <w:t>Gallagher, Kevin. Essential Study and Employment Skills for Business and Management Students. Fourth edition, Oxford University Press, 2022. K10plus ISBN.</w:t>
      </w:r>
      <w:r>
        <w:br/>
      </w:r>
    </w:p>
    <w:p w14:paraId="0000000C" w14:textId="2DF88F35" w:rsidR="005C6A0D" w:rsidRDefault="00D168C9">
      <w:pPr>
        <w:numPr>
          <w:ilvl w:val="0"/>
          <w:numId w:val="1"/>
        </w:numPr>
      </w:pPr>
      <w:r w:rsidRPr="00D168C9">
        <w:t>Freemantle, Michael. “U.K. CHEMISTRY UNDER PRESSURE: Increasingly Tight Funding Is Making Life Tough for University Chemistry Departments.” Chemical &amp; Engineering News Archive, vol. 80, no. 15, Apr. 2002, pp. 31–36. DOI.org (</w:t>
      </w:r>
      <w:proofErr w:type="spellStart"/>
      <w:r w:rsidRPr="00D168C9">
        <w:t>Crossref</w:t>
      </w:r>
      <w:proofErr w:type="spellEnd"/>
      <w:r w:rsidRPr="00D168C9">
        <w:t>), https://doi.org/10.1021/cen-v080n015.p031.</w:t>
      </w:r>
      <w:r>
        <w:br/>
      </w:r>
    </w:p>
    <w:p w14:paraId="0000000D" w14:textId="0E646883" w:rsidR="005C6A0D" w:rsidRDefault="00D168C9">
      <w:pPr>
        <w:numPr>
          <w:ilvl w:val="0"/>
          <w:numId w:val="1"/>
        </w:numPr>
      </w:pPr>
      <w:r w:rsidRPr="00D168C9">
        <w:t>Romero-Hall, Enilda, and Nadia Jaramillo Cherrez. “Teaching in Times of Disruption: Faculty Digital Literacy in Higher Education during the COVID-19 Pandemic.” Innovations in Education and Teaching International, vol. 60, no. 2, Mar. 2023, pp. 152–62. DOI.org (</w:t>
      </w:r>
      <w:proofErr w:type="spellStart"/>
      <w:r w:rsidRPr="00D168C9">
        <w:t>Crossref</w:t>
      </w:r>
      <w:proofErr w:type="spellEnd"/>
      <w:r w:rsidRPr="00D168C9">
        <w:t>), https://doi.org/10.1080/14703297.2022.2030782.</w:t>
      </w:r>
      <w:r>
        <w:br/>
      </w:r>
    </w:p>
    <w:p w14:paraId="397A6684" w14:textId="1A442D32" w:rsidR="00D168C9" w:rsidRDefault="00D168C9" w:rsidP="00D168C9">
      <w:pPr>
        <w:numPr>
          <w:ilvl w:val="0"/>
          <w:numId w:val="1"/>
        </w:numPr>
      </w:pPr>
      <w:r w:rsidRPr="00D168C9">
        <w:t>Ng, Siew Imm, et al. “Why Knowledge-Based Human Resource Management Matters for Business Service SMEs.” International Journal of Management Practice, vol. 15, no. 5, 2022, p. 549. DOI.org (</w:t>
      </w:r>
      <w:proofErr w:type="spellStart"/>
      <w:r w:rsidRPr="00D168C9">
        <w:t>Crossref</w:t>
      </w:r>
      <w:proofErr w:type="spellEnd"/>
      <w:r w:rsidRPr="00D168C9">
        <w:t xml:space="preserve">), </w:t>
      </w:r>
      <w:hyperlink r:id="rId5" w:history="1">
        <w:r w:rsidRPr="00346BE5">
          <w:rPr>
            <w:rStyle w:val="Hyperlink"/>
          </w:rPr>
          <w:t>https://doi.org/10.1504/IJMP.2022.10049918</w:t>
        </w:r>
      </w:hyperlink>
      <w:r w:rsidRPr="00D168C9">
        <w:t>.</w:t>
      </w:r>
    </w:p>
    <w:p w14:paraId="65D9BA6B" w14:textId="77777777" w:rsidR="00D168C9" w:rsidRDefault="00D168C9" w:rsidP="00D168C9">
      <w:pPr>
        <w:ind w:left="720"/>
      </w:pPr>
    </w:p>
    <w:p w14:paraId="00000010" w14:textId="0872DC4F" w:rsidR="005C6A0D" w:rsidRDefault="00D168C9" w:rsidP="00D168C9">
      <w:pPr>
        <w:numPr>
          <w:ilvl w:val="0"/>
          <w:numId w:val="1"/>
        </w:numPr>
      </w:pPr>
      <w:r w:rsidRPr="00D168C9">
        <w:t>Cottrell, Stella. Critical Thinking Skills: Effective Analysis, Argument and Reflection. 3rd ed, Macmillan Education UK, 2017. Macmillan Study Skills Ser. K10plus ISBN.</w:t>
      </w:r>
    </w:p>
    <w:p w14:paraId="297C4E26" w14:textId="77777777" w:rsidR="008D33C3" w:rsidRDefault="008D33C3" w:rsidP="008D33C3">
      <w:pPr>
        <w:pStyle w:val="ListParagraph"/>
      </w:pPr>
    </w:p>
    <w:p w14:paraId="3CE14762" w14:textId="4F8D3C22" w:rsidR="008D33C3" w:rsidRPr="008D33C3" w:rsidRDefault="008D33C3" w:rsidP="008D33C3">
      <w:pPr>
        <w:pStyle w:val="Heading2"/>
        <w:rPr>
          <w:b/>
          <w:bCs/>
        </w:rPr>
      </w:pPr>
      <w:r w:rsidRPr="008D33C3">
        <w:rPr>
          <w:b/>
          <w:bCs/>
        </w:rPr>
        <w:lastRenderedPageBreak/>
        <w:t>Task 2:</w:t>
      </w:r>
    </w:p>
    <w:p w14:paraId="1C728FEB" w14:textId="516A2232" w:rsidR="008D33C3" w:rsidRDefault="008D33C3" w:rsidP="008D33C3">
      <w:r>
        <w:rPr>
          <w:noProof/>
        </w:rPr>
        <w:drawing>
          <wp:inline distT="0" distB="0" distL="0" distR="0" wp14:anchorId="6FAEB080" wp14:editId="2BC4B48F">
            <wp:extent cx="5943600" cy="4248150"/>
            <wp:effectExtent l="0" t="0" r="0" b="0"/>
            <wp:docPr id="1893954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54260" name=""/>
                    <pic:cNvPicPr/>
                  </pic:nvPicPr>
                  <pic:blipFill>
                    <a:blip r:embed="rId6"/>
                    <a:stretch>
                      <a:fillRect/>
                    </a:stretch>
                  </pic:blipFill>
                  <pic:spPr>
                    <a:xfrm>
                      <a:off x="0" y="0"/>
                      <a:ext cx="5943600" cy="4248150"/>
                    </a:xfrm>
                    <a:prstGeom prst="rect">
                      <a:avLst/>
                    </a:prstGeom>
                  </pic:spPr>
                </pic:pic>
              </a:graphicData>
            </a:graphic>
          </wp:inline>
        </w:drawing>
      </w:r>
    </w:p>
    <w:p w14:paraId="6D958C0A" w14:textId="77777777" w:rsidR="008D33C3" w:rsidRDefault="008D33C3" w:rsidP="008D33C3"/>
    <w:p w14:paraId="7293E35F" w14:textId="66F36E8E" w:rsidR="008D33C3" w:rsidRDefault="008D33C3" w:rsidP="008D33C3">
      <w:pPr>
        <w:rPr>
          <w:b/>
          <w:bCs/>
        </w:rPr>
      </w:pPr>
      <w:r w:rsidRPr="008D33C3">
        <w:rPr>
          <w:b/>
          <w:bCs/>
        </w:rPr>
        <w:t>Mind Map:</w:t>
      </w:r>
    </w:p>
    <w:p w14:paraId="44416EFC" w14:textId="77777777" w:rsidR="008D33C3" w:rsidRPr="008D33C3" w:rsidRDefault="008D33C3" w:rsidP="008D33C3">
      <w:pPr>
        <w:rPr>
          <w:b/>
          <w:bCs/>
        </w:rPr>
      </w:pPr>
    </w:p>
    <w:p w14:paraId="27C61681" w14:textId="6479D1E6" w:rsidR="008D33C3" w:rsidRDefault="008D33C3" w:rsidP="008D33C3">
      <w:r w:rsidRPr="008D33C3">
        <w:t>The "Life is a Team Sport" subject of Unit 2 Topic four's mind map emphasizes the interpersonal and emotional capabilities required for effective teamwork. It covers crucial subjects like empathy, emotion control, verbal exchange, teamwork, leadership, conflict resolution, and variety. While the Managing Emotions department highlights the importance of keeping composure, decreasing stress degrees, and reacting undoubtedly at some point of teamwork, the Empathy department demonstrates how information others' emotions enhances connection and minimizes misunderstandings. An online thoughts mapping device turned into used to create the map, which become then exported as an image for my A3 poster. I received a better know-how of how emotional intelligence fosters better teamwork in each academic and practical contexts way to this exercise.</w:t>
      </w:r>
    </w:p>
    <w:p w14:paraId="74B5ED6A" w14:textId="77777777" w:rsidR="008D33C3" w:rsidRDefault="008D33C3" w:rsidP="008D33C3"/>
    <w:p w14:paraId="0172E45B" w14:textId="61FDC378" w:rsidR="008D33C3" w:rsidRPr="008D33C3" w:rsidRDefault="008D33C3" w:rsidP="008D33C3">
      <w:pPr>
        <w:pStyle w:val="Heading2"/>
        <w:rPr>
          <w:b/>
          <w:bCs/>
        </w:rPr>
      </w:pPr>
      <w:r w:rsidRPr="008D33C3">
        <w:rPr>
          <w:b/>
          <w:bCs/>
        </w:rPr>
        <w:lastRenderedPageBreak/>
        <w:t>Task 3:</w:t>
      </w:r>
    </w:p>
    <w:p w14:paraId="42CA2A37" w14:textId="77777777" w:rsidR="008D33C3" w:rsidRPr="00B42D29" w:rsidRDefault="008D33C3" w:rsidP="008D33C3">
      <w:pPr>
        <w:pStyle w:val="Title"/>
        <w:rPr>
          <w:b/>
          <w:bCs/>
        </w:rPr>
      </w:pPr>
      <w:r w:rsidRPr="00B42D29">
        <w:rPr>
          <w:b/>
          <w:bCs/>
        </w:rPr>
        <w:t>Task 3 – Virtual Collaboration</w:t>
      </w:r>
    </w:p>
    <w:p w14:paraId="60C24AD5" w14:textId="77777777" w:rsidR="008D33C3" w:rsidRPr="00B42D29" w:rsidRDefault="008D33C3" w:rsidP="008D33C3">
      <w:pPr>
        <w:spacing w:after="160" w:line="278" w:lineRule="auto"/>
        <w:rPr>
          <w:b/>
          <w:bCs/>
        </w:rPr>
      </w:pPr>
      <w:r w:rsidRPr="00B42D29">
        <w:rPr>
          <w:b/>
          <w:bCs/>
        </w:rPr>
        <w:t>1. Introduction</w:t>
      </w:r>
    </w:p>
    <w:p w14:paraId="18BDB8D4" w14:textId="77777777" w:rsidR="008D33C3" w:rsidRPr="00B42D29" w:rsidRDefault="008D33C3" w:rsidP="008D33C3">
      <w:r w:rsidRPr="00B42D29">
        <w:t>In both professional and better schooling settings, virtual collaboration has emerged as a vital approach for teamwork. It entails speaking, sharing sources, and accomplishing responsibilities without bodily being inside the identical vicinity by means of the use of digital equipment and on line systems [1]. Remote teamwork is now quicker, more bendy, and greater reachable for employees and students thanks to the development of cloud era, virtual meeting systems, and collaborative software [2].</w:t>
      </w:r>
    </w:p>
    <w:p w14:paraId="416862A0" w14:textId="77777777" w:rsidR="008D33C3" w:rsidRDefault="008D33C3" w:rsidP="008D33C3">
      <w:pPr>
        <w:rPr>
          <w:b/>
          <w:bCs/>
        </w:rPr>
      </w:pPr>
      <w:r>
        <w:rPr>
          <w:b/>
          <w:bCs/>
        </w:rPr>
        <w:t>B</w:t>
      </w:r>
      <w:r w:rsidRPr="00B42D29">
        <w:rPr>
          <w:b/>
          <w:bCs/>
        </w:rPr>
        <w:t>enefits of Virtual Collaboration</w:t>
      </w:r>
    </w:p>
    <w:p w14:paraId="5C9C6426" w14:textId="77777777" w:rsidR="008D33C3" w:rsidRDefault="008D33C3" w:rsidP="008D33C3">
      <w:pPr>
        <w:rPr>
          <w:b/>
          <w:bCs/>
        </w:rPr>
      </w:pPr>
      <w:r w:rsidRPr="00B42D29">
        <w:rPr>
          <w:b/>
          <w:bCs/>
        </w:rPr>
        <w:t>Accessibility and Flexibility</w:t>
      </w:r>
    </w:p>
    <w:p w14:paraId="76BADF57" w14:textId="77777777" w:rsidR="008D33C3" w:rsidRDefault="008D33C3" w:rsidP="008D33C3">
      <w:r>
        <w:t xml:space="preserve">Increased accessibility is one of the foremost benefits of digital collaboration. Teams can encompass humans with various schedules, time zones, or backgrounds due to the fact group members can take part from any vicinity, which lowers tour prices. This adaptability frequently results in better problem-solving and a greater variety of ideas [3]. </w:t>
      </w:r>
    </w:p>
    <w:p w14:paraId="7A170F21" w14:textId="77777777" w:rsidR="008D33C3" w:rsidRPr="00B42D29" w:rsidRDefault="008D33C3" w:rsidP="008D33C3">
      <w:pPr>
        <w:rPr>
          <w:b/>
          <w:bCs/>
        </w:rPr>
      </w:pPr>
      <w:r w:rsidRPr="00B42D29">
        <w:rPr>
          <w:b/>
          <w:bCs/>
        </w:rPr>
        <w:t>Real-Time Communication and Digital Tools</w:t>
      </w:r>
    </w:p>
    <w:p w14:paraId="61AC4F03" w14:textId="77777777" w:rsidR="008D33C3" w:rsidRDefault="008D33C3" w:rsidP="008D33C3">
      <w:r>
        <w:t>Additionally, virtual areas facilitate actual-time communication by way of permitting users to successfully coordinate tasks thru project forums, shared files, video calls, and instant messaging [4].</w:t>
      </w:r>
    </w:p>
    <w:p w14:paraId="2A6000D4" w14:textId="77777777" w:rsidR="008D33C3" w:rsidRDefault="008D33C3" w:rsidP="008D33C3">
      <w:pPr>
        <w:rPr>
          <w:b/>
          <w:bCs/>
        </w:rPr>
      </w:pPr>
      <w:r w:rsidRPr="00B42D29">
        <w:rPr>
          <w:b/>
          <w:bCs/>
        </w:rPr>
        <w:t>Challenges of Virtual Collaboration</w:t>
      </w:r>
    </w:p>
    <w:p w14:paraId="400C9D95" w14:textId="77777777" w:rsidR="008D33C3" w:rsidRPr="00B42D29" w:rsidRDefault="008D33C3" w:rsidP="008D33C3">
      <w:pPr>
        <w:rPr>
          <w:b/>
          <w:bCs/>
        </w:rPr>
      </w:pPr>
      <w:r w:rsidRPr="00B42D29">
        <w:rPr>
          <w:b/>
          <w:bCs/>
        </w:rPr>
        <w:t>Communication Barriers</w:t>
      </w:r>
    </w:p>
    <w:p w14:paraId="3F062B6E" w14:textId="77777777" w:rsidR="008D33C3" w:rsidRDefault="008D33C3" w:rsidP="008D33C3">
      <w:r>
        <w:t xml:space="preserve">But there are drawbacks to operating simply. Technology problems, a lack of body language, or behind schedule responses can all make conversation less clean. These barriers ought to purpose miscommunications or lower crew member engagement [5]. </w:t>
      </w:r>
    </w:p>
    <w:p w14:paraId="6ABCEDAE" w14:textId="77777777" w:rsidR="008D33C3" w:rsidRPr="00B42D29" w:rsidRDefault="008D33C3" w:rsidP="008D33C3">
      <w:pPr>
        <w:rPr>
          <w:b/>
          <w:bCs/>
        </w:rPr>
      </w:pPr>
      <w:r w:rsidRPr="00B42D29">
        <w:rPr>
          <w:b/>
          <w:bCs/>
        </w:rPr>
        <w:t>Need for Structure and Clear Expectations</w:t>
      </w:r>
    </w:p>
    <w:p w14:paraId="6CF71A6E" w14:textId="77777777" w:rsidR="008D33C3" w:rsidRDefault="008D33C3" w:rsidP="008D33C3">
      <w:r>
        <w:t>To live organized and effective, virtual groups additionally want to set clean expectations, which includes deadlines, role distribution, and communique guidelines [6]. Members of a set may additionally become disengaged or unclear about their roles in the absence of shape.</w:t>
      </w:r>
    </w:p>
    <w:p w14:paraId="5EBDCF37" w14:textId="77777777" w:rsidR="008D33C3" w:rsidRPr="00B42D29" w:rsidRDefault="008D33C3" w:rsidP="008D33C3">
      <w:pPr>
        <w:rPr>
          <w:b/>
          <w:bCs/>
        </w:rPr>
      </w:pPr>
      <w:r w:rsidRPr="00B42D29">
        <w:rPr>
          <w:b/>
          <w:bCs/>
        </w:rPr>
        <w:t>Digital Skills Required</w:t>
      </w:r>
    </w:p>
    <w:p w14:paraId="32C3687E" w14:textId="77777777" w:rsidR="008D33C3" w:rsidRDefault="008D33C3" w:rsidP="008D33C3">
      <w:r>
        <w:t>A key aspect of effective digital teamwork is digital literacy. Collaboration gear like Zoom, Trello, Google Workspace, and Microsoft Teams ought to be understood by means of group individuals. These equipment allow humans manage obligations, co-edit documents, percentage files, and screen the reputation of tasks. They promote a professional preferred of labor and growth efficiency while carried out well [7].</w:t>
      </w:r>
    </w:p>
    <w:p w14:paraId="0D8C78C0" w14:textId="77777777" w:rsidR="008D33C3" w:rsidRPr="00B42D29" w:rsidRDefault="008D33C3" w:rsidP="008D33C3">
      <w:pPr>
        <w:rPr>
          <w:b/>
          <w:bCs/>
        </w:rPr>
      </w:pPr>
      <w:r w:rsidRPr="00B42D29">
        <w:rPr>
          <w:b/>
          <w:bCs/>
        </w:rPr>
        <w:t>Conclusion</w:t>
      </w:r>
    </w:p>
    <w:p w14:paraId="61012275" w14:textId="77777777" w:rsidR="008D33C3" w:rsidRDefault="008D33C3" w:rsidP="008D33C3">
      <w:r>
        <w:t>Overall things</w:t>
      </w:r>
      <w:r w:rsidRPr="001F7011">
        <w:t xml:space="preserve"> taken into consideration, digital collaboration is an effective teamwork approach that equips students for the an increasing number of usual remote and hybrid operating models determined in modern places of work. Learners can make a contribution correctly in on line groups and produce brilliant consequences in each academic and expert contexts by means of cultivating strong digital capabilities, conversation techniques, and time-control behavior.</w:t>
      </w:r>
    </w:p>
    <w:p w14:paraId="0393D200" w14:textId="77777777" w:rsidR="008D33C3" w:rsidRPr="007E63AB" w:rsidRDefault="008D33C3" w:rsidP="008D33C3">
      <w:pPr>
        <w:rPr>
          <w:b/>
          <w:bCs/>
        </w:rPr>
      </w:pPr>
      <w:r w:rsidRPr="007E63AB">
        <w:rPr>
          <w:b/>
          <w:bCs/>
        </w:rPr>
        <w:t>SAMPLE IEEE REFERENCES</w:t>
      </w:r>
    </w:p>
    <w:p w14:paraId="58EC0844" w14:textId="77777777" w:rsidR="008D33C3" w:rsidRDefault="008D33C3" w:rsidP="008D33C3">
      <w:pPr>
        <w:pStyle w:val="NormalWeb"/>
        <w:numPr>
          <w:ilvl w:val="0"/>
          <w:numId w:val="2"/>
        </w:numPr>
      </w:pPr>
      <w:r>
        <w:lastRenderedPageBreak/>
        <w:t xml:space="preserve">[1] </w:t>
      </w:r>
      <w:r>
        <w:rPr>
          <w:rStyle w:val="Strong"/>
          <w:rFonts w:eastAsiaTheme="majorEastAsia"/>
        </w:rPr>
        <w:t>A. Hosseini</w:t>
      </w:r>
      <w:r>
        <w:t xml:space="preserve">, </w:t>
      </w:r>
      <w:r>
        <w:rPr>
          <w:rStyle w:val="Emphasis"/>
          <w:rFonts w:eastAsiaTheme="majorEastAsia"/>
        </w:rPr>
        <w:t>Project Management for Remote, Hybrid, and Distributed Teams: A Comprehensive Guide to Leading and Managing Remote Teams Effectively</w:t>
      </w:r>
      <w:r>
        <w:t>. ADMIT HUB REF SERVICE PR, 2023.</w:t>
      </w:r>
    </w:p>
    <w:p w14:paraId="7205F05E" w14:textId="77777777" w:rsidR="008D33C3" w:rsidRDefault="008D33C3" w:rsidP="008D33C3">
      <w:pPr>
        <w:pStyle w:val="NormalWeb"/>
        <w:numPr>
          <w:ilvl w:val="0"/>
          <w:numId w:val="2"/>
        </w:numPr>
      </w:pPr>
      <w:r>
        <w:t xml:space="preserve">[2] </w:t>
      </w:r>
      <w:r>
        <w:rPr>
          <w:rStyle w:val="Strong"/>
          <w:rFonts w:eastAsiaTheme="majorEastAsia"/>
        </w:rPr>
        <w:t>LSPR Institute of Communication &amp; Business</w:t>
      </w:r>
      <w:r>
        <w:t xml:space="preserve">, et al., “Lark: As a medium of interpersonal communication for TNS employees to manage work stress amidst the Covid-19 pandemic,” </w:t>
      </w:r>
      <w:r>
        <w:rPr>
          <w:rStyle w:val="Emphasis"/>
          <w:rFonts w:eastAsiaTheme="majorEastAsia"/>
        </w:rPr>
        <w:t>Journal of Communication &amp; Public Relations</w:t>
      </w:r>
      <w:r>
        <w:t xml:space="preserve">, vol. 3, no. 1, pp. 41–62, Mar. 2024, </w:t>
      </w:r>
      <w:proofErr w:type="spellStart"/>
      <w:r>
        <w:t>doi</w:t>
      </w:r>
      <w:proofErr w:type="spellEnd"/>
      <w:r>
        <w:t>: 10.37535/105003120244.</w:t>
      </w:r>
    </w:p>
    <w:p w14:paraId="68E333EB" w14:textId="77777777" w:rsidR="008D33C3" w:rsidRDefault="008D33C3" w:rsidP="008D33C3">
      <w:pPr>
        <w:pStyle w:val="NormalWeb"/>
        <w:numPr>
          <w:ilvl w:val="0"/>
          <w:numId w:val="2"/>
        </w:numPr>
      </w:pPr>
      <w:r>
        <w:t xml:space="preserve">[3] </w:t>
      </w:r>
      <w:r>
        <w:rPr>
          <w:rStyle w:val="Strong"/>
          <w:rFonts w:eastAsiaTheme="majorEastAsia"/>
        </w:rPr>
        <w:t>P. Mason</w:t>
      </w:r>
      <w:r>
        <w:t xml:space="preserve">, et al., “Additional benefits of virtual planning in orthognathic surgery,” </w:t>
      </w:r>
      <w:r>
        <w:rPr>
          <w:rStyle w:val="Emphasis"/>
          <w:rFonts w:eastAsiaTheme="majorEastAsia"/>
        </w:rPr>
        <w:t>British Journal of Oral and Maxillofacial Surgery</w:t>
      </w:r>
      <w:r>
        <w:t xml:space="preserve">, vol. 56, no. 10, p. e45, Dec. 2018, </w:t>
      </w:r>
      <w:proofErr w:type="spellStart"/>
      <w:r>
        <w:t>doi</w:t>
      </w:r>
      <w:proofErr w:type="spellEnd"/>
      <w:r>
        <w:t>: 10.1016/j.bjoms.2018.10.133.</w:t>
      </w:r>
    </w:p>
    <w:p w14:paraId="6F4B9C41" w14:textId="77777777" w:rsidR="008D33C3" w:rsidRDefault="008D33C3" w:rsidP="008D33C3">
      <w:pPr>
        <w:pStyle w:val="NormalWeb"/>
        <w:numPr>
          <w:ilvl w:val="0"/>
          <w:numId w:val="2"/>
        </w:numPr>
      </w:pPr>
      <w:r>
        <w:t xml:space="preserve">[4] </w:t>
      </w:r>
      <w:r>
        <w:rPr>
          <w:rStyle w:val="Strong"/>
          <w:rFonts w:eastAsiaTheme="majorEastAsia"/>
        </w:rPr>
        <w:t>P. R. Monge</w:t>
      </w:r>
      <w:r>
        <w:t xml:space="preserve"> and </w:t>
      </w:r>
      <w:r>
        <w:rPr>
          <w:rStyle w:val="Strong"/>
          <w:rFonts w:eastAsiaTheme="majorEastAsia"/>
        </w:rPr>
        <w:t>N. S. Contractor</w:t>
      </w:r>
      <w:r>
        <w:t xml:space="preserve">, </w:t>
      </w:r>
      <w:r>
        <w:rPr>
          <w:rStyle w:val="Emphasis"/>
          <w:rFonts w:eastAsiaTheme="majorEastAsia"/>
        </w:rPr>
        <w:t>Theories of Communication Networks</w:t>
      </w:r>
      <w:r>
        <w:t>. Oxford, U.K.: Oxford University Press, 2003.</w:t>
      </w:r>
    </w:p>
    <w:p w14:paraId="42B65A4E" w14:textId="77777777" w:rsidR="008D33C3" w:rsidRDefault="008D33C3" w:rsidP="008D33C3">
      <w:pPr>
        <w:pStyle w:val="NormalWeb"/>
        <w:numPr>
          <w:ilvl w:val="0"/>
          <w:numId w:val="2"/>
        </w:numPr>
      </w:pPr>
      <w:r>
        <w:t xml:space="preserve">[5] </w:t>
      </w:r>
      <w:r>
        <w:rPr>
          <w:rStyle w:val="Strong"/>
          <w:rFonts w:eastAsiaTheme="majorEastAsia"/>
        </w:rPr>
        <w:t>J. Roesel</w:t>
      </w:r>
      <w:r>
        <w:t xml:space="preserve"> and </w:t>
      </w:r>
      <w:r>
        <w:rPr>
          <w:rStyle w:val="Strong"/>
          <w:rFonts w:eastAsiaTheme="majorEastAsia"/>
        </w:rPr>
        <w:t xml:space="preserve">G. </w:t>
      </w:r>
      <w:proofErr w:type="spellStart"/>
      <w:r>
        <w:rPr>
          <w:rStyle w:val="Strong"/>
          <w:rFonts w:eastAsiaTheme="majorEastAsia"/>
        </w:rPr>
        <w:t>Dobrijević</w:t>
      </w:r>
      <w:proofErr w:type="spellEnd"/>
      <w:r>
        <w:t xml:space="preserve">, “Moving the goal post: How the pandemic changed communication barriers in online course delivery in higher education for culturally diverse settings,” </w:t>
      </w:r>
      <w:r>
        <w:rPr>
          <w:rStyle w:val="Emphasis"/>
          <w:rFonts w:eastAsiaTheme="majorEastAsia"/>
        </w:rPr>
        <w:t>Innovations in Education and Teaching International</w:t>
      </w:r>
      <w:r>
        <w:t xml:space="preserve">, vol. 62, no. 6, pp. 1732–1744, Nov. 2025, </w:t>
      </w:r>
      <w:proofErr w:type="spellStart"/>
      <w:r>
        <w:t>doi</w:t>
      </w:r>
      <w:proofErr w:type="spellEnd"/>
      <w:r>
        <w:t>: 10.1080/14703297.2024.2432428.</w:t>
      </w:r>
    </w:p>
    <w:p w14:paraId="68B3435E" w14:textId="77777777" w:rsidR="008D33C3" w:rsidRDefault="008D33C3" w:rsidP="008D33C3">
      <w:pPr>
        <w:pStyle w:val="NormalWeb"/>
        <w:numPr>
          <w:ilvl w:val="0"/>
          <w:numId w:val="2"/>
        </w:numPr>
      </w:pPr>
      <w:r>
        <w:t xml:space="preserve">[6] </w:t>
      </w:r>
      <w:r>
        <w:rPr>
          <w:rStyle w:val="Strong"/>
          <w:rFonts w:eastAsiaTheme="majorEastAsia"/>
        </w:rPr>
        <w:t>J. Westover</w:t>
      </w:r>
      <w:r>
        <w:t xml:space="preserve">, “Understanding and overcoming the epidemic of burnout in the modern workplace,” </w:t>
      </w:r>
      <w:r>
        <w:rPr>
          <w:rStyle w:val="Emphasis"/>
          <w:rFonts w:eastAsiaTheme="majorEastAsia"/>
        </w:rPr>
        <w:t>Human Capital Leadership Review</w:t>
      </w:r>
      <w:r>
        <w:t xml:space="preserve">, vol. 17, no. 2, Jan. 2025, </w:t>
      </w:r>
      <w:proofErr w:type="spellStart"/>
      <w:r>
        <w:t>doi</w:t>
      </w:r>
      <w:proofErr w:type="spellEnd"/>
      <w:r>
        <w:t>: 10.70175/hclreview.2020.17.2.12.</w:t>
      </w:r>
    </w:p>
    <w:p w14:paraId="402C4F9B" w14:textId="77777777" w:rsidR="008D33C3" w:rsidRDefault="008D33C3" w:rsidP="008D33C3">
      <w:pPr>
        <w:numPr>
          <w:ilvl w:val="0"/>
          <w:numId w:val="2"/>
        </w:numPr>
        <w:spacing w:after="160" w:line="278" w:lineRule="auto"/>
      </w:pPr>
      <w:r>
        <w:t xml:space="preserve">[7] </w:t>
      </w:r>
      <w:r w:rsidRPr="00080A3C">
        <w:rPr>
          <w:b/>
          <w:bCs/>
        </w:rPr>
        <w:t>E. C. Wick</w:t>
      </w:r>
      <w:r w:rsidRPr="00080A3C">
        <w:t xml:space="preserve">, </w:t>
      </w:r>
      <w:r w:rsidRPr="00080A3C">
        <w:rPr>
          <w:i/>
          <w:iCs/>
        </w:rPr>
        <w:t>et al.</w:t>
      </w:r>
      <w:r w:rsidRPr="00080A3C">
        <w:t xml:space="preserve">, “Trans-surgical disciplines collaboration is an effective strategy for expediting quality improvement,” </w:t>
      </w:r>
      <w:r w:rsidRPr="00080A3C">
        <w:rPr>
          <w:i/>
          <w:iCs/>
        </w:rPr>
        <w:t>Annals of Surgery</w:t>
      </w:r>
      <w:r w:rsidRPr="00080A3C">
        <w:t xml:space="preserve">, vol. 264, no. 6, pp. 915–916, Dec. 2016, </w:t>
      </w:r>
      <w:proofErr w:type="spellStart"/>
      <w:r w:rsidRPr="00080A3C">
        <w:t>doi</w:t>
      </w:r>
      <w:proofErr w:type="spellEnd"/>
      <w:r w:rsidRPr="00080A3C">
        <w:t>: 10.1097/SLA.0000000000001764.</w:t>
      </w:r>
    </w:p>
    <w:p w14:paraId="7EF6BAB5" w14:textId="77777777" w:rsidR="008D33C3" w:rsidRDefault="008D33C3" w:rsidP="008D33C3">
      <w:pPr>
        <w:numPr>
          <w:ilvl w:val="0"/>
          <w:numId w:val="2"/>
        </w:numPr>
        <w:spacing w:after="160" w:line="278" w:lineRule="auto"/>
      </w:pPr>
      <w:r>
        <w:rPr>
          <w:noProof/>
        </w:rPr>
        <w:drawing>
          <wp:inline distT="0" distB="0" distL="0" distR="0" wp14:anchorId="084F4DDD" wp14:editId="656ACDAE">
            <wp:extent cx="5943600" cy="2990215"/>
            <wp:effectExtent l="0" t="0" r="0" b="635"/>
            <wp:docPr id="1750111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11064" name=""/>
                    <pic:cNvPicPr/>
                  </pic:nvPicPr>
                  <pic:blipFill>
                    <a:blip r:embed="rId7"/>
                    <a:stretch>
                      <a:fillRect/>
                    </a:stretch>
                  </pic:blipFill>
                  <pic:spPr>
                    <a:xfrm>
                      <a:off x="0" y="0"/>
                      <a:ext cx="5943600" cy="2990215"/>
                    </a:xfrm>
                    <a:prstGeom prst="rect">
                      <a:avLst/>
                    </a:prstGeom>
                  </pic:spPr>
                </pic:pic>
              </a:graphicData>
            </a:graphic>
          </wp:inline>
        </w:drawing>
      </w:r>
    </w:p>
    <w:p w14:paraId="5A65A3F1" w14:textId="77777777" w:rsidR="008D33C3" w:rsidRDefault="008D33C3" w:rsidP="008D33C3">
      <w:r>
        <w:rPr>
          <w:noProof/>
        </w:rPr>
        <w:lastRenderedPageBreak/>
        <w:drawing>
          <wp:inline distT="0" distB="0" distL="0" distR="0" wp14:anchorId="4D618778" wp14:editId="3196D8B7">
            <wp:extent cx="5943600" cy="2733675"/>
            <wp:effectExtent l="0" t="0" r="0" b="9525"/>
            <wp:docPr id="117917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79253" name=""/>
                    <pic:cNvPicPr/>
                  </pic:nvPicPr>
                  <pic:blipFill>
                    <a:blip r:embed="rId8"/>
                    <a:stretch>
                      <a:fillRect/>
                    </a:stretch>
                  </pic:blipFill>
                  <pic:spPr>
                    <a:xfrm>
                      <a:off x="0" y="0"/>
                      <a:ext cx="5943600" cy="2733675"/>
                    </a:xfrm>
                    <a:prstGeom prst="rect">
                      <a:avLst/>
                    </a:prstGeom>
                  </pic:spPr>
                </pic:pic>
              </a:graphicData>
            </a:graphic>
          </wp:inline>
        </w:drawing>
      </w:r>
    </w:p>
    <w:p w14:paraId="4EDEF319" w14:textId="77777777" w:rsidR="008D33C3" w:rsidRDefault="008D33C3" w:rsidP="008D33C3"/>
    <w:p w14:paraId="27AF727B" w14:textId="4CE16C1E" w:rsidR="008D33C3" w:rsidRDefault="008D33C3" w:rsidP="008D33C3">
      <w:pPr>
        <w:pStyle w:val="Heading2"/>
      </w:pPr>
      <w:r w:rsidRPr="008D33C3">
        <w:t>Task 4:</w:t>
      </w:r>
    </w:p>
    <w:p w14:paraId="2074AC05" w14:textId="77777777" w:rsidR="008D33C3" w:rsidRDefault="008D33C3" w:rsidP="008D33C3"/>
    <w:p w14:paraId="60AF6166" w14:textId="51B67DD4" w:rsidR="008D33C3" w:rsidRDefault="008D33C3" w:rsidP="008D33C3">
      <w:r>
        <w:t>Google Sites link:</w:t>
      </w:r>
    </w:p>
    <w:p w14:paraId="61F5002F" w14:textId="6BF4502E" w:rsidR="008D33C3" w:rsidRDefault="0014370E" w:rsidP="008D33C3">
      <w:hyperlink r:id="rId9" w:history="1">
        <w:r w:rsidRPr="0014370E">
          <w:rPr>
            <w:rStyle w:val="Hyperlink"/>
          </w:rPr>
          <w:t>https://sites.google.com/d/1Or7qSYllfRplSYWYAgMXoVHY-c7-e5aS/p/1RpVtYg-HLI9t29vcgbf9TVwiHt3PLRVr/edit</w:t>
        </w:r>
      </w:hyperlink>
    </w:p>
    <w:sectPr w:rsidR="008D33C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E55D5F3-D478-4A65-B680-E9475E786D06}"/>
  </w:font>
  <w:font w:name="Cambria">
    <w:panose1 w:val="02040503050406030204"/>
    <w:charset w:val="00"/>
    <w:family w:val="roman"/>
    <w:pitch w:val="variable"/>
    <w:sig w:usb0="E00006FF" w:usb1="420024FF" w:usb2="02000000" w:usb3="00000000" w:csb0="0000019F" w:csb1="00000000"/>
    <w:embedRegular r:id="rId2" w:fontKey="{607B7EB3-EBB8-4210-BBB2-2FBE8861699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844D1"/>
    <w:multiLevelType w:val="multilevel"/>
    <w:tmpl w:val="740EC2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8CE4DC9"/>
    <w:multiLevelType w:val="multilevel"/>
    <w:tmpl w:val="BE3A6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195077">
    <w:abstractNumId w:val="0"/>
  </w:num>
  <w:num w:numId="2" w16cid:durableId="1396469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A0D"/>
    <w:rsid w:val="00116941"/>
    <w:rsid w:val="0014370E"/>
    <w:rsid w:val="005C6A0D"/>
    <w:rsid w:val="006B677B"/>
    <w:rsid w:val="0071501F"/>
    <w:rsid w:val="008D33C3"/>
    <w:rsid w:val="00D168C9"/>
    <w:rsid w:val="00D4295A"/>
    <w:rsid w:val="00DB7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3F00D"/>
  <w15:docId w15:val="{2A3F4F55-7051-45AF-9276-5D2372B38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168C9"/>
    <w:rPr>
      <w:color w:val="0000FF" w:themeColor="hyperlink"/>
      <w:u w:val="single"/>
    </w:rPr>
  </w:style>
  <w:style w:type="character" w:styleId="UnresolvedMention">
    <w:name w:val="Unresolved Mention"/>
    <w:basedOn w:val="DefaultParagraphFont"/>
    <w:uiPriority w:val="99"/>
    <w:semiHidden/>
    <w:unhideWhenUsed/>
    <w:rsid w:val="00D168C9"/>
    <w:rPr>
      <w:color w:val="605E5C"/>
      <w:shd w:val="clear" w:color="auto" w:fill="E1DFDD"/>
    </w:rPr>
  </w:style>
  <w:style w:type="paragraph" w:styleId="ListParagraph">
    <w:name w:val="List Paragraph"/>
    <w:basedOn w:val="Normal"/>
    <w:uiPriority w:val="34"/>
    <w:qFormat/>
    <w:rsid w:val="008D33C3"/>
    <w:pPr>
      <w:ind w:left="720"/>
      <w:contextualSpacing/>
    </w:pPr>
  </w:style>
  <w:style w:type="character" w:customStyle="1" w:styleId="TitleChar">
    <w:name w:val="Title Char"/>
    <w:basedOn w:val="DefaultParagraphFont"/>
    <w:link w:val="Title"/>
    <w:uiPriority w:val="10"/>
    <w:rsid w:val="008D33C3"/>
    <w:rPr>
      <w:sz w:val="52"/>
      <w:szCs w:val="52"/>
    </w:rPr>
  </w:style>
  <w:style w:type="paragraph" w:styleId="NormalWeb">
    <w:name w:val="Normal (Web)"/>
    <w:basedOn w:val="Normal"/>
    <w:uiPriority w:val="99"/>
    <w:semiHidden/>
    <w:unhideWhenUsed/>
    <w:rsid w:val="008D33C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D33C3"/>
    <w:rPr>
      <w:b/>
      <w:bCs/>
    </w:rPr>
  </w:style>
  <w:style w:type="character" w:styleId="Emphasis">
    <w:name w:val="Emphasis"/>
    <w:basedOn w:val="DefaultParagraphFont"/>
    <w:uiPriority w:val="20"/>
    <w:qFormat/>
    <w:rsid w:val="008D33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doi.org/10.1504/IJMP.2022.1004991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ites.google.com/d/1Or7qSYllfRplSYWYAgMXoVHY-c7-e5aS/p/1RpVtYg-HLI9t29vcgbf9TVwiHt3PLRVr/edi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1325</Words>
  <Characters>7558</Characters>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2025-11-21T10:45:00Z</dcterms:created>
  <dcterms:modified xsi:type="dcterms:W3CDTF">2025-11-21T11:59:00Z</dcterms:modified>
</cp:coreProperties>
</file>