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6BA3C6" w14:textId="77777777" w:rsidR="006C286F" w:rsidRDefault="006C286F">
      <w:pPr>
        <w:spacing w:line="360" w:lineRule="auto"/>
        <w:jc w:val="center"/>
        <w:rPr>
          <w:rFonts w:ascii="Times New Roman" w:eastAsia="Times New Roman" w:hAnsi="Times New Roman" w:cs="Times New Roman"/>
          <w:b/>
          <w:sz w:val="32"/>
          <w:szCs w:val="32"/>
        </w:rPr>
      </w:pPr>
    </w:p>
    <w:p w14:paraId="7076CD07" w14:textId="77777777" w:rsidR="006C286F" w:rsidRDefault="006C286F">
      <w:pPr>
        <w:spacing w:line="360" w:lineRule="auto"/>
        <w:jc w:val="center"/>
        <w:rPr>
          <w:rFonts w:ascii="Times New Roman" w:eastAsia="Times New Roman" w:hAnsi="Times New Roman" w:cs="Times New Roman"/>
          <w:b/>
          <w:sz w:val="32"/>
          <w:szCs w:val="32"/>
        </w:rPr>
      </w:pPr>
    </w:p>
    <w:p w14:paraId="18A4672D" w14:textId="77777777" w:rsidR="006C286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114300" distB="114300" distL="114300" distR="114300" wp14:anchorId="5F355448" wp14:editId="1BEF2959">
            <wp:extent cx="3048000" cy="1247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48000" cy="1247775"/>
                    </a:xfrm>
                    <a:prstGeom prst="rect">
                      <a:avLst/>
                    </a:prstGeom>
                    <a:ln/>
                  </pic:spPr>
                </pic:pic>
              </a:graphicData>
            </a:graphic>
          </wp:inline>
        </w:drawing>
      </w:r>
    </w:p>
    <w:p w14:paraId="7616F6E5" w14:textId="77777777" w:rsidR="006C286F" w:rsidRDefault="006C286F">
      <w:pPr>
        <w:spacing w:line="360" w:lineRule="auto"/>
        <w:jc w:val="center"/>
        <w:rPr>
          <w:rFonts w:ascii="Times New Roman" w:eastAsia="Times New Roman" w:hAnsi="Times New Roman" w:cs="Times New Roman"/>
          <w:b/>
          <w:sz w:val="32"/>
          <w:szCs w:val="32"/>
        </w:rPr>
      </w:pPr>
    </w:p>
    <w:p w14:paraId="6A0AAF51" w14:textId="77777777" w:rsidR="006C286F" w:rsidRDefault="006C286F">
      <w:pPr>
        <w:spacing w:line="360" w:lineRule="auto"/>
        <w:jc w:val="center"/>
        <w:rPr>
          <w:rFonts w:ascii="Times New Roman" w:eastAsia="Times New Roman" w:hAnsi="Times New Roman" w:cs="Times New Roman"/>
          <w:b/>
          <w:sz w:val="32"/>
          <w:szCs w:val="32"/>
        </w:rPr>
      </w:pPr>
    </w:p>
    <w:p w14:paraId="36F4A7A5" w14:textId="77777777" w:rsidR="006C286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PROGRAMME: BA (HONS) LEADERSHIP AND MANAGEMENT SKILLS FOR THE WORKPLACE  </w:t>
      </w:r>
    </w:p>
    <w:p w14:paraId="62D02A06" w14:textId="77777777" w:rsidR="006C286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DEVELOPING AND MANAGING INDIVIDUALS AND TEAMS </w:t>
      </w:r>
    </w:p>
    <w:p w14:paraId="66E91426" w14:textId="77777777" w:rsidR="006C286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LCLM5002</w:t>
      </w:r>
    </w:p>
    <w:p w14:paraId="16B6EC32" w14:textId="77777777" w:rsidR="006C286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COMPONENT 1- INDIVIDUAL </w:t>
      </w:r>
    </w:p>
    <w:p w14:paraId="08772808" w14:textId="77777777" w:rsidR="00767DBF"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PRESENTATION</w:t>
      </w:r>
    </w:p>
    <w:p w14:paraId="76FD84C7" w14:textId="56D0ED3E" w:rsidR="00767DBF" w:rsidRDefault="00767DB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182B3B20" wp14:editId="569B42B1">
            <wp:extent cx="4572635" cy="2571750"/>
            <wp:effectExtent l="0" t="0" r="0" b="0"/>
            <wp:docPr id="68370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765EAE85" w14:textId="04FA53C3" w:rsidR="00767DBF" w:rsidRDefault="00767DB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lastRenderedPageBreak/>
        <w:drawing>
          <wp:inline distT="0" distB="0" distL="0" distR="0" wp14:anchorId="7FED6E71" wp14:editId="126C0F7F">
            <wp:extent cx="4572635" cy="2571750"/>
            <wp:effectExtent l="0" t="0" r="0" b="0"/>
            <wp:docPr id="767350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77342A29" w14:textId="77777777" w:rsidR="00D77119" w:rsidRDefault="00D77119">
      <w:pPr>
        <w:spacing w:line="360" w:lineRule="auto"/>
        <w:jc w:val="center"/>
        <w:rPr>
          <w:rFonts w:ascii="Times New Roman" w:eastAsia="Times New Roman" w:hAnsi="Times New Roman" w:cs="Times New Roman"/>
          <w:b/>
          <w:sz w:val="32"/>
          <w:szCs w:val="32"/>
        </w:rPr>
      </w:pPr>
    </w:p>
    <w:p w14:paraId="028FED58" w14:textId="5E477918" w:rsidR="006C286F" w:rsidRDefault="00000000">
      <w:pPr>
        <w:spacing w:line="360" w:lineRule="auto"/>
        <w:jc w:val="center"/>
        <w:rPr>
          <w:rFonts w:ascii="Times New Roman" w:eastAsia="Times New Roman" w:hAnsi="Times New Roman" w:cs="Times New Roman"/>
          <w:b/>
          <w:sz w:val="32"/>
          <w:szCs w:val="32"/>
        </w:rPr>
      </w:pPr>
      <w:r>
        <w:br w:type="page"/>
      </w:r>
    </w:p>
    <w:p w14:paraId="24DFBDE2" w14:textId="77777777" w:rsidR="00E0750E"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Table of Contents</w:t>
      </w:r>
    </w:p>
    <w:p w14:paraId="7FFD6A07" w14:textId="68590D7F"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r w:rsidRPr="00E0750E">
        <w:rPr>
          <w:rFonts w:ascii="Times New Roman" w:hAnsi="Times New Roman" w:cs="Times New Roman"/>
          <w:sz w:val="24"/>
          <w:szCs w:val="24"/>
        </w:rPr>
        <w:fldChar w:fldCharType="begin"/>
      </w:r>
      <w:r w:rsidRPr="00E0750E">
        <w:rPr>
          <w:rFonts w:ascii="Times New Roman" w:hAnsi="Times New Roman" w:cs="Times New Roman"/>
          <w:sz w:val="24"/>
          <w:szCs w:val="24"/>
        </w:rPr>
        <w:instrText xml:space="preserve"> TOC \o "1-3" \h \z \u </w:instrText>
      </w:r>
      <w:r w:rsidRPr="00E0750E">
        <w:rPr>
          <w:rFonts w:ascii="Times New Roman" w:hAnsi="Times New Roman" w:cs="Times New Roman"/>
          <w:sz w:val="24"/>
          <w:szCs w:val="24"/>
        </w:rPr>
        <w:fldChar w:fldCharType="separate"/>
      </w:r>
      <w:hyperlink w:anchor="_Toc213569689" w:history="1">
        <w:r w:rsidRPr="00E0750E">
          <w:rPr>
            <w:rStyle w:val="Hyperlink"/>
            <w:rFonts w:ascii="Times New Roman" w:hAnsi="Times New Roman" w:cs="Times New Roman"/>
            <w:noProof/>
            <w:sz w:val="24"/>
            <w:szCs w:val="24"/>
          </w:rPr>
          <w:t>Slide 1: Cover Page</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_Toc213569689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3</w:t>
        </w:r>
        <w:r w:rsidRPr="00E0750E">
          <w:rPr>
            <w:rFonts w:ascii="Times New Roman" w:hAnsi="Times New Roman" w:cs="Times New Roman"/>
            <w:noProof/>
            <w:webHidden/>
            <w:sz w:val="24"/>
            <w:szCs w:val="24"/>
          </w:rPr>
          <w:fldChar w:fldCharType="end"/>
        </w:r>
      </w:hyperlink>
    </w:p>
    <w:p w14:paraId="37D990D8" w14:textId="169EF636"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0" w:history="1">
        <w:r w:rsidRPr="00E0750E">
          <w:rPr>
            <w:rStyle w:val="Hyperlink"/>
            <w:rFonts w:ascii="Times New Roman" w:hAnsi="Times New Roman" w:cs="Times New Roman"/>
            <w:noProof/>
            <w:sz w:val="24"/>
            <w:szCs w:val="24"/>
          </w:rPr>
          <w:t>Slide 2: Introduction</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_Toc213569690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3</w:t>
        </w:r>
        <w:r w:rsidRPr="00E0750E">
          <w:rPr>
            <w:rFonts w:ascii="Times New Roman" w:hAnsi="Times New Roman" w:cs="Times New Roman"/>
            <w:noProof/>
            <w:webHidden/>
            <w:sz w:val="24"/>
            <w:szCs w:val="24"/>
          </w:rPr>
          <w:fldChar w:fldCharType="end"/>
        </w:r>
      </w:hyperlink>
    </w:p>
    <w:p w14:paraId="30968383" w14:textId="31B9FD8B"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1" w:history="1">
        <w:r w:rsidRPr="00E0750E">
          <w:rPr>
            <w:rStyle w:val="Hyperlink"/>
            <w:rFonts w:ascii="Times New Roman" w:hAnsi="Times New Roman" w:cs="Times New Roman"/>
            <w:noProof/>
            <w:sz w:val="24"/>
            <w:szCs w:val="24"/>
          </w:rPr>
          <w:t>Slide 3: Background of ASDA</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_Toc213569691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3</w:t>
        </w:r>
        <w:r w:rsidRPr="00E0750E">
          <w:rPr>
            <w:rFonts w:ascii="Times New Roman" w:hAnsi="Times New Roman" w:cs="Times New Roman"/>
            <w:noProof/>
            <w:webHidden/>
            <w:sz w:val="24"/>
            <w:szCs w:val="24"/>
          </w:rPr>
          <w:fldChar w:fldCharType="end"/>
        </w:r>
      </w:hyperlink>
    </w:p>
    <w:p w14:paraId="194018A7" w14:textId="14EC050E"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2" w:history="1">
        <w:r w:rsidRPr="00E0750E">
          <w:rPr>
            <w:rStyle w:val="Hyperlink"/>
            <w:rFonts w:ascii="Times New Roman" w:hAnsi="Times New Roman" w:cs="Times New Roman"/>
            <w:noProof/>
            <w:sz w:val="24"/>
            <w:szCs w:val="24"/>
          </w:rPr>
          <w:t>Slide 4: Recruitment Process</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_Toc213569692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4</w:t>
        </w:r>
        <w:r w:rsidRPr="00E0750E">
          <w:rPr>
            <w:rFonts w:ascii="Times New Roman" w:hAnsi="Times New Roman" w:cs="Times New Roman"/>
            <w:noProof/>
            <w:webHidden/>
            <w:sz w:val="24"/>
            <w:szCs w:val="24"/>
          </w:rPr>
          <w:fldChar w:fldCharType="end"/>
        </w:r>
      </w:hyperlink>
    </w:p>
    <w:p w14:paraId="4AFE6CE6" w14:textId="0997B151"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3" w:history="1">
        <w:r w:rsidRPr="00E0750E">
          <w:rPr>
            <w:rStyle w:val="Hyperlink"/>
            <w:rFonts w:ascii="Times New Roman" w:hAnsi="Times New Roman" w:cs="Times New Roman"/>
            <w:noProof/>
            <w:sz w:val="24"/>
            <w:szCs w:val="24"/>
          </w:rPr>
          <w:t>Slide 5: Interview Type 1 – Structured Interview</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_Toc213569693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4</w:t>
        </w:r>
        <w:r w:rsidRPr="00E0750E">
          <w:rPr>
            <w:rFonts w:ascii="Times New Roman" w:hAnsi="Times New Roman" w:cs="Times New Roman"/>
            <w:noProof/>
            <w:webHidden/>
            <w:sz w:val="24"/>
            <w:szCs w:val="24"/>
          </w:rPr>
          <w:fldChar w:fldCharType="end"/>
        </w:r>
      </w:hyperlink>
    </w:p>
    <w:p w14:paraId="1DA4902B" w14:textId="374D2BC4"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4" w:history="1">
        <w:r w:rsidRPr="00E0750E">
          <w:rPr>
            <w:rStyle w:val="Hyperlink"/>
            <w:rFonts w:ascii="Times New Roman" w:hAnsi="Times New Roman" w:cs="Times New Roman"/>
            <w:noProof/>
            <w:sz w:val="24"/>
            <w:szCs w:val="24"/>
          </w:rPr>
          <w:t>Slide 6: Interview Type 2 – Panel Interview</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_Toc213569694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5</w:t>
        </w:r>
        <w:r w:rsidRPr="00E0750E">
          <w:rPr>
            <w:rFonts w:ascii="Times New Roman" w:hAnsi="Times New Roman" w:cs="Times New Roman"/>
            <w:noProof/>
            <w:webHidden/>
            <w:sz w:val="24"/>
            <w:szCs w:val="24"/>
          </w:rPr>
          <w:fldChar w:fldCharType="end"/>
        </w:r>
      </w:hyperlink>
    </w:p>
    <w:p w14:paraId="4D3B8894" w14:textId="3314DF01"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5" w:history="1">
        <w:r w:rsidRPr="00E0750E">
          <w:rPr>
            <w:rStyle w:val="Hyperlink"/>
            <w:rFonts w:ascii="Times New Roman" w:hAnsi="Times New Roman" w:cs="Times New Roman"/>
            <w:noProof/>
            <w:sz w:val="24"/>
            <w:szCs w:val="24"/>
          </w:rPr>
          <w:t>Slide 7: Interview Type 3 – Competency-Based Interview</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_Toc213569695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5</w:t>
        </w:r>
        <w:r w:rsidRPr="00E0750E">
          <w:rPr>
            <w:rFonts w:ascii="Times New Roman" w:hAnsi="Times New Roman" w:cs="Times New Roman"/>
            <w:noProof/>
            <w:webHidden/>
            <w:sz w:val="24"/>
            <w:szCs w:val="24"/>
          </w:rPr>
          <w:fldChar w:fldCharType="end"/>
        </w:r>
      </w:hyperlink>
    </w:p>
    <w:p w14:paraId="7FF37020" w14:textId="3DD4619A"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6" w:history="1">
        <w:r w:rsidRPr="00E0750E">
          <w:rPr>
            <w:rStyle w:val="Hyperlink"/>
            <w:rFonts w:ascii="Times New Roman" w:hAnsi="Times New Roman" w:cs="Times New Roman"/>
            <w:noProof/>
            <w:sz w:val="24"/>
            <w:szCs w:val="24"/>
          </w:rPr>
          <w:t>Slide 8: Questioning Technique – Probing (Main Focus)</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_Toc213569696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5</w:t>
        </w:r>
        <w:r w:rsidRPr="00E0750E">
          <w:rPr>
            <w:rFonts w:ascii="Times New Roman" w:hAnsi="Times New Roman" w:cs="Times New Roman"/>
            <w:noProof/>
            <w:webHidden/>
            <w:sz w:val="24"/>
            <w:szCs w:val="24"/>
          </w:rPr>
          <w:fldChar w:fldCharType="end"/>
        </w:r>
      </w:hyperlink>
    </w:p>
    <w:p w14:paraId="39217E13" w14:textId="0416636F"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7" w:history="1">
        <w:r w:rsidRPr="00E0750E">
          <w:rPr>
            <w:rStyle w:val="Hyperlink"/>
            <w:rFonts w:ascii="Times New Roman" w:hAnsi="Times New Roman" w:cs="Times New Roman"/>
            <w:noProof/>
            <w:sz w:val="24"/>
            <w:szCs w:val="24"/>
          </w:rPr>
          <w:t>Slide 9: Questioning Technique – Leading</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_Toc213569697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6</w:t>
        </w:r>
        <w:r w:rsidRPr="00E0750E">
          <w:rPr>
            <w:rFonts w:ascii="Times New Roman" w:hAnsi="Times New Roman" w:cs="Times New Roman"/>
            <w:noProof/>
            <w:webHidden/>
            <w:sz w:val="24"/>
            <w:szCs w:val="24"/>
          </w:rPr>
          <w:fldChar w:fldCharType="end"/>
        </w:r>
      </w:hyperlink>
    </w:p>
    <w:p w14:paraId="54EE81E2" w14:textId="6AE81173"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8" w:history="1">
        <w:r w:rsidRPr="00E0750E">
          <w:rPr>
            <w:rStyle w:val="Hyperlink"/>
            <w:rFonts w:ascii="Times New Roman" w:hAnsi="Times New Roman" w:cs="Times New Roman"/>
            <w:noProof/>
            <w:sz w:val="24"/>
            <w:szCs w:val="24"/>
          </w:rPr>
          <w:t>Slide 10: Questioning Technique – Socratic</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_Toc213569698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6</w:t>
        </w:r>
        <w:r w:rsidRPr="00E0750E">
          <w:rPr>
            <w:rFonts w:ascii="Times New Roman" w:hAnsi="Times New Roman" w:cs="Times New Roman"/>
            <w:noProof/>
            <w:webHidden/>
            <w:sz w:val="24"/>
            <w:szCs w:val="24"/>
          </w:rPr>
          <w:fldChar w:fldCharType="end"/>
        </w:r>
      </w:hyperlink>
    </w:p>
    <w:p w14:paraId="5CF992EB" w14:textId="648D041F"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699" w:history="1">
        <w:r w:rsidRPr="00E0750E">
          <w:rPr>
            <w:rStyle w:val="Hyperlink"/>
            <w:rFonts w:ascii="Times New Roman" w:hAnsi="Times New Roman" w:cs="Times New Roman"/>
            <w:noProof/>
            <w:sz w:val="24"/>
            <w:szCs w:val="24"/>
          </w:rPr>
          <w:t>Slide 11: Face-to-Face vs Online Interview</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_Toc213569699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7</w:t>
        </w:r>
        <w:r w:rsidRPr="00E0750E">
          <w:rPr>
            <w:rFonts w:ascii="Times New Roman" w:hAnsi="Times New Roman" w:cs="Times New Roman"/>
            <w:noProof/>
            <w:webHidden/>
            <w:sz w:val="24"/>
            <w:szCs w:val="24"/>
          </w:rPr>
          <w:fldChar w:fldCharType="end"/>
        </w:r>
      </w:hyperlink>
    </w:p>
    <w:p w14:paraId="6D8616B6" w14:textId="14ACD5B7"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700" w:history="1">
        <w:r w:rsidRPr="00E0750E">
          <w:rPr>
            <w:rStyle w:val="Hyperlink"/>
            <w:rFonts w:ascii="Times New Roman" w:hAnsi="Times New Roman" w:cs="Times New Roman"/>
            <w:noProof/>
            <w:sz w:val="24"/>
            <w:szCs w:val="24"/>
          </w:rPr>
          <w:t>Slide 12: Equal Opportunity and Ethical Considerations</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_Toc213569700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7</w:t>
        </w:r>
        <w:r w:rsidRPr="00E0750E">
          <w:rPr>
            <w:rFonts w:ascii="Times New Roman" w:hAnsi="Times New Roman" w:cs="Times New Roman"/>
            <w:noProof/>
            <w:webHidden/>
            <w:sz w:val="24"/>
            <w:szCs w:val="24"/>
          </w:rPr>
          <w:fldChar w:fldCharType="end"/>
        </w:r>
      </w:hyperlink>
    </w:p>
    <w:p w14:paraId="4C22400C" w14:textId="2D5BA84A"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701" w:history="1">
        <w:r w:rsidRPr="00E0750E">
          <w:rPr>
            <w:rStyle w:val="Hyperlink"/>
            <w:rFonts w:ascii="Times New Roman" w:hAnsi="Times New Roman" w:cs="Times New Roman"/>
            <w:noProof/>
            <w:sz w:val="24"/>
            <w:szCs w:val="24"/>
          </w:rPr>
          <w:t>Slide 13: Conclusion</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_Toc213569701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8</w:t>
        </w:r>
        <w:r w:rsidRPr="00E0750E">
          <w:rPr>
            <w:rFonts w:ascii="Times New Roman" w:hAnsi="Times New Roman" w:cs="Times New Roman"/>
            <w:noProof/>
            <w:webHidden/>
            <w:sz w:val="24"/>
            <w:szCs w:val="24"/>
          </w:rPr>
          <w:fldChar w:fldCharType="end"/>
        </w:r>
      </w:hyperlink>
    </w:p>
    <w:p w14:paraId="58FFF6FB" w14:textId="1E8E18FF" w:rsidR="00E0750E" w:rsidRPr="00E0750E" w:rsidRDefault="00E0750E" w:rsidP="00E0750E">
      <w:pPr>
        <w:pStyle w:val="TOC1"/>
        <w:tabs>
          <w:tab w:val="right" w:leader="dot" w:pos="9350"/>
        </w:tabs>
        <w:spacing w:line="360" w:lineRule="auto"/>
        <w:jc w:val="both"/>
        <w:rPr>
          <w:rFonts w:ascii="Times New Roman" w:hAnsi="Times New Roman" w:cs="Times New Roman"/>
          <w:noProof/>
          <w:sz w:val="24"/>
          <w:szCs w:val="24"/>
        </w:rPr>
      </w:pPr>
      <w:hyperlink w:anchor="_Toc213569702" w:history="1">
        <w:r w:rsidRPr="00E0750E">
          <w:rPr>
            <w:rStyle w:val="Hyperlink"/>
            <w:rFonts w:ascii="Times New Roman" w:hAnsi="Times New Roman" w:cs="Times New Roman"/>
            <w:noProof/>
            <w:sz w:val="24"/>
            <w:szCs w:val="24"/>
          </w:rPr>
          <w:t>References</w:t>
        </w:r>
        <w:r w:rsidRPr="00E0750E">
          <w:rPr>
            <w:rFonts w:ascii="Times New Roman" w:hAnsi="Times New Roman" w:cs="Times New Roman"/>
            <w:noProof/>
            <w:webHidden/>
            <w:sz w:val="24"/>
            <w:szCs w:val="24"/>
          </w:rPr>
          <w:tab/>
        </w:r>
        <w:r w:rsidRPr="00E0750E">
          <w:rPr>
            <w:rFonts w:ascii="Times New Roman" w:hAnsi="Times New Roman" w:cs="Times New Roman"/>
            <w:noProof/>
            <w:webHidden/>
            <w:sz w:val="24"/>
            <w:szCs w:val="24"/>
          </w:rPr>
          <w:fldChar w:fldCharType="begin"/>
        </w:r>
        <w:r w:rsidRPr="00E0750E">
          <w:rPr>
            <w:rFonts w:ascii="Times New Roman" w:hAnsi="Times New Roman" w:cs="Times New Roman"/>
            <w:noProof/>
            <w:webHidden/>
            <w:sz w:val="24"/>
            <w:szCs w:val="24"/>
          </w:rPr>
          <w:instrText xml:space="preserve"> PAGEREF _Toc213569702 \h </w:instrText>
        </w:r>
        <w:r w:rsidRPr="00E0750E">
          <w:rPr>
            <w:rFonts w:ascii="Times New Roman" w:hAnsi="Times New Roman" w:cs="Times New Roman"/>
            <w:noProof/>
            <w:webHidden/>
            <w:sz w:val="24"/>
            <w:szCs w:val="24"/>
          </w:rPr>
        </w:r>
        <w:r w:rsidRPr="00E0750E">
          <w:rPr>
            <w:rFonts w:ascii="Times New Roman" w:hAnsi="Times New Roman" w:cs="Times New Roman"/>
            <w:noProof/>
            <w:webHidden/>
            <w:sz w:val="24"/>
            <w:szCs w:val="24"/>
          </w:rPr>
          <w:fldChar w:fldCharType="separate"/>
        </w:r>
        <w:r w:rsidRPr="00E0750E">
          <w:rPr>
            <w:rFonts w:ascii="Times New Roman" w:hAnsi="Times New Roman" w:cs="Times New Roman"/>
            <w:noProof/>
            <w:webHidden/>
            <w:sz w:val="24"/>
            <w:szCs w:val="24"/>
          </w:rPr>
          <w:t>9</w:t>
        </w:r>
        <w:r w:rsidRPr="00E0750E">
          <w:rPr>
            <w:rFonts w:ascii="Times New Roman" w:hAnsi="Times New Roman" w:cs="Times New Roman"/>
            <w:noProof/>
            <w:webHidden/>
            <w:sz w:val="24"/>
            <w:szCs w:val="24"/>
          </w:rPr>
          <w:fldChar w:fldCharType="end"/>
        </w:r>
      </w:hyperlink>
    </w:p>
    <w:p w14:paraId="6690FEC4" w14:textId="6EB2E73A" w:rsidR="006C286F" w:rsidRDefault="00E0750E" w:rsidP="00E0750E">
      <w:pPr>
        <w:spacing w:line="360" w:lineRule="auto"/>
        <w:jc w:val="both"/>
        <w:rPr>
          <w:rFonts w:ascii="Times New Roman" w:eastAsia="Times New Roman" w:hAnsi="Times New Roman" w:cs="Times New Roman"/>
          <w:b/>
          <w:sz w:val="28"/>
          <w:szCs w:val="28"/>
        </w:rPr>
      </w:pPr>
      <w:r w:rsidRPr="00E0750E">
        <w:rPr>
          <w:rFonts w:ascii="Times New Roman" w:hAnsi="Times New Roman" w:cs="Times New Roman"/>
          <w:sz w:val="24"/>
          <w:szCs w:val="24"/>
        </w:rPr>
        <w:fldChar w:fldCharType="end"/>
      </w:r>
      <w:r>
        <w:br w:type="page"/>
      </w:r>
    </w:p>
    <w:p w14:paraId="638A8F14" w14:textId="77777777" w:rsidR="006C286F" w:rsidRDefault="00000000" w:rsidP="00A61344">
      <w:pPr>
        <w:pStyle w:val="Heading1"/>
      </w:pPr>
      <w:bookmarkStart w:id="0" w:name="_Toc213569689"/>
      <w:r>
        <w:lastRenderedPageBreak/>
        <w:t>Slide 1: Cover Page</w:t>
      </w:r>
      <w:bookmarkEnd w:id="0"/>
    </w:p>
    <w:p w14:paraId="688B990C" w14:textId="77777777" w:rsidR="00FB3368" w:rsidRDefault="00FB3368" w:rsidP="00FB3368">
      <w:bookmarkStart w:id="1" w:name="_Toc213569690"/>
    </w:p>
    <w:p w14:paraId="3BE5A930" w14:textId="75B5576C" w:rsidR="00FB3368" w:rsidRDefault="00FB3368" w:rsidP="00FB3368">
      <w:pPr>
        <w:jc w:val="center"/>
      </w:pPr>
      <w:r>
        <w:rPr>
          <w:noProof/>
        </w:rPr>
        <w:drawing>
          <wp:inline distT="0" distB="0" distL="0" distR="0" wp14:anchorId="48E7C591" wp14:editId="1E0F54DC">
            <wp:extent cx="4797778" cy="2698750"/>
            <wp:effectExtent l="0" t="0" r="3175" b="6350"/>
            <wp:docPr id="1981709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709065" name=""/>
                    <pic:cNvPicPr/>
                  </pic:nvPicPr>
                  <pic:blipFill>
                    <a:blip r:embed="rId11"/>
                    <a:stretch>
                      <a:fillRect/>
                    </a:stretch>
                  </pic:blipFill>
                  <pic:spPr>
                    <a:xfrm>
                      <a:off x="0" y="0"/>
                      <a:ext cx="4798444" cy="2699125"/>
                    </a:xfrm>
                    <a:prstGeom prst="rect">
                      <a:avLst/>
                    </a:prstGeom>
                  </pic:spPr>
                </pic:pic>
              </a:graphicData>
            </a:graphic>
          </wp:inline>
        </w:drawing>
      </w:r>
    </w:p>
    <w:p w14:paraId="548AA78A" w14:textId="7BFB08C0" w:rsidR="006C286F" w:rsidRDefault="00000000" w:rsidP="00A61344">
      <w:pPr>
        <w:pStyle w:val="Heading1"/>
        <w:rPr>
          <w:sz w:val="24"/>
          <w:szCs w:val="24"/>
        </w:rPr>
      </w:pPr>
      <w:r>
        <w:t>Slide 2: Introduction</w:t>
      </w:r>
      <w:bookmarkEnd w:id="1"/>
      <w:r>
        <w:t xml:space="preserve"> </w:t>
      </w:r>
    </w:p>
    <w:p w14:paraId="2DEECF5C" w14:textId="77777777" w:rsidR="008B639D" w:rsidRDefault="008B639D" w:rsidP="008B639D">
      <w:bookmarkStart w:id="2" w:name="_Toc213569691"/>
    </w:p>
    <w:p w14:paraId="20F56CAF" w14:textId="1BF0C4E4" w:rsidR="00B222D5" w:rsidRDefault="00B222D5" w:rsidP="00B222D5">
      <w:pPr>
        <w:spacing w:line="360" w:lineRule="auto"/>
        <w:jc w:val="center"/>
        <w:rPr>
          <w:rFonts w:ascii="Segoe UI Symbol" w:hAnsi="Segoe UI Symbol" w:cs="Segoe UI Symbol"/>
          <w:sz w:val="24"/>
          <w:szCs w:val="24"/>
          <w:lang w:val="en-IN"/>
        </w:rPr>
      </w:pPr>
      <w:r>
        <w:rPr>
          <w:noProof/>
        </w:rPr>
        <w:drawing>
          <wp:inline distT="0" distB="0" distL="0" distR="0" wp14:anchorId="7EBE2E19" wp14:editId="56ED3344">
            <wp:extent cx="5034844" cy="2832100"/>
            <wp:effectExtent l="0" t="0" r="0" b="6350"/>
            <wp:docPr id="808104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104878" name=""/>
                    <pic:cNvPicPr/>
                  </pic:nvPicPr>
                  <pic:blipFill>
                    <a:blip r:embed="rId12"/>
                    <a:stretch>
                      <a:fillRect/>
                    </a:stretch>
                  </pic:blipFill>
                  <pic:spPr>
                    <a:xfrm>
                      <a:off x="0" y="0"/>
                      <a:ext cx="5036505" cy="2833034"/>
                    </a:xfrm>
                    <a:prstGeom prst="rect">
                      <a:avLst/>
                    </a:prstGeom>
                  </pic:spPr>
                </pic:pic>
              </a:graphicData>
            </a:graphic>
          </wp:inline>
        </w:drawing>
      </w:r>
    </w:p>
    <w:p w14:paraId="038BF9DA" w14:textId="717E9A61" w:rsidR="008B639D" w:rsidRPr="00995B21" w:rsidRDefault="008B639D" w:rsidP="008B639D">
      <w:pPr>
        <w:spacing w:line="360" w:lineRule="auto"/>
        <w:jc w:val="both"/>
        <w:rPr>
          <w:rFonts w:ascii="Times New Roman" w:hAnsi="Times New Roman" w:cs="Times New Roman"/>
          <w:sz w:val="24"/>
          <w:szCs w:val="24"/>
          <w:lang w:val="en-IN"/>
        </w:rPr>
      </w:pPr>
      <w:r w:rsidRPr="008B639D">
        <w:rPr>
          <w:rFonts w:ascii="Times New Roman" w:hAnsi="Times New Roman" w:cs="Times New Roman"/>
          <w:sz w:val="24"/>
          <w:szCs w:val="24"/>
          <w:lang w:val="en-IN"/>
        </w:rPr>
        <w:t>A structured process promotes fairness, diversity and</w:t>
      </w:r>
      <w:r w:rsidRPr="008B639D">
        <w:rPr>
          <w:rFonts w:ascii="Times New Roman" w:hAnsi="Times New Roman" w:cs="Times New Roman"/>
          <w:sz w:val="24"/>
          <w:szCs w:val="24"/>
          <w:lang w:val="en-IN"/>
        </w:rPr>
        <w:t> </w:t>
      </w:r>
      <w:r w:rsidRPr="008B639D">
        <w:rPr>
          <w:rFonts w:ascii="Times New Roman" w:hAnsi="Times New Roman" w:cs="Times New Roman"/>
          <w:sz w:val="24"/>
          <w:szCs w:val="24"/>
          <w:lang w:val="en-IN"/>
        </w:rPr>
        <w:t>equal opportunity.</w:t>
      </w:r>
      <w:r w:rsidR="00DD0FE6">
        <w:rPr>
          <w:rFonts w:ascii="Times New Roman" w:hAnsi="Times New Roman" w:cs="Times New Roman"/>
          <w:sz w:val="24"/>
          <w:szCs w:val="24"/>
          <w:lang w:val="en-IN"/>
        </w:rPr>
        <w:t xml:space="preserve"> </w:t>
      </w:r>
      <w:r w:rsidRPr="008B639D">
        <w:rPr>
          <w:rFonts w:ascii="Times New Roman" w:hAnsi="Times New Roman" w:cs="Times New Roman"/>
          <w:sz w:val="24"/>
          <w:szCs w:val="24"/>
          <w:lang w:val="en-IN"/>
        </w:rPr>
        <w:t>Asda 2025 The way in which ASDA can achieve such transformed outlooks is based on the way it hires</w:t>
      </w:r>
      <w:r w:rsidRPr="008B639D">
        <w:rPr>
          <w:rFonts w:ascii="Times New Roman" w:hAnsi="Times New Roman" w:cs="Times New Roman"/>
          <w:sz w:val="24"/>
          <w:szCs w:val="24"/>
          <w:lang w:val="en-IN"/>
        </w:rPr>
        <w:t> </w:t>
      </w:r>
      <w:r w:rsidRPr="008B639D">
        <w:rPr>
          <w:rFonts w:ascii="Times New Roman" w:hAnsi="Times New Roman" w:cs="Times New Roman"/>
          <w:sz w:val="24"/>
          <w:szCs w:val="24"/>
          <w:lang w:val="en-IN"/>
        </w:rPr>
        <w:t xml:space="preserve">and selects personnel. </w:t>
      </w:r>
    </w:p>
    <w:p w14:paraId="48BA94FB" w14:textId="3E607BFF" w:rsidR="00016B67" w:rsidRPr="00D56B4A" w:rsidRDefault="00000000" w:rsidP="00D56B4A">
      <w:pPr>
        <w:pStyle w:val="Heading1"/>
      </w:pPr>
      <w:r>
        <w:lastRenderedPageBreak/>
        <w:t>Slide 3: Background of ASDA</w:t>
      </w:r>
      <w:bookmarkEnd w:id="2"/>
      <w:r>
        <w:t xml:space="preserve"> </w:t>
      </w:r>
    </w:p>
    <w:p w14:paraId="38FD74DC" w14:textId="43DF30EC" w:rsidR="00016B67" w:rsidRPr="00016B67" w:rsidRDefault="00711B0E" w:rsidP="00711B0E">
      <w:pPr>
        <w:spacing w:line="360" w:lineRule="auto"/>
        <w:jc w:val="center"/>
        <w:rPr>
          <w:rFonts w:ascii="Times New Roman" w:eastAsia="Times New Roman" w:hAnsi="Times New Roman" w:cs="Times New Roman"/>
          <w:sz w:val="24"/>
          <w:szCs w:val="24"/>
          <w:lang w:val="en-IN"/>
        </w:rPr>
      </w:pPr>
      <w:r>
        <w:rPr>
          <w:rFonts w:ascii="Times New Roman" w:eastAsia="Times New Roman" w:hAnsi="Times New Roman" w:cs="Times New Roman"/>
          <w:noProof/>
          <w:sz w:val="24"/>
          <w:szCs w:val="24"/>
          <w:lang w:val="en-IN"/>
        </w:rPr>
        <w:drawing>
          <wp:inline distT="0" distB="0" distL="0" distR="0" wp14:anchorId="5801D834" wp14:editId="0D1A3FCD">
            <wp:extent cx="4572635" cy="2571750"/>
            <wp:effectExtent l="0" t="0" r="0" b="0"/>
            <wp:docPr id="5996594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6CF3BB15" w14:textId="0B98719D" w:rsidR="006C286F" w:rsidRPr="00D56B4A" w:rsidRDefault="00016B67">
      <w:pPr>
        <w:spacing w:line="360" w:lineRule="auto"/>
        <w:jc w:val="both"/>
        <w:rPr>
          <w:rFonts w:ascii="Times New Roman" w:eastAsia="Times New Roman" w:hAnsi="Times New Roman" w:cs="Times New Roman"/>
          <w:sz w:val="24"/>
          <w:szCs w:val="24"/>
          <w:lang w:val="en-IN"/>
        </w:rPr>
      </w:pPr>
      <w:r w:rsidRPr="00016B67">
        <w:rPr>
          <w:rFonts w:ascii="Times New Roman" w:eastAsia="Times New Roman" w:hAnsi="Times New Roman" w:cs="Times New Roman"/>
          <w:sz w:val="24"/>
          <w:szCs w:val="24"/>
          <w:lang w:val="en-IN"/>
        </w:rPr>
        <w:t>Quality, value and great service are the three things that have helped make</w:t>
      </w:r>
      <w:r w:rsidRPr="00016B67">
        <w:rPr>
          <w:rFonts w:ascii="Times New Roman" w:eastAsia="Times New Roman" w:hAnsi="Times New Roman" w:cs="Times New Roman"/>
          <w:sz w:val="24"/>
          <w:szCs w:val="24"/>
          <w:lang w:val="en-IN"/>
        </w:rPr>
        <w:t> </w:t>
      </w:r>
      <w:r w:rsidRPr="00016B67">
        <w:rPr>
          <w:rFonts w:ascii="Times New Roman" w:eastAsia="Times New Roman" w:hAnsi="Times New Roman" w:cs="Times New Roman"/>
          <w:sz w:val="24"/>
          <w:szCs w:val="24"/>
          <w:lang w:val="en-IN"/>
        </w:rPr>
        <w:t>ASDA one of the most successful retailers in the UK.</w:t>
      </w:r>
      <w:r w:rsidR="00D56B4A">
        <w:rPr>
          <w:rFonts w:ascii="Times New Roman" w:eastAsia="Times New Roman" w:hAnsi="Times New Roman" w:cs="Times New Roman"/>
          <w:sz w:val="24"/>
          <w:szCs w:val="24"/>
          <w:lang w:val="en-IN"/>
        </w:rPr>
        <w:t xml:space="preserve"> </w:t>
      </w:r>
      <w:r>
        <w:rPr>
          <w:rFonts w:ascii="Times New Roman" w:eastAsia="Times New Roman" w:hAnsi="Times New Roman" w:cs="Times New Roman"/>
          <w:sz w:val="24"/>
          <w:szCs w:val="24"/>
        </w:rPr>
        <w:t>With more than 140,000 employees, ASDA's success hinges on selecting candidates who share its dedication to sustainability and innovation in the cutthroat retail sector, as well as its customer-centric culture.</w:t>
      </w:r>
    </w:p>
    <w:p w14:paraId="36535E60" w14:textId="4C49290F" w:rsidR="00873800" w:rsidRPr="00873800" w:rsidRDefault="00000000" w:rsidP="00873800">
      <w:pPr>
        <w:pStyle w:val="Heading1"/>
      </w:pPr>
      <w:bookmarkStart w:id="3" w:name="_Toc213569692"/>
      <w:r>
        <w:t>Slide 4: Recruitment Process</w:t>
      </w:r>
      <w:bookmarkEnd w:id="3"/>
      <w:r>
        <w:t xml:space="preserve"> </w:t>
      </w:r>
    </w:p>
    <w:p w14:paraId="564E26F3" w14:textId="702EBE58" w:rsidR="00873800" w:rsidRDefault="00873800" w:rsidP="008738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F80CC25" wp14:editId="2DB8FE4A">
            <wp:extent cx="4572635" cy="2571750"/>
            <wp:effectExtent l="0" t="0" r="0" b="0"/>
            <wp:docPr id="9415416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18F2E262" w14:textId="37586CAE" w:rsidR="006C286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ASDA has a systematic and methodical approach to recruitment that starts with job analysis to make sure that the responsibilities and skills are clearly defined. The job descriptions and the person specification are clear about what to expect from the job (</w:t>
      </w:r>
      <w:r>
        <w:rPr>
          <w:rFonts w:ascii="Times New Roman" w:eastAsia="Times New Roman" w:hAnsi="Times New Roman" w:cs="Times New Roman"/>
          <w:color w:val="222222"/>
          <w:sz w:val="24"/>
          <w:szCs w:val="24"/>
          <w:highlight w:val="white"/>
        </w:rPr>
        <w:t>Tholen, 2024</w:t>
      </w:r>
      <w:r>
        <w:rPr>
          <w:rFonts w:ascii="Times New Roman" w:eastAsia="Times New Roman" w:hAnsi="Times New Roman" w:cs="Times New Roman"/>
          <w:sz w:val="24"/>
          <w:szCs w:val="24"/>
        </w:rPr>
        <w:t xml:space="preserve">). The candidates are discovered by digital platforms, screened for the competency fit and shortlisted fairly. </w:t>
      </w:r>
      <w:r>
        <w:rPr>
          <w:rFonts w:ascii="Times New Roman" w:eastAsia="Times New Roman" w:hAnsi="Times New Roman" w:cs="Times New Roman"/>
          <w:sz w:val="24"/>
          <w:szCs w:val="24"/>
        </w:rPr>
        <w:lastRenderedPageBreak/>
        <w:t>Onboarding and Structured Interviews Structured ways of interviewer through interviewers ensure that new hires are aligned with ASDA's strategic goals, and can contribute effectively to the transformation journey.</w:t>
      </w:r>
    </w:p>
    <w:p w14:paraId="38E3876B" w14:textId="77777777" w:rsidR="006C286F" w:rsidRDefault="00000000" w:rsidP="00A61344">
      <w:pPr>
        <w:pStyle w:val="Heading1"/>
      </w:pPr>
      <w:bookmarkStart w:id="4" w:name="_Toc213569693"/>
      <w:r>
        <w:t>Slide 5: Interview Type 1 – Structured Interview</w:t>
      </w:r>
      <w:bookmarkEnd w:id="4"/>
    </w:p>
    <w:p w14:paraId="3839C439" w14:textId="57C2349C" w:rsidR="007C21EA" w:rsidRDefault="007C21EA" w:rsidP="007C21E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44FB5BC" wp14:editId="506922C8">
            <wp:extent cx="4572635" cy="2571750"/>
            <wp:effectExtent l="0" t="0" r="0" b="0"/>
            <wp:docPr id="20302929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368981AF" w14:textId="2C865363" w:rsidR="006C286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Using a structured interview will help ASDA to evaluate candidates in the same way through the use of appropriate questions and criteria. This method makes the selection unbiased and fair. It is best suited to analytical or technical roles, such as a Financial Analyst, where consistency and accuracy are very important (</w:t>
      </w:r>
      <w:r>
        <w:rPr>
          <w:rFonts w:ascii="Times New Roman" w:eastAsia="Times New Roman" w:hAnsi="Times New Roman" w:cs="Times New Roman"/>
          <w:color w:val="222222"/>
          <w:sz w:val="24"/>
          <w:szCs w:val="24"/>
          <w:highlight w:val="white"/>
        </w:rPr>
        <w:t>Mohanarajesh, 2024</w:t>
      </w:r>
      <w:r>
        <w:rPr>
          <w:rFonts w:ascii="Times New Roman" w:eastAsia="Times New Roman" w:hAnsi="Times New Roman" w:cs="Times New Roman"/>
          <w:sz w:val="24"/>
          <w:szCs w:val="24"/>
        </w:rPr>
        <w:t>). Candidates' answers are rated according to pre-defined criteria, and therefore, the best match is guaranteed based on evidence and competency.</w:t>
      </w:r>
    </w:p>
    <w:p w14:paraId="5440F462" w14:textId="77777777" w:rsidR="006C286F" w:rsidRDefault="00000000" w:rsidP="00A61344">
      <w:pPr>
        <w:pStyle w:val="Heading1"/>
      </w:pPr>
      <w:bookmarkStart w:id="5" w:name="_Toc213569694"/>
      <w:r>
        <w:lastRenderedPageBreak/>
        <w:t>Slide 6: Interview Type 2 – Panel Interview</w:t>
      </w:r>
      <w:bookmarkEnd w:id="5"/>
      <w:r>
        <w:t xml:space="preserve"> </w:t>
      </w:r>
    </w:p>
    <w:p w14:paraId="29C52206" w14:textId="6A1601EA" w:rsidR="001F2C9F" w:rsidRDefault="001F2C9F" w:rsidP="001F2C9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C573B89" wp14:editId="69545E66">
            <wp:extent cx="4572635" cy="2571750"/>
            <wp:effectExtent l="0" t="0" r="0" b="0"/>
            <wp:docPr id="155584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06B36908" w14:textId="00F3F330" w:rsidR="006C286F" w:rsidRPr="00D834A3" w:rsidRDefault="00000000">
      <w:pPr>
        <w:spacing w:line="360" w:lineRule="auto"/>
        <w:jc w:val="both"/>
        <w:rPr>
          <w:rFonts w:eastAsia="Times New Roman"/>
          <w:lang w:val="en-IN"/>
        </w:rPr>
      </w:pPr>
      <w:r>
        <w:rPr>
          <w:rFonts w:ascii="Times New Roman" w:eastAsia="Times New Roman" w:hAnsi="Times New Roman" w:cs="Times New Roman"/>
          <w:sz w:val="24"/>
          <w:szCs w:val="24"/>
        </w:rPr>
        <w:t xml:space="preserve">At ASDA, for leadership or transformation roles, we have used panel interviews. </w:t>
      </w:r>
      <w:r w:rsidR="00D41135" w:rsidRPr="00D41135">
        <w:rPr>
          <w:rFonts w:ascii="Times New Roman" w:eastAsia="Times New Roman" w:hAnsi="Times New Roman" w:cs="Times New Roman"/>
          <w:sz w:val="24"/>
          <w:szCs w:val="24"/>
        </w:rPr>
        <w:t>Multiple interviewers are engaged to ensure that more than a single mind is used in the evaluation of the validity of the technical skills of the candidate, attitude, and cultural fit (Basch et al. 2021). This is a colossal means of helping in the reduction of bias and provision of an additional factor of validity to the decisions made during the selection. It will be effective in the case of more sophisticated jobs to find an individual with a high level of written/oral languages, leadership and problem-solving abilities.</w:t>
      </w:r>
    </w:p>
    <w:p w14:paraId="2BD0FA60" w14:textId="77777777" w:rsidR="006C286F" w:rsidRDefault="00000000" w:rsidP="0095548E">
      <w:pPr>
        <w:pStyle w:val="Heading1"/>
      </w:pPr>
      <w:bookmarkStart w:id="6" w:name="_Toc213569695"/>
      <w:r>
        <w:t>Slide 7: Interview Type 3 – Competency-Based Interview</w:t>
      </w:r>
      <w:bookmarkEnd w:id="6"/>
      <w:r>
        <w:t xml:space="preserve"> </w:t>
      </w:r>
    </w:p>
    <w:p w14:paraId="6CA3A26A" w14:textId="715BF8F2" w:rsidR="002A03E5" w:rsidRDefault="002A03E5" w:rsidP="002A03E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335D2AE" wp14:editId="706A4988">
            <wp:extent cx="4572635" cy="2571750"/>
            <wp:effectExtent l="0" t="0" r="0" b="0"/>
            <wp:docPr id="193814656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21BFF5C7" w14:textId="46169D76" w:rsidR="002D3634" w:rsidRDefault="002D3634" w:rsidP="002D3634">
      <w:pPr>
        <w:spacing w:line="360" w:lineRule="auto"/>
        <w:jc w:val="both"/>
        <w:rPr>
          <w:rFonts w:ascii="Times New Roman" w:eastAsia="Times New Roman" w:hAnsi="Times New Roman" w:cs="Times New Roman"/>
          <w:sz w:val="24"/>
          <w:szCs w:val="24"/>
        </w:rPr>
      </w:pPr>
      <w:r w:rsidRPr="002D3634">
        <w:rPr>
          <w:rFonts w:ascii="Times New Roman" w:eastAsia="Times New Roman" w:hAnsi="Times New Roman" w:cs="Times New Roman"/>
          <w:sz w:val="24"/>
          <w:szCs w:val="24"/>
        </w:rPr>
        <w:lastRenderedPageBreak/>
        <w:t>Skills in Competency-based interviews can enable ASDA to recruit those candidates who demonstrated the ability to exhibit such skills in real-life. The Stella method will make the responses measurable and structured. This would be effective when working in business transformation jobs, where the attributes of leadership, flexibility, and creativity play a role (Andukuri et al. 2024). It allows ASDA to recruit those whose behaviours align to that of the performance and culture of the company.</w:t>
      </w:r>
    </w:p>
    <w:p w14:paraId="44A90472" w14:textId="25955522" w:rsidR="00865A29" w:rsidRPr="00D65FC6" w:rsidRDefault="00000000" w:rsidP="00D65FC6">
      <w:pPr>
        <w:pStyle w:val="Heading1"/>
      </w:pPr>
      <w:bookmarkStart w:id="7" w:name="_Toc213569696"/>
      <w:r>
        <w:t>Slide 8: Questioning Technique – Probing (Main Focus)</w:t>
      </w:r>
      <w:bookmarkEnd w:id="7"/>
      <w:r>
        <w:t xml:space="preserve"> </w:t>
      </w:r>
    </w:p>
    <w:p w14:paraId="6A8BA33D" w14:textId="7819E075" w:rsidR="008E6179" w:rsidRDefault="008E6179" w:rsidP="008E617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4E86DF2" wp14:editId="13C4DA40">
            <wp:extent cx="4572635" cy="2571750"/>
            <wp:effectExtent l="0" t="0" r="0" b="0"/>
            <wp:docPr id="7529034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547D2D38" w14:textId="7512BA8D" w:rsidR="006C286F" w:rsidRPr="0054522A"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this reason, these questions get candidates to expand on their experiences, and that's how thought processes and real contributions are revealed (</w:t>
      </w:r>
      <w:r>
        <w:rPr>
          <w:rFonts w:ascii="Times New Roman" w:eastAsia="Times New Roman" w:hAnsi="Times New Roman" w:cs="Times New Roman"/>
          <w:color w:val="222222"/>
          <w:sz w:val="24"/>
          <w:szCs w:val="24"/>
          <w:highlight w:val="white"/>
        </w:rPr>
        <w:t xml:space="preserve">Petridis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For example, asking "What specifically did you do?" helps to validate skills and behavioural evidence. Probing is the means to ensure that interviewers are making informed and evidence-based hiring decisions to enhance the accuracy and fairness of ASDA's overall selection process.</w:t>
      </w:r>
    </w:p>
    <w:p w14:paraId="613CA32B" w14:textId="77777777" w:rsidR="006C286F" w:rsidRDefault="00000000" w:rsidP="0095548E">
      <w:pPr>
        <w:pStyle w:val="Heading1"/>
        <w:rPr>
          <w:sz w:val="24"/>
          <w:szCs w:val="24"/>
        </w:rPr>
      </w:pPr>
      <w:bookmarkStart w:id="8" w:name="_Toc213569697"/>
      <w:r>
        <w:lastRenderedPageBreak/>
        <w:t>Slide 9: Questioning Technique – Leading</w:t>
      </w:r>
      <w:bookmarkEnd w:id="8"/>
      <w:r>
        <w:t xml:space="preserve"> </w:t>
      </w:r>
    </w:p>
    <w:p w14:paraId="486AE10B" w14:textId="7748C889" w:rsidR="00BD0158" w:rsidRDefault="00BD0158" w:rsidP="00BD015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991EC92" wp14:editId="3E422BDA">
            <wp:extent cx="4572635" cy="2571750"/>
            <wp:effectExtent l="0" t="0" r="0" b="0"/>
            <wp:docPr id="178910939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409CAA70" w14:textId="424E143B" w:rsidR="006C28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Leading questions should be reserved for informational (or follow-up) stages of interviewing. Using leading questions, ASDA seeks to understand how a candidate will work with others and fit into the corporate culture (</w:t>
      </w:r>
      <w:r>
        <w:rPr>
          <w:rFonts w:ascii="Times New Roman" w:eastAsia="Times New Roman" w:hAnsi="Times New Roman" w:cs="Times New Roman"/>
          <w:color w:val="222222"/>
          <w:sz w:val="24"/>
          <w:szCs w:val="24"/>
          <w:highlight w:val="white"/>
        </w:rPr>
        <w:t xml:space="preserve">Liao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These questions will help interviewers understand candidates' attitudes and motivation. However, it must be noted that interviewers may not want their candidates to provide a specific answer. In an emotionally ethical way, this tool can be used to screen for individuals who share the values of ASDA, collaboration and a customer focus.</w:t>
      </w:r>
    </w:p>
    <w:p w14:paraId="554364D3" w14:textId="77777777" w:rsidR="006C286F" w:rsidRDefault="00000000" w:rsidP="0095548E">
      <w:pPr>
        <w:pStyle w:val="Heading1"/>
      </w:pPr>
      <w:bookmarkStart w:id="9" w:name="_Toc213569698"/>
      <w:r>
        <w:t>Slide 10: Questioning Technique – Socratic</w:t>
      </w:r>
      <w:bookmarkEnd w:id="9"/>
      <w:r>
        <w:t xml:space="preserve"> </w:t>
      </w:r>
    </w:p>
    <w:p w14:paraId="3FB9D4E7" w14:textId="7DAA6DC9" w:rsidR="00D334DE" w:rsidRDefault="00D334DE" w:rsidP="00D334D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D94921D" wp14:editId="499D69EF">
            <wp:extent cx="4572635" cy="2571750"/>
            <wp:effectExtent l="0" t="0" r="0" b="0"/>
            <wp:docPr id="42852730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7B8B8A32" w14:textId="59843388" w:rsidR="006C286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ASDA uses Socratic questioning techniques to understand how the </w:t>
      </w:r>
      <w:r w:rsidR="0095548E">
        <w:rPr>
          <w:rFonts w:ascii="Times New Roman" w:eastAsia="Times New Roman" w:hAnsi="Times New Roman" w:cs="Times New Roman"/>
          <w:sz w:val="24"/>
          <w:szCs w:val="24"/>
        </w:rPr>
        <w:t>candidate’s</w:t>
      </w:r>
      <w:r>
        <w:rPr>
          <w:rFonts w:ascii="Times New Roman" w:eastAsia="Times New Roman" w:hAnsi="Times New Roman" w:cs="Times New Roman"/>
          <w:sz w:val="24"/>
          <w:szCs w:val="24"/>
        </w:rPr>
        <w:t xml:space="preserve"> reason through problems and come to valid conclusions. This methodology helps to identify people who have the </w:t>
      </w:r>
      <w:r>
        <w:rPr>
          <w:rFonts w:ascii="Times New Roman" w:eastAsia="Times New Roman" w:hAnsi="Times New Roman" w:cs="Times New Roman"/>
          <w:sz w:val="24"/>
          <w:szCs w:val="24"/>
        </w:rPr>
        <w:lastRenderedPageBreak/>
        <w:t>ability to think strategically, question assumptions, and apply logic to problem-solving - important characteristics for transformation or leadership roles (</w:t>
      </w:r>
      <w:r>
        <w:rPr>
          <w:rFonts w:ascii="Times New Roman" w:eastAsia="Times New Roman" w:hAnsi="Times New Roman" w:cs="Times New Roman"/>
          <w:color w:val="222222"/>
          <w:sz w:val="24"/>
          <w:szCs w:val="24"/>
          <w:highlight w:val="white"/>
        </w:rPr>
        <w:t xml:space="preserve">Adewusi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2024</w:t>
      </w:r>
      <w:r>
        <w:rPr>
          <w:rFonts w:ascii="Times New Roman" w:eastAsia="Times New Roman" w:hAnsi="Times New Roman" w:cs="Times New Roman"/>
          <w:sz w:val="24"/>
          <w:szCs w:val="24"/>
        </w:rPr>
        <w:t>). By facilitating reflective discussion, Socratic questions reflect a candidate's perception of the complexity, their decisions in line with the organisation's objectives and contribute to continuous improvement within a changing ASDA business environment.</w:t>
      </w:r>
    </w:p>
    <w:p w14:paraId="35DBF3C5" w14:textId="4E378D92" w:rsidR="00D334DE" w:rsidRPr="008A441F" w:rsidRDefault="00000000" w:rsidP="008A441F">
      <w:pPr>
        <w:pStyle w:val="Heading1"/>
      </w:pPr>
      <w:bookmarkStart w:id="10" w:name="_Toc213569699"/>
      <w:r>
        <w:t>Slide 11: Face-to-Face vs Online Interview</w:t>
      </w:r>
      <w:bookmarkEnd w:id="10"/>
      <w:r>
        <w:t xml:space="preserve"> </w:t>
      </w:r>
    </w:p>
    <w:p w14:paraId="3BBC8093" w14:textId="0C4BACF9" w:rsidR="00D334DE" w:rsidRDefault="008A441F" w:rsidP="008A441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1BD33453" wp14:editId="1DD584E3">
            <wp:extent cx="4572635" cy="2571750"/>
            <wp:effectExtent l="0" t="0" r="0" b="0"/>
            <wp:docPr id="16921379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458D28D5" w14:textId="52239FF6" w:rsidR="006C286F"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ASDA often runs a fusion of both formats for successful recruitment and inclusive recruitment.</w:t>
      </w:r>
    </w:p>
    <w:p w14:paraId="5364474C" w14:textId="77777777" w:rsidR="006C286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At ASDA, the different formats for interviews are utilised for efficiency and inclusion. Face-to-face interviews help to assess communication skills and interpersonal skills, and online interviews allow for flexibility and the ability to reach more candidates (</w:t>
      </w:r>
      <w:r>
        <w:rPr>
          <w:rFonts w:ascii="Times New Roman" w:eastAsia="Times New Roman" w:hAnsi="Times New Roman" w:cs="Times New Roman"/>
          <w:color w:val="222222"/>
          <w:sz w:val="24"/>
          <w:szCs w:val="24"/>
          <w:highlight w:val="white"/>
        </w:rPr>
        <w:t>Saarijärvi and Bratt, 2021</w:t>
      </w:r>
      <w:r>
        <w:rPr>
          <w:rFonts w:ascii="Times New Roman" w:eastAsia="Times New Roman" w:hAnsi="Times New Roman" w:cs="Times New Roman"/>
          <w:sz w:val="24"/>
          <w:szCs w:val="24"/>
        </w:rPr>
        <w:t>). For transformation positions, initial online interviews can be used to effectively screen candidates, and then in-person interviews can be considered to measure the leadership level and the match of the candidate with the company culture, and make the final selection.</w:t>
      </w:r>
    </w:p>
    <w:p w14:paraId="4910193B" w14:textId="77777777" w:rsidR="006C286F" w:rsidRDefault="00000000" w:rsidP="0095548E">
      <w:pPr>
        <w:pStyle w:val="Heading1"/>
      </w:pPr>
      <w:bookmarkStart w:id="11" w:name="_Toc213569700"/>
      <w:r>
        <w:lastRenderedPageBreak/>
        <w:t>Slide 12: Equal Opportunity and Ethical Considerations</w:t>
      </w:r>
      <w:bookmarkEnd w:id="11"/>
      <w:r>
        <w:t xml:space="preserve"> </w:t>
      </w:r>
    </w:p>
    <w:p w14:paraId="3D3BBAA1" w14:textId="69D8B03D" w:rsidR="008A441F" w:rsidRDefault="008A441F" w:rsidP="008A441F">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3D606F9" wp14:editId="38EE0228">
            <wp:extent cx="4572635" cy="2571750"/>
            <wp:effectExtent l="0" t="0" r="0" b="0"/>
            <wp:docPr id="14671788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0F286E14" w14:textId="443EEDF5" w:rsidR="006C286F" w:rsidRDefault="00000000">
      <w:pPr>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ASDA has an ethical recruitment and selection process that is transparent and free of discrimination. The company adheres closely to the Equality Act 2010 and does not discriminate against any applicants, whether they are male or female, black or white, elderly or disabled (</w:t>
      </w:r>
      <w:r>
        <w:rPr>
          <w:rFonts w:ascii="Times New Roman" w:eastAsia="Times New Roman" w:hAnsi="Times New Roman" w:cs="Times New Roman"/>
          <w:color w:val="222222"/>
          <w:sz w:val="24"/>
          <w:szCs w:val="24"/>
          <w:highlight w:val="white"/>
        </w:rPr>
        <w:t>Legislation, 2025</w:t>
      </w:r>
      <w:r>
        <w:rPr>
          <w:rFonts w:ascii="Times New Roman" w:eastAsia="Times New Roman" w:hAnsi="Times New Roman" w:cs="Times New Roman"/>
          <w:sz w:val="24"/>
          <w:szCs w:val="24"/>
        </w:rPr>
        <w:t>). Interviewers are taught ways to identify and reduce unconscious bias. ASDA also makes reasonable accommodations for candidates with special needs and has a confidentiality policy for the whole hiring and integration process, and confirms fairness, respect and corporate responsibility through every part.</w:t>
      </w:r>
    </w:p>
    <w:p w14:paraId="1D13AA9E" w14:textId="77777777" w:rsidR="006C286F" w:rsidRDefault="00000000" w:rsidP="0095548E">
      <w:pPr>
        <w:pStyle w:val="Heading1"/>
      </w:pPr>
      <w:bookmarkStart w:id="12" w:name="_Toc213569701"/>
      <w:r>
        <w:t>Slide 13: Conclusion</w:t>
      </w:r>
      <w:bookmarkEnd w:id="12"/>
    </w:p>
    <w:p w14:paraId="0818F2E4" w14:textId="2A5F6169" w:rsidR="00E96242" w:rsidRDefault="00E96242" w:rsidP="00E9624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6FC6B5C" wp14:editId="2828D263">
            <wp:extent cx="4572635" cy="2571750"/>
            <wp:effectExtent l="0" t="0" r="0" b="0"/>
            <wp:docPr id="137361277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38CE79CB" w14:textId="77777777" w:rsidR="00C20EBD" w:rsidRDefault="00CE2640" w:rsidP="00CE2640">
      <w:pPr>
        <w:spacing w:line="360" w:lineRule="auto"/>
        <w:jc w:val="both"/>
        <w:rPr>
          <w:rFonts w:ascii="Times New Roman" w:hAnsi="Times New Roman" w:cs="Times New Roman"/>
          <w:sz w:val="24"/>
          <w:szCs w:val="24"/>
        </w:rPr>
      </w:pPr>
      <w:r w:rsidRPr="00CE2640">
        <w:rPr>
          <w:rFonts w:ascii="Times New Roman" w:hAnsi="Times New Roman" w:cs="Times New Roman"/>
          <w:sz w:val="24"/>
          <w:szCs w:val="24"/>
        </w:rPr>
        <w:lastRenderedPageBreak/>
        <w:t>Lastly, the business transformation objectives also include recruitment and selection process of ASDA. The competency based and structured interviews, which are founded on the successful questioning methodology (in the specific case, probing) which can help to show the traces of such competent, motivational and value-driven employees. Online and face to face interviews may be utilized to help provide response and the responses may even be equal. The latter will guarantee recruitment of the most talented personnel, inclusiveness and introduce the long-term organisational development through maintaining a loyal and competent human resource base.</w:t>
      </w:r>
    </w:p>
    <w:p w14:paraId="1395A6AA" w14:textId="0A248804" w:rsidR="006C286F" w:rsidRDefault="00CE2640" w:rsidP="00C20EBD">
      <w:pPr>
        <w:spacing w:line="360" w:lineRule="auto"/>
        <w:jc w:val="center"/>
        <w:rPr>
          <w:rFonts w:ascii="Times New Roman" w:hAnsi="Times New Roman" w:cs="Times New Roman"/>
          <w:sz w:val="24"/>
          <w:szCs w:val="24"/>
        </w:rPr>
      </w:pPr>
      <w:r w:rsidRPr="00CE2640">
        <w:rPr>
          <w:rFonts w:ascii="Times New Roman" w:hAnsi="Times New Roman" w:cs="Times New Roman"/>
          <w:sz w:val="24"/>
          <w:szCs w:val="24"/>
        </w:rPr>
        <w:br w:type="page"/>
      </w:r>
      <w:r w:rsidR="00C20EBD">
        <w:rPr>
          <w:rFonts w:ascii="Times New Roman" w:hAnsi="Times New Roman" w:cs="Times New Roman"/>
          <w:noProof/>
          <w:sz w:val="24"/>
          <w:szCs w:val="24"/>
        </w:rPr>
        <w:lastRenderedPageBreak/>
        <w:drawing>
          <wp:inline distT="0" distB="0" distL="0" distR="0" wp14:anchorId="330D6663" wp14:editId="3682B3BB">
            <wp:extent cx="4572635" cy="2571750"/>
            <wp:effectExtent l="0" t="0" r="0" b="0"/>
            <wp:docPr id="3355827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3BD3D294" w14:textId="2296EDBA" w:rsidR="00B12F06" w:rsidRPr="00CE2640" w:rsidRDefault="00B12F06" w:rsidP="00C20E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7FFF2ACF" wp14:editId="132AAF0C">
            <wp:extent cx="4572635" cy="2571750"/>
            <wp:effectExtent l="0" t="0" r="0" b="0"/>
            <wp:docPr id="7436096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572635" cy="2571750"/>
                    </a:xfrm>
                    <a:prstGeom prst="rect">
                      <a:avLst/>
                    </a:prstGeom>
                    <a:noFill/>
                  </pic:spPr>
                </pic:pic>
              </a:graphicData>
            </a:graphic>
          </wp:inline>
        </w:drawing>
      </w:r>
    </w:p>
    <w:p w14:paraId="3244D741" w14:textId="3D8DEE51" w:rsidR="0095548E" w:rsidRPr="0095548E" w:rsidRDefault="00000000" w:rsidP="0095548E">
      <w:pPr>
        <w:pStyle w:val="Heading1"/>
      </w:pPr>
      <w:bookmarkStart w:id="13" w:name="_Toc213569702"/>
      <w:r>
        <w:t>References</w:t>
      </w:r>
      <w:bookmarkEnd w:id="13"/>
    </w:p>
    <w:p w14:paraId="1602A6FE"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Adewusi, A.O., Okoli, U.I., Adaga, E., Olorunsogo, T., Asuzu, O.F. and Daraojimba, D.O., (2024). Business intelligence in the era of big data: a review of analytical tools and competitive advantage. </w:t>
      </w:r>
      <w:r>
        <w:rPr>
          <w:rFonts w:ascii="Times New Roman" w:eastAsia="Times New Roman" w:hAnsi="Times New Roman" w:cs="Times New Roman"/>
          <w:i/>
          <w:color w:val="222222"/>
          <w:sz w:val="24"/>
          <w:szCs w:val="24"/>
          <w:highlight w:val="white"/>
        </w:rPr>
        <w:t>Computer Science &amp; IT Research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(2), pp.415-431.</w:t>
      </w:r>
    </w:p>
    <w:p w14:paraId="7ECD1199"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Andukuri, C., Fränken, J.P., Gerstenberg, T. and Goodman, N.D., (2024). Star-gate: Teaching language models to ask clarifying questions. </w:t>
      </w:r>
      <w:r>
        <w:rPr>
          <w:rFonts w:ascii="Times New Roman" w:eastAsia="Times New Roman" w:hAnsi="Times New Roman" w:cs="Times New Roman"/>
          <w:i/>
          <w:color w:val="222222"/>
          <w:sz w:val="24"/>
          <w:szCs w:val="24"/>
          <w:highlight w:val="white"/>
        </w:rPr>
        <w:t>arXiv preprint arXiv:2403.19154</w:t>
      </w:r>
      <w:r>
        <w:rPr>
          <w:rFonts w:ascii="Times New Roman" w:eastAsia="Times New Roman" w:hAnsi="Times New Roman" w:cs="Times New Roman"/>
          <w:color w:val="222222"/>
          <w:sz w:val="24"/>
          <w:szCs w:val="24"/>
          <w:highlight w:val="white"/>
        </w:rPr>
        <w:t>.</w:t>
      </w:r>
    </w:p>
    <w:p w14:paraId="1C2904AF"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Asda, (2025), </w:t>
      </w:r>
      <w:r>
        <w:rPr>
          <w:rFonts w:ascii="Times New Roman" w:eastAsia="Times New Roman" w:hAnsi="Times New Roman" w:cs="Times New Roman"/>
          <w:i/>
          <w:color w:val="222222"/>
          <w:sz w:val="24"/>
          <w:szCs w:val="24"/>
          <w:highlight w:val="white"/>
        </w:rPr>
        <w:t xml:space="preserve">About Company, </w:t>
      </w:r>
      <w:r>
        <w:rPr>
          <w:rFonts w:ascii="Times New Roman" w:eastAsia="Times New Roman" w:hAnsi="Times New Roman" w:cs="Times New Roman"/>
          <w:color w:val="222222"/>
          <w:sz w:val="24"/>
          <w:szCs w:val="24"/>
          <w:highlight w:val="white"/>
        </w:rPr>
        <w:t xml:space="preserve">Available at: </w:t>
      </w:r>
      <w:hyperlink r:id="rId26">
        <w:r>
          <w:rPr>
            <w:rFonts w:ascii="Times New Roman" w:eastAsia="Times New Roman" w:hAnsi="Times New Roman" w:cs="Times New Roman"/>
            <w:color w:val="1155CC"/>
            <w:sz w:val="24"/>
            <w:szCs w:val="24"/>
            <w:highlight w:val="white"/>
            <w:u w:val="single"/>
          </w:rPr>
          <w:t>https://www.asda.com/</w:t>
        </w:r>
      </w:hyperlink>
      <w:r>
        <w:rPr>
          <w:rFonts w:ascii="Times New Roman" w:eastAsia="Times New Roman" w:hAnsi="Times New Roman" w:cs="Times New Roman"/>
          <w:color w:val="222222"/>
          <w:sz w:val="24"/>
          <w:szCs w:val="24"/>
          <w:highlight w:val="white"/>
        </w:rPr>
        <w:t xml:space="preserve"> [Accessed on: 8th November, 2025]</w:t>
      </w:r>
    </w:p>
    <w:p w14:paraId="6CA568D7"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Basch, J.M., Melchers, K.G., Kurz, A., Krieger, M. and Miller, L., (2021). It takes more than a good camera: which factors contribute to differences between face-to-face interviews and </w:t>
      </w:r>
      <w:r>
        <w:rPr>
          <w:rFonts w:ascii="Times New Roman" w:eastAsia="Times New Roman" w:hAnsi="Times New Roman" w:cs="Times New Roman"/>
          <w:color w:val="222222"/>
          <w:sz w:val="24"/>
          <w:szCs w:val="24"/>
          <w:highlight w:val="white"/>
        </w:rPr>
        <w:lastRenderedPageBreak/>
        <w:t xml:space="preserve">videoconference interviews regarding performance ratings and interviewee perceptions?. </w:t>
      </w:r>
      <w:r>
        <w:rPr>
          <w:rFonts w:ascii="Times New Roman" w:eastAsia="Times New Roman" w:hAnsi="Times New Roman" w:cs="Times New Roman"/>
          <w:i/>
          <w:color w:val="222222"/>
          <w:sz w:val="24"/>
          <w:szCs w:val="24"/>
          <w:highlight w:val="white"/>
        </w:rPr>
        <w:t>Journal of business and psychology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(5), pp.921-940.</w:t>
      </w:r>
    </w:p>
    <w:p w14:paraId="20B3F3F2"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Beecher, J.A., Reiter, H.L. and Watkiss, J.D., (2024). Regulatory Imperative to Ensure Utility Climate Resilience Planning. </w:t>
      </w:r>
      <w:r>
        <w:rPr>
          <w:rFonts w:ascii="Times New Roman" w:eastAsia="Times New Roman" w:hAnsi="Times New Roman" w:cs="Times New Roman"/>
          <w:i/>
          <w:color w:val="222222"/>
          <w:sz w:val="24"/>
          <w:szCs w:val="24"/>
          <w:highlight w:val="white"/>
        </w:rPr>
        <w:t>Energy LJ</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45</w:t>
      </w:r>
      <w:r>
        <w:rPr>
          <w:rFonts w:ascii="Times New Roman" w:eastAsia="Times New Roman" w:hAnsi="Times New Roman" w:cs="Times New Roman"/>
          <w:color w:val="222222"/>
          <w:sz w:val="24"/>
          <w:szCs w:val="24"/>
          <w:highlight w:val="white"/>
        </w:rPr>
        <w:t>, p.83.</w:t>
      </w:r>
    </w:p>
    <w:p w14:paraId="32A25DDC"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Gao, Z., (2021), November. Precise position intelligent matching system of online recruitment platform based on data mining technology. In </w:t>
      </w:r>
      <w:r>
        <w:rPr>
          <w:rFonts w:ascii="Times New Roman" w:eastAsia="Times New Roman" w:hAnsi="Times New Roman" w:cs="Times New Roman"/>
          <w:i/>
          <w:color w:val="222222"/>
          <w:sz w:val="24"/>
          <w:szCs w:val="24"/>
          <w:highlight w:val="white"/>
        </w:rPr>
        <w:t>Journal of Physics: Conference Series</w:t>
      </w:r>
      <w:r>
        <w:rPr>
          <w:rFonts w:ascii="Times New Roman" w:eastAsia="Times New Roman" w:hAnsi="Times New Roman" w:cs="Times New Roman"/>
          <w:color w:val="222222"/>
          <w:sz w:val="24"/>
          <w:szCs w:val="24"/>
          <w:highlight w:val="white"/>
        </w:rPr>
        <w:t xml:space="preserve"> (Vol. 2066, No. 1, p. 012001). IOP Publishing.</w:t>
      </w:r>
    </w:p>
    <w:p w14:paraId="19F79DB0"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 Y.R., Chen, B.Y. and Li, C.M., (2023). Thinking more wisely: using the Socratic method to develop critical thinking skills amongst healthcare students. </w:t>
      </w:r>
      <w:r>
        <w:rPr>
          <w:rFonts w:ascii="Times New Roman" w:eastAsia="Times New Roman" w:hAnsi="Times New Roman" w:cs="Times New Roman"/>
          <w:i/>
          <w:color w:val="222222"/>
          <w:sz w:val="24"/>
          <w:szCs w:val="24"/>
          <w:highlight w:val="white"/>
        </w:rPr>
        <w:t>BMC medical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(1), p.173.</w:t>
      </w:r>
    </w:p>
    <w:p w14:paraId="4B691778"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Legislation, (2025), </w:t>
      </w:r>
      <w:r>
        <w:rPr>
          <w:rFonts w:ascii="Times New Roman" w:eastAsia="Times New Roman" w:hAnsi="Times New Roman" w:cs="Times New Roman"/>
          <w:i/>
          <w:color w:val="222222"/>
          <w:sz w:val="24"/>
          <w:szCs w:val="24"/>
          <w:highlight w:val="white"/>
        </w:rPr>
        <w:t xml:space="preserve">About Legislations, </w:t>
      </w:r>
      <w:r>
        <w:rPr>
          <w:rFonts w:ascii="Times New Roman" w:eastAsia="Times New Roman" w:hAnsi="Times New Roman" w:cs="Times New Roman"/>
          <w:color w:val="222222"/>
          <w:sz w:val="24"/>
          <w:szCs w:val="24"/>
          <w:highlight w:val="white"/>
        </w:rPr>
        <w:t xml:space="preserve">Available at: </w:t>
      </w:r>
      <w:hyperlink r:id="rId27">
        <w:r>
          <w:rPr>
            <w:rFonts w:ascii="Times New Roman" w:eastAsia="Times New Roman" w:hAnsi="Times New Roman" w:cs="Times New Roman"/>
            <w:color w:val="1155CC"/>
            <w:sz w:val="24"/>
            <w:szCs w:val="24"/>
            <w:highlight w:val="white"/>
            <w:u w:val="single"/>
          </w:rPr>
          <w:t>https://www.legislation.gov.uk/ukpga/2010/15/contents</w:t>
        </w:r>
      </w:hyperlink>
      <w:r>
        <w:rPr>
          <w:rFonts w:ascii="Times New Roman" w:eastAsia="Times New Roman" w:hAnsi="Times New Roman" w:cs="Times New Roman"/>
          <w:color w:val="222222"/>
          <w:sz w:val="24"/>
          <w:szCs w:val="24"/>
          <w:highlight w:val="white"/>
        </w:rPr>
        <w:t xml:space="preserve"> [Accessed on: 8th November, 2025]</w:t>
      </w:r>
    </w:p>
    <w:p w14:paraId="19B628B8"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Liao, Q.V., Pribić, M., Han, J., Miller, S. and Sow, D., (2021). Question-driven design process for explainable AI user experiences. </w:t>
      </w:r>
      <w:r>
        <w:rPr>
          <w:rFonts w:ascii="Times New Roman" w:eastAsia="Times New Roman" w:hAnsi="Times New Roman" w:cs="Times New Roman"/>
          <w:i/>
          <w:color w:val="222222"/>
          <w:sz w:val="24"/>
          <w:szCs w:val="24"/>
          <w:highlight w:val="white"/>
        </w:rPr>
        <w:t>arXiv preprint arXiv:2104.03483</w:t>
      </w:r>
      <w:r>
        <w:rPr>
          <w:rFonts w:ascii="Times New Roman" w:eastAsia="Times New Roman" w:hAnsi="Times New Roman" w:cs="Times New Roman"/>
          <w:color w:val="222222"/>
          <w:sz w:val="24"/>
          <w:szCs w:val="24"/>
          <w:highlight w:val="white"/>
        </w:rPr>
        <w:t>.</w:t>
      </w:r>
    </w:p>
    <w:p w14:paraId="7C44D150"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Mohanarajesh, K., (2024). Investigate Methods for Visualizing the Decision-Making Processes of a Complex AI System, Making Them More Understandable and Trustworthy in financial data analysis.</w:t>
      </w:r>
    </w:p>
    <w:p w14:paraId="771EEC49"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Neuert, C.E. and Lenzner, T., (2021). Effects of the number of open-ended probing questions on response quality in cognitive online pretests. </w:t>
      </w:r>
      <w:r>
        <w:rPr>
          <w:rFonts w:ascii="Times New Roman" w:eastAsia="Times New Roman" w:hAnsi="Times New Roman" w:cs="Times New Roman"/>
          <w:i/>
          <w:color w:val="222222"/>
          <w:sz w:val="24"/>
          <w:szCs w:val="24"/>
          <w:highlight w:val="white"/>
        </w:rPr>
        <w:t>Social Science Computer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(3), pp.456-468.</w:t>
      </w:r>
    </w:p>
    <w:p w14:paraId="785BA108"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Okeke, D.C. and Mollajafari, S., (2024). University of Gloucestershire School of Business, Computing and Social Sciences MSc Cyber Security.</w:t>
      </w:r>
    </w:p>
    <w:p w14:paraId="6E3D9B20"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Petridis, S., Wedin, B.D., Wexler, J., Pushkarna, M., Donsbach, A., Goyal, N., Cai, C.J. and Terry, M., (2024), March. Constitutionmaker: Interactively critiquing large language models by converting feedback into principles. In </w:t>
      </w:r>
      <w:r>
        <w:rPr>
          <w:rFonts w:ascii="Times New Roman" w:eastAsia="Times New Roman" w:hAnsi="Times New Roman" w:cs="Times New Roman"/>
          <w:i/>
          <w:color w:val="222222"/>
          <w:sz w:val="24"/>
          <w:szCs w:val="24"/>
          <w:highlight w:val="white"/>
        </w:rPr>
        <w:t>Proceedings of the 29th International Conference on Intelligent User Interfaces</w:t>
      </w:r>
      <w:r>
        <w:rPr>
          <w:rFonts w:ascii="Times New Roman" w:eastAsia="Times New Roman" w:hAnsi="Times New Roman" w:cs="Times New Roman"/>
          <w:color w:val="222222"/>
          <w:sz w:val="24"/>
          <w:szCs w:val="24"/>
          <w:highlight w:val="white"/>
        </w:rPr>
        <w:t xml:space="preserve"> (pp. 853-868).</w:t>
      </w:r>
    </w:p>
    <w:p w14:paraId="4C751821"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Saarijärvi, M. and Bratt, E.L., (2021). When face-to-face interviews are not possible: tips and tricks for video, telephone, online chat, and email interviews in qualitative research.</w:t>
      </w:r>
    </w:p>
    <w:p w14:paraId="432B8D6B"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Tholen, G., (2024). Matching candidates to culture: How assessments of organisational fit shape the hiring process. </w:t>
      </w:r>
      <w:r>
        <w:rPr>
          <w:rFonts w:ascii="Times New Roman" w:eastAsia="Times New Roman" w:hAnsi="Times New Roman" w:cs="Times New Roman"/>
          <w:i/>
          <w:color w:val="222222"/>
          <w:sz w:val="24"/>
          <w:szCs w:val="24"/>
          <w:highlight w:val="white"/>
        </w:rPr>
        <w:t>Work, Employment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(3), pp.705-722.</w:t>
      </w:r>
    </w:p>
    <w:p w14:paraId="78DD1D21"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Tjuatja, L., Chen, V., Wu, T., Talwalkwar, A. and Neubig, G., (2024). Do llms exhibit human-like response biases? a case study in survey design. </w:t>
      </w:r>
      <w:r>
        <w:rPr>
          <w:rFonts w:ascii="Times New Roman" w:eastAsia="Times New Roman" w:hAnsi="Times New Roman" w:cs="Times New Roman"/>
          <w:i/>
          <w:color w:val="222222"/>
          <w:sz w:val="24"/>
          <w:szCs w:val="24"/>
          <w:highlight w:val="white"/>
        </w:rPr>
        <w:t>Transactions of the Association for Computational Linguistics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pp.1011-1026.</w:t>
      </w:r>
    </w:p>
    <w:p w14:paraId="55B38455"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Wakelin, K.J., McAra-Couper, J. and Fleming, T., (2024). Using an online platform for conducting face-to-face interviews. </w:t>
      </w:r>
      <w:r>
        <w:rPr>
          <w:rFonts w:ascii="Times New Roman" w:eastAsia="Times New Roman" w:hAnsi="Times New Roman" w:cs="Times New Roman"/>
          <w:i/>
          <w:color w:val="222222"/>
          <w:sz w:val="24"/>
          <w:szCs w:val="24"/>
          <w:highlight w:val="white"/>
        </w:rPr>
        <w:t>International Journal of Qualitative Methods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23</w:t>
      </w:r>
      <w:r>
        <w:rPr>
          <w:rFonts w:ascii="Times New Roman" w:eastAsia="Times New Roman" w:hAnsi="Times New Roman" w:cs="Times New Roman"/>
          <w:color w:val="222222"/>
          <w:sz w:val="24"/>
          <w:szCs w:val="24"/>
          <w:highlight w:val="white"/>
        </w:rPr>
        <w:t>, p.16094069241234183.</w:t>
      </w:r>
    </w:p>
    <w:p w14:paraId="62E888C5" w14:textId="77777777" w:rsidR="0095548E" w:rsidRDefault="0095548E">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Wingate, T.G. and Bourdage, J.S., (2024). What are interviews for? A qualitative study of employment interview goals and design. </w:t>
      </w:r>
      <w:r>
        <w:rPr>
          <w:rFonts w:ascii="Times New Roman" w:eastAsia="Times New Roman" w:hAnsi="Times New Roman" w:cs="Times New Roman"/>
          <w:i/>
          <w:color w:val="222222"/>
          <w:sz w:val="24"/>
          <w:szCs w:val="24"/>
          <w:highlight w:val="white"/>
        </w:rPr>
        <w:t>Human Resource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(4), pp.555-580.</w:t>
      </w:r>
    </w:p>
    <w:sectPr w:rsidR="0095548E" w:rsidSect="00BB5149">
      <w:foot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E0FB2" w14:textId="77777777" w:rsidR="002C349E" w:rsidRDefault="002C349E" w:rsidP="00BB5149">
      <w:pPr>
        <w:spacing w:line="240" w:lineRule="auto"/>
      </w:pPr>
      <w:r>
        <w:separator/>
      </w:r>
    </w:p>
  </w:endnote>
  <w:endnote w:type="continuationSeparator" w:id="0">
    <w:p w14:paraId="5FE5ED70" w14:textId="77777777" w:rsidR="002C349E" w:rsidRDefault="002C349E" w:rsidP="00BB51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embedRegular r:id="rId1" w:fontKey="{29D8D548-F234-47D4-8307-1B0B9F9C5608}"/>
  </w:font>
  <w:font w:name="Calibri">
    <w:panose1 w:val="020F0502020204030204"/>
    <w:charset w:val="00"/>
    <w:family w:val="swiss"/>
    <w:pitch w:val="variable"/>
    <w:sig w:usb0="E4002EFF" w:usb1="C000247B" w:usb2="00000009" w:usb3="00000000" w:csb0="000001FF" w:csb1="00000000"/>
    <w:embedRegular r:id="rId2" w:fontKey="{D69CBC50-748E-48B3-AF87-39C520AD42B5}"/>
  </w:font>
  <w:font w:name="Cambria">
    <w:panose1 w:val="02040503050406030204"/>
    <w:charset w:val="00"/>
    <w:family w:val="roman"/>
    <w:pitch w:val="variable"/>
    <w:sig w:usb0="E00006FF" w:usb1="420024FF" w:usb2="02000000" w:usb3="00000000" w:csb0="0000019F" w:csb1="00000000"/>
    <w:embedRegular r:id="rId3" w:fontKey="{8497C6BC-E74F-4365-9AEC-9208FD09AF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5927806"/>
      <w:docPartObj>
        <w:docPartGallery w:val="Page Numbers (Bottom of Page)"/>
        <w:docPartUnique/>
      </w:docPartObj>
    </w:sdtPr>
    <w:sdtEndPr>
      <w:rPr>
        <w:noProof/>
      </w:rPr>
    </w:sdtEndPr>
    <w:sdtContent>
      <w:p w14:paraId="6142D44C" w14:textId="01747D7B" w:rsidR="00BB5149" w:rsidRDefault="00BB5149">
        <w:pPr>
          <w:pStyle w:val="Footer"/>
          <w:jc w:val="right"/>
        </w:pPr>
        <w:r w:rsidRPr="00BB5149">
          <w:rPr>
            <w:rFonts w:ascii="Times New Roman" w:hAnsi="Times New Roman" w:cs="Times New Roman"/>
            <w:sz w:val="20"/>
            <w:szCs w:val="20"/>
          </w:rPr>
          <w:fldChar w:fldCharType="begin"/>
        </w:r>
        <w:r w:rsidRPr="00BB5149">
          <w:rPr>
            <w:rFonts w:ascii="Times New Roman" w:hAnsi="Times New Roman" w:cs="Times New Roman"/>
            <w:sz w:val="20"/>
            <w:szCs w:val="20"/>
          </w:rPr>
          <w:instrText xml:space="preserve"> PAGE   \* MERGEFORMAT </w:instrText>
        </w:r>
        <w:r w:rsidRPr="00BB5149">
          <w:rPr>
            <w:rFonts w:ascii="Times New Roman" w:hAnsi="Times New Roman" w:cs="Times New Roman"/>
            <w:sz w:val="20"/>
            <w:szCs w:val="20"/>
          </w:rPr>
          <w:fldChar w:fldCharType="separate"/>
        </w:r>
        <w:r w:rsidRPr="00BB5149">
          <w:rPr>
            <w:rFonts w:ascii="Times New Roman" w:hAnsi="Times New Roman" w:cs="Times New Roman"/>
            <w:noProof/>
            <w:sz w:val="20"/>
            <w:szCs w:val="20"/>
          </w:rPr>
          <w:t>2</w:t>
        </w:r>
        <w:r w:rsidRPr="00BB5149">
          <w:rPr>
            <w:rFonts w:ascii="Times New Roman" w:hAnsi="Times New Roman" w:cs="Times New Roman"/>
            <w:noProof/>
            <w:sz w:val="20"/>
            <w:szCs w:val="20"/>
          </w:rPr>
          <w:fldChar w:fldCharType="end"/>
        </w:r>
      </w:p>
    </w:sdtContent>
  </w:sdt>
  <w:p w14:paraId="36DA81A0" w14:textId="77777777" w:rsidR="00BB5149" w:rsidRDefault="00BB51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E0876D" w14:textId="77777777" w:rsidR="002C349E" w:rsidRDefault="002C349E" w:rsidP="00BB5149">
      <w:pPr>
        <w:spacing w:line="240" w:lineRule="auto"/>
      </w:pPr>
      <w:r>
        <w:separator/>
      </w:r>
    </w:p>
  </w:footnote>
  <w:footnote w:type="continuationSeparator" w:id="0">
    <w:p w14:paraId="5BF64F30" w14:textId="77777777" w:rsidR="002C349E" w:rsidRDefault="002C349E" w:rsidP="00BB51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550DF"/>
    <w:multiLevelType w:val="multilevel"/>
    <w:tmpl w:val="A77CA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230498"/>
    <w:multiLevelType w:val="hybridMultilevel"/>
    <w:tmpl w:val="FAECD6F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1AC2597"/>
    <w:multiLevelType w:val="multilevel"/>
    <w:tmpl w:val="99A28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683E5B"/>
    <w:multiLevelType w:val="multilevel"/>
    <w:tmpl w:val="16DECC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60F1D7E"/>
    <w:multiLevelType w:val="multilevel"/>
    <w:tmpl w:val="67744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215EA4"/>
    <w:multiLevelType w:val="multilevel"/>
    <w:tmpl w:val="27484B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8DA21F3"/>
    <w:multiLevelType w:val="multilevel"/>
    <w:tmpl w:val="542809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527902"/>
    <w:multiLevelType w:val="multilevel"/>
    <w:tmpl w:val="16CC17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377417E"/>
    <w:multiLevelType w:val="multilevel"/>
    <w:tmpl w:val="7F821B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CA4C73"/>
    <w:multiLevelType w:val="hybridMultilevel"/>
    <w:tmpl w:val="2444A1BA"/>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BF25E8B"/>
    <w:multiLevelType w:val="multilevel"/>
    <w:tmpl w:val="77986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CF07C2B"/>
    <w:multiLevelType w:val="multilevel"/>
    <w:tmpl w:val="83304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EEB0B6E"/>
    <w:multiLevelType w:val="hybridMultilevel"/>
    <w:tmpl w:val="71A415D8"/>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37A6364"/>
    <w:multiLevelType w:val="multilevel"/>
    <w:tmpl w:val="9D9E38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42A34DC"/>
    <w:multiLevelType w:val="multilevel"/>
    <w:tmpl w:val="4F4A58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72C1B42"/>
    <w:multiLevelType w:val="multilevel"/>
    <w:tmpl w:val="D7B491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74C5EDB"/>
    <w:multiLevelType w:val="multilevel"/>
    <w:tmpl w:val="71F400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59965632">
    <w:abstractNumId w:val="3"/>
  </w:num>
  <w:num w:numId="2" w16cid:durableId="2042247035">
    <w:abstractNumId w:val="2"/>
  </w:num>
  <w:num w:numId="3" w16cid:durableId="1671635025">
    <w:abstractNumId w:val="5"/>
  </w:num>
  <w:num w:numId="4" w16cid:durableId="427122368">
    <w:abstractNumId w:val="16"/>
  </w:num>
  <w:num w:numId="5" w16cid:durableId="150873920">
    <w:abstractNumId w:val="13"/>
  </w:num>
  <w:num w:numId="6" w16cid:durableId="667945582">
    <w:abstractNumId w:val="15"/>
  </w:num>
  <w:num w:numId="7" w16cid:durableId="77482501">
    <w:abstractNumId w:val="0"/>
  </w:num>
  <w:num w:numId="8" w16cid:durableId="1215579529">
    <w:abstractNumId w:val="14"/>
  </w:num>
  <w:num w:numId="9" w16cid:durableId="691954523">
    <w:abstractNumId w:val="10"/>
  </w:num>
  <w:num w:numId="10" w16cid:durableId="2121222738">
    <w:abstractNumId w:val="4"/>
  </w:num>
  <w:num w:numId="11" w16cid:durableId="106967703">
    <w:abstractNumId w:val="7"/>
  </w:num>
  <w:num w:numId="12" w16cid:durableId="1437210926">
    <w:abstractNumId w:val="6"/>
  </w:num>
  <w:num w:numId="13" w16cid:durableId="1307200587">
    <w:abstractNumId w:val="8"/>
  </w:num>
  <w:num w:numId="14" w16cid:durableId="272439003">
    <w:abstractNumId w:val="11"/>
  </w:num>
  <w:num w:numId="15" w16cid:durableId="1806196632">
    <w:abstractNumId w:val="1"/>
  </w:num>
  <w:num w:numId="16" w16cid:durableId="1676106857">
    <w:abstractNumId w:val="12"/>
  </w:num>
  <w:num w:numId="17" w16cid:durableId="5781780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86F"/>
    <w:rsid w:val="00016B67"/>
    <w:rsid w:val="001714D8"/>
    <w:rsid w:val="001F2C9F"/>
    <w:rsid w:val="002A03E5"/>
    <w:rsid w:val="002C349E"/>
    <w:rsid w:val="002D3634"/>
    <w:rsid w:val="0035422B"/>
    <w:rsid w:val="00421859"/>
    <w:rsid w:val="00502E6A"/>
    <w:rsid w:val="0054522A"/>
    <w:rsid w:val="00695ADC"/>
    <w:rsid w:val="006C286F"/>
    <w:rsid w:val="00711B0E"/>
    <w:rsid w:val="00767DBF"/>
    <w:rsid w:val="007957B6"/>
    <w:rsid w:val="007C21EA"/>
    <w:rsid w:val="008475BD"/>
    <w:rsid w:val="00865A29"/>
    <w:rsid w:val="00873800"/>
    <w:rsid w:val="008A1A40"/>
    <w:rsid w:val="008A441F"/>
    <w:rsid w:val="008B639D"/>
    <w:rsid w:val="008E6179"/>
    <w:rsid w:val="0095548E"/>
    <w:rsid w:val="00995B21"/>
    <w:rsid w:val="00A31040"/>
    <w:rsid w:val="00A61344"/>
    <w:rsid w:val="00B12F06"/>
    <w:rsid w:val="00B222D5"/>
    <w:rsid w:val="00B25D1B"/>
    <w:rsid w:val="00BB5149"/>
    <w:rsid w:val="00BD0158"/>
    <w:rsid w:val="00C20EBD"/>
    <w:rsid w:val="00C96D5A"/>
    <w:rsid w:val="00CC212B"/>
    <w:rsid w:val="00CE2640"/>
    <w:rsid w:val="00CF5D6F"/>
    <w:rsid w:val="00D334DE"/>
    <w:rsid w:val="00D41135"/>
    <w:rsid w:val="00D56B4A"/>
    <w:rsid w:val="00D65FC6"/>
    <w:rsid w:val="00D77119"/>
    <w:rsid w:val="00D834A3"/>
    <w:rsid w:val="00DD0FE6"/>
    <w:rsid w:val="00E0750E"/>
    <w:rsid w:val="00E96242"/>
    <w:rsid w:val="00FB336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AB387"/>
  <w15:docId w15:val="{CDDC875A-9AE3-4AFA-8781-A42A647F7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61344"/>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B5149"/>
    <w:pPr>
      <w:tabs>
        <w:tab w:val="center" w:pos="4513"/>
        <w:tab w:val="right" w:pos="9026"/>
      </w:tabs>
      <w:spacing w:line="240" w:lineRule="auto"/>
    </w:pPr>
  </w:style>
  <w:style w:type="character" w:customStyle="1" w:styleId="HeaderChar">
    <w:name w:val="Header Char"/>
    <w:basedOn w:val="DefaultParagraphFont"/>
    <w:link w:val="Header"/>
    <w:uiPriority w:val="99"/>
    <w:rsid w:val="00BB5149"/>
  </w:style>
  <w:style w:type="paragraph" w:styleId="Footer">
    <w:name w:val="footer"/>
    <w:basedOn w:val="Normal"/>
    <w:link w:val="FooterChar"/>
    <w:uiPriority w:val="99"/>
    <w:unhideWhenUsed/>
    <w:rsid w:val="00BB5149"/>
    <w:pPr>
      <w:tabs>
        <w:tab w:val="center" w:pos="4513"/>
        <w:tab w:val="right" w:pos="9026"/>
      </w:tabs>
      <w:spacing w:line="240" w:lineRule="auto"/>
    </w:pPr>
  </w:style>
  <w:style w:type="character" w:customStyle="1" w:styleId="FooterChar">
    <w:name w:val="Footer Char"/>
    <w:basedOn w:val="DefaultParagraphFont"/>
    <w:link w:val="Footer"/>
    <w:uiPriority w:val="99"/>
    <w:rsid w:val="00BB5149"/>
  </w:style>
  <w:style w:type="paragraph" w:styleId="TOC1">
    <w:name w:val="toc 1"/>
    <w:basedOn w:val="Normal"/>
    <w:next w:val="Normal"/>
    <w:autoRedefine/>
    <w:uiPriority w:val="39"/>
    <w:unhideWhenUsed/>
    <w:rsid w:val="00E0750E"/>
    <w:pPr>
      <w:spacing w:after="100"/>
    </w:pPr>
  </w:style>
  <w:style w:type="character" w:styleId="Hyperlink">
    <w:name w:val="Hyperlink"/>
    <w:basedOn w:val="DefaultParagraphFont"/>
    <w:uiPriority w:val="99"/>
    <w:unhideWhenUsed/>
    <w:rsid w:val="00E0750E"/>
    <w:rPr>
      <w:color w:val="0000FF" w:themeColor="hyperlink"/>
      <w:u w:val="single"/>
    </w:rPr>
  </w:style>
  <w:style w:type="paragraph" w:styleId="ListParagraph">
    <w:name w:val="List Paragraph"/>
    <w:basedOn w:val="Normal"/>
    <w:uiPriority w:val="34"/>
    <w:qFormat/>
    <w:rsid w:val="008475BD"/>
    <w:pPr>
      <w:ind w:left="720"/>
      <w:contextualSpacing/>
    </w:pPr>
  </w:style>
  <w:style w:type="paragraph" w:styleId="NormalWeb">
    <w:name w:val="Normal (Web)"/>
    <w:basedOn w:val="Normal"/>
    <w:uiPriority w:val="99"/>
    <w:semiHidden/>
    <w:unhideWhenUsed/>
    <w:rsid w:val="00CC212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775588">
      <w:bodyDiv w:val="1"/>
      <w:marLeft w:val="0"/>
      <w:marRight w:val="0"/>
      <w:marTop w:val="0"/>
      <w:marBottom w:val="0"/>
      <w:divBdr>
        <w:top w:val="none" w:sz="0" w:space="0" w:color="auto"/>
        <w:left w:val="none" w:sz="0" w:space="0" w:color="auto"/>
        <w:bottom w:val="none" w:sz="0" w:space="0" w:color="auto"/>
        <w:right w:val="none" w:sz="0" w:space="0" w:color="auto"/>
      </w:divBdr>
    </w:div>
    <w:div w:id="478573102">
      <w:bodyDiv w:val="1"/>
      <w:marLeft w:val="0"/>
      <w:marRight w:val="0"/>
      <w:marTop w:val="0"/>
      <w:marBottom w:val="0"/>
      <w:divBdr>
        <w:top w:val="none" w:sz="0" w:space="0" w:color="auto"/>
        <w:left w:val="none" w:sz="0" w:space="0" w:color="auto"/>
        <w:bottom w:val="none" w:sz="0" w:space="0" w:color="auto"/>
        <w:right w:val="none" w:sz="0" w:space="0" w:color="auto"/>
      </w:divBdr>
    </w:div>
    <w:div w:id="479882889">
      <w:bodyDiv w:val="1"/>
      <w:marLeft w:val="0"/>
      <w:marRight w:val="0"/>
      <w:marTop w:val="0"/>
      <w:marBottom w:val="0"/>
      <w:divBdr>
        <w:top w:val="none" w:sz="0" w:space="0" w:color="auto"/>
        <w:left w:val="none" w:sz="0" w:space="0" w:color="auto"/>
        <w:bottom w:val="none" w:sz="0" w:space="0" w:color="auto"/>
        <w:right w:val="none" w:sz="0" w:space="0" w:color="auto"/>
      </w:divBdr>
    </w:div>
    <w:div w:id="871040656">
      <w:bodyDiv w:val="1"/>
      <w:marLeft w:val="0"/>
      <w:marRight w:val="0"/>
      <w:marTop w:val="0"/>
      <w:marBottom w:val="0"/>
      <w:divBdr>
        <w:top w:val="none" w:sz="0" w:space="0" w:color="auto"/>
        <w:left w:val="none" w:sz="0" w:space="0" w:color="auto"/>
        <w:bottom w:val="none" w:sz="0" w:space="0" w:color="auto"/>
        <w:right w:val="none" w:sz="0" w:space="0" w:color="auto"/>
      </w:divBdr>
    </w:div>
    <w:div w:id="1382250536">
      <w:bodyDiv w:val="1"/>
      <w:marLeft w:val="0"/>
      <w:marRight w:val="0"/>
      <w:marTop w:val="0"/>
      <w:marBottom w:val="0"/>
      <w:divBdr>
        <w:top w:val="none" w:sz="0" w:space="0" w:color="auto"/>
        <w:left w:val="none" w:sz="0" w:space="0" w:color="auto"/>
        <w:bottom w:val="none" w:sz="0" w:space="0" w:color="auto"/>
        <w:right w:val="none" w:sz="0" w:space="0" w:color="auto"/>
      </w:divBdr>
    </w:div>
    <w:div w:id="14140846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www.asda.com/"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legislation.gov.uk/ukpga/2010/15/contents"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698D7-EADE-469E-81CF-51A0B393B3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15</Pages>
  <Words>1811</Words>
  <Characters>10328</Characters>
  <Application>Microsoft Office Word</Application>
  <DocSecurity>0</DocSecurity>
  <Lines>86</Lines>
  <Paragraphs>24</Paragraphs>
  <ScaleCrop>false</ScaleCrop>
  <Company/>
  <LinksUpToDate>false</LinksUpToDate>
  <CharactersWithSpaces>12115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p:lastModifiedBy>
  <cp:revision>65</cp:revision>
  <dcterms:created xsi:type="dcterms:W3CDTF">2025-11-09T03:02:00Z</dcterms:created>
  <dcterms:modified xsi:type="dcterms:W3CDTF">2025-11-09T04:01:00Z</dcterms:modified>
</cp:coreProperties>
</file>