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298B787">
      <w:pPr>
        <w:spacing w:line="276" w:lineRule="auto"/>
        <w:jc w:val="center"/>
        <w:rPr>
          <w:b/>
          <w:bCs/>
          <w:lang w:val="en-GB"/>
        </w:rPr>
      </w:pPr>
      <w:r>
        <w:rPr>
          <w:b/>
          <w:bCs/>
          <w:lang w:val="en-GB" w:eastAsia="en-GB"/>
        </w:rPr>
        <w:drawing>
          <wp:inline distT="0" distB="0" distL="0" distR="0">
            <wp:extent cx="3858895" cy="1718310"/>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3870982" cy="1724259"/>
                    </a:xfrm>
                    <a:prstGeom prst="rect">
                      <a:avLst/>
                    </a:prstGeom>
                    <a:noFill/>
                  </pic:spPr>
                </pic:pic>
              </a:graphicData>
            </a:graphic>
          </wp:inline>
        </w:drawing>
      </w:r>
    </w:p>
    <w:p w14:paraId="36E6CBF3">
      <w:pPr>
        <w:spacing w:line="276" w:lineRule="auto"/>
        <w:jc w:val="left"/>
        <w:rPr>
          <w:b/>
          <w:bCs/>
          <w:lang w:val="en-GB"/>
        </w:rPr>
      </w:pPr>
      <w:r>
        <w:rPr>
          <w:b/>
          <w:bCs/>
          <w:lang w:val="en-GB"/>
        </w:rPr>
        <w:t>Programme: Master of Business Administration</w:t>
      </w:r>
    </w:p>
    <w:p w14:paraId="45694BA2">
      <w:pPr>
        <w:spacing w:line="276" w:lineRule="auto"/>
        <w:jc w:val="left"/>
        <w:rPr>
          <w:b/>
          <w:lang w:val="en-GB"/>
        </w:rPr>
      </w:pPr>
      <w:r>
        <w:rPr>
          <w:b/>
          <w:bCs/>
          <w:lang w:val="en-GB"/>
        </w:rPr>
        <w:t>Module Code:</w:t>
      </w:r>
      <w:r>
        <w:rPr>
          <w:lang w:val="en-GB"/>
        </w:rPr>
        <w:t xml:space="preserve"> </w:t>
      </w:r>
      <w:r>
        <w:rPr>
          <w:b/>
          <w:lang w:val="en-GB"/>
        </w:rPr>
        <w:t xml:space="preserve">LCMB7024 </w:t>
      </w:r>
    </w:p>
    <w:p w14:paraId="1EC99561">
      <w:pPr>
        <w:spacing w:line="276" w:lineRule="auto"/>
        <w:jc w:val="left"/>
        <w:rPr>
          <w:b/>
          <w:lang w:val="en-GB"/>
        </w:rPr>
      </w:pPr>
      <w:r>
        <w:rPr>
          <w:b/>
          <w:lang w:val="en-GB"/>
        </w:rPr>
        <w:t xml:space="preserve">Module: Marketing Management </w:t>
      </w:r>
    </w:p>
    <w:p w14:paraId="022E16BB">
      <w:pPr>
        <w:spacing w:line="276" w:lineRule="auto"/>
        <w:jc w:val="left"/>
        <w:rPr>
          <w:b/>
          <w:lang w:val="en-GB"/>
        </w:rPr>
      </w:pPr>
      <w:r>
        <w:rPr>
          <w:rFonts w:hint="default"/>
          <w:b/>
          <w:lang w:val="en-GB" w:eastAsia="zh-CN"/>
        </w:rPr>
        <w:t>Lecturer:  Dr Jayalakshmi Gopalkrishnan (London)</w:t>
      </w:r>
      <w:bookmarkStart w:id="15" w:name="_GoBack"/>
      <w:bookmarkEnd w:id="15"/>
    </w:p>
    <w:p w14:paraId="0531A731">
      <w:pPr>
        <w:spacing w:line="276" w:lineRule="auto"/>
        <w:jc w:val="left"/>
        <w:rPr>
          <w:b/>
          <w:lang w:val="en-GB"/>
        </w:rPr>
      </w:pPr>
      <w:r>
        <w:rPr>
          <w:b/>
          <w:lang w:val="en-GB"/>
        </w:rPr>
        <w:t xml:space="preserve">Assignment Title: Assessment component 2: Marketing Portfolio   </w:t>
      </w:r>
    </w:p>
    <w:p w14:paraId="7CBB836B">
      <w:pPr>
        <w:spacing w:line="276" w:lineRule="auto"/>
        <w:jc w:val="left"/>
        <w:rPr>
          <w:b/>
          <w:lang w:val="en-GB"/>
        </w:rPr>
      </w:pPr>
      <w:r>
        <w:rPr>
          <w:b/>
          <w:bCs/>
          <w:lang w:val="en-GB"/>
        </w:rPr>
        <w:t>Student Name: Rabbi Islam</w:t>
      </w:r>
    </w:p>
    <w:p w14:paraId="4656AD9B">
      <w:pPr>
        <w:spacing w:line="276" w:lineRule="auto"/>
        <w:jc w:val="left"/>
        <w:rPr>
          <w:b/>
          <w:bCs/>
          <w:lang w:val="en-GB"/>
        </w:rPr>
      </w:pPr>
      <w:r>
        <w:rPr>
          <w:b/>
          <w:bCs/>
          <w:lang w:val="en-GB"/>
        </w:rPr>
        <w:t>Student ID:</w:t>
      </w:r>
      <w:r>
        <w:rPr>
          <w:lang w:val="en-GB"/>
        </w:rPr>
        <w:t xml:space="preserve"> </w:t>
      </w:r>
      <w:r>
        <w:rPr>
          <w:b/>
          <w:lang w:val="en-GB"/>
        </w:rPr>
        <w:t>2504996</w:t>
      </w:r>
    </w:p>
    <w:p w14:paraId="49812FE4">
      <w:pPr>
        <w:spacing w:line="276" w:lineRule="auto"/>
        <w:jc w:val="left"/>
        <w:rPr>
          <w:b/>
          <w:bCs/>
          <w:lang w:val="en-GB"/>
        </w:rPr>
      </w:pPr>
      <w:r>
        <w:rPr>
          <w:b/>
          <w:bCs/>
          <w:lang w:val="en-GB"/>
        </w:rPr>
        <w:t>Word Count: 2680</w:t>
      </w:r>
    </w:p>
    <w:p w14:paraId="49443453">
      <w:pPr>
        <w:spacing w:line="276" w:lineRule="auto"/>
        <w:jc w:val="left"/>
        <w:rPr>
          <w:b/>
          <w:bCs/>
          <w:lang w:val="en-GB"/>
        </w:rPr>
      </w:pPr>
      <w:r>
        <w:rPr>
          <w:b/>
          <w:bCs/>
          <w:lang w:val="en-GB"/>
        </w:rPr>
        <w:br w:type="page"/>
      </w:r>
    </w:p>
    <w:sdt>
      <w:sdtPr>
        <w:rPr>
          <w:rFonts w:ascii="Arial" w:hAnsi="Arial" w:eastAsiaTheme="minorEastAsia" w:cstheme="minorBidi"/>
          <w:color w:val="auto"/>
          <w:sz w:val="24"/>
          <w:szCs w:val="22"/>
        </w:rPr>
        <w:id w:val="766974428"/>
        <w:docPartObj>
          <w:docPartGallery w:val="Table of Contents"/>
          <w:docPartUnique/>
        </w:docPartObj>
      </w:sdtPr>
      <w:sdtEndPr>
        <w:rPr>
          <w:rFonts w:ascii="Arial" w:hAnsi="Arial" w:eastAsiaTheme="minorEastAsia" w:cstheme="minorBidi"/>
          <w:b/>
          <w:bCs/>
          <w:color w:val="auto"/>
          <w:sz w:val="24"/>
          <w:szCs w:val="22"/>
        </w:rPr>
      </w:sdtEndPr>
      <w:sdtContent>
        <w:p w14:paraId="41A0BE05">
          <w:pPr>
            <w:pStyle w:val="20"/>
          </w:pPr>
          <w:r>
            <w:t>Table of Contents</w:t>
          </w:r>
        </w:p>
        <w:p w14:paraId="64A9ED76">
          <w:pPr>
            <w:pStyle w:val="12"/>
            <w:tabs>
              <w:tab w:val="right" w:leader="dot" w:pos="9350"/>
            </w:tabs>
          </w:pPr>
          <w:r>
            <w:fldChar w:fldCharType="begin"/>
          </w:r>
          <w:r>
            <w:instrText xml:space="preserve"> TOC \o "1-3" \h \z \u </w:instrText>
          </w:r>
          <w:r>
            <w:fldChar w:fldCharType="separate"/>
          </w:r>
          <w:r>
            <w:fldChar w:fldCharType="begin"/>
          </w:r>
          <w:r>
            <w:instrText xml:space="preserve"> HYPERLINK \l "_Toc216655976" </w:instrText>
          </w:r>
          <w:r>
            <w:fldChar w:fldCharType="separate"/>
          </w:r>
          <w:r>
            <w:rPr>
              <w:rStyle w:val="10"/>
            </w:rPr>
            <w:t>Introduction</w:t>
          </w:r>
          <w:r>
            <w:tab/>
          </w:r>
          <w:r>
            <w:fldChar w:fldCharType="begin"/>
          </w:r>
          <w:r>
            <w:instrText xml:space="preserve"> PAGEREF _Toc216655976 \h </w:instrText>
          </w:r>
          <w:r>
            <w:fldChar w:fldCharType="separate"/>
          </w:r>
          <w:r>
            <w:t>3</w:t>
          </w:r>
          <w:r>
            <w:fldChar w:fldCharType="end"/>
          </w:r>
          <w:r>
            <w:fldChar w:fldCharType="end"/>
          </w:r>
        </w:p>
        <w:p w14:paraId="1DDE2527">
          <w:pPr>
            <w:pStyle w:val="12"/>
            <w:tabs>
              <w:tab w:val="right" w:leader="dot" w:pos="9350"/>
            </w:tabs>
          </w:pPr>
          <w:r>
            <w:fldChar w:fldCharType="begin"/>
          </w:r>
          <w:r>
            <w:instrText xml:space="preserve"> HYPERLINK \l "_Toc216655977" </w:instrText>
          </w:r>
          <w:r>
            <w:fldChar w:fldCharType="separate"/>
          </w:r>
          <w:r>
            <w:rPr>
              <w:rStyle w:val="10"/>
            </w:rPr>
            <w:t>Element 1: STDP Analysis</w:t>
          </w:r>
          <w:r>
            <w:tab/>
          </w:r>
          <w:r>
            <w:fldChar w:fldCharType="begin"/>
          </w:r>
          <w:r>
            <w:instrText xml:space="preserve"> PAGEREF _Toc216655977 \h </w:instrText>
          </w:r>
          <w:r>
            <w:fldChar w:fldCharType="separate"/>
          </w:r>
          <w:r>
            <w:t>3</w:t>
          </w:r>
          <w:r>
            <w:fldChar w:fldCharType="end"/>
          </w:r>
          <w:r>
            <w:fldChar w:fldCharType="end"/>
          </w:r>
        </w:p>
        <w:p w14:paraId="0464F179">
          <w:pPr>
            <w:pStyle w:val="13"/>
            <w:tabs>
              <w:tab w:val="right" w:leader="dot" w:pos="9350"/>
            </w:tabs>
          </w:pPr>
          <w:r>
            <w:fldChar w:fldCharType="begin"/>
          </w:r>
          <w:r>
            <w:instrText xml:space="preserve"> HYPERLINK \l "_Toc216655978" </w:instrText>
          </w:r>
          <w:r>
            <w:fldChar w:fldCharType="separate"/>
          </w:r>
          <w:r>
            <w:rPr>
              <w:rStyle w:val="10"/>
            </w:rPr>
            <w:t>1.1 Segmentation Strategy</w:t>
          </w:r>
          <w:r>
            <w:tab/>
          </w:r>
          <w:r>
            <w:fldChar w:fldCharType="begin"/>
          </w:r>
          <w:r>
            <w:instrText xml:space="preserve"> PAGEREF _Toc216655978 \h </w:instrText>
          </w:r>
          <w:r>
            <w:fldChar w:fldCharType="separate"/>
          </w:r>
          <w:r>
            <w:t>3</w:t>
          </w:r>
          <w:r>
            <w:fldChar w:fldCharType="end"/>
          </w:r>
          <w:r>
            <w:fldChar w:fldCharType="end"/>
          </w:r>
        </w:p>
        <w:p w14:paraId="6ABC342D">
          <w:pPr>
            <w:pStyle w:val="13"/>
            <w:tabs>
              <w:tab w:val="right" w:leader="dot" w:pos="9350"/>
            </w:tabs>
          </w:pPr>
          <w:r>
            <w:fldChar w:fldCharType="begin"/>
          </w:r>
          <w:r>
            <w:instrText xml:space="preserve"> HYPERLINK \l "_Toc216655979" </w:instrText>
          </w:r>
          <w:r>
            <w:fldChar w:fldCharType="separate"/>
          </w:r>
          <w:r>
            <w:rPr>
              <w:rStyle w:val="10"/>
            </w:rPr>
            <w:t>1.2 Targeting Strategy</w:t>
          </w:r>
          <w:r>
            <w:tab/>
          </w:r>
          <w:r>
            <w:fldChar w:fldCharType="begin"/>
          </w:r>
          <w:r>
            <w:instrText xml:space="preserve"> PAGEREF _Toc216655979 \h </w:instrText>
          </w:r>
          <w:r>
            <w:fldChar w:fldCharType="separate"/>
          </w:r>
          <w:r>
            <w:t>4</w:t>
          </w:r>
          <w:r>
            <w:fldChar w:fldCharType="end"/>
          </w:r>
          <w:r>
            <w:fldChar w:fldCharType="end"/>
          </w:r>
        </w:p>
        <w:p w14:paraId="20221FB4">
          <w:pPr>
            <w:pStyle w:val="13"/>
            <w:tabs>
              <w:tab w:val="right" w:leader="dot" w:pos="9350"/>
            </w:tabs>
          </w:pPr>
          <w:r>
            <w:fldChar w:fldCharType="begin"/>
          </w:r>
          <w:r>
            <w:instrText xml:space="preserve"> HYPERLINK \l "_Toc216655980" </w:instrText>
          </w:r>
          <w:r>
            <w:fldChar w:fldCharType="separate"/>
          </w:r>
          <w:r>
            <w:rPr>
              <w:rStyle w:val="10"/>
            </w:rPr>
            <w:t>1.3 Differentiation Strategy</w:t>
          </w:r>
          <w:r>
            <w:tab/>
          </w:r>
          <w:r>
            <w:fldChar w:fldCharType="begin"/>
          </w:r>
          <w:r>
            <w:instrText xml:space="preserve"> PAGEREF _Toc216655980 \h </w:instrText>
          </w:r>
          <w:r>
            <w:fldChar w:fldCharType="separate"/>
          </w:r>
          <w:r>
            <w:t>4</w:t>
          </w:r>
          <w:r>
            <w:fldChar w:fldCharType="end"/>
          </w:r>
          <w:r>
            <w:fldChar w:fldCharType="end"/>
          </w:r>
        </w:p>
        <w:p w14:paraId="103D1036">
          <w:pPr>
            <w:pStyle w:val="13"/>
            <w:tabs>
              <w:tab w:val="right" w:leader="dot" w:pos="9350"/>
            </w:tabs>
          </w:pPr>
          <w:r>
            <w:fldChar w:fldCharType="begin"/>
          </w:r>
          <w:r>
            <w:instrText xml:space="preserve"> HYPERLINK \l "_Toc216655981" </w:instrText>
          </w:r>
          <w:r>
            <w:fldChar w:fldCharType="separate"/>
          </w:r>
          <w:r>
            <w:rPr>
              <w:rStyle w:val="10"/>
            </w:rPr>
            <w:t>1.4 Positioning Strategy</w:t>
          </w:r>
          <w:r>
            <w:tab/>
          </w:r>
          <w:r>
            <w:fldChar w:fldCharType="begin"/>
          </w:r>
          <w:r>
            <w:instrText xml:space="preserve"> PAGEREF _Toc216655981 \h </w:instrText>
          </w:r>
          <w:r>
            <w:fldChar w:fldCharType="separate"/>
          </w:r>
          <w:r>
            <w:t>5</w:t>
          </w:r>
          <w:r>
            <w:fldChar w:fldCharType="end"/>
          </w:r>
          <w:r>
            <w:fldChar w:fldCharType="end"/>
          </w:r>
        </w:p>
        <w:p w14:paraId="3816B105">
          <w:pPr>
            <w:pStyle w:val="12"/>
            <w:tabs>
              <w:tab w:val="right" w:leader="dot" w:pos="9350"/>
            </w:tabs>
          </w:pPr>
          <w:r>
            <w:fldChar w:fldCharType="begin"/>
          </w:r>
          <w:r>
            <w:instrText xml:space="preserve"> HYPERLINK \l "_Toc216655982" </w:instrText>
          </w:r>
          <w:r>
            <w:fldChar w:fldCharType="separate"/>
          </w:r>
          <w:r>
            <w:rPr>
              <w:rStyle w:val="10"/>
            </w:rPr>
            <w:t>Element 2: Critical Analysis of the Marketing Mix</w:t>
          </w:r>
          <w:r>
            <w:tab/>
          </w:r>
          <w:r>
            <w:fldChar w:fldCharType="begin"/>
          </w:r>
          <w:r>
            <w:instrText xml:space="preserve"> PAGEREF _Toc216655982 \h </w:instrText>
          </w:r>
          <w:r>
            <w:fldChar w:fldCharType="separate"/>
          </w:r>
          <w:r>
            <w:t>7</w:t>
          </w:r>
          <w:r>
            <w:fldChar w:fldCharType="end"/>
          </w:r>
          <w:r>
            <w:fldChar w:fldCharType="end"/>
          </w:r>
        </w:p>
        <w:p w14:paraId="4AF0CCD1">
          <w:pPr>
            <w:pStyle w:val="13"/>
            <w:tabs>
              <w:tab w:val="right" w:leader="dot" w:pos="9350"/>
            </w:tabs>
          </w:pPr>
          <w:r>
            <w:fldChar w:fldCharType="begin"/>
          </w:r>
          <w:r>
            <w:instrText xml:space="preserve"> HYPERLINK \l "_Toc216655983" </w:instrText>
          </w:r>
          <w:r>
            <w:fldChar w:fldCharType="separate"/>
          </w:r>
          <w:r>
            <w:rPr>
              <w:rStyle w:val="10"/>
            </w:rPr>
            <w:t>2.1 Product Strategy</w:t>
          </w:r>
          <w:r>
            <w:tab/>
          </w:r>
          <w:r>
            <w:fldChar w:fldCharType="begin"/>
          </w:r>
          <w:r>
            <w:instrText xml:space="preserve"> PAGEREF _Toc216655983 \h </w:instrText>
          </w:r>
          <w:r>
            <w:fldChar w:fldCharType="separate"/>
          </w:r>
          <w:r>
            <w:t>7</w:t>
          </w:r>
          <w:r>
            <w:fldChar w:fldCharType="end"/>
          </w:r>
          <w:r>
            <w:fldChar w:fldCharType="end"/>
          </w:r>
        </w:p>
        <w:p w14:paraId="74D6E297">
          <w:pPr>
            <w:pStyle w:val="13"/>
            <w:tabs>
              <w:tab w:val="right" w:leader="dot" w:pos="9350"/>
            </w:tabs>
          </w:pPr>
          <w:r>
            <w:fldChar w:fldCharType="begin"/>
          </w:r>
          <w:r>
            <w:instrText xml:space="preserve"> HYPERLINK \l "_Toc216655984" </w:instrText>
          </w:r>
          <w:r>
            <w:fldChar w:fldCharType="separate"/>
          </w:r>
          <w:r>
            <w:rPr>
              <w:rStyle w:val="10"/>
            </w:rPr>
            <w:t>2.2 Price Strategy</w:t>
          </w:r>
          <w:r>
            <w:tab/>
          </w:r>
          <w:r>
            <w:fldChar w:fldCharType="begin"/>
          </w:r>
          <w:r>
            <w:instrText xml:space="preserve"> PAGEREF _Toc216655984 \h </w:instrText>
          </w:r>
          <w:r>
            <w:fldChar w:fldCharType="separate"/>
          </w:r>
          <w:r>
            <w:t>8</w:t>
          </w:r>
          <w:r>
            <w:fldChar w:fldCharType="end"/>
          </w:r>
          <w:r>
            <w:fldChar w:fldCharType="end"/>
          </w:r>
        </w:p>
        <w:p w14:paraId="5CA29BF0">
          <w:pPr>
            <w:pStyle w:val="13"/>
            <w:tabs>
              <w:tab w:val="right" w:leader="dot" w:pos="9350"/>
            </w:tabs>
          </w:pPr>
          <w:r>
            <w:fldChar w:fldCharType="begin"/>
          </w:r>
          <w:r>
            <w:instrText xml:space="preserve"> HYPERLINK \l "_Toc216655985" </w:instrText>
          </w:r>
          <w:r>
            <w:fldChar w:fldCharType="separate"/>
          </w:r>
          <w:r>
            <w:rPr>
              <w:rStyle w:val="10"/>
            </w:rPr>
            <w:t>2.3 Place (Distribution) Strategy</w:t>
          </w:r>
          <w:r>
            <w:tab/>
          </w:r>
          <w:r>
            <w:fldChar w:fldCharType="begin"/>
          </w:r>
          <w:r>
            <w:instrText xml:space="preserve"> PAGEREF _Toc216655985 \h </w:instrText>
          </w:r>
          <w:r>
            <w:fldChar w:fldCharType="separate"/>
          </w:r>
          <w:r>
            <w:t>8</w:t>
          </w:r>
          <w:r>
            <w:fldChar w:fldCharType="end"/>
          </w:r>
          <w:r>
            <w:fldChar w:fldCharType="end"/>
          </w:r>
        </w:p>
        <w:p w14:paraId="20AEA235">
          <w:pPr>
            <w:pStyle w:val="13"/>
            <w:tabs>
              <w:tab w:val="right" w:leader="dot" w:pos="9350"/>
            </w:tabs>
          </w:pPr>
          <w:r>
            <w:fldChar w:fldCharType="begin"/>
          </w:r>
          <w:r>
            <w:instrText xml:space="preserve"> HYPERLINK \l "_Toc216655986" </w:instrText>
          </w:r>
          <w:r>
            <w:fldChar w:fldCharType="separate"/>
          </w:r>
          <w:r>
            <w:rPr>
              <w:rStyle w:val="10"/>
            </w:rPr>
            <w:t>2.4 Promotion Strategy</w:t>
          </w:r>
          <w:r>
            <w:tab/>
          </w:r>
          <w:r>
            <w:fldChar w:fldCharType="begin"/>
          </w:r>
          <w:r>
            <w:instrText xml:space="preserve"> PAGEREF _Toc216655986 \h </w:instrText>
          </w:r>
          <w:r>
            <w:fldChar w:fldCharType="separate"/>
          </w:r>
          <w:r>
            <w:t>9</w:t>
          </w:r>
          <w:r>
            <w:fldChar w:fldCharType="end"/>
          </w:r>
          <w:r>
            <w:fldChar w:fldCharType="end"/>
          </w:r>
        </w:p>
        <w:p w14:paraId="219593C3">
          <w:pPr>
            <w:pStyle w:val="13"/>
            <w:tabs>
              <w:tab w:val="right" w:leader="dot" w:pos="9350"/>
            </w:tabs>
          </w:pPr>
          <w:r>
            <w:fldChar w:fldCharType="begin"/>
          </w:r>
          <w:r>
            <w:instrText xml:space="preserve"> HYPERLINK \l "_Toc216655987" </w:instrText>
          </w:r>
          <w:r>
            <w:fldChar w:fldCharType="separate"/>
          </w:r>
          <w:r>
            <w:rPr>
              <w:rStyle w:val="10"/>
            </w:rPr>
            <w:t>2.5 Integrated Marketing Mix Evaluation</w:t>
          </w:r>
          <w:r>
            <w:tab/>
          </w:r>
          <w:r>
            <w:fldChar w:fldCharType="begin"/>
          </w:r>
          <w:r>
            <w:instrText xml:space="preserve"> PAGEREF _Toc216655987 \h </w:instrText>
          </w:r>
          <w:r>
            <w:fldChar w:fldCharType="separate"/>
          </w:r>
          <w:r>
            <w:t>10</w:t>
          </w:r>
          <w:r>
            <w:fldChar w:fldCharType="end"/>
          </w:r>
          <w:r>
            <w:fldChar w:fldCharType="end"/>
          </w:r>
        </w:p>
        <w:p w14:paraId="33FB3A19">
          <w:pPr>
            <w:pStyle w:val="12"/>
            <w:tabs>
              <w:tab w:val="right" w:leader="dot" w:pos="9350"/>
            </w:tabs>
          </w:pPr>
          <w:r>
            <w:fldChar w:fldCharType="begin"/>
          </w:r>
          <w:r>
            <w:instrText xml:space="preserve"> HYPERLINK \l "_Toc216655988" </w:instrText>
          </w:r>
          <w:r>
            <w:fldChar w:fldCharType="separate"/>
          </w:r>
          <w:r>
            <w:rPr>
              <w:rStyle w:val="10"/>
            </w:rPr>
            <w:t>Element 3: Marketing Strategy Pitch</w:t>
          </w:r>
          <w:r>
            <w:tab/>
          </w:r>
          <w:r>
            <w:fldChar w:fldCharType="begin"/>
          </w:r>
          <w:r>
            <w:instrText xml:space="preserve"> PAGEREF _Toc216655988 \h </w:instrText>
          </w:r>
          <w:r>
            <w:fldChar w:fldCharType="separate"/>
          </w:r>
          <w:r>
            <w:t>11</w:t>
          </w:r>
          <w:r>
            <w:fldChar w:fldCharType="end"/>
          </w:r>
          <w:r>
            <w:fldChar w:fldCharType="end"/>
          </w:r>
        </w:p>
        <w:p w14:paraId="00F1091A">
          <w:pPr>
            <w:pStyle w:val="12"/>
            <w:tabs>
              <w:tab w:val="right" w:leader="dot" w:pos="9350"/>
            </w:tabs>
          </w:pPr>
          <w:r>
            <w:fldChar w:fldCharType="begin"/>
          </w:r>
          <w:r>
            <w:instrText xml:space="preserve"> HYPERLINK \l "_Toc216655989" </w:instrText>
          </w:r>
          <w:r>
            <w:fldChar w:fldCharType="separate"/>
          </w:r>
          <w:r>
            <w:rPr>
              <w:rStyle w:val="10"/>
            </w:rPr>
            <w:t>Element 4: Reflection</w:t>
          </w:r>
          <w:r>
            <w:tab/>
          </w:r>
          <w:r>
            <w:fldChar w:fldCharType="begin"/>
          </w:r>
          <w:r>
            <w:instrText xml:space="preserve"> PAGEREF _Toc216655989 \h </w:instrText>
          </w:r>
          <w:r>
            <w:fldChar w:fldCharType="separate"/>
          </w:r>
          <w:r>
            <w:t>12</w:t>
          </w:r>
          <w:r>
            <w:fldChar w:fldCharType="end"/>
          </w:r>
          <w:r>
            <w:fldChar w:fldCharType="end"/>
          </w:r>
        </w:p>
        <w:p w14:paraId="76ECD03E">
          <w:pPr>
            <w:pStyle w:val="12"/>
            <w:tabs>
              <w:tab w:val="right" w:leader="dot" w:pos="9350"/>
            </w:tabs>
          </w:pPr>
          <w:r>
            <w:fldChar w:fldCharType="begin"/>
          </w:r>
          <w:r>
            <w:instrText xml:space="preserve"> HYPERLINK \l "_Toc216655990" </w:instrText>
          </w:r>
          <w:r>
            <w:fldChar w:fldCharType="separate"/>
          </w:r>
          <w:r>
            <w:rPr>
              <w:rStyle w:val="10"/>
            </w:rPr>
            <w:t>Reference List</w:t>
          </w:r>
          <w:r>
            <w:tab/>
          </w:r>
          <w:r>
            <w:fldChar w:fldCharType="begin"/>
          </w:r>
          <w:r>
            <w:instrText xml:space="preserve"> PAGEREF _Toc216655990 \h </w:instrText>
          </w:r>
          <w:r>
            <w:fldChar w:fldCharType="separate"/>
          </w:r>
          <w:r>
            <w:t>14</w:t>
          </w:r>
          <w:r>
            <w:fldChar w:fldCharType="end"/>
          </w:r>
          <w:r>
            <w:fldChar w:fldCharType="end"/>
          </w:r>
        </w:p>
        <w:p w14:paraId="26FC67C1">
          <w:r>
            <w:rPr>
              <w:b/>
              <w:bCs/>
            </w:rPr>
            <w:fldChar w:fldCharType="end"/>
          </w:r>
        </w:p>
      </w:sdtContent>
    </w:sdt>
    <w:p w14:paraId="64BCB8EF">
      <w:pPr>
        <w:spacing w:line="276" w:lineRule="auto"/>
        <w:jc w:val="left"/>
        <w:rPr>
          <w:b/>
          <w:bCs/>
          <w:lang w:val="en-GB"/>
        </w:rPr>
      </w:pPr>
    </w:p>
    <w:p w14:paraId="25551C86">
      <w:pPr>
        <w:spacing w:line="276" w:lineRule="auto"/>
        <w:jc w:val="left"/>
        <w:rPr>
          <w:rFonts w:eastAsiaTheme="majorEastAsia" w:cstheme="majorBidi"/>
          <w:b/>
          <w:bCs/>
          <w:color w:val="000000" w:themeColor="text1"/>
          <w:sz w:val="32"/>
          <w:szCs w:val="28"/>
          <w14:textFill>
            <w14:solidFill>
              <w14:schemeClr w14:val="tx1"/>
            </w14:solidFill>
          </w14:textFill>
        </w:rPr>
      </w:pPr>
    </w:p>
    <w:p w14:paraId="50725680">
      <w:pPr>
        <w:spacing w:line="276" w:lineRule="auto"/>
        <w:jc w:val="left"/>
        <w:rPr>
          <w:rFonts w:eastAsiaTheme="majorEastAsia" w:cstheme="majorBidi"/>
          <w:b/>
          <w:bCs/>
          <w:color w:val="000000" w:themeColor="text1"/>
          <w:sz w:val="32"/>
          <w:szCs w:val="28"/>
          <w14:textFill>
            <w14:solidFill>
              <w14:schemeClr w14:val="tx1"/>
            </w14:solidFill>
          </w14:textFill>
        </w:rPr>
      </w:pPr>
      <w:r>
        <w:br w:type="page"/>
      </w:r>
    </w:p>
    <w:p w14:paraId="13DCB898">
      <w:pPr>
        <w:pStyle w:val="2"/>
      </w:pPr>
      <w:bookmarkStart w:id="0" w:name="_Toc216655976"/>
      <w:r>
        <w:t>Introduction</w:t>
      </w:r>
      <w:bookmarkEnd w:id="0"/>
    </w:p>
    <w:p w14:paraId="773B1116">
      <w:r>
        <w:t xml:space="preserve">The report plans and critically evaluates the SmartMeal Box of Sainsbury, a proposed healthy-food-kit brand that seeks to address the growing UK grocer market conflict between convenience and nutrition (J Sainsbury PLC, 2023). The product, which is founded on the established Sainsbury retail infrastructure and loyalty, will be structured to offer healthy meals to the modern consumers in an economical, accessible, and time saving way (Retail economics, 2025). The report uses the STDP framework to find and support the strategic market focus of the brand, and then critically assesses differentiation and positioning in a growing competitive meal-solutions category. This analysis is based on current consumer trends in the UK and the marketing theory. In general, the report shows that SmartMeal Box can add value to Sainsbury when addressing structural changes in food consumption, lifestyles, and wellbeing priorities in the UK. </w:t>
      </w:r>
    </w:p>
    <w:p w14:paraId="5CD6C614">
      <w:pPr>
        <w:pStyle w:val="2"/>
      </w:pPr>
      <w:bookmarkStart w:id="1" w:name="_Toc216655977"/>
      <w:r>
        <w:t>Element 1: STDP Analysis</w:t>
      </w:r>
      <w:bookmarkEnd w:id="1"/>
    </w:p>
    <w:p w14:paraId="5B166D35">
      <w:pPr>
        <w:pStyle w:val="3"/>
      </w:pPr>
      <w:bookmarkStart w:id="2" w:name="_Toc216655978"/>
      <w:r>
        <w:t>1.1 Segmentation Strategy</w:t>
      </w:r>
      <w:bookmarkEnd w:id="2"/>
    </w:p>
    <w:p w14:paraId="6B47E7FF">
      <w:r>
        <w:t>Sainsbury SmartMeal Box segmentation strategy employs a multi-variable STDP framework, combining demographic, psychographic, behavioural, and geographic variables, as suggested by Kotler et al. (2022).</w:t>
      </w:r>
    </w:p>
    <w:p w14:paraId="52C4D5A1">
      <w:r>
        <w:t>The demographic of the core segment is adult age between 22-45 years and especially those working full time and dual income families (Jabs and Devine, 2025). This population faces urgent time shortages, which exert a high level of impact on the choice of meals and the increased use of convenience-oriented food products (Mintel, 2024). But demographic variables cannot explain food behaviour.</w:t>
      </w:r>
    </w:p>
    <w:p w14:paraId="24BE9244">
      <w:r>
        <w:t>Psychographic segmentation shows that the segment appreciates and believes in health, efficiency, and the ability to control food preparation and prefers home-cooked meals but wants to reduce effort. Scholarly studies prove that partial participation in cooking makes perceived healthiness and satisfaction better (de Boer et al., 2021).</w:t>
      </w:r>
    </w:p>
    <w:p w14:paraId="4BD89EE2">
      <w:r>
        <w:t>The segment has behavioural attributes of shopping in the supermarket, a high level of digital activity, and sensitivity to loyalty benefits-all trends that tend to fit well within the Nectar ecosystem of Sainsbury (McKevitt, 2025). Demand is geographically concentrated in urban and suburban regions, where the long working hours and commuting strengthen the need to find the solution to meals conveniently (Thomas, 2025). Such segmentation enables a better strategic precision and less overgeneralisation.</w:t>
      </w:r>
    </w:p>
    <w:p w14:paraId="71535CB9">
      <w:pPr>
        <w:pStyle w:val="3"/>
      </w:pPr>
      <w:bookmarkStart w:id="3" w:name="_Toc216655979"/>
      <w:r>
        <w:t>1.2 Targeting Strategy</w:t>
      </w:r>
      <w:bookmarkEnd w:id="3"/>
    </w:p>
    <w:p w14:paraId="17AFAD36">
      <w:r>
        <w:t>Following the segmentation analysis, SmartMeal Box will follow the focused-differentiated targeting strategy with the focus on the urban millennials between 22-40 and the flexibility to cover the nearby target of the small households and students. This is a suitable strategy in a competitive market where the focal accuracy increases the brand meaning and resource utilization (Kotler et al., 2022).</w:t>
      </w:r>
    </w:p>
    <w:p w14:paraId="74CADAE8">
      <w:r>
        <w:t>Urban millennials are strategically viable because they are digitally-fluent, ready to experiment with semi-cooked food, and price-sensitive on health (Mintel, 2025). Mitchell-Fox (2025) also adds that this generation is already actively involved in searching affordable methods of a healthy diet, which makes the value-accessible positioning of SmartMeal Box more appropriate.</w:t>
      </w:r>
    </w:p>
    <w:p w14:paraId="412AA13C">
      <w:r>
        <w:t>Most importantly, an all concentrated approach would run the risk of leaving out the value oriented families, whereas the undifferentiated approach would water down brand clarity. The targeted-differentiated strategy is then a compromise between strategic focus and scalability, using the capabilities of stores and data held by Sainsbury. Its success is, however, contingent on keeping the prices affordable, losses of valence would quickly affect the irrelevance in this group.</w:t>
      </w:r>
    </w:p>
    <w:p w14:paraId="14DADDBA">
      <w:pPr>
        <w:pStyle w:val="3"/>
      </w:pPr>
      <w:bookmarkStart w:id="4" w:name="_Toc216655980"/>
      <w:r>
        <w:t>1.3 Differentiation Strategy</w:t>
      </w:r>
      <w:bookmarkEnd w:id="4"/>
    </w:p>
    <w:p w14:paraId="4FBD19F7">
      <w:r>
        <w:t>SmartMeal Box will be differentiated by offering a hybrid value proposition of the health credibility of meal kits with the convenience of mainstream grocery stores (Retail economics, 2025). In comparison to HelloFresh and Gousto, which follow the subscription-based model, SmartMeal Box eliminates commitment and delivery inflexibility, which are defined as determining factors of adoption in the UK meal-kit market (Mintel, 2025). HelloFresh and Gousto focus on high-end convenience, being more expensive and less flexible. Conversely, by using offline presence of Sainsbury, SmartMeal Box reduces perceived risk and increases accessibility by allowing the trial and impulse buying at the store. Compared to Marks and Spencer, whose prepared meals focus on the least effort and the least pleasure, SmartMeal Box provides more cooking engagement, which is connected by the research to the perceived health value (de Boer et al., 2021). Such a differentiation is strategically justifiable since it is anchored in the structural benefits-store footprint, scale of supply-chain, and loyalty data- that other competitors can hardly imitate, which is the source of sustainable competitive advantage (Porter, 2008).</w:t>
      </w:r>
    </w:p>
    <w:p w14:paraId="0DDFE5B4">
      <w:pPr>
        <w:pStyle w:val="3"/>
      </w:pPr>
      <w:bookmarkStart w:id="5" w:name="_Toc216655981"/>
      <w:r>
        <w:t>1.4 Positioning Strategy</w:t>
      </w:r>
      <w:bookmarkEnd w:id="5"/>
    </w:p>
    <w:p w14:paraId="310F1CAB">
      <w:r>
        <w:t>SmartMeal Box will position itself as the most easily accessible healthy meal kit in the UK that does not sacrifice convenience to a low cost or nutritional value (Department of Health and Social Care, 2020). This positioning takes a unique spot on a perceptual map that is defined by accessibility to price (low-high) and effort needed (low-high). HelloFresh and Gousto are positioned in the higher-price, moderate-effort segment, and M&amp;S ready meals are positioned in low-effort, premium-price. SmartMeal Box lies within the moderate effort and high accessibility, which represents an underserved gap.</w:t>
      </w:r>
    </w:p>
    <w:p w14:paraId="5E692C29">
      <w:r>
        <w:t>This positioning is effective as it fits in the modern UK food behaviours where consumers desire control over their meals but do not want to spend much time preparing such meals (Thomas, 2025). More importantly, positioning is credible since it is supported with tangible factors, which comprise store presence, incorporation of loyalty, and clear pricing as opposed to abstract brand assertions. In the positioning theory presented by Ries and Trout, mental availability is facilitated by clarity and consistency, which is highly endorsed by this strategic positioning (Ries and Trout, 2001).</w:t>
      </w:r>
    </w:p>
    <w:p w14:paraId="4290E202"/>
    <w:p w14:paraId="657A05AB"/>
    <w:p w14:paraId="7054B99C"/>
    <w:p w14:paraId="76AB3F1E"/>
    <w:p w14:paraId="24293073"/>
    <w:p w14:paraId="4A871270">
      <w:r>
        <w:rPr>
          <w:lang w:val="en-GB" w:eastAsia="en-GB"/>
        </w:rPr>
        <mc:AlternateContent>
          <mc:Choice Requires="wps">
            <w:drawing>
              <wp:anchor distT="0" distB="0" distL="114300" distR="114300" simplePos="0" relativeHeight="251668480" behindDoc="0" locked="0" layoutInCell="1" allowOverlap="1">
                <wp:simplePos x="0" y="0"/>
                <wp:positionH relativeFrom="margin">
                  <wp:posOffset>2066925</wp:posOffset>
                </wp:positionH>
                <wp:positionV relativeFrom="paragraph">
                  <wp:posOffset>-67310</wp:posOffset>
                </wp:positionV>
                <wp:extent cx="1600200" cy="4953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600200" cy="495300"/>
                        </a:xfrm>
                        <a:prstGeom prst="rect">
                          <a:avLst/>
                        </a:prstGeom>
                        <a:solidFill>
                          <a:sysClr val="window" lastClr="FFFFFF"/>
                        </a:solidFill>
                        <a:ln w="6350">
                          <a:noFill/>
                        </a:ln>
                        <a:effectLst/>
                      </wps:spPr>
                      <wps:txbx>
                        <w:txbxContent>
                          <w:p w14:paraId="65A19015">
                            <w:pPr>
                              <w:jc w:val="center"/>
                              <w:rPr>
                                <w:b/>
                                <w:sz w:val="22"/>
                              </w:rPr>
                            </w:pPr>
                            <w:r>
                              <w:rPr>
                                <w:b/>
                                <w:sz w:val="22"/>
                              </w:rPr>
                              <w:t>LOW PREPARATION EFFORT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2.75pt;margin-top:-5.3pt;height:39pt;width:126pt;mso-position-horizontal-relative:margin;z-index:251668480;mso-width-relative:page;mso-height-relative:page;" fillcolor="#FFFFFF" filled="t" stroked="f" coordsize="21600,21600" o:gfxdata="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">
                <v:fill on="t" focussize="0,0"/>
                <v:stroke on="f" weight="0.5pt"/>
                <v:imagedata o:title=""/>
                <o:lock v:ext="edit" aspectratio="f"/>
                <v:textbox>
                  <w:txbxContent>
                    <w:p w14:paraId="65A19015">
                      <w:pPr>
                        <w:jc w:val="center"/>
                        <w:rPr>
                          <w:b/>
                          <w:sz w:val="22"/>
                        </w:rPr>
                      </w:pPr>
                      <w:r>
                        <w:rPr>
                          <w:b/>
                          <w:sz w:val="22"/>
                        </w:rPr>
                        <w:t>LOW PREPARATION EFFORT</w:t>
                      </w:r>
                    </w:p>
                  </w:txbxContent>
                </v:textbox>
              </v:shape>
            </w:pict>
          </mc:Fallback>
        </mc:AlternateContent>
      </w:r>
    </w:p>
    <w:p w14:paraId="04AB8F2B">
      <w:r>
        <w:rPr>
          <w:lang w:val="en-GB" w:eastAsia="en-GB"/>
        </w:rPr>
        <mc:AlternateContent>
          <mc:Choice Requires="wps">
            <w:drawing>
              <wp:anchor distT="0" distB="0" distL="114300" distR="114300" simplePos="0" relativeHeight="251665408" behindDoc="0" locked="0" layoutInCell="1" allowOverlap="1">
                <wp:simplePos x="0" y="0"/>
                <wp:positionH relativeFrom="margin">
                  <wp:posOffset>3400425</wp:posOffset>
                </wp:positionH>
                <wp:positionV relativeFrom="paragraph">
                  <wp:posOffset>191135</wp:posOffset>
                </wp:positionV>
                <wp:extent cx="1638300" cy="581025"/>
                <wp:effectExtent l="0" t="0" r="0" b="9525"/>
                <wp:wrapNone/>
                <wp:docPr id="11" name="Text Box 11"/>
                <wp:cNvGraphicFramePr/>
                <a:graphic xmlns:a="http://schemas.openxmlformats.org/drawingml/2006/main">
                  <a:graphicData uri="http://schemas.microsoft.com/office/word/2010/wordprocessingShape">
                    <wps:wsp>
                      <wps:cNvSpPr txBox="1"/>
                      <wps:spPr>
                        <a:xfrm>
                          <a:off x="0" y="0"/>
                          <a:ext cx="1638300" cy="581025"/>
                        </a:xfrm>
                        <a:prstGeom prst="rect">
                          <a:avLst/>
                        </a:prstGeom>
                        <a:solidFill>
                          <a:sysClr val="window" lastClr="FFFFFF"/>
                        </a:solidFill>
                        <a:ln w="6350">
                          <a:noFill/>
                        </a:ln>
                        <a:effectLst/>
                      </wps:spPr>
                      <wps:txbx>
                        <w:txbxContent>
                          <w:p w14:paraId="5F7F9856">
                            <w:pPr>
                              <w:spacing w:after="0"/>
                              <w:jc w:val="center"/>
                            </w:pPr>
                            <w:r>
                              <w:t>Premium Takeaway / Restaurant Kits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67.75pt;margin-top:15.05pt;height:45.75pt;width:129pt;mso-position-horizontal-relative:margin;z-index:251665408;mso-width-relative:page;mso-height-relative:page;" fillcolor="#FFFFFF" filled="t" stroked="f" coordsize="21600,21600" o:gfxdata="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">
                <v:fill on="t" focussize="0,0"/>
                <v:stroke on="f" weight="0.5pt"/>
                <v:imagedata o:title=""/>
                <o:lock v:ext="edit" aspectratio="f"/>
                <v:textbox>
                  <w:txbxContent>
                    <w:p w14:paraId="5F7F9856">
                      <w:pPr>
                        <w:spacing w:after="0"/>
                        <w:jc w:val="center"/>
                      </w:pPr>
                      <w:r>
                        <w:t>Premium Takeaway / Restaurant Kits</w:t>
                      </w:r>
                    </w:p>
                  </w:txbxContent>
                </v:textbox>
              </v:shape>
            </w:pict>
          </mc:Fallback>
        </mc:AlternateContent>
      </w:r>
      <w:r>
        <w:rPr>
          <w:lang w:val="en-GB" w:eastAsia="en-GB"/>
        </w:rPr>
        <mc:AlternateContent>
          <mc:Choice Requires="wps">
            <w:drawing>
              <wp:anchor distT="0" distB="0" distL="114300" distR="114300" simplePos="0" relativeHeight="251663360" behindDoc="0" locked="0" layoutInCell="1" allowOverlap="1">
                <wp:simplePos x="0" y="0"/>
                <wp:positionH relativeFrom="column">
                  <wp:posOffset>847725</wp:posOffset>
                </wp:positionH>
                <wp:positionV relativeFrom="paragraph">
                  <wp:posOffset>267335</wp:posOffset>
                </wp:positionV>
                <wp:extent cx="1562100" cy="285750"/>
                <wp:effectExtent l="0" t="0" r="0" b="0"/>
                <wp:wrapNone/>
                <wp:docPr id="8" name="Text Box 8"/>
                <wp:cNvGraphicFramePr/>
                <a:graphic xmlns:a="http://schemas.openxmlformats.org/drawingml/2006/main">
                  <a:graphicData uri="http://schemas.microsoft.com/office/word/2010/wordprocessingShape">
                    <wps:wsp>
                      <wps:cNvSpPr txBox="1"/>
                      <wps:spPr>
                        <a:xfrm>
                          <a:off x="0" y="0"/>
                          <a:ext cx="1562100" cy="285750"/>
                        </a:xfrm>
                        <a:prstGeom prst="rect">
                          <a:avLst/>
                        </a:prstGeom>
                        <a:solidFill>
                          <a:sysClr val="window" lastClr="FFFFFF"/>
                        </a:solidFill>
                        <a:ln w="6350">
                          <a:noFill/>
                        </a:ln>
                        <a:effectLst/>
                      </wps:spPr>
                      <wps:txbx>
                        <w:txbxContent>
                          <w:p w14:paraId="0D3D90CC">
                            <w:pPr>
                              <w:spacing w:after="0"/>
                              <w:jc w:val="center"/>
                            </w:pPr>
                            <w:r>
                              <w:t>M&amp;S Ready Meals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202" type="#_x0000_t202" style="position:absolute;left:0pt;margin-left:66.75pt;margin-top:21.05pt;height:22.5pt;width:123pt;z-index:251663360;v-text-anchor:middle;mso-width-relative:page;mso-height-relative:page;" fillcolor="#FFFFFF" filled="t" stroked="f" coordsize="21600,21600" o:gfxdata="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">
                <v:fill on="t" focussize="0,0"/>
                <v:stroke on="f" weight="0.5pt"/>
                <v:imagedata o:title=""/>
                <o:lock v:ext="edit" aspectratio="f"/>
                <v:textbox>
                  <w:txbxContent>
                    <w:p w14:paraId="0D3D90CC">
                      <w:pPr>
                        <w:spacing w:after="0"/>
                        <w:jc w:val="center"/>
                      </w:pPr>
                      <w:r>
                        <w:t>M&amp;S Ready Meals</w:t>
                      </w:r>
                    </w:p>
                  </w:txbxContent>
                </v:textbox>
              </v:shape>
            </w:pict>
          </mc:Fallback>
        </mc:AlternateContent>
      </w:r>
      <w:r>
        <w:rPr>
          <w:lang w:val="en-GB" w:eastAsia="en-GB"/>
        </w:rPr>
        <mc:AlternateContent>
          <mc:Choice Requires="wps">
            <w:drawing>
              <wp:anchor distT="0" distB="0" distL="114300" distR="114300" simplePos="0" relativeHeight="251659264" behindDoc="0" locked="0" layoutInCell="1" allowOverlap="1">
                <wp:simplePos x="0" y="0"/>
                <wp:positionH relativeFrom="column">
                  <wp:posOffset>2838450</wp:posOffset>
                </wp:positionH>
                <wp:positionV relativeFrom="paragraph">
                  <wp:posOffset>228600</wp:posOffset>
                </wp:positionV>
                <wp:extent cx="0" cy="3581400"/>
                <wp:effectExtent l="57150" t="19050" r="76200" b="95250"/>
                <wp:wrapNone/>
                <wp:docPr id="3" name="Straight Connector 3"/>
                <wp:cNvGraphicFramePr/>
                <a:graphic xmlns:a="http://schemas.openxmlformats.org/drawingml/2006/main">
                  <a:graphicData uri="http://schemas.microsoft.com/office/word/2010/wordprocessingShape">
                    <wps:wsp>
                      <wps:cNvCnPr/>
                      <wps:spPr>
                        <a:xfrm>
                          <a:off x="0" y="0"/>
                          <a:ext cx="0" cy="3581400"/>
                        </a:xfrm>
                        <a:prstGeom prst="line">
                          <a:avLst/>
                        </a:prstGeom>
                        <a:noFill/>
                        <a:ln w="25400" cap="flat" cmpd="sng" algn="ctr">
                          <a:solidFill>
                            <a:sysClr val="windowText" lastClr="000000"/>
                          </a:solidFill>
                          <a:prstDash val="solid"/>
                        </a:ln>
                        <a:effectLst>
                          <a:outerShdw blurRad="40000" dist="20000" dir="5400000" rotWithShape="0">
                            <a:srgbClr val="000000">
                              <a:alpha val="38000"/>
                            </a:srgbClr>
                          </a:outerShdw>
                        </a:effectLst>
                      </wps:spPr>
                      <wps:bodyPr/>
                    </wps:wsp>
                  </a:graphicData>
                </a:graphic>
              </wp:anchor>
            </w:drawing>
          </mc:Choice>
          <mc:Fallback>
            <w:pict>
              <v:line id="_x0000_s1026" o:spid="_x0000_s1026" o:spt="20" style="position:absolute;left:0pt;margin-left:223.5pt;margin-top:18pt;height:282pt;width:0pt;z-index:251659264;mso-width-relative:page;mso-height-relative:page;" filled="f" stroked="t" coordsize="21600,21600" o:gfxdata="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">
                <v:fill on="f" focussize="0,0"/>
                <v:stroke weight="2pt" color="#000000" joinstyle="round"/>
                <v:imagedata o:title=""/>
                <o:lock v:ext="edit" aspectratio="f"/>
                <v:shadow on="t" color="#000000" opacity="24903f" offset="0pt,1.5748031496063pt" origin="0f,32768f" matrix="65536f,0f,0f,65536f"/>
              </v:line>
            </w:pict>
          </mc:Fallback>
        </mc:AlternateContent>
      </w:r>
    </w:p>
    <w:p w14:paraId="7833C6EE"/>
    <w:p w14:paraId="77D1B9DF"/>
    <w:p w14:paraId="7851ECFE">
      <w:r>
        <w:rPr>
          <w:lang w:val="en-GB" w:eastAsia="en-GB"/>
        </w:rPr>
        <mc:AlternateContent>
          <mc:Choice Requires="wps">
            <w:drawing>
              <wp:anchor distT="0" distB="0" distL="114300" distR="114300" simplePos="0" relativeHeight="251664384" behindDoc="0" locked="0" layoutInCell="1" allowOverlap="1">
                <wp:simplePos x="0" y="0"/>
                <wp:positionH relativeFrom="margin">
                  <wp:posOffset>4152900</wp:posOffset>
                </wp:positionH>
                <wp:positionV relativeFrom="paragraph">
                  <wp:posOffset>69215</wp:posOffset>
                </wp:positionV>
                <wp:extent cx="2114550" cy="333375"/>
                <wp:effectExtent l="0" t="0" r="0" b="9525"/>
                <wp:wrapNone/>
                <wp:docPr id="9" name="Text Box 9"/>
                <wp:cNvGraphicFramePr/>
                <a:graphic xmlns:a="http://schemas.openxmlformats.org/drawingml/2006/main">
                  <a:graphicData uri="http://schemas.microsoft.com/office/word/2010/wordprocessingShape">
                    <wps:wsp>
                      <wps:cNvSpPr txBox="1"/>
                      <wps:spPr>
                        <a:xfrm>
                          <a:off x="0" y="0"/>
                          <a:ext cx="2114550" cy="333375"/>
                        </a:xfrm>
                        <a:prstGeom prst="rect">
                          <a:avLst/>
                        </a:prstGeom>
                        <a:solidFill>
                          <a:sysClr val="window" lastClr="FFFFFF"/>
                        </a:solidFill>
                        <a:ln w="6350">
                          <a:noFill/>
                        </a:ln>
                        <a:effectLst/>
                      </wps:spPr>
                      <wps:txbx>
                        <w:txbxContent>
                          <w:p w14:paraId="0E83821C">
                            <w:pPr>
                              <w:spacing w:after="0"/>
                              <w:jc w:val="left"/>
                            </w:pPr>
                            <w:r>
                              <w:t>Sainsbury’s SmartMeal Box</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27pt;margin-top:5.45pt;height:26.25pt;width:166.5pt;mso-position-horizontal-relative:margin;z-index:251664384;mso-width-relative:page;mso-height-relative:page;" fillcolor="#FFFFFF" filled="t" stroked="f" coordsize="21600,21600" o:gfxdata="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">
                <v:fill on="t" focussize="0,0"/>
                <v:stroke on="f" weight="0.5pt"/>
                <v:imagedata o:title=""/>
                <o:lock v:ext="edit" aspectratio="f"/>
                <v:textbox>
                  <w:txbxContent>
                    <w:p w14:paraId="0E83821C">
                      <w:pPr>
                        <w:spacing w:after="0"/>
                        <w:jc w:val="left"/>
                      </w:pPr>
                      <w:r>
                        <w:t>Sainsbury’s SmartMeal Box</w:t>
                      </w:r>
                    </w:p>
                  </w:txbxContent>
                </v:textbox>
              </v:shape>
            </w:pict>
          </mc:Fallback>
        </mc:AlternateContent>
      </w:r>
    </w:p>
    <w:p w14:paraId="15028723">
      <w:r>
        <w:rPr>
          <w:lang w:val="en-GB" w:eastAsia="en-GB"/>
        </w:rPr>
        <mc:AlternateContent>
          <mc:Choice Requires="wps">
            <w:drawing>
              <wp:anchor distT="0" distB="0" distL="114300" distR="114300" simplePos="0" relativeHeight="251661312" behindDoc="0" locked="0" layoutInCell="1" allowOverlap="1">
                <wp:simplePos x="0" y="0"/>
                <wp:positionH relativeFrom="column">
                  <wp:posOffset>5400675</wp:posOffset>
                </wp:positionH>
                <wp:positionV relativeFrom="paragraph">
                  <wp:posOffset>203200</wp:posOffset>
                </wp:positionV>
                <wp:extent cx="1409700" cy="542925"/>
                <wp:effectExtent l="0" t="0" r="0" b="9525"/>
                <wp:wrapNone/>
                <wp:docPr id="6" name="Text Box 6"/>
                <wp:cNvGraphicFramePr/>
                <a:graphic xmlns:a="http://schemas.openxmlformats.org/drawingml/2006/main">
                  <a:graphicData uri="http://schemas.microsoft.com/office/word/2010/wordprocessingShape">
                    <wps:wsp>
                      <wps:cNvSpPr txBox="1"/>
                      <wps:spPr>
                        <a:xfrm>
                          <a:off x="0" y="0"/>
                          <a:ext cx="1409700" cy="542925"/>
                        </a:xfrm>
                        <a:prstGeom prst="rect">
                          <a:avLst/>
                        </a:prstGeom>
                        <a:solidFill>
                          <a:sysClr val="window" lastClr="FFFFFF"/>
                        </a:solidFill>
                        <a:ln w="6350">
                          <a:noFill/>
                        </a:ln>
                        <a:effectLst/>
                      </wps:spPr>
                      <wps:txbx>
                        <w:txbxContent>
                          <w:p w14:paraId="668A1C03">
                            <w:pPr>
                              <w:jc w:val="center"/>
                              <w:rPr>
                                <w:b/>
                                <w:sz w:val="20"/>
                              </w:rPr>
                            </w:pPr>
                            <w:r>
                              <w:rPr>
                                <w:b/>
                                <w:sz w:val="22"/>
                              </w:rPr>
                              <w:t>High accessibility /affordable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25.25pt;margin-top:16pt;height:42.75pt;width:111pt;z-index:251661312;mso-width-relative:page;mso-height-relative:page;" fillcolor="#FFFFFF" filled="t" stroked="f" coordsize="21600,21600" o:gfxdata="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">
                <v:fill on="t" focussize="0,0"/>
                <v:stroke on="f" weight="0.5pt"/>
                <v:imagedata o:title=""/>
                <o:lock v:ext="edit" aspectratio="f"/>
                <v:textbox>
                  <w:txbxContent>
                    <w:p w14:paraId="668A1C03">
                      <w:pPr>
                        <w:jc w:val="center"/>
                        <w:rPr>
                          <w:b/>
                          <w:sz w:val="20"/>
                        </w:rPr>
                      </w:pPr>
                      <w:r>
                        <w:rPr>
                          <w:b/>
                          <w:sz w:val="22"/>
                        </w:rPr>
                        <w:t>High accessibility /affordable</w:t>
                      </w:r>
                    </w:p>
                  </w:txbxContent>
                </v:textbox>
              </v:shape>
            </w:pict>
          </mc:Fallback>
        </mc:AlternateContent>
      </w:r>
      <w:r>
        <w:rPr>
          <w:lang w:val="en-GB" w:eastAsia="en-GB"/>
        </w:rPr>
        <mc:AlternateContent>
          <mc:Choice Requires="wps">
            <w:drawing>
              <wp:anchor distT="0" distB="0" distL="114300" distR="114300" simplePos="0" relativeHeight="251667456" behindDoc="1" locked="0" layoutInCell="1" allowOverlap="1">
                <wp:simplePos x="0" y="0"/>
                <wp:positionH relativeFrom="column">
                  <wp:posOffset>-781050</wp:posOffset>
                </wp:positionH>
                <wp:positionV relativeFrom="paragraph">
                  <wp:posOffset>155575</wp:posOffset>
                </wp:positionV>
                <wp:extent cx="1419225" cy="581025"/>
                <wp:effectExtent l="0" t="0" r="9525" b="9525"/>
                <wp:wrapTight wrapText="bothSides">
                  <wp:wrapPolygon>
                    <wp:start x="0" y="0"/>
                    <wp:lineTo x="0" y="21246"/>
                    <wp:lineTo x="21455" y="21246"/>
                    <wp:lineTo x="21455"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1419225" cy="581025"/>
                        </a:xfrm>
                        <a:prstGeom prst="rect">
                          <a:avLst/>
                        </a:prstGeom>
                        <a:solidFill>
                          <a:sysClr val="window" lastClr="FFFFFF"/>
                        </a:solidFill>
                        <a:ln w="6350">
                          <a:noFill/>
                        </a:ln>
                        <a:effectLst/>
                      </wps:spPr>
                      <wps:txbx>
                        <w:txbxContent>
                          <w:p w14:paraId="209F9499">
                            <w:pPr>
                              <w:jc w:val="center"/>
                              <w:rPr>
                                <w:b/>
                                <w:sz w:val="22"/>
                              </w:rPr>
                            </w:pPr>
                            <w:r>
                              <w:rPr>
                                <w:b/>
                                <w:sz w:val="22"/>
                              </w:rPr>
                              <w:t>Low accessibility/ expensive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1.5pt;margin-top:12.25pt;height:45.75pt;width:111.75pt;mso-wrap-distance-left:9pt;mso-wrap-distance-right:9pt;z-index:-251649024;mso-width-relative:page;mso-height-relative:page;" fillcolor="#FFFFFF" filled="t" stroked="f" coordsize="21600,21600" wrapcoords="0 0 0 21246 21455 21246 21455 0 0 0" o:gfxdata="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">
                <v:fill on="t" focussize="0,0"/>
                <v:stroke on="f" weight="0.5pt"/>
                <v:imagedata o:title=""/>
                <o:lock v:ext="edit" aspectratio="f"/>
                <v:textbox>
                  <w:txbxContent>
                    <w:p w14:paraId="209F9499">
                      <w:pPr>
                        <w:jc w:val="center"/>
                        <w:rPr>
                          <w:b/>
                          <w:sz w:val="22"/>
                        </w:rPr>
                      </w:pPr>
                      <w:r>
                        <w:rPr>
                          <w:b/>
                          <w:sz w:val="22"/>
                        </w:rPr>
                        <w:t>Low accessibility/ expensive</w:t>
                      </w:r>
                    </w:p>
                  </w:txbxContent>
                </v:textbox>
                <w10:wrap type="tight"/>
              </v:shape>
            </w:pict>
          </mc:Fallback>
        </mc:AlternateContent>
      </w:r>
    </w:p>
    <w:p w14:paraId="29F94BF6">
      <w:r>
        <w:rPr>
          <w:lang w:val="en-GB" w:eastAsia="en-GB"/>
        </w:rPr>
        <mc:AlternateContent>
          <mc:Choice Requires="wps">
            <w:drawing>
              <wp:anchor distT="0" distB="0" distL="114300" distR="114300" simplePos="0" relativeHeight="251662336" behindDoc="0" locked="0" layoutInCell="1" allowOverlap="1">
                <wp:simplePos x="0" y="0"/>
                <wp:positionH relativeFrom="column">
                  <wp:posOffset>590550</wp:posOffset>
                </wp:positionH>
                <wp:positionV relativeFrom="paragraph">
                  <wp:posOffset>60960</wp:posOffset>
                </wp:positionV>
                <wp:extent cx="4762500" cy="19050"/>
                <wp:effectExtent l="38100" t="38100" r="76200" b="95250"/>
                <wp:wrapNone/>
                <wp:docPr id="2" name="Straight Connector 2"/>
                <wp:cNvGraphicFramePr/>
                <a:graphic xmlns:a="http://schemas.openxmlformats.org/drawingml/2006/main">
                  <a:graphicData uri="http://schemas.microsoft.com/office/word/2010/wordprocessingShape">
                    <wps:wsp>
                      <wps:cNvCnPr/>
                      <wps:spPr>
                        <a:xfrm flipV="1">
                          <a:off x="0" y="0"/>
                          <a:ext cx="4762500" cy="19050"/>
                        </a:xfrm>
                        <a:prstGeom prst="line">
                          <a:avLst/>
                        </a:prstGeom>
                        <a:noFill/>
                        <a:ln w="25400" cap="flat" cmpd="sng" algn="ctr">
                          <a:solidFill>
                            <a:sysClr val="windowText" lastClr="000000"/>
                          </a:solidFill>
                          <a:prstDash val="solid"/>
                        </a:ln>
                        <a:effectLst>
                          <a:outerShdw blurRad="40000" dist="20000" dir="5400000" rotWithShape="0">
                            <a:srgbClr val="000000">
                              <a:alpha val="38000"/>
                            </a:srgbClr>
                          </a:outerShdw>
                        </a:effectLst>
                      </wps:spPr>
                      <wps:bodyPr/>
                    </wps:wsp>
                  </a:graphicData>
                </a:graphic>
              </wp:anchor>
            </w:drawing>
          </mc:Choice>
          <mc:Fallback>
            <w:pict>
              <v:line id="_x0000_s1026" o:spid="_x0000_s1026" o:spt="20" style="position:absolute;left:0pt;flip:y;margin-left:46.5pt;margin-top:4.8pt;height:1.5pt;width:375pt;z-index:251662336;mso-width-relative:page;mso-height-relative:page;" filled="f" stroked="t" coordsize="21600,21600" o:gfxdata="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AAAAAGRycy9QSwECFAAUAAAA&#10;CACHTuJA31FYJ9cAAAAHAQAADwAAAAAAAAABACAAAAAiAAAAZHJzL2Rvd25yZXYueG1sUEsBAhQA&#10;FAAAAAgAh07iQLKUXGksAgAAbAQAAA4AAAAAAAAAAQAgAAAAJgEAAGRycy9lMm9Eb2MueG1sUEsF&#10;BgAAAAAGAAYAWQEAAMQFAAAAAA==&#10;">
                <v:fill on="f" focussize="0,0"/>
                <v:stroke weight="2pt" color="#000000" joinstyle="round"/>
                <v:imagedata o:title=""/>
                <o:lock v:ext="edit" aspectratio="f"/>
                <v:shadow on="t" color="#000000" opacity="24903f" offset="0pt,1.5748031496063pt" origin="0f,32768f" matrix="65536f,0f,0f,65536f"/>
              </v:line>
            </w:pict>
          </mc:Fallback>
        </mc:AlternateContent>
      </w:r>
    </w:p>
    <w:p w14:paraId="37A7CE16"/>
    <w:p w14:paraId="643B811C">
      <w:r>
        <w:rPr>
          <w:lang w:val="en-GB" w:eastAsia="en-GB"/>
        </w:rPr>
        <mc:AlternateContent>
          <mc:Choice Requires="wps">
            <w:drawing>
              <wp:anchor distT="0" distB="0" distL="114300" distR="114300" simplePos="0" relativeHeight="251666432" behindDoc="0" locked="0" layoutInCell="1" allowOverlap="1">
                <wp:simplePos x="0" y="0"/>
                <wp:positionH relativeFrom="column">
                  <wp:posOffset>676275</wp:posOffset>
                </wp:positionH>
                <wp:positionV relativeFrom="paragraph">
                  <wp:posOffset>5080</wp:posOffset>
                </wp:positionV>
                <wp:extent cx="1143000" cy="581025"/>
                <wp:effectExtent l="0" t="0" r="0" b="9525"/>
                <wp:wrapSquare wrapText="bothSides"/>
                <wp:docPr id="12" name="Text Box 12"/>
                <wp:cNvGraphicFramePr/>
                <a:graphic xmlns:a="http://schemas.openxmlformats.org/drawingml/2006/main">
                  <a:graphicData uri="http://schemas.microsoft.com/office/word/2010/wordprocessingShape">
                    <wps:wsp>
                      <wps:cNvSpPr txBox="1"/>
                      <wps:spPr>
                        <a:xfrm>
                          <a:off x="0" y="0"/>
                          <a:ext cx="1143000" cy="581025"/>
                        </a:xfrm>
                        <a:prstGeom prst="rect">
                          <a:avLst/>
                        </a:prstGeom>
                        <a:solidFill>
                          <a:sysClr val="window" lastClr="FFFFFF"/>
                        </a:solidFill>
                        <a:ln w="6350">
                          <a:noFill/>
                        </a:ln>
                        <a:effectLst/>
                      </wps:spPr>
                      <wps:txbx>
                        <w:txbxContent>
                          <w:p w14:paraId="5A997766">
                            <w:pPr>
                              <w:spacing w:after="0"/>
                              <w:jc w:val="center"/>
                            </w:pPr>
                            <w:r>
                              <w:t>HelloFresh / Gousto</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3.25pt;margin-top:0.4pt;height:45.75pt;width:90pt;mso-wrap-distance-bottom:0pt;mso-wrap-distance-left:9pt;mso-wrap-distance-right:9pt;mso-wrap-distance-top:0pt;z-index:251666432;mso-width-relative:page;mso-height-relative:page;" fillcolor="#FFFFFF" filled="t" stroked="f" coordsize="21600,21600" o:gfxdata="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">
                <v:fill on="t" focussize="0,0"/>
                <v:stroke on="f" weight="0.5pt"/>
                <v:imagedata o:title=""/>
                <o:lock v:ext="edit" aspectratio="f"/>
                <v:textbox>
                  <w:txbxContent>
                    <w:p w14:paraId="5A997766">
                      <w:pPr>
                        <w:spacing w:after="0"/>
                        <w:jc w:val="center"/>
                      </w:pPr>
                      <w:r>
                        <w:t>HelloFresh / Gousto</w:t>
                      </w:r>
                    </w:p>
                  </w:txbxContent>
                </v:textbox>
                <w10:wrap type="square"/>
              </v:shape>
            </w:pict>
          </mc:Fallback>
        </mc:AlternateContent>
      </w:r>
    </w:p>
    <w:p w14:paraId="4B7A740A"/>
    <w:p w14:paraId="7B1B36A8"/>
    <w:p w14:paraId="76B76A97">
      <w:r>
        <w:rPr>
          <w:lang w:val="en-GB" w:eastAsia="en-GB"/>
        </w:rPr>
        <mc:AlternateContent>
          <mc:Choice Requires="wps">
            <w:drawing>
              <wp:anchor distT="0" distB="0" distL="114300" distR="114300" simplePos="0" relativeHeight="251660288" behindDoc="0" locked="0" layoutInCell="1" allowOverlap="1">
                <wp:simplePos x="0" y="0"/>
                <wp:positionH relativeFrom="margin">
                  <wp:posOffset>2066925</wp:posOffset>
                </wp:positionH>
                <wp:positionV relativeFrom="paragraph">
                  <wp:posOffset>6985</wp:posOffset>
                </wp:positionV>
                <wp:extent cx="1600200" cy="590550"/>
                <wp:effectExtent l="0" t="0" r="0" b="0"/>
                <wp:wrapNone/>
                <wp:docPr id="5" name="Text Box 5"/>
                <wp:cNvGraphicFramePr/>
                <a:graphic xmlns:a="http://schemas.openxmlformats.org/drawingml/2006/main">
                  <a:graphicData uri="http://schemas.microsoft.com/office/word/2010/wordprocessingShape">
                    <wps:wsp>
                      <wps:cNvSpPr txBox="1"/>
                      <wps:spPr>
                        <a:xfrm>
                          <a:off x="0" y="0"/>
                          <a:ext cx="1600200" cy="590550"/>
                        </a:xfrm>
                        <a:prstGeom prst="rect">
                          <a:avLst/>
                        </a:prstGeom>
                        <a:solidFill>
                          <a:sysClr val="window" lastClr="FFFFFF"/>
                        </a:solidFill>
                        <a:ln w="6350">
                          <a:noFill/>
                        </a:ln>
                        <a:effectLst/>
                      </wps:spPr>
                      <wps:txbx>
                        <w:txbxContent>
                          <w:p w14:paraId="355290B3">
                            <w:pPr>
                              <w:jc w:val="center"/>
                              <w:rPr>
                                <w:b/>
                              </w:rPr>
                            </w:pPr>
                            <w:r>
                              <w:rPr>
                                <w:b/>
                              </w:rPr>
                              <w:t>High Preparation Effort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2.75pt;margin-top:0.55pt;height:46.5pt;width:126pt;mso-position-horizontal-relative:margin;z-index:251660288;mso-width-relative:page;mso-height-relative:page;" fillcolor="#FFFFFF" filled="t" stroked="f" coordsize="21600,21600" o:gfxdata="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">
                <v:fill on="t" focussize="0,0"/>
                <v:stroke on="f" weight="0.5pt"/>
                <v:imagedata o:title=""/>
                <o:lock v:ext="edit" aspectratio="f"/>
                <v:textbox>
                  <w:txbxContent>
                    <w:p w14:paraId="355290B3">
                      <w:pPr>
                        <w:jc w:val="center"/>
                        <w:rPr>
                          <w:b/>
                        </w:rPr>
                      </w:pPr>
                      <w:r>
                        <w:rPr>
                          <w:b/>
                        </w:rPr>
                        <w:t>High Preparation Effort</w:t>
                      </w:r>
                    </w:p>
                  </w:txbxContent>
                </v:textbox>
              </v:shape>
            </w:pict>
          </mc:Fallback>
        </mc:AlternateContent>
      </w:r>
    </w:p>
    <w:p w14:paraId="72C3308B"/>
    <w:p w14:paraId="03DA4E4B">
      <w:pPr>
        <w:spacing w:after="0"/>
        <w:jc w:val="center"/>
      </w:pPr>
      <w:r>
        <w:rPr>
          <w:i/>
          <w:iCs/>
        </w:rPr>
        <w:t xml:space="preserve">Figure </w:t>
      </w:r>
      <w:r>
        <w:rPr>
          <w:i/>
          <w:iCs/>
        </w:rPr>
        <w:fldChar w:fldCharType="begin"/>
      </w:r>
      <w:r>
        <w:rPr>
          <w:i/>
          <w:iCs/>
        </w:rPr>
        <w:instrText xml:space="preserve"> SEQ Table \* ARABIC </w:instrText>
      </w:r>
      <w:r>
        <w:rPr>
          <w:i/>
          <w:iCs/>
        </w:rPr>
        <w:fldChar w:fldCharType="separate"/>
      </w:r>
      <w:r>
        <w:rPr>
          <w:i/>
          <w:iCs/>
        </w:rPr>
        <w:t>1</w:t>
      </w:r>
      <w:r>
        <w:fldChar w:fldCharType="end"/>
      </w:r>
      <w:r>
        <w:rPr>
          <w:i/>
          <w:iCs/>
        </w:rPr>
        <w:t xml:space="preserve">: Perpetual Position Map of </w:t>
      </w:r>
      <w:r>
        <w:t>Sainsbury’s SmartMeal Box</w:t>
      </w:r>
    </w:p>
    <w:p w14:paraId="36E2E96F">
      <w:pPr>
        <w:jc w:val="center"/>
      </w:pPr>
      <w:r>
        <w:t>(Source: Self-developed)</w:t>
      </w:r>
    </w:p>
    <w:p w14:paraId="3EADCB36">
      <w:pPr>
        <w:spacing w:line="276" w:lineRule="auto"/>
        <w:jc w:val="left"/>
        <w:rPr>
          <w:rFonts w:eastAsiaTheme="majorEastAsia" w:cstheme="majorBidi"/>
          <w:b/>
          <w:bCs/>
          <w:color w:val="000000" w:themeColor="text1"/>
          <w:sz w:val="32"/>
          <w:szCs w:val="28"/>
          <w14:textFill>
            <w14:solidFill>
              <w14:schemeClr w14:val="tx1"/>
            </w14:solidFill>
          </w14:textFill>
        </w:rPr>
      </w:pPr>
      <w:r>
        <w:br w:type="page"/>
      </w:r>
    </w:p>
    <w:p w14:paraId="7045BA3B">
      <w:pPr>
        <w:pStyle w:val="2"/>
      </w:pPr>
      <w:bookmarkStart w:id="6" w:name="_Toc216655982"/>
      <w:r>
        <w:t>Element 2: Critical Analysis of the Marketing Mix</w:t>
      </w:r>
      <w:bookmarkEnd w:id="6"/>
    </w:p>
    <w:p w14:paraId="3D28B8F9">
      <w:r>
        <w:t>The Sainsbury SmartMeal Box marketing mix is a well-planned strategy to support its STDP strategy by providing a consistent value proposition based on accessibility and health and convenience. Instead of considering the 4Ps as operation instruments only, this section critically considers the interaction between Product, Price, Place and Promotion in order to support competitive advantage in the UK meal-solutions market.</w:t>
      </w:r>
    </w:p>
    <w:p w14:paraId="57743556">
      <w:pPr>
        <w:jc w:val="center"/>
      </w:pPr>
      <w:r>
        <w:rPr>
          <w:lang w:val="en-GB" w:eastAsia="en-GB"/>
        </w:rPr>
        <w:drawing>
          <wp:inline distT="0" distB="0" distL="0" distR="0">
            <wp:extent cx="5924550" cy="5728335"/>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8">
                      <a:extLst>
                        <a:ext uri="{28A0092B-C50C-407E-A947-70E740481C1C}">
                          <a14:useLocalDpi xmlns:a14="http://schemas.microsoft.com/office/drawing/2010/main" val="0"/>
                        </a:ext>
                      </a:extLst>
                    </a:blip>
                    <a:srcRect l="1064" r="4255" b="1433"/>
                    <a:stretch>
                      <a:fillRect/>
                    </a:stretch>
                  </pic:blipFill>
                  <pic:spPr>
                    <a:xfrm>
                      <a:off x="0" y="0"/>
                      <a:ext cx="5932026" cy="5735563"/>
                    </a:xfrm>
                    <a:prstGeom prst="rect">
                      <a:avLst/>
                    </a:prstGeom>
                    <a:ln>
                      <a:noFill/>
                    </a:ln>
                  </pic:spPr>
                </pic:pic>
              </a:graphicData>
            </a:graphic>
          </wp:inline>
        </w:drawing>
      </w:r>
    </w:p>
    <w:p w14:paraId="719E45CD">
      <w:pPr>
        <w:keepNext/>
        <w:jc w:val="center"/>
      </w:pPr>
      <w:r>
        <w:rPr>
          <w:lang w:val="en-GB" w:eastAsia="en-GB"/>
        </w:rPr>
        <w:drawing>
          <wp:inline distT="0" distB="0" distL="0" distR="0">
            <wp:extent cx="5457825" cy="31813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pic:cNvPicPr>
                  </pic:nvPicPr>
                  <pic:blipFill>
                    <a:blip r:embed="rId9">
                      <a:extLst>
                        <a:ext uri="{28A0092B-C50C-407E-A947-70E740481C1C}">
                          <a14:useLocalDpi xmlns:a14="http://schemas.microsoft.com/office/drawing/2010/main" val="0"/>
                        </a:ext>
                      </a:extLst>
                    </a:blip>
                    <a:srcRect r="1351"/>
                    <a:stretch>
                      <a:fillRect/>
                    </a:stretch>
                  </pic:blipFill>
                  <pic:spPr>
                    <a:xfrm>
                      <a:off x="0" y="0"/>
                      <a:ext cx="5458590" cy="3181796"/>
                    </a:xfrm>
                    <a:prstGeom prst="rect">
                      <a:avLst/>
                    </a:prstGeom>
                    <a:ln>
                      <a:noFill/>
                    </a:ln>
                  </pic:spPr>
                </pic:pic>
              </a:graphicData>
            </a:graphic>
          </wp:inline>
        </w:drawing>
      </w:r>
    </w:p>
    <w:p w14:paraId="388795C6">
      <w:pPr>
        <w:pStyle w:val="7"/>
        <w:jc w:val="center"/>
        <w:rPr>
          <w:sz w:val="24"/>
        </w:rPr>
      </w:pPr>
      <w:r>
        <w:rPr>
          <w:sz w:val="24"/>
        </w:rPr>
        <w:t xml:space="preserve">Figure </w:t>
      </w:r>
      <w:r>
        <w:rPr>
          <w:sz w:val="24"/>
        </w:rPr>
        <w:fldChar w:fldCharType="begin"/>
      </w:r>
      <w:r>
        <w:rPr>
          <w:sz w:val="24"/>
        </w:rPr>
        <w:instrText xml:space="preserve"> SEQ Figure \* ARABIC </w:instrText>
      </w:r>
      <w:r>
        <w:rPr>
          <w:sz w:val="24"/>
        </w:rPr>
        <w:fldChar w:fldCharType="separate"/>
      </w:r>
      <w:r>
        <w:rPr>
          <w:sz w:val="24"/>
        </w:rPr>
        <w:t>1</w:t>
      </w:r>
      <w:r>
        <w:rPr>
          <w:sz w:val="24"/>
        </w:rPr>
        <w:fldChar w:fldCharType="end"/>
      </w:r>
      <w:r>
        <w:rPr>
          <w:sz w:val="24"/>
        </w:rPr>
        <w:t>: STDP Summary</w:t>
      </w:r>
    </w:p>
    <w:p w14:paraId="6FD0C3DC">
      <w:pPr>
        <w:jc w:val="center"/>
      </w:pPr>
      <w:r>
        <w:t>(Source: Self Developed)</w:t>
      </w:r>
    </w:p>
    <w:p w14:paraId="4928C901">
      <w:pPr>
        <w:pStyle w:val="3"/>
      </w:pPr>
      <w:bookmarkStart w:id="7" w:name="_Toc216655983"/>
      <w:r>
        <w:t>2.1 Product Strategy</w:t>
      </w:r>
      <w:bookmarkEnd w:id="7"/>
    </w:p>
    <w:p w14:paraId="38451780">
      <w:bookmarkStart w:id="8" w:name="_Toc216655984"/>
      <w:r>
        <w:t>SmartMeal Box is a healthy convenience product, which is composed of pre-portioned fresh food with simplified preparation as opposed to prepared meals. This hybrid format will solve the issue of the evidence suggesting that the partial cooking involvement is linked to better health assumptions and food quality by the UK consumers that still require less effort (Mintel, 2024; de Boer et al., 2021).</w:t>
      </w:r>
    </w:p>
    <w:p w14:paraId="18E9B5A6">
      <w:r>
        <w:t>The product provides balanced recipes, portion control, and clear labeling, which is in line with the priorities of the public health and the demand of the consumers to be transparent (Department of Health and Social Care, 2020). This minimises the behavioural trade-off that commonly accompanies healthy eating which leads to higher rates of adoption (Kotler et al., 2022).</w:t>
      </w:r>
    </w:p>
    <w:p w14:paraId="4FA9C4FB">
      <w:r>
        <w:t>Online recipe instructions accessed through QR codes increase the product as a service-enhanced product and add value to the product without raising the cost of production substantially (Vargo and Lusch, 2016). This can be important to support the argument by Keller (2013) that brand value can be reinforced by the functional benefits through the experiences.</w:t>
      </w:r>
    </w:p>
    <w:p w14:paraId="1737B744">
      <w:pPr>
        <w:rPr>
          <w:b/>
          <w:bCs/>
          <w:i/>
        </w:rPr>
      </w:pPr>
      <w:r>
        <w:t>Nevertheless, the product strategy too has some operational difficulties especially in the control of the freshness and demand prediction in the various store formats. In general, SmartMeal Box does a good translation of the brand positioning into tangible value without compromising on the operation credibility of Sainsbury in its current infrastructure.</w:t>
      </w:r>
    </w:p>
    <w:p w14:paraId="766F855F">
      <w:pPr>
        <w:pStyle w:val="3"/>
      </w:pPr>
      <w:r>
        <w:t>2.2 Price Strategy</w:t>
      </w:r>
      <w:bookmarkEnd w:id="8"/>
    </w:p>
    <w:p w14:paraId="6F13829B">
      <w:r>
        <w:t>Pricing will be the core of positioning SmartMeal Box as the most available healthy meal kit in the UK. The brand follows a value-based pricing strategy, which follows the reference price of home-cooked meals among consumers and not expensive subscription services (Nagle and Muller, 2018).</w:t>
      </w:r>
    </w:p>
    <w:p w14:paraId="7A12C25D">
      <w:r>
        <w:t>SmartMeal Box will be offered at an average price of £4.00–£4.50 per serving. This weakens HelloFresh and Gousto, whose UK prices are between £5.50 and £7.00 per serving, excluding the price of delivery (Mintel, 2024). Marks and Spencer ready meals are equally costly priced between £4.50–£6.00 although they have poorer health and engagement advantages.</w:t>
      </w:r>
    </w:p>
    <w:p w14:paraId="67A0010D">
      <w:r>
        <w:t>Combination with loyalty rewards of Nectar further supports reductions in effective price perception, and increases behavioural loyalty as opposed to short-term promotions (McKevitt, 2025). Importantly, this pricing strategy puts a golden mean between being affordable and keeping the margin sustainable by using the economies of scale of Sainsbury and promoting spending on more items (Nagle and Muller, 2018).</w:t>
      </w:r>
    </w:p>
    <w:p w14:paraId="24A18793">
      <w:r>
        <w:t>However, it is a risky strategy in the long run, as the company may lose margins due to continuous cost inflation without operational optimisation, which is where constant cost control and pricing discipline are necessary.</w:t>
      </w:r>
    </w:p>
    <w:p w14:paraId="467518F4">
      <w:pPr>
        <w:pStyle w:val="3"/>
      </w:pPr>
      <w:bookmarkStart w:id="9" w:name="_Toc216655985"/>
      <w:r>
        <w:t>2.3 Place (Distribution) Strategy</w:t>
      </w:r>
      <w:bookmarkEnd w:id="9"/>
    </w:p>
    <w:p w14:paraId="5D0704CA">
      <w:r>
        <w:t>The strongest competitive advantage of SmartMeal Box is the place strategy. Delivery via Sainsbury Nationwide store network with the addition of online grocery delivery offers unprecedented accessibility when compared to the competitors operating strictly through subscriptions. UK consumers are willing to switch to hybrid shopping experiences that incorporate planned and unplanned buying in both physical and online stores (Mitchell-Fox, 2025).</w:t>
      </w:r>
    </w:p>
    <w:p w14:paraId="0C198836">
      <w:r>
        <w:t>Placing the product in-store close to fresh produce or chilled convenience areas will stimulate impulse trial and also strengthen health associations. This is in contrast to HelloFresh and Gousto, which have home-only models that restrict spontaneous adoption, and do not apply to consumers who are not willing to make a commitment to schedule delivery. Strategically, SmartMeal Box enjoys the so-called structural advantage that are referred to by Porter (2008) as a condition in which current resources reduce barriers to entry and increase defensibility.</w:t>
      </w:r>
    </w:p>
    <w:p w14:paraId="27FA1246">
      <w:r>
        <w:t>The digital presence via the Sainsbury grocery platform provides parity with digitally native players and takes advantage of trusted infrastructure. Omnichannel also provides the opportunity to optimise ranging, regional demand forecast and personalised recommendations through Nectar insights (Rowberry, 2025). Importantly, this place strategy resonates perfectly with the targeting of urban millennials who demand access with no friction across channels and not channel exclusivity.</w:t>
      </w:r>
    </w:p>
    <w:p w14:paraId="67F69207">
      <w:pPr>
        <w:pStyle w:val="3"/>
      </w:pPr>
      <w:bookmarkStart w:id="10" w:name="_Toc216655986"/>
      <w:r>
        <w:t>2.4 Promotion Strategy</w:t>
      </w:r>
      <w:bookmarkEnd w:id="10"/>
    </w:p>
    <w:p w14:paraId="6117C94E">
      <w:r>
        <w:t>The SmartMeal Box promotion focuses on behavioural activation and the establishment of trust over aspirational lifestyle image alone. Combined marketing through Nectar loyalty notifications, in-store advertising, online and social media will provide uniformity and allow micro-targeting. Keller (2013) underscores that good brands are created by consistent, consistent exposure in touch points, which this strategy entails.</w:t>
      </w:r>
    </w:p>
    <w:p w14:paraId="7FB0A020">
      <w:r>
        <w:t>Digital promotion aims at time-saving, health credibility, and cost transparency, focusing on the identified obstacles of adoption in the meal-kit category (Jabs and Devine, 2025). Perceived risk is reduced by in-store sampling and introductory offers, whereas the engagement and confidence in use are increased by recipe-led content marketing. Notably, promoting messages do not exaggerate health benefits, and this has preserved the message even in a regulatory climate that has grown more skeptical of wellness marketing.</w:t>
      </w:r>
    </w:p>
    <w:p w14:paraId="2FA7610B">
      <w:r>
        <w:t>Most importantly, the combination of promotion and Nectar data will make it possible to conduct closed-loop marketing and help Sainsbury to gauge effectiveness and adjust messaging throughout time. This capability in promotions based on data is hard to copy by individual competitors, and this ability supports the long-term brand equity and strategic defensibility of SmartMeal Box.</w:t>
      </w:r>
    </w:p>
    <w:p w14:paraId="6F22A873">
      <w:pPr>
        <w:pStyle w:val="3"/>
      </w:pPr>
      <w:bookmarkStart w:id="11" w:name="_Toc216655987"/>
      <w:r>
        <w:t>2.5 Integrated Marketing Mix Evaluation</w:t>
      </w:r>
      <w:bookmarkEnd w:id="11"/>
    </w:p>
    <w:p w14:paraId="5AD42995">
      <w:r>
        <w:t>The success of SmartMeal Box marketing mix is not determined by separate elements but by the strategy of its coherence. Product design helps in supporting health and convenience positioning, price helps in supporting accessibility, place helps in maximising trial and scale, and promotion helps in building trust and behavioural loyalty. Competitive advantage is achieved when elements are mutually reinforcing and not optimized independent of each other as it is recommended under the original concept of the marketing mix by McCarthy (</w:t>
      </w:r>
      <w:r>
        <w:rPr>
          <w:lang w:val="en-GB"/>
        </w:rPr>
        <w:t>McCarthy, 1964)</w:t>
      </w:r>
      <w:r>
        <w:t>.</w:t>
      </w:r>
    </w:p>
    <w:p w14:paraId="44223A91">
      <w:r>
        <w:t>In comparison to HelloFresh, Gousto, and M&amp;S, SmartMeal Box compromises a little premium signalling to ensure mass accessibility-a partiality to which the UK consumer trend is strategically rational. In general, marketing mix helps to convert the STDP strategy into the operational reality so that SmartMeal Box can be not only conceptually appealing, but commercially feasible in the context of the UK grocery ecosystem (Rowberry, 2025).</w:t>
      </w:r>
    </w:p>
    <w:p w14:paraId="759B52B2">
      <w:pPr>
        <w:spacing w:line="276" w:lineRule="auto"/>
        <w:jc w:val="left"/>
        <w:rPr>
          <w:rFonts w:eastAsiaTheme="majorEastAsia" w:cstheme="majorBidi"/>
          <w:b/>
          <w:bCs/>
          <w:color w:val="000000" w:themeColor="text1"/>
          <w:sz w:val="32"/>
          <w:szCs w:val="28"/>
          <w14:textFill>
            <w14:solidFill>
              <w14:schemeClr w14:val="tx1"/>
            </w14:solidFill>
          </w14:textFill>
        </w:rPr>
      </w:pPr>
      <w:r>
        <w:br w:type="page"/>
      </w:r>
    </w:p>
    <w:p w14:paraId="29ED4009">
      <w:pPr>
        <w:pStyle w:val="2"/>
      </w:pPr>
      <w:bookmarkStart w:id="12" w:name="_Toc216655988"/>
      <w:r>
        <w:t>Element 3: Marketing Strategy Pitch</w:t>
      </w:r>
      <w:bookmarkEnd w:id="12"/>
    </w:p>
    <w:p w14:paraId="49F4DC87">
      <w:pPr>
        <w:jc w:val="center"/>
      </w:pPr>
      <w:r>
        <w:rPr>
          <w:lang w:val="en-GB" w:eastAsia="en-GB"/>
        </w:rPr>
        <w:drawing>
          <wp:inline distT="0" distB="0" distL="0" distR="0">
            <wp:extent cx="5962015" cy="7315200"/>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977354" cy="7333655"/>
                    </a:xfrm>
                    <a:prstGeom prst="rect">
                      <a:avLst/>
                    </a:prstGeom>
                  </pic:spPr>
                </pic:pic>
              </a:graphicData>
            </a:graphic>
          </wp:inline>
        </w:drawing>
      </w:r>
    </w:p>
    <w:p w14:paraId="456174C1">
      <w:r>
        <w:t>Hello everyone, today I have the pleasure of launching Sainsbury SmartMeal Box, a new meal box in the UK aimed at busy individuals who want to eat healthy without the hassle.</w:t>
      </w:r>
    </w:p>
    <w:p w14:paraId="579D0051">
      <w:r>
        <w:t>We understand that over fifty percent of the adults in the UK claim to lack time to plan or prepare food. Due to this, a large number of individuals end up consuming unhealthy fast food (Jabs and Devine, 2025). SmartMeal Box can address this issue by providing fresh pre-portioned ingredients that cook in 15-20 minutes. Every meal is created in collaboration with the nutrition experts at Sainsbury, hence customers receive healthy and delicious meals.</w:t>
      </w:r>
    </w:p>
    <w:p w14:paraId="5602B911">
      <w:r>
        <w:t>The smartmealbox focuses on busy employees, students, young professionals, and families, in particular, millennial shoppers who prefer convenience but are also concerned with nutrition (</w:t>
      </w:r>
      <w:r>
        <w:rPr>
          <w:lang w:val="en-GB"/>
        </w:rPr>
        <w:t>Department of Health and Social Care, 2020)</w:t>
      </w:r>
      <w:r>
        <w:t>. SmartMeal Box contrasts HelloFresh and Gousto in the sense that it is fresher, cheaper and sold both in stores and online in Sainsbury. Customers are also able to earn Nectar points which makes the product even more desirable.</w:t>
      </w:r>
    </w:p>
    <w:p w14:paraId="3B65569A">
      <w:r>
        <w:t>SmartMeal Box markets itself as the most accessible healthy meal kit in the UK.</w:t>
      </w:r>
    </w:p>
    <w:p w14:paraId="67176559">
      <w:r>
        <w:t>Try SmartMeal Box- and make a healthy meal easy, quick and a part of your daily routine.</w:t>
      </w:r>
    </w:p>
    <w:p w14:paraId="2E854C4D">
      <w:pPr>
        <w:pStyle w:val="2"/>
      </w:pPr>
      <w:bookmarkStart w:id="13" w:name="_Toc216655989"/>
      <w:r>
        <w:t>Element 4: Reflection</w:t>
      </w:r>
      <w:bookmarkEnd w:id="13"/>
    </w:p>
    <w:p w14:paraId="73095C32">
      <w:r>
        <w:t>Forming the Sainsbury SmartMeal Box brand and the marketing strategy connected to it was a great chance to combine the theoretical ideas of marketing with the practical strategic decisions. Among the most valuable lessons learned in this process was the necessity of strategic coherence--the need to make sure that segmentation, targeting, differentiation, positioning and marketing mix support and enable each other (Biggs, 2003). The systematic application of the STDP framework demonstrated how the poor quality of segmentation assumptions can lead to compromised downstream decisions, which support the claim by Kotler et al. (2022) that strategy formulation should come before tactical implementation.</w:t>
      </w:r>
    </w:p>
    <w:p w14:paraId="42FE4857">
      <w:r>
        <w:t>Skills with respect to the project, it boosted my analytical skills as well particularly in integrating industry data and theory. Critical analysis of references like Mintel, Kantar and IGD could not be completed with any citation, instead a critical analysis of the same had to be performed, because knowledge gained had to be viewed in relation to the UK grocery market. This can be related to the concept of constructive alignment proposed by Biggs (2003) according to which learning outcomes are achieved by having substantial engagement with evidence rather than imitating material. I also gained more confidence in competitive analysis, particularly in measuring structural strengths like the physical retail network and loyalty infrastructure of Sainsbury.</w:t>
      </w:r>
    </w:p>
    <w:p w14:paraId="77F0A6C4">
      <w:r>
        <w:t>The process of preparing and delivering the marketing strategy pitch also improved my strategic communication skills. The need to translate the complicated analysis into a brief, coherent poster that is visually appealing prioritised and reflected real-world managerial constraints. This process helped to strengthen the importance of the audience-centred communication, which is stressed in modern day marketing practice (Keller, 2013). Critical self-reflection, however, will have shown that I had overemphasized the depth of analysis at the outset, at the cost of the storyline. Although the current versions of the pitch were academically strong, previous versions of the pitch did not have a clear strategic narrative, which may lower the involvement of stakeholders.</w:t>
      </w:r>
    </w:p>
    <w:p w14:paraId="5A5B3BC0">
      <w:r>
        <w:t>Considering the experiences of the experiential learning cycle proposed by Kolb (1984), one of the elements that need improvement is the process of refining and the need to incorporate feedback at the initial stages. In future projects, I would use formative feedback at an early stage to test the clarity, positioning logic and visual hierarchy before it can be finalised. I would also improve my performance by improving my quantitative scenario modelling, including indicative pricing or margin simulation, in order to improve the commercial plausibility of the strategic recommendations.</w:t>
      </w:r>
    </w:p>
    <w:p w14:paraId="76D8CB2C">
      <w:r>
        <w:t>Generally, the overall project helped me improve my thinking and communicating skills as a marketing strategist and not as a tactical facilitator. With the new expertise in the area of synthesis, storytelling, and prioritisation of the evidence, I will be able to improve the strategic impact and professional relevance of the marketing work of the future even more.</w:t>
      </w:r>
    </w:p>
    <w:p w14:paraId="3E5CC22F">
      <w:pPr>
        <w:spacing w:line="276" w:lineRule="auto"/>
        <w:jc w:val="left"/>
      </w:pPr>
      <w:r>
        <w:br w:type="page"/>
      </w:r>
    </w:p>
    <w:p w14:paraId="795CADF1">
      <w:pPr>
        <w:pStyle w:val="2"/>
      </w:pPr>
      <w:bookmarkStart w:id="14" w:name="_Toc216655990"/>
      <w:r>
        <w:t>Reference List</w:t>
      </w:r>
      <w:bookmarkEnd w:id="14"/>
    </w:p>
    <w:p w14:paraId="479DAA31">
      <w:r>
        <w:t>Biggs, J., (2003). Aligning teaching for constructing learning. </w:t>
      </w:r>
      <w:r>
        <w:rPr>
          <w:i/>
          <w:iCs/>
        </w:rPr>
        <w:t>Higher Education Academy</w:t>
      </w:r>
      <w:r>
        <w:t>, </w:t>
      </w:r>
      <w:r>
        <w:rPr>
          <w:i/>
          <w:iCs/>
        </w:rPr>
        <w:t>1</w:t>
      </w:r>
      <w:r>
        <w:t>(4), pp.1-4.</w:t>
      </w:r>
    </w:p>
    <w:p w14:paraId="74E60A8E">
      <w:pPr>
        <w:rPr>
          <w:lang w:val="en-GB"/>
        </w:rPr>
      </w:pPr>
      <w:r>
        <w:rPr>
          <w:lang w:val="en-GB"/>
        </w:rPr>
        <w:t>de Boer, J., Schösler, H. and Boersema, J.J. (2013). Motivational Differences in Food Orientation and the Choice of Snacks Made from lentils, locusts, Seaweed or ‘hybrid’ Meat. Food Quality and Preference, 28(1), pp.32–35. doi:https://doi.org/10.1016/j.foodqual.2012.07.008.</w:t>
      </w:r>
    </w:p>
    <w:p w14:paraId="4C10A0F4">
      <w:pPr>
        <w:rPr>
          <w:lang w:val="en-GB"/>
        </w:rPr>
      </w:pPr>
      <w:r>
        <w:rPr>
          <w:lang w:val="en-GB"/>
        </w:rPr>
        <w:t xml:space="preserve">Department of Health and Social Care (2020). </w:t>
      </w:r>
      <w:r>
        <w:rPr>
          <w:i/>
          <w:iCs/>
          <w:lang w:val="en-GB"/>
        </w:rPr>
        <w:t>Tackling obesity: Empowering Adults and Children to Live Healthier Lives Strategy</w:t>
      </w:r>
      <w:r>
        <w:rPr>
          <w:lang w:val="en-GB"/>
        </w:rPr>
        <w:t>. Policy Navigator.</w:t>
      </w:r>
    </w:p>
    <w:p w14:paraId="58F15BED">
      <w:pPr>
        <w:rPr>
          <w:lang w:val="en-GB"/>
        </w:rPr>
      </w:pPr>
      <w:r>
        <w:rPr>
          <w:lang w:val="en-GB"/>
        </w:rPr>
        <w:t xml:space="preserve">J Sainsbury PLC (2023). </w:t>
      </w:r>
      <w:r>
        <w:rPr>
          <w:i/>
          <w:iCs/>
          <w:lang w:val="en-GB"/>
        </w:rPr>
        <w:t>Annual Report and Financial Statements 2023 Helping Everyone Eat Better</w:t>
      </w:r>
      <w:r>
        <w:rPr>
          <w:lang w:val="en-GB"/>
        </w:rPr>
        <w:t>.</w:t>
      </w:r>
    </w:p>
    <w:p w14:paraId="4284E7D2">
      <w:pPr>
        <w:rPr>
          <w:lang w:val="en-GB"/>
        </w:rPr>
      </w:pPr>
      <w:r>
        <w:rPr>
          <w:lang w:val="en-GB"/>
        </w:rPr>
        <w:t xml:space="preserve">Jabs, J. and Devine, C.M. (2025). Time Scarcity and Food choices: an Overview. </w:t>
      </w:r>
      <w:r>
        <w:rPr>
          <w:i/>
          <w:iCs/>
          <w:lang w:val="en-GB"/>
        </w:rPr>
        <w:t>Appetite</w:t>
      </w:r>
      <w:r>
        <w:rPr>
          <w:lang w:val="en-GB"/>
        </w:rPr>
        <w:t>, [online] 47(2), pp.196–204. doi:https://doi.org/10.1016/j.appet.2006.02.014.</w:t>
      </w:r>
    </w:p>
    <w:p w14:paraId="06A958B3">
      <w:pPr>
        <w:rPr>
          <w:lang w:val="en-GB"/>
        </w:rPr>
      </w:pPr>
      <w:r>
        <w:rPr>
          <w:lang w:val="en-GB"/>
        </w:rPr>
        <w:t xml:space="preserve">Keller, K.L. (2013) </w:t>
      </w:r>
      <w:r>
        <w:rPr>
          <w:i/>
          <w:iCs/>
          <w:lang w:val="en-GB"/>
        </w:rPr>
        <w:t>Strategic Brand Management: Building, Measuring, and Managing Brand Equity</w:t>
      </w:r>
      <w:r>
        <w:rPr>
          <w:lang w:val="en-GB"/>
        </w:rPr>
        <w:t>. 4th edn. Harlow: Pearson Education.</w:t>
      </w:r>
    </w:p>
    <w:p w14:paraId="72EB9BAC">
      <w:pPr>
        <w:rPr>
          <w:lang w:val="en-GB"/>
        </w:rPr>
      </w:pPr>
      <w:r>
        <w:rPr>
          <w:lang w:val="en-GB"/>
        </w:rPr>
        <w:t xml:space="preserve">Kolb, D.A. (1984) </w:t>
      </w:r>
      <w:r>
        <w:rPr>
          <w:i/>
          <w:iCs/>
          <w:lang w:val="en-GB"/>
        </w:rPr>
        <w:t>Experiential Learning: Experience as the Source of Learning and Development</w:t>
      </w:r>
      <w:r>
        <w:rPr>
          <w:lang w:val="en-GB"/>
        </w:rPr>
        <w:t>. Englewood Cliffs, NJ: Prentice Hall.</w:t>
      </w:r>
    </w:p>
    <w:p w14:paraId="0DD5A998">
      <w:pPr>
        <w:rPr>
          <w:lang w:val="en-GB"/>
        </w:rPr>
      </w:pPr>
      <w:r>
        <w:rPr>
          <w:lang w:val="en-GB"/>
        </w:rPr>
        <w:t xml:space="preserve">Kotler, P., Keller, K.L., Chernev, A. and Armstrong, G. (2022) </w:t>
      </w:r>
      <w:r>
        <w:rPr>
          <w:i/>
          <w:iCs/>
          <w:lang w:val="en-GB"/>
        </w:rPr>
        <w:t>Marketing Management</w:t>
      </w:r>
      <w:r>
        <w:rPr>
          <w:lang w:val="en-GB"/>
        </w:rPr>
        <w:t>. 16th edn. Harlow: Pearson Education.</w:t>
      </w:r>
    </w:p>
    <w:p w14:paraId="459BD77E">
      <w:pPr>
        <w:rPr>
          <w:lang w:val="en-GB"/>
        </w:rPr>
      </w:pPr>
      <w:r>
        <w:rPr>
          <w:lang w:val="en-GB"/>
        </w:rPr>
        <w:t xml:space="preserve">McCarthy, E.J. (1964) </w:t>
      </w:r>
      <w:r>
        <w:rPr>
          <w:i/>
          <w:iCs/>
          <w:lang w:val="en-GB"/>
        </w:rPr>
        <w:t>Basic Marketing: A Managerial Approach</w:t>
      </w:r>
      <w:r>
        <w:rPr>
          <w:lang w:val="en-GB"/>
        </w:rPr>
        <w:t>. Homewood, IL: Richard D. Irwin.</w:t>
      </w:r>
    </w:p>
    <w:p w14:paraId="539BC269">
      <w:pPr>
        <w:rPr>
          <w:lang w:val="en-GB"/>
        </w:rPr>
      </w:pPr>
      <w:r>
        <w:rPr>
          <w:lang w:val="en-GB"/>
        </w:rPr>
        <w:t xml:space="preserve">McKevitt, F. (2025). </w:t>
      </w:r>
      <w:r>
        <w:rPr>
          <w:i/>
          <w:iCs/>
          <w:lang w:val="en-GB"/>
        </w:rPr>
        <w:t>Consumers Shopping Little and Often as Temperatures and Prices Rise</w:t>
      </w:r>
      <w:r>
        <w:rPr>
          <w:lang w:val="en-GB"/>
        </w:rPr>
        <w:t>. Kantar.com.</w:t>
      </w:r>
    </w:p>
    <w:p w14:paraId="6A202452">
      <w:pPr>
        <w:rPr>
          <w:lang w:val="en-GB"/>
        </w:rPr>
      </w:pPr>
      <w:r>
        <w:rPr>
          <w:lang w:val="en-GB"/>
        </w:rPr>
        <w:t xml:space="preserve">Mintel (2024). </w:t>
      </w:r>
      <w:r>
        <w:rPr>
          <w:i/>
          <w:iCs/>
          <w:lang w:val="en-GB"/>
        </w:rPr>
        <w:t>UK Sustainability in Foodservice Market Report 2023 | Mintel Store</w:t>
      </w:r>
      <w:r>
        <w:rPr>
          <w:lang w:val="en-GB"/>
        </w:rPr>
        <w:t>. Mintel Store.</w:t>
      </w:r>
    </w:p>
    <w:p w14:paraId="7FFE4959">
      <w:pPr>
        <w:rPr>
          <w:lang w:val="en-GB"/>
        </w:rPr>
      </w:pPr>
      <w:r>
        <w:rPr>
          <w:lang w:val="en-GB"/>
        </w:rPr>
        <w:t xml:space="preserve">Mintel (2025). </w:t>
      </w:r>
      <w:r>
        <w:rPr>
          <w:i/>
          <w:iCs/>
          <w:lang w:val="en-GB"/>
        </w:rPr>
        <w:t>UK Supermarkets Market Report 2024-2029 | Mintel</w:t>
      </w:r>
      <w:r>
        <w:rPr>
          <w:lang w:val="en-GB"/>
        </w:rPr>
        <w:t>. Mintel Store.</w:t>
      </w:r>
    </w:p>
    <w:p w14:paraId="72FF98AA">
      <w:pPr>
        <w:rPr>
          <w:lang w:val="en-GB"/>
        </w:rPr>
      </w:pPr>
      <w:r>
        <w:rPr>
          <w:lang w:val="en-GB"/>
        </w:rPr>
        <w:t xml:space="preserve">Mitchell-Fox, P. (2025). </w:t>
      </w:r>
      <w:r>
        <w:rPr>
          <w:i/>
          <w:iCs/>
          <w:lang w:val="en-GB"/>
        </w:rPr>
        <w:t>Global Convenience trends: the View through a UK Lens</w:t>
      </w:r>
      <w:r>
        <w:rPr>
          <w:lang w:val="en-GB"/>
        </w:rPr>
        <w:t>. Igd.com.</w:t>
      </w:r>
    </w:p>
    <w:p w14:paraId="675FBF63">
      <w:pPr>
        <w:rPr>
          <w:lang w:val="en-GB"/>
        </w:rPr>
      </w:pPr>
      <w:r>
        <w:t>Nagle, T.T. and Muller, G., (2018). </w:t>
      </w:r>
      <w:r>
        <w:rPr>
          <w:i/>
          <w:iCs/>
        </w:rPr>
        <w:t>The strategy and tactics of pricing</w:t>
      </w:r>
      <w:r>
        <w:t>. Routledge.</w:t>
      </w:r>
    </w:p>
    <w:p w14:paraId="6E1E4FDE">
      <w:pPr>
        <w:rPr>
          <w:lang w:val="en-GB"/>
        </w:rPr>
      </w:pPr>
      <w:r>
        <w:rPr>
          <w:lang w:val="en-GB"/>
        </w:rPr>
        <w:t xml:space="preserve">Porter, M.E. (2008) ‘The five competitive forces that shape strategy’, </w:t>
      </w:r>
      <w:r>
        <w:rPr>
          <w:i/>
          <w:iCs/>
          <w:lang w:val="en-GB"/>
        </w:rPr>
        <w:t>Harvard Business Review</w:t>
      </w:r>
      <w:r>
        <w:rPr>
          <w:lang w:val="en-GB"/>
        </w:rPr>
        <w:t>, 86(1), pp. 78–93.</w:t>
      </w:r>
    </w:p>
    <w:p w14:paraId="2AD08FFA">
      <w:pPr>
        <w:rPr>
          <w:lang w:val="en-GB"/>
        </w:rPr>
      </w:pPr>
      <w:r>
        <w:rPr>
          <w:lang w:val="en-GB"/>
        </w:rPr>
        <w:t xml:space="preserve">Retail economics (2025). </w:t>
      </w:r>
      <w:r>
        <w:rPr>
          <w:i/>
          <w:iCs/>
          <w:lang w:val="en-GB"/>
        </w:rPr>
        <w:t>5 Key Trends to 2025 for the Grocery Sector | Retail Economics | Retail Economics</w:t>
      </w:r>
      <w:r>
        <w:rPr>
          <w:lang w:val="en-GB"/>
        </w:rPr>
        <w:t>. www.retaileconomics.co.uk.</w:t>
      </w:r>
    </w:p>
    <w:p w14:paraId="6DE84192">
      <w:pPr>
        <w:rPr>
          <w:lang w:val="en-GB"/>
        </w:rPr>
      </w:pPr>
      <w:r>
        <w:rPr>
          <w:lang w:val="en-GB"/>
        </w:rPr>
        <w:t xml:space="preserve">Ries, A. and Trout, J. (2001) </w:t>
      </w:r>
      <w:r>
        <w:rPr>
          <w:i/>
          <w:iCs/>
          <w:lang w:val="en-GB"/>
        </w:rPr>
        <w:t>Positioning: The Battle for Your Mind</w:t>
      </w:r>
      <w:r>
        <w:rPr>
          <w:lang w:val="en-GB"/>
        </w:rPr>
        <w:t>. New York: McGraw-Hill.</w:t>
      </w:r>
    </w:p>
    <w:p w14:paraId="354EDB51">
      <w:pPr>
        <w:rPr>
          <w:lang w:val="en-GB"/>
        </w:rPr>
      </w:pPr>
      <w:r>
        <w:rPr>
          <w:lang w:val="en-GB"/>
        </w:rPr>
        <w:t xml:space="preserve">Rowberry, A. (2025). </w:t>
      </w:r>
      <w:r>
        <w:rPr>
          <w:i/>
          <w:iCs/>
          <w:lang w:val="en-GB"/>
        </w:rPr>
        <w:t>UK grocery retail channel forecast 2024-2029</w:t>
      </w:r>
      <w:r>
        <w:rPr>
          <w:lang w:val="en-GB"/>
        </w:rPr>
        <w:t>. Igd.com.</w:t>
      </w:r>
    </w:p>
    <w:p w14:paraId="5A6BF73C">
      <w:pPr>
        <w:rPr>
          <w:lang w:val="en-GB"/>
        </w:rPr>
      </w:pPr>
      <w:r>
        <w:rPr>
          <w:lang w:val="en-GB"/>
        </w:rPr>
        <w:t xml:space="preserve">Thomas, R. (2025). </w:t>
      </w:r>
      <w:r>
        <w:rPr>
          <w:i/>
          <w:iCs/>
          <w:lang w:val="en-GB"/>
        </w:rPr>
        <w:t>UK trends 2024</w:t>
      </w:r>
      <w:r>
        <w:rPr>
          <w:lang w:val="en-GB"/>
        </w:rPr>
        <w:t>. [online] Igd.com. Available at: https://www.igd.com/reports/uk-trends-2024.</w:t>
      </w:r>
    </w:p>
    <w:p w14:paraId="0D65179C">
      <w:pPr>
        <w:rPr>
          <w:lang w:val="en-GB"/>
        </w:rPr>
      </w:pPr>
      <w:r>
        <w:rPr>
          <w:lang w:val="en-GB"/>
        </w:rPr>
        <w:t>Vargo, S.L. and Lusch, R.F., 2016. Institutions and axioms: an extension and update of service-dominant logic. Journal of the Academy of marketing Science, 44(1), pp.5-23.</w:t>
      </w:r>
    </w:p>
    <w:p w14:paraId="6EA79683"/>
    <w:sectPr>
      <w:footerReference r:id="rId5" w:type="default"/>
      <w:pgSz w:w="12240" w:h="15840"/>
      <w:pgMar w:top="1440" w:right="1440" w:bottom="1440" w:left="1440"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58017594"/>
      <w:docPartObj>
        <w:docPartGallery w:val="AutoText"/>
      </w:docPartObj>
    </w:sdtPr>
    <w:sdtContent>
      <w:p w14:paraId="06EB7685">
        <w:pPr>
          <w:pStyle w:val="8"/>
          <w:jc w:val="right"/>
        </w:pPr>
        <w:r>
          <w:fldChar w:fldCharType="begin"/>
        </w:r>
        <w:r>
          <w:instrText xml:space="preserve"> PAGE   \* MERGEFORMAT </w:instrText>
        </w:r>
        <w:r>
          <w:fldChar w:fldCharType="separate"/>
        </w:r>
        <w:r>
          <w:t>3</w:t>
        </w:r>
        <w:r>
          <w:fldChar w:fldCharType="end"/>
        </w:r>
      </w:p>
    </w:sdtContent>
  </w:sdt>
  <w:p w14:paraId="69D389D1">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9"/>
  <w:documentProtection w:enforcement="0"/>
  <w:defaultTabStop w:val="720"/>
  <w:drawingGridHorizontalSpacing w:val="120"/>
  <w:displayHorizontalDrawingGridEvery w:val="2"/>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346"/>
    <w:rsid w:val="00002A05"/>
    <w:rsid w:val="0003701C"/>
    <w:rsid w:val="000927BE"/>
    <w:rsid w:val="001503BB"/>
    <w:rsid w:val="00181BB8"/>
    <w:rsid w:val="00185EE6"/>
    <w:rsid w:val="00187D35"/>
    <w:rsid w:val="0019287D"/>
    <w:rsid w:val="001A69A5"/>
    <w:rsid w:val="001B773E"/>
    <w:rsid w:val="001C2292"/>
    <w:rsid w:val="001C32CC"/>
    <w:rsid w:val="002C7BA9"/>
    <w:rsid w:val="002D6D0E"/>
    <w:rsid w:val="003223AA"/>
    <w:rsid w:val="003703C4"/>
    <w:rsid w:val="00374AF9"/>
    <w:rsid w:val="003E5130"/>
    <w:rsid w:val="00413A4D"/>
    <w:rsid w:val="0046736C"/>
    <w:rsid w:val="004F1C37"/>
    <w:rsid w:val="00676804"/>
    <w:rsid w:val="0077226D"/>
    <w:rsid w:val="007D2245"/>
    <w:rsid w:val="0084350A"/>
    <w:rsid w:val="008B5B18"/>
    <w:rsid w:val="00931E80"/>
    <w:rsid w:val="00A76FD4"/>
    <w:rsid w:val="00AE1D2D"/>
    <w:rsid w:val="00BE6346"/>
    <w:rsid w:val="00BF525D"/>
    <w:rsid w:val="00C15846"/>
    <w:rsid w:val="00CB61F7"/>
    <w:rsid w:val="00CF0868"/>
    <w:rsid w:val="00D70A61"/>
    <w:rsid w:val="00DB4B25"/>
    <w:rsid w:val="00E56470"/>
    <w:rsid w:val="00EE4D57"/>
    <w:rsid w:val="5A505F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Arial" w:hAnsi="Arial" w:eastAsiaTheme="minorEastAsia" w:cstheme="minorBidi"/>
      <w:sz w:val="24"/>
      <w:szCs w:val="22"/>
      <w:lang w:val="en-US" w:eastAsia="en-US" w:bidi="ar-SA"/>
    </w:rPr>
  </w:style>
  <w:style w:type="paragraph" w:styleId="2">
    <w:name w:val="heading 1"/>
    <w:basedOn w:val="1"/>
    <w:next w:val="1"/>
    <w:link w:val="14"/>
    <w:qFormat/>
    <w:uiPriority w:val="9"/>
    <w:pPr>
      <w:keepNext/>
      <w:keepLines/>
      <w:spacing w:before="480" w:after="0"/>
      <w:outlineLvl w:val="0"/>
    </w:pPr>
    <w:rPr>
      <w:rFonts w:eastAsiaTheme="majorEastAsia" w:cstheme="majorBidi"/>
      <w:b/>
      <w:bCs/>
      <w:color w:val="000000" w:themeColor="text1"/>
      <w:sz w:val="32"/>
      <w:szCs w:val="28"/>
      <w14:textFill>
        <w14:solidFill>
          <w14:schemeClr w14:val="tx1"/>
        </w14:solidFill>
      </w14:textFill>
    </w:rPr>
  </w:style>
  <w:style w:type="paragraph" w:styleId="3">
    <w:name w:val="heading 2"/>
    <w:basedOn w:val="1"/>
    <w:next w:val="1"/>
    <w:link w:val="15"/>
    <w:unhideWhenUsed/>
    <w:qFormat/>
    <w:uiPriority w:val="9"/>
    <w:pPr>
      <w:keepNext/>
      <w:keepLines/>
      <w:spacing w:before="200" w:after="0"/>
      <w:outlineLvl w:val="1"/>
    </w:pPr>
    <w:rPr>
      <w:rFonts w:eastAsiaTheme="majorEastAsia" w:cstheme="majorBidi"/>
      <w:b/>
      <w:bCs/>
      <w:i/>
      <w:color w:val="000000" w:themeColor="text1"/>
      <w:sz w:val="28"/>
      <w:szCs w:val="26"/>
      <w14:textFill>
        <w14:solidFill>
          <w14:schemeClr w14:val="tx1"/>
        </w14:solidFill>
      </w14:textFill>
    </w:rPr>
  </w:style>
  <w:style w:type="paragraph" w:styleId="4">
    <w:name w:val="heading 3"/>
    <w:basedOn w:val="1"/>
    <w:next w:val="1"/>
    <w:link w:val="16"/>
    <w:semiHidden/>
    <w:unhideWhenUsed/>
    <w:qFormat/>
    <w:uiPriority w:val="9"/>
    <w:pPr>
      <w:keepNext/>
      <w:keepLines/>
      <w:spacing w:before="200" w:after="0"/>
      <w:outlineLvl w:val="2"/>
    </w:pPr>
    <w:rPr>
      <w:rFonts w:eastAsiaTheme="majorEastAsia" w:cstheme="majorBidi"/>
      <w:b/>
      <w:bCs/>
      <w:color w:val="4F81BD" w:themeColor="accent1"/>
      <w:sz w:val="26"/>
      <w14:textFill>
        <w14:solidFill>
          <w14:schemeClr w14:val="accent1"/>
        </w14:solidFill>
      </w14:textFill>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caption"/>
    <w:basedOn w:val="1"/>
    <w:next w:val="1"/>
    <w:unhideWhenUsed/>
    <w:qFormat/>
    <w:uiPriority w:val="35"/>
    <w:pPr>
      <w:spacing w:line="240" w:lineRule="auto"/>
    </w:pPr>
    <w:rPr>
      <w:i/>
      <w:iCs/>
      <w:color w:val="1F497D" w:themeColor="text2"/>
      <w:sz w:val="18"/>
      <w:szCs w:val="18"/>
      <w14:textFill>
        <w14:solidFill>
          <w14:schemeClr w14:val="tx2"/>
        </w14:solidFill>
      </w14:textFill>
    </w:rPr>
  </w:style>
  <w:style w:type="paragraph" w:styleId="8">
    <w:name w:val="footer"/>
    <w:basedOn w:val="1"/>
    <w:link w:val="18"/>
    <w:unhideWhenUsed/>
    <w:qFormat/>
    <w:uiPriority w:val="99"/>
    <w:pPr>
      <w:tabs>
        <w:tab w:val="center" w:pos="4680"/>
        <w:tab w:val="right" w:pos="9360"/>
      </w:tabs>
      <w:spacing w:after="0" w:line="240" w:lineRule="auto"/>
    </w:pPr>
  </w:style>
  <w:style w:type="paragraph" w:styleId="9">
    <w:name w:val="header"/>
    <w:basedOn w:val="1"/>
    <w:link w:val="17"/>
    <w:semiHidden/>
    <w:unhideWhenUsed/>
    <w:uiPriority w:val="99"/>
    <w:pPr>
      <w:tabs>
        <w:tab w:val="center" w:pos="4680"/>
        <w:tab w:val="right" w:pos="9360"/>
      </w:tabs>
      <w:spacing w:after="0" w:line="240" w:lineRule="auto"/>
    </w:pPr>
  </w:style>
  <w:style w:type="character" w:styleId="10">
    <w:name w:val="Hyperlink"/>
    <w:basedOn w:val="5"/>
    <w:unhideWhenUsed/>
    <w:qFormat/>
    <w:uiPriority w:val="99"/>
    <w:rPr>
      <w:color w:val="0000FF" w:themeColor="hyperlink"/>
      <w:u w:val="single"/>
      <w14:textFill>
        <w14:solidFill>
          <w14:schemeClr w14:val="hlink"/>
        </w14:solidFill>
      </w14:textFill>
    </w:rPr>
  </w:style>
  <w:style w:type="table" w:styleId="11">
    <w:name w:val="Table Grid"/>
    <w:basedOn w:val="6"/>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12">
    <w:name w:val="toc 1"/>
    <w:basedOn w:val="1"/>
    <w:next w:val="1"/>
    <w:autoRedefine/>
    <w:unhideWhenUsed/>
    <w:qFormat/>
    <w:uiPriority w:val="39"/>
    <w:pPr>
      <w:spacing w:after="100"/>
    </w:pPr>
  </w:style>
  <w:style w:type="paragraph" w:styleId="13">
    <w:name w:val="toc 2"/>
    <w:basedOn w:val="1"/>
    <w:next w:val="1"/>
    <w:autoRedefine/>
    <w:unhideWhenUsed/>
    <w:qFormat/>
    <w:uiPriority w:val="39"/>
    <w:pPr>
      <w:spacing w:after="100"/>
      <w:ind w:left="240"/>
    </w:pPr>
  </w:style>
  <w:style w:type="character" w:customStyle="1" w:styleId="14">
    <w:name w:val="Heading 1 Char"/>
    <w:basedOn w:val="5"/>
    <w:link w:val="2"/>
    <w:uiPriority w:val="9"/>
    <w:rPr>
      <w:rFonts w:ascii="Arial" w:hAnsi="Arial" w:eastAsiaTheme="majorEastAsia" w:cstheme="majorBidi"/>
      <w:b/>
      <w:bCs/>
      <w:color w:val="000000" w:themeColor="text1"/>
      <w:sz w:val="32"/>
      <w:szCs w:val="28"/>
      <w14:textFill>
        <w14:solidFill>
          <w14:schemeClr w14:val="tx1"/>
        </w14:solidFill>
      </w14:textFill>
    </w:rPr>
  </w:style>
  <w:style w:type="character" w:customStyle="1" w:styleId="15">
    <w:name w:val="Heading 2 Char"/>
    <w:basedOn w:val="5"/>
    <w:link w:val="3"/>
    <w:uiPriority w:val="9"/>
    <w:rPr>
      <w:rFonts w:ascii="Times New Roman" w:hAnsi="Times New Roman" w:eastAsiaTheme="majorEastAsia" w:cstheme="majorBidi"/>
      <w:b/>
      <w:bCs/>
      <w:i/>
      <w:color w:val="000000" w:themeColor="text1"/>
      <w:sz w:val="28"/>
      <w:szCs w:val="26"/>
      <w14:textFill>
        <w14:solidFill>
          <w14:schemeClr w14:val="tx1"/>
        </w14:solidFill>
      </w14:textFill>
    </w:rPr>
  </w:style>
  <w:style w:type="character" w:customStyle="1" w:styleId="16">
    <w:name w:val="Heading 3 Char"/>
    <w:basedOn w:val="5"/>
    <w:link w:val="4"/>
    <w:semiHidden/>
    <w:qFormat/>
    <w:uiPriority w:val="9"/>
    <w:rPr>
      <w:rFonts w:ascii="Times New Roman" w:hAnsi="Times New Roman" w:eastAsiaTheme="majorEastAsia" w:cstheme="majorBidi"/>
      <w:b/>
      <w:bCs/>
      <w:color w:val="4F81BD" w:themeColor="accent1"/>
      <w:sz w:val="26"/>
      <w14:textFill>
        <w14:solidFill>
          <w14:schemeClr w14:val="accent1"/>
        </w14:solidFill>
      </w14:textFill>
    </w:rPr>
  </w:style>
  <w:style w:type="character" w:customStyle="1" w:styleId="17">
    <w:name w:val="Header Char"/>
    <w:basedOn w:val="5"/>
    <w:link w:val="9"/>
    <w:semiHidden/>
    <w:uiPriority w:val="99"/>
    <w:rPr>
      <w:rFonts w:ascii="Times New Roman" w:hAnsi="Times New Roman"/>
      <w:sz w:val="24"/>
    </w:rPr>
  </w:style>
  <w:style w:type="character" w:customStyle="1" w:styleId="18">
    <w:name w:val="Footer Char"/>
    <w:basedOn w:val="5"/>
    <w:link w:val="8"/>
    <w:qFormat/>
    <w:uiPriority w:val="99"/>
    <w:rPr>
      <w:rFonts w:ascii="Times New Roman" w:hAnsi="Times New Roman"/>
      <w:sz w:val="24"/>
    </w:rPr>
  </w:style>
  <w:style w:type="paragraph" w:styleId="19">
    <w:name w:val="List Paragraph"/>
    <w:basedOn w:val="1"/>
    <w:qFormat/>
    <w:uiPriority w:val="34"/>
    <w:pPr>
      <w:spacing w:after="120"/>
      <w:ind w:left="720"/>
      <w:contextualSpacing/>
    </w:pPr>
  </w:style>
  <w:style w:type="paragraph" w:customStyle="1" w:styleId="20">
    <w:name w:val="TOC Heading"/>
    <w:basedOn w:val="2"/>
    <w:next w:val="1"/>
    <w:unhideWhenUsed/>
    <w:qFormat/>
    <w:uiPriority w:val="39"/>
    <w:pPr>
      <w:spacing w:before="240" w:line="259" w:lineRule="auto"/>
      <w:jc w:val="left"/>
      <w:outlineLvl w:val="9"/>
    </w:pPr>
    <w:rPr>
      <w:rFonts w:asciiTheme="majorHAnsi" w:hAnsiTheme="majorHAnsi"/>
      <w:b w:val="0"/>
      <w:bCs w:val="0"/>
      <w:color w:val="376092" w:themeColor="accent1" w:themeShade="BF"/>
      <w:szCs w:val="32"/>
    </w:rPr>
  </w:style>
  <w:style w:type="table" w:customStyle="1" w:styleId="21">
    <w:name w:val="Grid Table 5 Dark Accent 3"/>
    <w:basedOn w:val="6"/>
    <w:qFormat/>
    <w:uiPriority w:val="50"/>
    <w:pPr>
      <w:spacing w:after="0" w:line="240" w:lineRule="auto"/>
    </w:pPr>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9BBB59" w:themeFill="accent3"/>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9BBB59" w:themeFill="accent3"/>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9BBB59" w:themeFill="accent3"/>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9BBB59" w:themeFill="accent3"/>
      </w:tcPr>
    </w:tblStylePr>
    <w:tblStylePr w:type="band1Vert">
      <w:tcPr>
        <w:shd w:val="clear" w:color="auto" w:fill="D6E3BC" w:themeFill="accent3" w:themeFillTint="66"/>
      </w:tcPr>
    </w:tblStylePr>
    <w:tblStylePr w:type="band1Horz">
      <w:tcPr>
        <w:shd w:val="clear" w:color="auto" w:fill="D6E3BC" w:themeFill="accent3" w:themeFillTint="66"/>
      </w:tcPr>
    </w:tblStylePr>
  </w:style>
  <w:style w:type="table" w:customStyle="1" w:styleId="22">
    <w:name w:val="Grid Table 4 Accent 3"/>
    <w:basedOn w:val="6"/>
    <w:qFormat/>
    <w:uiPriority w:val="49"/>
    <w:pPr>
      <w:spacing w:after="0" w:line="240" w:lineRule="auto"/>
    </w:pPr>
    <w:tblPr>
      <w:tblBorders>
        <w:top w:val="single" w:color="C2D69B" w:themeColor="accent3" w:themeTint="99" w:sz="4" w:space="0"/>
        <w:left w:val="single" w:color="C2D69B" w:themeColor="accent3" w:themeTint="99" w:sz="4" w:space="0"/>
        <w:bottom w:val="single" w:color="C2D69B" w:themeColor="accent3" w:themeTint="99" w:sz="4" w:space="0"/>
        <w:right w:val="single" w:color="C2D69B" w:themeColor="accent3" w:themeTint="99" w:sz="4" w:space="0"/>
        <w:insideH w:val="single" w:color="C2D69B" w:themeColor="accent3" w:themeTint="99" w:sz="4" w:space="0"/>
        <w:insideV w:val="single" w:color="C2D69B" w:themeColor="accent3" w:themeTint="99" w:sz="4" w:space="0"/>
      </w:tblBorders>
      <w:tblCellMar>
        <w:top w:w="0" w:type="dxa"/>
        <w:left w:w="108" w:type="dxa"/>
        <w:bottom w:w="0" w:type="dxa"/>
        <w:right w:w="108" w:type="dxa"/>
      </w:tblCellMar>
    </w:tblPr>
    <w:tblStylePr w:type="firstRow">
      <w:rPr>
        <w:b/>
        <w:bCs/>
        <w:color w:val="FFFFFF" w:themeColor="background1"/>
        <w14:textFill>
          <w14:solidFill>
            <w14:schemeClr w14:val="bg1"/>
          </w14:solidFill>
        </w14:textFill>
      </w:rPr>
      <w:tcPr>
        <w:tcBorders>
          <w:top w:val="single" w:color="9BBB59" w:themeColor="accent3" w:sz="4" w:space="0"/>
          <w:left w:val="single" w:color="9BBB59" w:themeColor="accent3" w:sz="4" w:space="0"/>
          <w:bottom w:val="single" w:color="9BBB59" w:themeColor="accent3" w:sz="4" w:space="0"/>
          <w:right w:val="single" w:color="9BBB59" w:themeColor="accent3" w:sz="4" w:space="0"/>
          <w:insideH w:val="nil"/>
          <w:insideV w:val="nil"/>
        </w:tcBorders>
        <w:shd w:val="clear" w:color="auto" w:fill="9BBB59" w:themeFill="accent3"/>
      </w:tcPr>
    </w:tblStylePr>
    <w:tblStylePr w:type="lastRow">
      <w:rPr>
        <w:b/>
        <w:bCs/>
      </w:rPr>
      <w:tcPr>
        <w:tcBorders>
          <w:top w:val="double" w:color="9BBB59" w:themeColor="accent3" w:sz="4" w:space="0"/>
        </w:tcBorders>
      </w:tcPr>
    </w:tblStylePr>
    <w:tblStylePr w:type="firstCol">
      <w:rPr>
        <w:b/>
        <w:bCs/>
      </w:rPr>
    </w:tblStylePr>
    <w:tblStylePr w:type="lastCol">
      <w:rPr>
        <w:b/>
        <w:bCs/>
      </w:rPr>
    </w:tblStylePr>
    <w:tblStylePr w:type="band1Vert">
      <w:tcPr>
        <w:shd w:val="clear" w:color="auto" w:fill="EAF1DD" w:themeFill="accent3" w:themeFillTint="33"/>
      </w:tcPr>
    </w:tblStylePr>
    <w:tblStylePr w:type="band1Horz">
      <w:tcPr>
        <w:shd w:val="clear" w:color="auto" w:fill="EAF1DD" w:themeFill="accent3" w:themeFillTint="33"/>
      </w:tcPr>
    </w:tblStyle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customXml" Target="../customXml/item1.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FDACA25-030A-44CF-AE05-D8E13EC4B8D2}">
  <ds:schemaRefs/>
</ds:datastoreItem>
</file>

<file path=docProps/app.xml><?xml version="1.0" encoding="utf-8"?>
<Properties xmlns="http://schemas.openxmlformats.org/officeDocument/2006/extended-properties" xmlns:vt="http://schemas.openxmlformats.org/officeDocument/2006/docPropsVTypes">
  <Template>Normal</Template>
  <Pages>17</Pages>
  <Words>3322</Words>
  <Characters>18941</Characters>
  <Lines>157</Lines>
  <Paragraphs>44</Paragraphs>
  <TotalTime>1</TotalTime>
  <ScaleCrop>false</ScaleCrop>
  <LinksUpToDate>false</LinksUpToDate>
  <CharactersWithSpaces>22219</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2025-12-14T17:23:00Z</dcterms:created>
  <dc:creator>ROHAN</dc:creator>
  <cp:lastModifiedBy>ROHAN</cp:lastModifiedBy>
  <dcterms:modified xsi:type="dcterms:W3CDTF">2025-12-17T05:01:56Z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66a42dea-67f2-4173-9724-58c8111d26b9</vt:lpwstr>
  </property>
  <property fmtid="{D5CDD505-2E9C-101B-9397-08002B2CF9AE}" pid="3" name="KSOProductBuildVer">
    <vt:lpwstr>1033-12.2.0.23155</vt:lpwstr>
  </property>
  <property fmtid="{D5CDD505-2E9C-101B-9397-08002B2CF9AE}" pid="4" name="ICV">
    <vt:lpwstr>DD15BCD35CF64ED9A94A8AEF44F18535_12</vt:lpwstr>
  </property>
</Properties>
</file>