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75A3" w:rsidRPr="005475A3" w:rsidRDefault="005475A3" w:rsidP="005475A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5475A3" w:rsidRPr="005475A3" w:rsidRDefault="005475A3" w:rsidP="005475A3">
      <w:pPr>
        <w:pStyle w:val="Heading1"/>
      </w:pPr>
      <w:r w:rsidRPr="005475A3">
        <w:rPr>
          <w:rStyle w:val="Strong"/>
          <w:b/>
          <w:bCs/>
        </w:rPr>
        <w:t xml:space="preserve">Data Security, Governance and Compliance Report for </w:t>
      </w:r>
      <w:proofErr w:type="spellStart"/>
      <w:r w:rsidRPr="005475A3">
        <w:rPr>
          <w:rStyle w:val="Strong"/>
          <w:b/>
          <w:bCs/>
        </w:rPr>
        <w:t>FinSure</w:t>
      </w:r>
      <w:proofErr w:type="spellEnd"/>
      <w:r w:rsidRPr="005475A3">
        <w:rPr>
          <w:rStyle w:val="Strong"/>
          <w:b/>
          <w:bCs/>
        </w:rPr>
        <w:t xml:space="preserve"> Bank</w:t>
      </w:r>
      <w:r w:rsidRPr="0064310F">
        <w:rPr>
          <w:sz w:val="28"/>
          <w:szCs w:val="32"/>
        </w:rPr>
        <w:tab/>
      </w:r>
      <w:r>
        <w:rPr>
          <w:b w:val="0"/>
          <w:bCs w:val="0"/>
          <w:sz w:val="32"/>
          <w:szCs w:val="32"/>
        </w:rPr>
        <w:tab/>
      </w:r>
    </w:p>
    <w:p w:rsidR="005475A3" w:rsidRPr="005475A3" w:rsidRDefault="005475A3" w:rsidP="005475A3">
      <w:pPr>
        <w:spacing w:before="100" w:beforeAutospacing="1" w:after="100" w:afterAutospacing="1" w:line="240" w:lineRule="auto"/>
        <w:rPr>
          <w:rFonts w:ascii="Times New Roman" w:hAnsi="Times New Roman" w:cs="Times New Roman"/>
          <w:sz w:val="36"/>
          <w:szCs w:val="40"/>
        </w:rPr>
      </w:pPr>
      <w:r w:rsidRPr="005475A3">
        <w:rPr>
          <w:rFonts w:ascii="Times New Roman" w:eastAsia="Times New Roman" w:hAnsi="Times New Roman" w:cs="Times New Roman"/>
          <w:b/>
          <w:bCs/>
          <w:sz w:val="36"/>
          <w:szCs w:val="40"/>
          <w:lang w:eastAsia="en-GB"/>
        </w:rPr>
        <w:t>Module:</w:t>
      </w:r>
      <w:r w:rsidRPr="005475A3">
        <w:rPr>
          <w:rFonts w:ascii="Times New Roman" w:eastAsia="Times New Roman" w:hAnsi="Times New Roman" w:cs="Times New Roman"/>
          <w:sz w:val="36"/>
          <w:szCs w:val="40"/>
          <w:lang w:eastAsia="en-GB"/>
        </w:rPr>
        <w:t xml:space="preserve"> </w:t>
      </w:r>
      <w:r w:rsidRPr="005475A3">
        <w:rPr>
          <w:rFonts w:ascii="Times New Roman" w:hAnsi="Times New Roman" w:cs="Times New Roman"/>
          <w:b/>
          <w:sz w:val="36"/>
          <w:szCs w:val="40"/>
        </w:rPr>
        <w:t>ACCA7028</w:t>
      </w:r>
      <w:r w:rsidRPr="005475A3">
        <w:rPr>
          <w:rFonts w:ascii="Times New Roman" w:eastAsia="Times New Roman" w:hAnsi="Times New Roman" w:cs="Times New Roman"/>
          <w:sz w:val="36"/>
          <w:szCs w:val="40"/>
          <w:lang w:eastAsia="en-GB"/>
        </w:rPr>
        <w:t xml:space="preserve"> – </w:t>
      </w:r>
      <w:r w:rsidRPr="005475A3">
        <w:rPr>
          <w:rFonts w:ascii="Times New Roman" w:hAnsi="Times New Roman" w:cs="Times New Roman"/>
          <w:sz w:val="36"/>
          <w:szCs w:val="40"/>
        </w:rPr>
        <w:t>Data Security, Governance and Compliance</w:t>
      </w:r>
      <w:r w:rsidRPr="005475A3">
        <w:rPr>
          <w:rFonts w:ascii="Times New Roman" w:eastAsia="Times New Roman" w:hAnsi="Times New Roman" w:cs="Times New Roman"/>
          <w:sz w:val="36"/>
          <w:szCs w:val="40"/>
          <w:lang w:eastAsia="en-GB"/>
        </w:rPr>
        <w:br/>
      </w:r>
      <w:r w:rsidRPr="005475A3">
        <w:rPr>
          <w:rFonts w:ascii="Times New Roman" w:eastAsia="Times New Roman" w:hAnsi="Times New Roman" w:cs="Times New Roman"/>
          <w:b/>
          <w:bCs/>
          <w:sz w:val="36"/>
          <w:szCs w:val="40"/>
          <w:lang w:eastAsia="en-GB"/>
        </w:rPr>
        <w:t>Student Name:</w:t>
      </w:r>
      <w:r w:rsidRPr="005475A3">
        <w:rPr>
          <w:rFonts w:ascii="Times New Roman" w:eastAsia="Times New Roman" w:hAnsi="Times New Roman" w:cs="Times New Roman"/>
          <w:sz w:val="36"/>
          <w:szCs w:val="40"/>
          <w:lang w:eastAsia="en-GB"/>
        </w:rPr>
        <w:t xml:space="preserve"> </w:t>
      </w:r>
      <w:proofErr w:type="spellStart"/>
      <w:r w:rsidRPr="005475A3">
        <w:rPr>
          <w:rFonts w:ascii="Times New Roman" w:eastAsia="Times New Roman" w:hAnsi="Times New Roman" w:cs="Times New Roman"/>
          <w:sz w:val="36"/>
          <w:szCs w:val="40"/>
          <w:lang w:eastAsia="en-GB"/>
        </w:rPr>
        <w:t>Shaidhul</w:t>
      </w:r>
      <w:proofErr w:type="spellEnd"/>
      <w:r w:rsidRPr="005475A3">
        <w:rPr>
          <w:rFonts w:ascii="Times New Roman" w:eastAsia="Times New Roman" w:hAnsi="Times New Roman" w:cs="Times New Roman"/>
          <w:sz w:val="36"/>
          <w:szCs w:val="40"/>
          <w:lang w:eastAsia="en-GB"/>
        </w:rPr>
        <w:t xml:space="preserve"> </w:t>
      </w:r>
      <w:proofErr w:type="spellStart"/>
      <w:r w:rsidRPr="005475A3">
        <w:rPr>
          <w:rFonts w:ascii="Times New Roman" w:eastAsia="Times New Roman" w:hAnsi="Times New Roman" w:cs="Times New Roman"/>
          <w:sz w:val="36"/>
          <w:szCs w:val="40"/>
          <w:lang w:eastAsia="en-GB"/>
        </w:rPr>
        <w:t>Hasan</w:t>
      </w:r>
      <w:proofErr w:type="spellEnd"/>
      <w:r w:rsidRPr="005475A3">
        <w:rPr>
          <w:rFonts w:ascii="Times New Roman" w:eastAsia="Times New Roman" w:hAnsi="Times New Roman" w:cs="Times New Roman"/>
          <w:sz w:val="36"/>
          <w:szCs w:val="40"/>
          <w:lang w:eastAsia="en-GB"/>
        </w:rPr>
        <w:br/>
      </w:r>
      <w:r w:rsidRPr="005475A3">
        <w:rPr>
          <w:rFonts w:ascii="Times New Roman" w:eastAsia="Times New Roman" w:hAnsi="Times New Roman" w:cs="Times New Roman"/>
          <w:b/>
          <w:bCs/>
          <w:sz w:val="36"/>
          <w:szCs w:val="40"/>
          <w:lang w:eastAsia="en-GB"/>
        </w:rPr>
        <w:t>Student ID:</w:t>
      </w:r>
      <w:r w:rsidRPr="005475A3">
        <w:rPr>
          <w:rFonts w:ascii="Times New Roman" w:eastAsia="Times New Roman" w:hAnsi="Times New Roman" w:cs="Times New Roman"/>
          <w:sz w:val="36"/>
          <w:szCs w:val="40"/>
          <w:lang w:eastAsia="en-GB"/>
        </w:rPr>
        <w:t xml:space="preserve"> 2442113</w:t>
      </w:r>
    </w:p>
    <w:p w:rsidR="005475A3" w:rsidRPr="005475A3" w:rsidRDefault="005475A3" w:rsidP="005475A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5475A3">
        <w:rPr>
          <w:rFonts w:ascii="Times New Roman" w:eastAsia="Times New Roman" w:hAnsi="Times New Roman" w:cs="Times New Roman"/>
          <w:b/>
          <w:bCs/>
          <w:kern w:val="36"/>
          <w:sz w:val="48"/>
          <w:szCs w:val="48"/>
          <w:lang w:eastAsia="en-GB"/>
        </w:rPr>
        <w:t>Additional Supporting Document</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32"/>
          <w:szCs w:val="32"/>
          <w:lang w:eastAsia="en-GB"/>
        </w:rPr>
      </w:pPr>
      <w:r w:rsidRPr="005475A3">
        <w:rPr>
          <w:rFonts w:ascii="Times New Roman" w:eastAsia="Times New Roman" w:hAnsi="Times New Roman" w:cs="Times New Roman"/>
          <w:b/>
          <w:bCs/>
          <w:sz w:val="32"/>
          <w:szCs w:val="32"/>
          <w:lang w:eastAsia="en-GB"/>
        </w:rPr>
        <w:t xml:space="preserve">Design Approach, Case Studies and Implementation Analysis for </w:t>
      </w:r>
      <w:proofErr w:type="spellStart"/>
      <w:r w:rsidRPr="005475A3">
        <w:rPr>
          <w:rFonts w:ascii="Times New Roman" w:eastAsia="Times New Roman" w:hAnsi="Times New Roman" w:cs="Times New Roman"/>
          <w:b/>
          <w:bCs/>
          <w:sz w:val="32"/>
          <w:szCs w:val="32"/>
          <w:lang w:eastAsia="en-GB"/>
        </w:rPr>
        <w:t>FinSure</w:t>
      </w:r>
      <w:proofErr w:type="spellEnd"/>
      <w:r w:rsidRPr="005475A3">
        <w:rPr>
          <w:rFonts w:ascii="Times New Roman" w:eastAsia="Times New Roman" w:hAnsi="Times New Roman" w:cs="Times New Roman"/>
          <w:b/>
          <w:bCs/>
          <w:sz w:val="32"/>
          <w:szCs w:val="32"/>
          <w:lang w:eastAsia="en-GB"/>
        </w:rPr>
        <w:t xml:space="preserve"> Bank (FSB)</w:t>
      </w:r>
    </w:p>
    <w:p w:rsidR="005475A3" w:rsidRPr="005475A3" w:rsidRDefault="005475A3" w:rsidP="005475A3">
      <w:pPr>
        <w:spacing w:after="0"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pict>
          <v:rect id="_x0000_i1025" style="width:0;height:1.5pt" o:hralign="center" o:hrstd="t" o:hr="t" fillcolor="#a0a0a0" stroked="f"/>
        </w:pict>
      </w:r>
    </w:p>
    <w:p w:rsidR="00F548EE" w:rsidRPr="00F548EE" w:rsidRDefault="005475A3" w:rsidP="00F548EE">
      <w:pPr>
        <w:pStyle w:val="ListParagraph"/>
        <w:numPr>
          <w:ilvl w:val="0"/>
          <w:numId w:val="5"/>
        </w:num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548EE">
        <w:rPr>
          <w:rFonts w:ascii="Times New Roman" w:eastAsia="Times New Roman" w:hAnsi="Times New Roman" w:cs="Times New Roman"/>
          <w:b/>
          <w:bCs/>
          <w:sz w:val="36"/>
          <w:szCs w:val="36"/>
          <w:lang w:eastAsia="en-GB"/>
        </w:rPr>
        <w:t>Introduction</w:t>
      </w:r>
    </w:p>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This supplementary document provides additional analysis to support the main report on </w:t>
      </w:r>
      <w:proofErr w:type="spellStart"/>
      <w:r w:rsidRPr="005475A3">
        <w:rPr>
          <w:rFonts w:ascii="Times New Roman" w:eastAsia="Times New Roman" w:hAnsi="Times New Roman" w:cs="Times New Roman"/>
          <w:sz w:val="24"/>
          <w:szCs w:val="24"/>
          <w:lang w:eastAsia="en-GB"/>
        </w:rPr>
        <w:t>FinSure</w:t>
      </w:r>
      <w:proofErr w:type="spellEnd"/>
      <w:r w:rsidRPr="005475A3">
        <w:rPr>
          <w:rFonts w:ascii="Times New Roman" w:eastAsia="Times New Roman" w:hAnsi="Times New Roman" w:cs="Times New Roman"/>
          <w:sz w:val="24"/>
          <w:szCs w:val="24"/>
          <w:lang w:eastAsia="en-GB"/>
        </w:rPr>
        <w:t xml:space="preserve"> Bank (FSB). It includes real-world case studies, comparative insights, and practical implementation strategies from the financial sector. These examples strengthen the proposed hybrid governance model and demonstrate how similar institutions address </w:t>
      </w:r>
      <w:proofErr w:type="spellStart"/>
      <w:r w:rsidRPr="005475A3">
        <w:rPr>
          <w:rFonts w:ascii="Times New Roman" w:eastAsia="Times New Roman" w:hAnsi="Times New Roman" w:cs="Times New Roman"/>
          <w:sz w:val="24"/>
          <w:szCs w:val="24"/>
          <w:lang w:eastAsia="en-GB"/>
        </w:rPr>
        <w:t>cybersecurity</w:t>
      </w:r>
      <w:proofErr w:type="spellEnd"/>
      <w:r w:rsidRPr="005475A3">
        <w:rPr>
          <w:rFonts w:ascii="Times New Roman" w:eastAsia="Times New Roman" w:hAnsi="Times New Roman" w:cs="Times New Roman"/>
          <w:sz w:val="24"/>
          <w:szCs w:val="24"/>
          <w:lang w:eastAsia="en-GB"/>
        </w:rPr>
        <w:t xml:space="preserve"> challenges in practice.</w:t>
      </w:r>
    </w:p>
    <w:p w:rsidR="005475A3" w:rsidRPr="005475A3" w:rsidRDefault="005475A3" w:rsidP="005475A3">
      <w:pPr>
        <w:spacing w:after="0"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pict>
          <v:rect id="_x0000_i1026" style="width:0;height:1.5pt" o:hralign="center" o:hrstd="t" o:hr="t" fillcolor="#a0a0a0" stroked="f"/>
        </w:pict>
      </w:r>
    </w:p>
    <w:p w:rsidR="005475A3" w:rsidRP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2. Industry Case Studies</w:t>
      </w:r>
    </w:p>
    <w:p w:rsid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2.</w:t>
      </w:r>
      <w:r>
        <w:rPr>
          <w:rFonts w:ascii="Times New Roman" w:eastAsia="Times New Roman" w:hAnsi="Times New Roman" w:cs="Times New Roman"/>
          <w:b/>
          <w:bCs/>
          <w:sz w:val="36"/>
          <w:szCs w:val="36"/>
          <w:lang w:eastAsia="en-GB"/>
        </w:rPr>
        <w:t xml:space="preserve">1 Capital One Data Breach </w:t>
      </w:r>
    </w:p>
    <w:p w:rsidR="005475A3" w:rsidRP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5475A3" w:rsidRDefault="005475A3" w:rsidP="00F548EE">
      <w:pPr>
        <w:spacing w:after="0" w:line="240" w:lineRule="auto"/>
        <w:rPr>
          <w:rFonts w:ascii="Times New Roman" w:eastAsia="Times New Roman" w:hAnsi="Times New Roman" w:cs="Times New Roman"/>
          <w:sz w:val="24"/>
          <w:szCs w:val="24"/>
          <w:lang w:eastAsia="en-GB"/>
        </w:rPr>
      </w:pPr>
      <w:r>
        <w:rPr>
          <w:noProof/>
          <w:lang w:eastAsia="en-GB"/>
        </w:rPr>
        <w:lastRenderedPageBreak/>
        <w:drawing>
          <wp:inline distT="0" distB="0" distL="0" distR="0" wp14:anchorId="4EC8B0B7" wp14:editId="04303F2A">
            <wp:extent cx="5731510" cy="2830393"/>
            <wp:effectExtent l="0" t="0" r="2540" b="8255"/>
            <wp:docPr id="10" name="Picture 10" descr="2019 capital one breach, security threats de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2019 capital one breach, security threats detec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30393"/>
                    </a:xfrm>
                    <a:prstGeom prst="rect">
                      <a:avLst/>
                    </a:prstGeom>
                    <a:noFill/>
                    <a:ln>
                      <a:noFill/>
                    </a:ln>
                  </pic:spPr>
                </pic:pic>
              </a:graphicData>
            </a:graphic>
          </wp:inline>
        </w:drawing>
      </w:r>
      <w:r w:rsidRPr="005475A3">
        <w:rPr>
          <w:rFonts w:ascii="Times New Roman" w:eastAsia="Times New Roman" w:hAnsi="Times New Roman" w:cs="Times New Roman"/>
          <w:b/>
          <w:bCs/>
          <w:sz w:val="24"/>
          <w:szCs w:val="24"/>
          <w:lang w:eastAsia="en-GB"/>
        </w:rPr>
        <w:t xml:space="preserve">Figure A1: </w:t>
      </w:r>
      <w:r w:rsidR="00F548EE" w:rsidRPr="00F548EE">
        <w:rPr>
          <w:rFonts w:ascii="Times New Roman" w:hAnsi="Times New Roman" w:cs="Times New Roman"/>
          <w:b/>
          <w:sz w:val="24"/>
        </w:rPr>
        <w:t>Conceptual representation of a cloud misconfiguration breach scenario</w:t>
      </w:r>
    </w:p>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The Capital One breach was caused by a cloud misconfiguration that allowed unauthorised access to sensitive customer data. This incident highlights the risks associated with improper cloud security controls.</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Key Issues:</w:t>
      </w:r>
    </w:p>
    <w:p w:rsidR="005475A3" w:rsidRPr="005475A3" w:rsidRDefault="005475A3" w:rsidP="005475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Misconfigured cloud firewall </w:t>
      </w:r>
    </w:p>
    <w:p w:rsidR="005475A3" w:rsidRPr="005475A3" w:rsidRDefault="005475A3" w:rsidP="005475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Weak access control mechanisms </w:t>
      </w:r>
    </w:p>
    <w:p w:rsidR="005475A3" w:rsidRPr="005475A3" w:rsidRDefault="005475A3" w:rsidP="005475A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Lack of real-time monitoring </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Relevance to FSB:</w:t>
      </w:r>
    </w:p>
    <w:p w:rsid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This case directly supports the risks identified in the main report</w:t>
      </w:r>
      <w:r w:rsidR="00735BDD">
        <w:rPr>
          <w:rFonts w:ascii="Times New Roman" w:eastAsia="Times New Roman" w:hAnsi="Times New Roman" w:cs="Times New Roman"/>
          <w:sz w:val="24"/>
          <w:szCs w:val="24"/>
          <w:lang w:eastAsia="en-GB"/>
        </w:rPr>
        <w:t xml:space="preserve"> (section</w:t>
      </w:r>
      <w:r w:rsidR="003730AA">
        <w:rPr>
          <w:rFonts w:ascii="Times New Roman" w:eastAsia="Times New Roman" w:hAnsi="Times New Roman" w:cs="Times New Roman"/>
          <w:sz w:val="24"/>
          <w:szCs w:val="24"/>
          <w:lang w:eastAsia="en-GB"/>
        </w:rPr>
        <w:t xml:space="preserve"> </w:t>
      </w:r>
      <w:bookmarkStart w:id="0" w:name="_GoBack"/>
      <w:bookmarkEnd w:id="0"/>
      <w:r w:rsidR="00735BDD">
        <w:rPr>
          <w:rFonts w:ascii="Times New Roman" w:eastAsia="Times New Roman" w:hAnsi="Times New Roman" w:cs="Times New Roman"/>
          <w:sz w:val="24"/>
          <w:szCs w:val="24"/>
          <w:lang w:eastAsia="en-GB"/>
        </w:rPr>
        <w:t>4.5)</w:t>
      </w:r>
      <w:r w:rsidRPr="005475A3">
        <w:rPr>
          <w:rFonts w:ascii="Times New Roman" w:eastAsia="Times New Roman" w:hAnsi="Times New Roman" w:cs="Times New Roman"/>
          <w:sz w:val="24"/>
          <w:szCs w:val="24"/>
          <w:lang w:eastAsia="en-GB"/>
        </w:rPr>
        <w:t>, particularly cloud misconfiguration and access control weaknesses. It justifies the use of CSPM tools, SIEM systems, and Zero Trust Architecture</w:t>
      </w:r>
      <w:r w:rsidR="00B86A56">
        <w:rPr>
          <w:rFonts w:ascii="Times New Roman" w:eastAsia="Times New Roman" w:hAnsi="Times New Roman" w:cs="Times New Roman"/>
          <w:sz w:val="24"/>
          <w:szCs w:val="24"/>
          <w:lang w:eastAsia="en-GB"/>
        </w:rPr>
        <w:t xml:space="preserve"> within the proposed ASGM model.</w:t>
      </w:r>
    </w:p>
    <w:p w:rsidR="005475A3" w:rsidRP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 xml:space="preserve">2.2 HSBC </w:t>
      </w:r>
      <w:proofErr w:type="spellStart"/>
      <w:r w:rsidRPr="005475A3">
        <w:rPr>
          <w:rFonts w:ascii="Times New Roman" w:eastAsia="Times New Roman" w:hAnsi="Times New Roman" w:cs="Times New Roman"/>
          <w:b/>
          <w:bCs/>
          <w:sz w:val="36"/>
          <w:szCs w:val="36"/>
          <w:lang w:eastAsia="en-GB"/>
        </w:rPr>
        <w:t>Cybersecurity</w:t>
      </w:r>
      <w:proofErr w:type="spellEnd"/>
      <w:r w:rsidRPr="005475A3">
        <w:rPr>
          <w:rFonts w:ascii="Times New Roman" w:eastAsia="Times New Roman" w:hAnsi="Times New Roman" w:cs="Times New Roman"/>
          <w:b/>
          <w:bCs/>
          <w:sz w:val="36"/>
          <w:szCs w:val="36"/>
          <w:lang w:eastAsia="en-GB"/>
        </w:rPr>
        <w:t xml:space="preserve"> Transformation</w:t>
      </w:r>
    </w:p>
    <w:p w:rsidR="005475A3" w:rsidRPr="005475A3" w:rsidRDefault="005475A3" w:rsidP="00F548E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4EA5E5D8" wp14:editId="4D6F7D50">
            <wp:extent cx="6225686" cy="3260530"/>
            <wp:effectExtent l="0" t="0" r="3810" b="0"/>
            <wp:docPr id="6" name="Picture 6" descr="https://images.openai.com/static-rsc-4/HplPyVS-_yis5DmGCFdGsoVdbuk7djFMUWmWWkH-LMFkMSVax3K7rY1P89LAVjY317oSdmvs4a5p6hAWqOGBZgM1Z0pZAOcPXNZRQRWMlxDdjqw0ThdbJAfn2KhtmwjXivj22hEyr7XHaKpbLZydHlLLeZGRRlsJqfRvfws4P85tqwkNkQtbyhevk3Vd6R7e?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images.openai.com/static-rsc-4/HplPyVS-_yis5DmGCFdGsoVdbuk7djFMUWmWWkH-LMFkMSVax3K7rY1P89LAVjY317oSdmvs4a5p6hAWqOGBZgM1Z0pZAOcPXNZRQRWMlxDdjqw0ThdbJAfn2KhtmwjXivj22hEyr7XHaKpbLZydHlLLeZGRRlsJqfRvfws4P85tqwkNkQtbyhevk3Vd6R7e?purpose=fullsiz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28607" cy="3262060"/>
                    </a:xfrm>
                    <a:prstGeom prst="rect">
                      <a:avLst/>
                    </a:prstGeom>
                    <a:noFill/>
                    <a:ln>
                      <a:noFill/>
                    </a:ln>
                  </pic:spPr>
                </pic:pic>
              </a:graphicData>
            </a:graphic>
          </wp:inline>
        </w:drawing>
      </w:r>
      <w:r w:rsidRPr="005475A3">
        <w:rPr>
          <w:rFonts w:ascii="Times New Roman" w:eastAsia="Times New Roman" w:hAnsi="Times New Roman" w:cs="Times New Roman"/>
          <w:b/>
          <w:bCs/>
          <w:sz w:val="24"/>
          <w:szCs w:val="24"/>
          <w:lang w:eastAsia="en-GB"/>
        </w:rPr>
        <w:t xml:space="preserve">Figure A2: HSBC </w:t>
      </w:r>
      <w:proofErr w:type="spellStart"/>
      <w:r w:rsidRPr="005475A3">
        <w:rPr>
          <w:rFonts w:ascii="Times New Roman" w:eastAsia="Times New Roman" w:hAnsi="Times New Roman" w:cs="Times New Roman"/>
          <w:b/>
          <w:bCs/>
          <w:sz w:val="24"/>
          <w:szCs w:val="24"/>
          <w:lang w:eastAsia="en-GB"/>
        </w:rPr>
        <w:t>cybersecurity</w:t>
      </w:r>
      <w:proofErr w:type="spellEnd"/>
      <w:r w:rsidRPr="005475A3">
        <w:rPr>
          <w:rFonts w:ascii="Times New Roman" w:eastAsia="Times New Roman" w:hAnsi="Times New Roman" w:cs="Times New Roman"/>
          <w:b/>
          <w:bCs/>
          <w:sz w:val="24"/>
          <w:szCs w:val="24"/>
          <w:lang w:eastAsia="en-GB"/>
        </w:rPr>
        <w:t xml:space="preserve"> operations model</w:t>
      </w:r>
    </w:p>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HSBC has implemented a centralised </w:t>
      </w:r>
      <w:proofErr w:type="spellStart"/>
      <w:r w:rsidRPr="005475A3">
        <w:rPr>
          <w:rFonts w:ascii="Times New Roman" w:eastAsia="Times New Roman" w:hAnsi="Times New Roman" w:cs="Times New Roman"/>
          <w:sz w:val="24"/>
          <w:szCs w:val="24"/>
          <w:lang w:eastAsia="en-GB"/>
        </w:rPr>
        <w:t>cybersecurity</w:t>
      </w:r>
      <w:proofErr w:type="spellEnd"/>
      <w:r w:rsidRPr="005475A3">
        <w:rPr>
          <w:rFonts w:ascii="Times New Roman" w:eastAsia="Times New Roman" w:hAnsi="Times New Roman" w:cs="Times New Roman"/>
          <w:sz w:val="24"/>
          <w:szCs w:val="24"/>
          <w:lang w:eastAsia="en-GB"/>
        </w:rPr>
        <w:t xml:space="preserve"> strategy focused on governance, monitoring, and threat intelligence.</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Key Practices:</w:t>
      </w:r>
    </w:p>
    <w:p w:rsidR="005475A3" w:rsidRPr="005475A3" w:rsidRDefault="005475A3" w:rsidP="005475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Centralised governance structure (CISO-led) </w:t>
      </w:r>
    </w:p>
    <w:p w:rsidR="005475A3" w:rsidRPr="005475A3" w:rsidRDefault="005475A3" w:rsidP="005475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Real-time threat detection systems </w:t>
      </w:r>
    </w:p>
    <w:p w:rsidR="005475A3" w:rsidRPr="005475A3" w:rsidRDefault="005475A3" w:rsidP="005475A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Integration of AI-driven analytics </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Relevance to FSB:</w:t>
      </w:r>
    </w:p>
    <w:p w:rsidR="00B86A56" w:rsidRPr="00B86A56" w:rsidRDefault="00B86A56" w:rsidP="005475A3">
      <w:pPr>
        <w:spacing w:before="100" w:beforeAutospacing="1" w:after="100" w:afterAutospacing="1" w:line="240" w:lineRule="auto"/>
        <w:outlineLvl w:val="1"/>
        <w:rPr>
          <w:rFonts w:ascii="Times New Roman" w:hAnsi="Times New Roman" w:cs="Times New Roman"/>
          <w:sz w:val="24"/>
        </w:rPr>
      </w:pPr>
      <w:r w:rsidRPr="00B86A56">
        <w:rPr>
          <w:rFonts w:ascii="Times New Roman" w:hAnsi="Times New Roman" w:cs="Times New Roman"/>
          <w:sz w:val="24"/>
        </w:rPr>
        <w:t>This case supports the governance and monitoring model proposed in Section 4.2 of the main report. It also aligns with the Zero Trust Architecture discussed in Section 4.3, demonstrating how continuous verification and strict access controls can reduce insider and external threats.</w:t>
      </w:r>
    </w:p>
    <w:p w:rsid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 xml:space="preserve">2.3 JPMorgan Security </w:t>
      </w:r>
      <w:proofErr w:type="gramStart"/>
      <w:r w:rsidRPr="005475A3">
        <w:rPr>
          <w:rFonts w:ascii="Times New Roman" w:eastAsia="Times New Roman" w:hAnsi="Times New Roman" w:cs="Times New Roman"/>
          <w:b/>
          <w:bCs/>
          <w:sz w:val="36"/>
          <w:szCs w:val="36"/>
          <w:lang w:eastAsia="en-GB"/>
        </w:rPr>
        <w:t>Strategy</w:t>
      </w:r>
      <w:proofErr w:type="gramEnd"/>
    </w:p>
    <w:p w:rsidR="00F548EE" w:rsidRPr="005475A3" w:rsidRDefault="00F548EE"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5475A3" w:rsidRDefault="005475A3" w:rsidP="00F548E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4365A778" wp14:editId="2DD66FE0">
            <wp:extent cx="5902490" cy="5358810"/>
            <wp:effectExtent l="0" t="0" r="3175" b="0"/>
            <wp:docPr id="3" name="Picture 3" descr="https://images.openai.com/static-rsc-4/k6rayC2n229gnVltVF-1zzYzHK6P8K6hTDF6B4nq1j4IJj97TQ9SiJvnk0bmPUO_MRewW9ywTgX0rOnXaYx0fSGhpFq-75W4wWRUm0uQsmmgyxNVXNpMgRIwbxLc1iANvGWt3CO_Wt9j189k9s6BvswOSr8xrJJ2lWp852RUsegCRnVoGRsgkbX3YBuLs5gP?purpose=full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mages.openai.com/static-rsc-4/k6rayC2n229gnVltVF-1zzYzHK6P8K6hTDF6B4nq1j4IJj97TQ9SiJvnk0bmPUO_MRewW9ywTgX0rOnXaYx0fSGhpFq-75W4wWRUm0uQsmmgyxNVXNpMgRIwbxLc1iANvGWt3CO_Wt9j189k9s6BvswOSr8xrJJ2lWp852RUsegCRnVoGRsgkbX3YBuLs5gP?purpose=fullsiz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6673" cy="5362607"/>
                    </a:xfrm>
                    <a:prstGeom prst="rect">
                      <a:avLst/>
                    </a:prstGeom>
                    <a:noFill/>
                    <a:ln>
                      <a:noFill/>
                    </a:ln>
                  </pic:spPr>
                </pic:pic>
              </a:graphicData>
            </a:graphic>
          </wp:inline>
        </w:drawing>
      </w:r>
      <w:r w:rsidRPr="005475A3">
        <w:rPr>
          <w:rFonts w:ascii="Times New Roman" w:eastAsia="Times New Roman" w:hAnsi="Times New Roman" w:cs="Times New Roman"/>
          <w:b/>
          <w:bCs/>
          <w:sz w:val="24"/>
          <w:szCs w:val="24"/>
          <w:lang w:eastAsia="en-GB"/>
        </w:rPr>
        <w:t>Figure A3: JPMorgan layered security architecture</w:t>
      </w:r>
    </w:p>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JPMorgan adopts a defence-in-depth strategy supported by continuous monitoring and </w:t>
      </w:r>
      <w:proofErr w:type="gramStart"/>
      <w:r w:rsidRPr="005475A3">
        <w:rPr>
          <w:rFonts w:ascii="Times New Roman" w:eastAsia="Times New Roman" w:hAnsi="Times New Roman" w:cs="Times New Roman"/>
          <w:sz w:val="24"/>
          <w:szCs w:val="24"/>
          <w:lang w:eastAsia="en-GB"/>
        </w:rPr>
        <w:t>testing</w:t>
      </w:r>
      <w:proofErr w:type="gramEnd"/>
      <w:r w:rsidRPr="005475A3">
        <w:rPr>
          <w:rFonts w:ascii="Times New Roman" w:eastAsia="Times New Roman" w:hAnsi="Times New Roman" w:cs="Times New Roman"/>
          <w:sz w:val="24"/>
          <w:szCs w:val="24"/>
          <w:lang w:eastAsia="en-GB"/>
        </w:rPr>
        <w:t>.</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Key Practices:</w:t>
      </w:r>
    </w:p>
    <w:p w:rsidR="005475A3" w:rsidRPr="005475A3" w:rsidRDefault="005475A3" w:rsidP="005475A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Layered security architecture </w:t>
      </w:r>
    </w:p>
    <w:p w:rsidR="005475A3" w:rsidRPr="005475A3" w:rsidRDefault="005475A3" w:rsidP="005475A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Continuous penetration testing </w:t>
      </w:r>
    </w:p>
    <w:p w:rsidR="005475A3" w:rsidRPr="005475A3" w:rsidRDefault="005475A3" w:rsidP="005475A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Advanced incident response capabilities </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Relevance to FSB:</w:t>
      </w:r>
    </w:p>
    <w:p w:rsidR="005475A3" w:rsidRPr="005475A3" w:rsidRDefault="00B86A56" w:rsidP="005475A3">
      <w:pPr>
        <w:spacing w:after="0" w:line="240" w:lineRule="auto"/>
        <w:rPr>
          <w:rFonts w:ascii="Times New Roman" w:eastAsia="Times New Roman" w:hAnsi="Times New Roman" w:cs="Times New Roman"/>
          <w:sz w:val="28"/>
          <w:szCs w:val="24"/>
          <w:lang w:eastAsia="en-GB"/>
        </w:rPr>
      </w:pPr>
      <w:r w:rsidRPr="00B86A56">
        <w:rPr>
          <w:rFonts w:ascii="Times New Roman" w:hAnsi="Times New Roman" w:cs="Times New Roman"/>
          <w:sz w:val="24"/>
        </w:rPr>
        <w:t>This approach aligns with the layered technical architecture proposed in Section 4.5 of the main report and supports the importance of regulatory compliance discussed in Section 5, particularly in maintaining data protection and organisational accountability.</w:t>
      </w:r>
    </w:p>
    <w:p w:rsidR="00B86A56" w:rsidRDefault="00B86A56"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B86A56" w:rsidRDefault="00B86A56"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5475A3" w:rsidRP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3. Comparative Analysis</w:t>
      </w:r>
    </w:p>
    <w:tbl>
      <w:tblPr>
        <w:tblStyle w:val="TableGrid"/>
        <w:tblW w:w="8712" w:type="dxa"/>
        <w:tblLook w:val="04A0" w:firstRow="1" w:lastRow="0" w:firstColumn="1" w:lastColumn="0" w:noHBand="0" w:noVBand="1"/>
      </w:tblPr>
      <w:tblGrid>
        <w:gridCol w:w="1910"/>
        <w:gridCol w:w="1944"/>
        <w:gridCol w:w="1237"/>
        <w:gridCol w:w="1363"/>
        <w:gridCol w:w="2258"/>
      </w:tblGrid>
      <w:tr w:rsidR="005475A3" w:rsidRPr="005475A3" w:rsidTr="00B86A56">
        <w:trPr>
          <w:trHeight w:val="443"/>
        </w:trPr>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Feature</w:t>
            </w:r>
          </w:p>
        </w:tc>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Capital One</w:t>
            </w:r>
          </w:p>
        </w:tc>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HSBC</w:t>
            </w:r>
          </w:p>
        </w:tc>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JPMorgan</w:t>
            </w:r>
          </w:p>
        </w:tc>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FSB (Proposed)</w:t>
            </w:r>
          </w:p>
        </w:tc>
      </w:tr>
      <w:tr w:rsidR="005475A3" w:rsidRPr="005475A3" w:rsidTr="00B86A56">
        <w:trPr>
          <w:trHeight w:val="443"/>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Governance</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Weak (at breach)</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Strong</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Strong</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ISO 27001-based</w:t>
            </w:r>
          </w:p>
        </w:tc>
      </w:tr>
      <w:tr w:rsidR="005475A3" w:rsidRPr="005475A3" w:rsidTr="00B86A56">
        <w:trPr>
          <w:trHeight w:val="443"/>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Threat Detection</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Limited</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Advanced</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Advanced</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SIEM + AI</w:t>
            </w:r>
          </w:p>
        </w:tc>
      </w:tr>
      <w:tr w:rsidR="005475A3" w:rsidRPr="005475A3" w:rsidTr="00B86A56">
        <w:trPr>
          <w:trHeight w:val="443"/>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Security Model</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Cloud-focused</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Hybrid</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Layered</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Hybrid + Zero Trust</w:t>
            </w:r>
          </w:p>
        </w:tc>
      </w:tr>
      <w:tr w:rsidR="005475A3" w:rsidRPr="005475A3" w:rsidTr="00B86A56">
        <w:trPr>
          <w:trHeight w:val="472"/>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Risk Approach</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Reactive</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Proactive</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Proactive</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Adaptive (ASGM)</w:t>
            </w:r>
          </w:p>
        </w:tc>
      </w:tr>
    </w:tbl>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This comparison demonstrates that leading financial institutions adopt proactive and layered security strategies. The proposed ASGM model aligns with these best practices, supporting its effectiveness.</w:t>
      </w:r>
    </w:p>
    <w:p w:rsidR="005475A3" w:rsidRPr="005475A3" w:rsidRDefault="005475A3" w:rsidP="005475A3">
      <w:pPr>
        <w:spacing w:after="0"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pict>
          <v:rect id="_x0000_i1027" style="width:0;height:1.5pt" o:hralign="center" o:hrstd="t" o:hr="t" fillcolor="#a0a0a0" stroked="f"/>
        </w:pict>
      </w:r>
    </w:p>
    <w:p w:rsidR="005475A3" w:rsidRP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4. Implementation Strategy for FSB</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4.1 Phased Implementation</w:t>
      </w:r>
    </w:p>
    <w:tbl>
      <w:tblPr>
        <w:tblStyle w:val="TableGrid"/>
        <w:tblW w:w="6483" w:type="dxa"/>
        <w:tblLook w:val="04A0" w:firstRow="1" w:lastRow="0" w:firstColumn="1" w:lastColumn="0" w:noHBand="0" w:noVBand="1"/>
      </w:tblPr>
      <w:tblGrid>
        <w:gridCol w:w="971"/>
        <w:gridCol w:w="1493"/>
        <w:gridCol w:w="4019"/>
      </w:tblGrid>
      <w:tr w:rsidR="005475A3" w:rsidRPr="005475A3" w:rsidTr="005475A3">
        <w:trPr>
          <w:trHeight w:val="315"/>
        </w:trPr>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Phase</w:t>
            </w:r>
          </w:p>
        </w:tc>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Focus Area</w:t>
            </w:r>
          </w:p>
        </w:tc>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Key Activities</w:t>
            </w:r>
          </w:p>
        </w:tc>
      </w:tr>
      <w:tr w:rsidR="005475A3" w:rsidRPr="005475A3" w:rsidTr="005475A3">
        <w:trPr>
          <w:trHeight w:val="315"/>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Phase 1</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Governance</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ISO 27001 policies, risk assessment</w:t>
            </w:r>
          </w:p>
        </w:tc>
      </w:tr>
      <w:tr w:rsidR="005475A3" w:rsidRPr="005475A3" w:rsidTr="005475A3">
        <w:trPr>
          <w:trHeight w:val="315"/>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Phase 2</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Security</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NIST CSF controls, SIEM deployment</w:t>
            </w:r>
          </w:p>
        </w:tc>
      </w:tr>
      <w:tr w:rsidR="005475A3" w:rsidRPr="005475A3" w:rsidTr="005475A3">
        <w:trPr>
          <w:trHeight w:val="315"/>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Phase 3</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Access</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Zero Trust, MFA</w:t>
            </w:r>
          </w:p>
        </w:tc>
      </w:tr>
      <w:tr w:rsidR="005475A3" w:rsidRPr="005475A3" w:rsidTr="005475A3">
        <w:trPr>
          <w:trHeight w:val="335"/>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Phase 4</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Optimisation</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AI analytics, automation</w:t>
            </w:r>
          </w:p>
        </w:tc>
      </w:tr>
    </w:tbl>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This phased approach ensures gradual implementation, reducing operational disruption while improving security maturity.</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4.2 Technical Architecture</w:t>
      </w:r>
    </w:p>
    <w:tbl>
      <w:tblPr>
        <w:tblStyle w:val="TableGrid"/>
        <w:tblW w:w="3835" w:type="dxa"/>
        <w:tblLook w:val="04A0" w:firstRow="1" w:lastRow="0" w:firstColumn="1" w:lastColumn="0" w:noHBand="0" w:noVBand="1"/>
      </w:tblPr>
      <w:tblGrid>
        <w:gridCol w:w="1531"/>
        <w:gridCol w:w="2304"/>
      </w:tblGrid>
      <w:tr w:rsidR="005475A3" w:rsidRPr="005475A3" w:rsidTr="005475A3">
        <w:trPr>
          <w:trHeight w:val="340"/>
        </w:trPr>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Layer</w:t>
            </w:r>
          </w:p>
        </w:tc>
        <w:tc>
          <w:tcPr>
            <w:tcW w:w="0" w:type="auto"/>
            <w:hideMark/>
          </w:tcPr>
          <w:p w:rsidR="005475A3" w:rsidRPr="005475A3" w:rsidRDefault="005475A3" w:rsidP="005475A3">
            <w:pPr>
              <w:jc w:val="center"/>
              <w:rPr>
                <w:rFonts w:ascii="Times New Roman" w:eastAsia="Times New Roman" w:hAnsi="Times New Roman" w:cs="Times New Roman"/>
                <w:b/>
                <w:bCs/>
                <w:sz w:val="24"/>
                <w:szCs w:val="24"/>
                <w:lang w:eastAsia="en-GB"/>
              </w:rPr>
            </w:pPr>
            <w:r w:rsidRPr="005475A3">
              <w:rPr>
                <w:rFonts w:ascii="Times New Roman" w:eastAsia="Times New Roman" w:hAnsi="Times New Roman" w:cs="Times New Roman"/>
                <w:b/>
                <w:bCs/>
                <w:sz w:val="24"/>
                <w:szCs w:val="24"/>
                <w:lang w:eastAsia="en-GB"/>
              </w:rPr>
              <w:t>Technology</w:t>
            </w:r>
          </w:p>
        </w:tc>
      </w:tr>
      <w:tr w:rsidR="005475A3" w:rsidRPr="005475A3" w:rsidTr="005475A3">
        <w:trPr>
          <w:trHeight w:val="320"/>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Identity</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IAM, RBAC</w:t>
            </w:r>
          </w:p>
        </w:tc>
      </w:tr>
      <w:tr w:rsidR="005475A3" w:rsidRPr="005475A3" w:rsidTr="005475A3">
        <w:trPr>
          <w:trHeight w:val="320"/>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Network</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IDS/IPS, Firewalls</w:t>
            </w:r>
          </w:p>
        </w:tc>
      </w:tr>
      <w:tr w:rsidR="005475A3" w:rsidRPr="005475A3" w:rsidTr="005475A3">
        <w:trPr>
          <w:trHeight w:val="320"/>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Cloud</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CASB, CSPM</w:t>
            </w:r>
          </w:p>
        </w:tc>
      </w:tr>
      <w:tr w:rsidR="005475A3" w:rsidRPr="005475A3" w:rsidTr="005475A3">
        <w:trPr>
          <w:trHeight w:val="320"/>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Monitoring</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SIEM</w:t>
            </w:r>
          </w:p>
        </w:tc>
      </w:tr>
      <w:tr w:rsidR="005475A3" w:rsidRPr="005475A3" w:rsidTr="005475A3">
        <w:trPr>
          <w:trHeight w:val="340"/>
        </w:trPr>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Intelligence</w:t>
            </w:r>
          </w:p>
        </w:tc>
        <w:tc>
          <w:tcPr>
            <w:tcW w:w="0" w:type="auto"/>
            <w:hideMark/>
          </w:tcPr>
          <w:p w:rsidR="005475A3" w:rsidRPr="005475A3" w:rsidRDefault="005475A3" w:rsidP="005475A3">
            <w:pPr>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AI analytics</w:t>
            </w:r>
          </w:p>
        </w:tc>
      </w:tr>
    </w:tbl>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This architecture reflects a defence-in-depth strategy, ensuring multiple layers of protection across the system.</w:t>
      </w:r>
    </w:p>
    <w:p w:rsidR="005475A3" w:rsidRPr="005475A3" w:rsidRDefault="005475A3" w:rsidP="005475A3">
      <w:pPr>
        <w:spacing w:after="0"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pict>
          <v:rect id="_x0000_i1028" style="width:0;height:1.5pt" o:hralign="center" o:hrstd="t" o:hr="t" fillcolor="#a0a0a0" stroked="f"/>
        </w:pict>
      </w:r>
    </w:p>
    <w:p w:rsidR="00B86A56" w:rsidRDefault="00B86A56"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5475A3" w:rsidRP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5. Scenario-Based Application</w:t>
      </w:r>
    </w:p>
    <w:p w:rsidR="005475A3" w:rsidRPr="005475A3" w:rsidRDefault="005475A3" w:rsidP="005475A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5475A3">
        <w:rPr>
          <w:rFonts w:ascii="Times New Roman" w:eastAsia="Times New Roman" w:hAnsi="Times New Roman" w:cs="Times New Roman"/>
          <w:b/>
          <w:bCs/>
          <w:sz w:val="27"/>
          <w:szCs w:val="27"/>
          <w:lang w:eastAsia="en-GB"/>
        </w:rPr>
        <w:t>Scenario: Phishing Attack</w:t>
      </w:r>
    </w:p>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Without the proposed model, an attack may result in delayed detection and high impact. However, with ASGM:</w:t>
      </w:r>
    </w:p>
    <w:p w:rsidR="005475A3" w:rsidRPr="005475A3" w:rsidRDefault="005475A3" w:rsidP="005475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AI detects abnormal behaviour </w:t>
      </w:r>
    </w:p>
    <w:p w:rsidR="005475A3" w:rsidRPr="005475A3" w:rsidRDefault="005475A3" w:rsidP="005475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Zero Trust blocks access </w:t>
      </w:r>
    </w:p>
    <w:p w:rsidR="005475A3" w:rsidRPr="005475A3" w:rsidRDefault="005475A3" w:rsidP="005475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SIEM generates alerts </w:t>
      </w:r>
    </w:p>
    <w:p w:rsidR="005475A3" w:rsidRPr="005475A3" w:rsidRDefault="005475A3" w:rsidP="005475A3">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ITIL ensures rapid response </w:t>
      </w:r>
    </w:p>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This demonstrates improved resilience and response capability.</w:t>
      </w:r>
    </w:p>
    <w:p w:rsidR="005475A3" w:rsidRPr="005475A3" w:rsidRDefault="005475A3" w:rsidP="005475A3">
      <w:pPr>
        <w:spacing w:after="0"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pict>
          <v:rect id="_x0000_i1029" style="width:0;height:1.5pt" o:hralign="center" o:hrstd="t" o:hr="t" fillcolor="#a0a0a0" stroked="f"/>
        </w:pict>
      </w:r>
    </w:p>
    <w:p w:rsidR="005475A3" w:rsidRPr="005475A3" w:rsidRDefault="005475A3" w:rsidP="005475A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475A3">
        <w:rPr>
          <w:rFonts w:ascii="Times New Roman" w:eastAsia="Times New Roman" w:hAnsi="Times New Roman" w:cs="Times New Roman"/>
          <w:b/>
          <w:bCs/>
          <w:sz w:val="36"/>
          <w:szCs w:val="36"/>
          <w:lang w:eastAsia="en-GB"/>
        </w:rPr>
        <w:t>6. Conclusion</w:t>
      </w:r>
    </w:p>
    <w:p w:rsidR="005475A3" w:rsidRPr="005475A3" w:rsidRDefault="005475A3" w:rsidP="005475A3">
      <w:pPr>
        <w:spacing w:before="100" w:beforeAutospacing="1" w:after="100" w:afterAutospacing="1" w:line="240" w:lineRule="auto"/>
        <w:rPr>
          <w:rFonts w:ascii="Times New Roman" w:eastAsia="Times New Roman" w:hAnsi="Times New Roman" w:cs="Times New Roman"/>
          <w:sz w:val="24"/>
          <w:szCs w:val="24"/>
          <w:lang w:eastAsia="en-GB"/>
        </w:rPr>
      </w:pPr>
      <w:r w:rsidRPr="005475A3">
        <w:rPr>
          <w:rFonts w:ascii="Times New Roman" w:eastAsia="Times New Roman" w:hAnsi="Times New Roman" w:cs="Times New Roman"/>
          <w:sz w:val="24"/>
          <w:szCs w:val="24"/>
          <w:lang w:eastAsia="en-GB"/>
        </w:rPr>
        <w:t xml:space="preserve">The case studies and implementation analysis reinforce the effectiveness of the proposed hybrid governance model. Real-world examples show that successful </w:t>
      </w:r>
      <w:proofErr w:type="spellStart"/>
      <w:r w:rsidRPr="005475A3">
        <w:rPr>
          <w:rFonts w:ascii="Times New Roman" w:eastAsia="Times New Roman" w:hAnsi="Times New Roman" w:cs="Times New Roman"/>
          <w:sz w:val="24"/>
          <w:szCs w:val="24"/>
          <w:lang w:eastAsia="en-GB"/>
        </w:rPr>
        <w:t>cybersecurity</w:t>
      </w:r>
      <w:proofErr w:type="spellEnd"/>
      <w:r w:rsidRPr="005475A3">
        <w:rPr>
          <w:rFonts w:ascii="Times New Roman" w:eastAsia="Times New Roman" w:hAnsi="Times New Roman" w:cs="Times New Roman"/>
          <w:sz w:val="24"/>
          <w:szCs w:val="24"/>
          <w:lang w:eastAsia="en-GB"/>
        </w:rPr>
        <w:t xml:space="preserve"> strategies rely on integrated frameworks, continuous monitoring, and adaptive controls. For FSB, adopting these practices will significantly enhance security, compliance, and operational resilience.</w:t>
      </w:r>
    </w:p>
    <w:p w:rsidR="008B4C0C" w:rsidRDefault="008B4C0C"/>
    <w:sectPr w:rsidR="008B4C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7E1C8D"/>
    <w:multiLevelType w:val="hybridMultilevel"/>
    <w:tmpl w:val="BA2CC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D891D3B"/>
    <w:multiLevelType w:val="multilevel"/>
    <w:tmpl w:val="167E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F947D2E"/>
    <w:multiLevelType w:val="multilevel"/>
    <w:tmpl w:val="3CDE5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D0E0C09"/>
    <w:multiLevelType w:val="multilevel"/>
    <w:tmpl w:val="B5041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E167F50"/>
    <w:multiLevelType w:val="multilevel"/>
    <w:tmpl w:val="F69AF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75A3"/>
    <w:rsid w:val="003730AA"/>
    <w:rsid w:val="005475A3"/>
    <w:rsid w:val="00735BDD"/>
    <w:rsid w:val="008B4C0C"/>
    <w:rsid w:val="00B86A56"/>
    <w:rsid w:val="00F54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475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475A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475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5A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475A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475A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475A3"/>
    <w:rPr>
      <w:b/>
      <w:bCs/>
    </w:rPr>
  </w:style>
  <w:style w:type="paragraph" w:styleId="NormalWeb">
    <w:name w:val="Normal (Web)"/>
    <w:basedOn w:val="Normal"/>
    <w:uiPriority w:val="99"/>
    <w:semiHidden/>
    <w:unhideWhenUsed/>
    <w:rsid w:val="005475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xs">
    <w:name w:val="text-xs"/>
    <w:basedOn w:val="DefaultParagraphFont"/>
    <w:rsid w:val="005475A3"/>
  </w:style>
  <w:style w:type="paragraph" w:styleId="BalloonText">
    <w:name w:val="Balloon Text"/>
    <w:basedOn w:val="Normal"/>
    <w:link w:val="BalloonTextChar"/>
    <w:uiPriority w:val="99"/>
    <w:semiHidden/>
    <w:unhideWhenUsed/>
    <w:rsid w:val="005475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75A3"/>
    <w:rPr>
      <w:rFonts w:ascii="Tahoma" w:hAnsi="Tahoma" w:cs="Tahoma"/>
      <w:sz w:val="16"/>
      <w:szCs w:val="16"/>
    </w:rPr>
  </w:style>
  <w:style w:type="table" w:styleId="TableGrid">
    <w:name w:val="Table Grid"/>
    <w:basedOn w:val="TableNormal"/>
    <w:uiPriority w:val="59"/>
    <w:rsid w:val="005475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
    <w:name w:val="Light List"/>
    <w:basedOn w:val="TableNormal"/>
    <w:uiPriority w:val="61"/>
    <w:rsid w:val="005475A3"/>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ListParagraph">
    <w:name w:val="List Paragraph"/>
    <w:basedOn w:val="Normal"/>
    <w:uiPriority w:val="34"/>
    <w:qFormat/>
    <w:rsid w:val="00F548EE"/>
    <w:pPr>
      <w:ind w:left="720"/>
      <w:contextualSpacing/>
    </w:pPr>
  </w:style>
  <w:style w:type="character" w:styleId="Emphasis">
    <w:name w:val="Emphasis"/>
    <w:basedOn w:val="DefaultParagraphFont"/>
    <w:uiPriority w:val="20"/>
    <w:qFormat/>
    <w:rsid w:val="00F548EE"/>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475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475A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475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5A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475A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475A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475A3"/>
    <w:rPr>
      <w:b/>
      <w:bCs/>
    </w:rPr>
  </w:style>
  <w:style w:type="paragraph" w:styleId="NormalWeb">
    <w:name w:val="Normal (Web)"/>
    <w:basedOn w:val="Normal"/>
    <w:uiPriority w:val="99"/>
    <w:semiHidden/>
    <w:unhideWhenUsed/>
    <w:rsid w:val="005475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xs">
    <w:name w:val="text-xs"/>
    <w:basedOn w:val="DefaultParagraphFont"/>
    <w:rsid w:val="005475A3"/>
  </w:style>
  <w:style w:type="paragraph" w:styleId="BalloonText">
    <w:name w:val="Balloon Text"/>
    <w:basedOn w:val="Normal"/>
    <w:link w:val="BalloonTextChar"/>
    <w:uiPriority w:val="99"/>
    <w:semiHidden/>
    <w:unhideWhenUsed/>
    <w:rsid w:val="005475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75A3"/>
    <w:rPr>
      <w:rFonts w:ascii="Tahoma" w:hAnsi="Tahoma" w:cs="Tahoma"/>
      <w:sz w:val="16"/>
      <w:szCs w:val="16"/>
    </w:rPr>
  </w:style>
  <w:style w:type="table" w:styleId="TableGrid">
    <w:name w:val="Table Grid"/>
    <w:basedOn w:val="TableNormal"/>
    <w:uiPriority w:val="59"/>
    <w:rsid w:val="005475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
    <w:name w:val="Light List"/>
    <w:basedOn w:val="TableNormal"/>
    <w:uiPriority w:val="61"/>
    <w:rsid w:val="005475A3"/>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ListParagraph">
    <w:name w:val="List Paragraph"/>
    <w:basedOn w:val="Normal"/>
    <w:uiPriority w:val="34"/>
    <w:qFormat/>
    <w:rsid w:val="00F548EE"/>
    <w:pPr>
      <w:ind w:left="720"/>
      <w:contextualSpacing/>
    </w:pPr>
  </w:style>
  <w:style w:type="character" w:styleId="Emphasis">
    <w:name w:val="Emphasis"/>
    <w:basedOn w:val="DefaultParagraphFont"/>
    <w:uiPriority w:val="20"/>
    <w:qFormat/>
    <w:rsid w:val="00F548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341571">
      <w:bodyDiv w:val="1"/>
      <w:marLeft w:val="0"/>
      <w:marRight w:val="0"/>
      <w:marTop w:val="0"/>
      <w:marBottom w:val="0"/>
      <w:divBdr>
        <w:top w:val="none" w:sz="0" w:space="0" w:color="auto"/>
        <w:left w:val="none" w:sz="0" w:space="0" w:color="auto"/>
        <w:bottom w:val="none" w:sz="0" w:space="0" w:color="auto"/>
        <w:right w:val="none" w:sz="0" w:space="0" w:color="auto"/>
      </w:divBdr>
      <w:divsChild>
        <w:div w:id="253435747">
          <w:marLeft w:val="0"/>
          <w:marRight w:val="0"/>
          <w:marTop w:val="0"/>
          <w:marBottom w:val="0"/>
          <w:divBdr>
            <w:top w:val="none" w:sz="0" w:space="0" w:color="auto"/>
            <w:left w:val="none" w:sz="0" w:space="0" w:color="auto"/>
            <w:bottom w:val="none" w:sz="0" w:space="0" w:color="auto"/>
            <w:right w:val="none" w:sz="0" w:space="0" w:color="auto"/>
          </w:divBdr>
          <w:divsChild>
            <w:div w:id="1885604378">
              <w:marLeft w:val="0"/>
              <w:marRight w:val="0"/>
              <w:marTop w:val="0"/>
              <w:marBottom w:val="0"/>
              <w:divBdr>
                <w:top w:val="none" w:sz="0" w:space="0" w:color="auto"/>
                <w:left w:val="none" w:sz="0" w:space="0" w:color="auto"/>
                <w:bottom w:val="none" w:sz="0" w:space="0" w:color="auto"/>
                <w:right w:val="none" w:sz="0" w:space="0" w:color="auto"/>
              </w:divBdr>
              <w:divsChild>
                <w:div w:id="1636250103">
                  <w:marLeft w:val="0"/>
                  <w:marRight w:val="0"/>
                  <w:marTop w:val="0"/>
                  <w:marBottom w:val="0"/>
                  <w:divBdr>
                    <w:top w:val="none" w:sz="0" w:space="0" w:color="auto"/>
                    <w:left w:val="none" w:sz="0" w:space="0" w:color="auto"/>
                    <w:bottom w:val="none" w:sz="0" w:space="0" w:color="auto"/>
                    <w:right w:val="none" w:sz="0" w:space="0" w:color="auto"/>
                  </w:divBdr>
                  <w:divsChild>
                    <w:div w:id="211474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215302">
              <w:marLeft w:val="0"/>
              <w:marRight w:val="0"/>
              <w:marTop w:val="0"/>
              <w:marBottom w:val="0"/>
              <w:divBdr>
                <w:top w:val="none" w:sz="0" w:space="0" w:color="auto"/>
                <w:left w:val="none" w:sz="0" w:space="0" w:color="auto"/>
                <w:bottom w:val="none" w:sz="0" w:space="0" w:color="auto"/>
                <w:right w:val="none" w:sz="0" w:space="0" w:color="auto"/>
              </w:divBdr>
              <w:divsChild>
                <w:div w:id="388381728">
                  <w:marLeft w:val="0"/>
                  <w:marRight w:val="0"/>
                  <w:marTop w:val="0"/>
                  <w:marBottom w:val="0"/>
                  <w:divBdr>
                    <w:top w:val="none" w:sz="0" w:space="0" w:color="auto"/>
                    <w:left w:val="none" w:sz="0" w:space="0" w:color="auto"/>
                    <w:bottom w:val="none" w:sz="0" w:space="0" w:color="auto"/>
                    <w:right w:val="none" w:sz="0" w:space="0" w:color="auto"/>
                  </w:divBdr>
                  <w:divsChild>
                    <w:div w:id="53785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41896">
              <w:marLeft w:val="0"/>
              <w:marRight w:val="0"/>
              <w:marTop w:val="0"/>
              <w:marBottom w:val="0"/>
              <w:divBdr>
                <w:top w:val="none" w:sz="0" w:space="0" w:color="auto"/>
                <w:left w:val="none" w:sz="0" w:space="0" w:color="auto"/>
                <w:bottom w:val="none" w:sz="0" w:space="0" w:color="auto"/>
                <w:right w:val="none" w:sz="0" w:space="0" w:color="auto"/>
              </w:divBdr>
              <w:divsChild>
                <w:div w:id="1324966172">
                  <w:marLeft w:val="0"/>
                  <w:marRight w:val="0"/>
                  <w:marTop w:val="0"/>
                  <w:marBottom w:val="0"/>
                  <w:divBdr>
                    <w:top w:val="none" w:sz="0" w:space="0" w:color="auto"/>
                    <w:left w:val="none" w:sz="0" w:space="0" w:color="auto"/>
                    <w:bottom w:val="none" w:sz="0" w:space="0" w:color="auto"/>
                    <w:right w:val="none" w:sz="0" w:space="0" w:color="auto"/>
                  </w:divBdr>
                  <w:divsChild>
                    <w:div w:id="1127316111">
                      <w:marLeft w:val="0"/>
                      <w:marRight w:val="0"/>
                      <w:marTop w:val="0"/>
                      <w:marBottom w:val="0"/>
                      <w:divBdr>
                        <w:top w:val="none" w:sz="0" w:space="0" w:color="auto"/>
                        <w:left w:val="none" w:sz="0" w:space="0" w:color="auto"/>
                        <w:bottom w:val="none" w:sz="0" w:space="0" w:color="auto"/>
                        <w:right w:val="none" w:sz="0" w:space="0" w:color="auto"/>
                      </w:divBdr>
                    </w:div>
                    <w:div w:id="786968101">
                      <w:marLeft w:val="0"/>
                      <w:marRight w:val="0"/>
                      <w:marTop w:val="0"/>
                      <w:marBottom w:val="0"/>
                      <w:divBdr>
                        <w:top w:val="none" w:sz="0" w:space="0" w:color="auto"/>
                        <w:left w:val="none" w:sz="0" w:space="0" w:color="auto"/>
                        <w:bottom w:val="none" w:sz="0" w:space="0" w:color="auto"/>
                        <w:right w:val="none" w:sz="0" w:space="0" w:color="auto"/>
                      </w:divBdr>
                      <w:divsChild>
                        <w:div w:id="1794328876">
                          <w:marLeft w:val="0"/>
                          <w:marRight w:val="0"/>
                          <w:marTop w:val="0"/>
                          <w:marBottom w:val="0"/>
                          <w:divBdr>
                            <w:top w:val="none" w:sz="0" w:space="0" w:color="auto"/>
                            <w:left w:val="none" w:sz="0" w:space="0" w:color="auto"/>
                            <w:bottom w:val="none" w:sz="0" w:space="0" w:color="auto"/>
                            <w:right w:val="none" w:sz="0" w:space="0" w:color="auto"/>
                          </w:divBdr>
                          <w:divsChild>
                            <w:div w:id="201683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4030421">
          <w:marLeft w:val="0"/>
          <w:marRight w:val="0"/>
          <w:marTop w:val="0"/>
          <w:marBottom w:val="0"/>
          <w:divBdr>
            <w:top w:val="none" w:sz="0" w:space="0" w:color="auto"/>
            <w:left w:val="none" w:sz="0" w:space="0" w:color="auto"/>
            <w:bottom w:val="none" w:sz="0" w:space="0" w:color="auto"/>
            <w:right w:val="none" w:sz="0" w:space="0" w:color="auto"/>
          </w:divBdr>
          <w:divsChild>
            <w:div w:id="316568449">
              <w:marLeft w:val="0"/>
              <w:marRight w:val="0"/>
              <w:marTop w:val="0"/>
              <w:marBottom w:val="0"/>
              <w:divBdr>
                <w:top w:val="none" w:sz="0" w:space="0" w:color="auto"/>
                <w:left w:val="none" w:sz="0" w:space="0" w:color="auto"/>
                <w:bottom w:val="none" w:sz="0" w:space="0" w:color="auto"/>
                <w:right w:val="none" w:sz="0" w:space="0" w:color="auto"/>
              </w:divBdr>
              <w:divsChild>
                <w:div w:id="347297755">
                  <w:marLeft w:val="0"/>
                  <w:marRight w:val="0"/>
                  <w:marTop w:val="0"/>
                  <w:marBottom w:val="0"/>
                  <w:divBdr>
                    <w:top w:val="none" w:sz="0" w:space="0" w:color="auto"/>
                    <w:left w:val="none" w:sz="0" w:space="0" w:color="auto"/>
                    <w:bottom w:val="none" w:sz="0" w:space="0" w:color="auto"/>
                    <w:right w:val="none" w:sz="0" w:space="0" w:color="auto"/>
                  </w:divBdr>
                  <w:divsChild>
                    <w:div w:id="66324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544">
              <w:marLeft w:val="0"/>
              <w:marRight w:val="0"/>
              <w:marTop w:val="0"/>
              <w:marBottom w:val="0"/>
              <w:divBdr>
                <w:top w:val="none" w:sz="0" w:space="0" w:color="auto"/>
                <w:left w:val="none" w:sz="0" w:space="0" w:color="auto"/>
                <w:bottom w:val="none" w:sz="0" w:space="0" w:color="auto"/>
                <w:right w:val="none" w:sz="0" w:space="0" w:color="auto"/>
              </w:divBdr>
              <w:divsChild>
                <w:div w:id="1652563129">
                  <w:marLeft w:val="0"/>
                  <w:marRight w:val="0"/>
                  <w:marTop w:val="0"/>
                  <w:marBottom w:val="0"/>
                  <w:divBdr>
                    <w:top w:val="none" w:sz="0" w:space="0" w:color="auto"/>
                    <w:left w:val="none" w:sz="0" w:space="0" w:color="auto"/>
                    <w:bottom w:val="none" w:sz="0" w:space="0" w:color="auto"/>
                    <w:right w:val="none" w:sz="0" w:space="0" w:color="auto"/>
                  </w:divBdr>
                  <w:divsChild>
                    <w:div w:id="138991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059543">
              <w:marLeft w:val="0"/>
              <w:marRight w:val="0"/>
              <w:marTop w:val="0"/>
              <w:marBottom w:val="0"/>
              <w:divBdr>
                <w:top w:val="none" w:sz="0" w:space="0" w:color="auto"/>
                <w:left w:val="none" w:sz="0" w:space="0" w:color="auto"/>
                <w:bottom w:val="none" w:sz="0" w:space="0" w:color="auto"/>
                <w:right w:val="none" w:sz="0" w:space="0" w:color="auto"/>
              </w:divBdr>
              <w:divsChild>
                <w:div w:id="315575227">
                  <w:marLeft w:val="0"/>
                  <w:marRight w:val="0"/>
                  <w:marTop w:val="0"/>
                  <w:marBottom w:val="0"/>
                  <w:divBdr>
                    <w:top w:val="none" w:sz="0" w:space="0" w:color="auto"/>
                    <w:left w:val="none" w:sz="0" w:space="0" w:color="auto"/>
                    <w:bottom w:val="none" w:sz="0" w:space="0" w:color="auto"/>
                    <w:right w:val="none" w:sz="0" w:space="0" w:color="auto"/>
                  </w:divBdr>
                  <w:divsChild>
                    <w:div w:id="209003880">
                      <w:marLeft w:val="0"/>
                      <w:marRight w:val="0"/>
                      <w:marTop w:val="0"/>
                      <w:marBottom w:val="0"/>
                      <w:divBdr>
                        <w:top w:val="none" w:sz="0" w:space="0" w:color="auto"/>
                        <w:left w:val="none" w:sz="0" w:space="0" w:color="auto"/>
                        <w:bottom w:val="none" w:sz="0" w:space="0" w:color="auto"/>
                        <w:right w:val="none" w:sz="0" w:space="0" w:color="auto"/>
                      </w:divBdr>
                    </w:div>
                    <w:div w:id="1802112248">
                      <w:marLeft w:val="0"/>
                      <w:marRight w:val="0"/>
                      <w:marTop w:val="0"/>
                      <w:marBottom w:val="0"/>
                      <w:divBdr>
                        <w:top w:val="none" w:sz="0" w:space="0" w:color="auto"/>
                        <w:left w:val="none" w:sz="0" w:space="0" w:color="auto"/>
                        <w:bottom w:val="none" w:sz="0" w:space="0" w:color="auto"/>
                        <w:right w:val="none" w:sz="0" w:space="0" w:color="auto"/>
                      </w:divBdr>
                      <w:divsChild>
                        <w:div w:id="1877891745">
                          <w:marLeft w:val="0"/>
                          <w:marRight w:val="0"/>
                          <w:marTop w:val="0"/>
                          <w:marBottom w:val="0"/>
                          <w:divBdr>
                            <w:top w:val="none" w:sz="0" w:space="0" w:color="auto"/>
                            <w:left w:val="none" w:sz="0" w:space="0" w:color="auto"/>
                            <w:bottom w:val="none" w:sz="0" w:space="0" w:color="auto"/>
                            <w:right w:val="none" w:sz="0" w:space="0" w:color="auto"/>
                          </w:divBdr>
                          <w:divsChild>
                            <w:div w:id="56592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0292661">
          <w:marLeft w:val="0"/>
          <w:marRight w:val="0"/>
          <w:marTop w:val="0"/>
          <w:marBottom w:val="0"/>
          <w:divBdr>
            <w:top w:val="none" w:sz="0" w:space="0" w:color="auto"/>
            <w:left w:val="none" w:sz="0" w:space="0" w:color="auto"/>
            <w:bottom w:val="none" w:sz="0" w:space="0" w:color="auto"/>
            <w:right w:val="none" w:sz="0" w:space="0" w:color="auto"/>
          </w:divBdr>
          <w:divsChild>
            <w:div w:id="1371952653">
              <w:marLeft w:val="0"/>
              <w:marRight w:val="0"/>
              <w:marTop w:val="0"/>
              <w:marBottom w:val="0"/>
              <w:divBdr>
                <w:top w:val="none" w:sz="0" w:space="0" w:color="auto"/>
                <w:left w:val="none" w:sz="0" w:space="0" w:color="auto"/>
                <w:bottom w:val="none" w:sz="0" w:space="0" w:color="auto"/>
                <w:right w:val="none" w:sz="0" w:space="0" w:color="auto"/>
              </w:divBdr>
              <w:divsChild>
                <w:div w:id="1190724977">
                  <w:marLeft w:val="0"/>
                  <w:marRight w:val="0"/>
                  <w:marTop w:val="0"/>
                  <w:marBottom w:val="0"/>
                  <w:divBdr>
                    <w:top w:val="none" w:sz="0" w:space="0" w:color="auto"/>
                    <w:left w:val="none" w:sz="0" w:space="0" w:color="auto"/>
                    <w:bottom w:val="none" w:sz="0" w:space="0" w:color="auto"/>
                    <w:right w:val="none" w:sz="0" w:space="0" w:color="auto"/>
                  </w:divBdr>
                  <w:divsChild>
                    <w:div w:id="187341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54559">
              <w:marLeft w:val="0"/>
              <w:marRight w:val="0"/>
              <w:marTop w:val="0"/>
              <w:marBottom w:val="0"/>
              <w:divBdr>
                <w:top w:val="none" w:sz="0" w:space="0" w:color="auto"/>
                <w:left w:val="none" w:sz="0" w:space="0" w:color="auto"/>
                <w:bottom w:val="none" w:sz="0" w:space="0" w:color="auto"/>
                <w:right w:val="none" w:sz="0" w:space="0" w:color="auto"/>
              </w:divBdr>
              <w:divsChild>
                <w:div w:id="1404068100">
                  <w:marLeft w:val="0"/>
                  <w:marRight w:val="0"/>
                  <w:marTop w:val="0"/>
                  <w:marBottom w:val="0"/>
                  <w:divBdr>
                    <w:top w:val="none" w:sz="0" w:space="0" w:color="auto"/>
                    <w:left w:val="none" w:sz="0" w:space="0" w:color="auto"/>
                    <w:bottom w:val="none" w:sz="0" w:space="0" w:color="auto"/>
                    <w:right w:val="none" w:sz="0" w:space="0" w:color="auto"/>
                  </w:divBdr>
                  <w:divsChild>
                    <w:div w:id="127560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9459">
              <w:marLeft w:val="0"/>
              <w:marRight w:val="0"/>
              <w:marTop w:val="0"/>
              <w:marBottom w:val="0"/>
              <w:divBdr>
                <w:top w:val="none" w:sz="0" w:space="0" w:color="auto"/>
                <w:left w:val="none" w:sz="0" w:space="0" w:color="auto"/>
                <w:bottom w:val="none" w:sz="0" w:space="0" w:color="auto"/>
                <w:right w:val="none" w:sz="0" w:space="0" w:color="auto"/>
              </w:divBdr>
              <w:divsChild>
                <w:div w:id="1599409993">
                  <w:marLeft w:val="0"/>
                  <w:marRight w:val="0"/>
                  <w:marTop w:val="0"/>
                  <w:marBottom w:val="0"/>
                  <w:divBdr>
                    <w:top w:val="none" w:sz="0" w:space="0" w:color="auto"/>
                    <w:left w:val="none" w:sz="0" w:space="0" w:color="auto"/>
                    <w:bottom w:val="none" w:sz="0" w:space="0" w:color="auto"/>
                    <w:right w:val="none" w:sz="0" w:space="0" w:color="auto"/>
                  </w:divBdr>
                  <w:divsChild>
                    <w:div w:id="1872181778">
                      <w:marLeft w:val="0"/>
                      <w:marRight w:val="0"/>
                      <w:marTop w:val="0"/>
                      <w:marBottom w:val="0"/>
                      <w:divBdr>
                        <w:top w:val="none" w:sz="0" w:space="0" w:color="auto"/>
                        <w:left w:val="none" w:sz="0" w:space="0" w:color="auto"/>
                        <w:bottom w:val="none" w:sz="0" w:space="0" w:color="auto"/>
                        <w:right w:val="none" w:sz="0" w:space="0" w:color="auto"/>
                      </w:divBdr>
                    </w:div>
                    <w:div w:id="179121735">
                      <w:marLeft w:val="0"/>
                      <w:marRight w:val="0"/>
                      <w:marTop w:val="0"/>
                      <w:marBottom w:val="0"/>
                      <w:divBdr>
                        <w:top w:val="none" w:sz="0" w:space="0" w:color="auto"/>
                        <w:left w:val="none" w:sz="0" w:space="0" w:color="auto"/>
                        <w:bottom w:val="none" w:sz="0" w:space="0" w:color="auto"/>
                        <w:right w:val="none" w:sz="0" w:space="0" w:color="auto"/>
                      </w:divBdr>
                      <w:divsChild>
                        <w:div w:id="1816028698">
                          <w:marLeft w:val="0"/>
                          <w:marRight w:val="0"/>
                          <w:marTop w:val="0"/>
                          <w:marBottom w:val="0"/>
                          <w:divBdr>
                            <w:top w:val="none" w:sz="0" w:space="0" w:color="auto"/>
                            <w:left w:val="none" w:sz="0" w:space="0" w:color="auto"/>
                            <w:bottom w:val="none" w:sz="0" w:space="0" w:color="auto"/>
                            <w:right w:val="none" w:sz="0" w:space="0" w:color="auto"/>
                          </w:divBdr>
                          <w:divsChild>
                            <w:div w:id="178631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7149831">
          <w:marLeft w:val="0"/>
          <w:marRight w:val="0"/>
          <w:marTop w:val="0"/>
          <w:marBottom w:val="0"/>
          <w:divBdr>
            <w:top w:val="none" w:sz="0" w:space="0" w:color="auto"/>
            <w:left w:val="none" w:sz="0" w:space="0" w:color="auto"/>
            <w:bottom w:val="none" w:sz="0" w:space="0" w:color="auto"/>
            <w:right w:val="none" w:sz="0" w:space="0" w:color="auto"/>
          </w:divBdr>
          <w:divsChild>
            <w:div w:id="243684055">
              <w:marLeft w:val="0"/>
              <w:marRight w:val="0"/>
              <w:marTop w:val="0"/>
              <w:marBottom w:val="0"/>
              <w:divBdr>
                <w:top w:val="none" w:sz="0" w:space="0" w:color="auto"/>
                <w:left w:val="none" w:sz="0" w:space="0" w:color="auto"/>
                <w:bottom w:val="none" w:sz="0" w:space="0" w:color="auto"/>
                <w:right w:val="none" w:sz="0" w:space="0" w:color="auto"/>
              </w:divBdr>
            </w:div>
          </w:divsChild>
        </w:div>
        <w:div w:id="719129384">
          <w:marLeft w:val="0"/>
          <w:marRight w:val="0"/>
          <w:marTop w:val="0"/>
          <w:marBottom w:val="0"/>
          <w:divBdr>
            <w:top w:val="none" w:sz="0" w:space="0" w:color="auto"/>
            <w:left w:val="none" w:sz="0" w:space="0" w:color="auto"/>
            <w:bottom w:val="none" w:sz="0" w:space="0" w:color="auto"/>
            <w:right w:val="none" w:sz="0" w:space="0" w:color="auto"/>
          </w:divBdr>
          <w:divsChild>
            <w:div w:id="1544294229">
              <w:marLeft w:val="0"/>
              <w:marRight w:val="0"/>
              <w:marTop w:val="0"/>
              <w:marBottom w:val="0"/>
              <w:divBdr>
                <w:top w:val="none" w:sz="0" w:space="0" w:color="auto"/>
                <w:left w:val="none" w:sz="0" w:space="0" w:color="auto"/>
                <w:bottom w:val="none" w:sz="0" w:space="0" w:color="auto"/>
                <w:right w:val="none" w:sz="0" w:space="0" w:color="auto"/>
              </w:divBdr>
            </w:div>
          </w:divsChild>
        </w:div>
        <w:div w:id="526254603">
          <w:marLeft w:val="0"/>
          <w:marRight w:val="0"/>
          <w:marTop w:val="0"/>
          <w:marBottom w:val="0"/>
          <w:divBdr>
            <w:top w:val="none" w:sz="0" w:space="0" w:color="auto"/>
            <w:left w:val="none" w:sz="0" w:space="0" w:color="auto"/>
            <w:bottom w:val="none" w:sz="0" w:space="0" w:color="auto"/>
            <w:right w:val="none" w:sz="0" w:space="0" w:color="auto"/>
          </w:divBdr>
          <w:divsChild>
            <w:div w:id="82169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468543">
      <w:bodyDiv w:val="1"/>
      <w:marLeft w:val="0"/>
      <w:marRight w:val="0"/>
      <w:marTop w:val="0"/>
      <w:marBottom w:val="0"/>
      <w:divBdr>
        <w:top w:val="none" w:sz="0" w:space="0" w:color="auto"/>
        <w:left w:val="none" w:sz="0" w:space="0" w:color="auto"/>
        <w:bottom w:val="none" w:sz="0" w:space="0" w:color="auto"/>
        <w:right w:val="none" w:sz="0" w:space="0" w:color="auto"/>
      </w:divBdr>
      <w:divsChild>
        <w:div w:id="15570817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6</Pages>
  <Words>677</Words>
  <Characters>3860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4</cp:revision>
  <dcterms:created xsi:type="dcterms:W3CDTF">2026-04-02T12:30:00Z</dcterms:created>
  <dcterms:modified xsi:type="dcterms:W3CDTF">2026-04-02T13:29:00Z</dcterms:modified>
</cp:coreProperties>
</file>