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A58E4B6" wp14:paraId="2C078E63" wp14:textId="7067D66D">
      <w:pPr>
        <w:rPr>
          <w:rFonts w:ascii="Aptos Display" w:hAnsi="Aptos Display" w:eastAsia="Aptos Display" w:cs="Aptos Display" w:asciiTheme="majorAscii" w:hAnsiTheme="majorAscii" w:eastAsiaTheme="majorAscii" w:cstheme="majorAscii"/>
          <w:b w:val="1"/>
          <w:bCs w:val="1"/>
          <w:sz w:val="36"/>
          <w:szCs w:val="36"/>
          <w:u w:val="single"/>
        </w:rPr>
      </w:pPr>
      <w:r w:rsidRPr="2A58E4B6" w:rsidR="45D96B55">
        <w:rPr>
          <w:rFonts w:ascii="Aptos Display" w:hAnsi="Aptos Display" w:eastAsia="Aptos Display" w:cs="Aptos Display" w:asciiTheme="majorAscii" w:hAnsiTheme="majorAscii" w:eastAsiaTheme="majorAscii" w:cstheme="majorAscii"/>
          <w:b w:val="1"/>
          <w:bCs w:val="1"/>
          <w:sz w:val="36"/>
          <w:szCs w:val="36"/>
          <w:u w:val="none"/>
        </w:rPr>
        <w:t xml:space="preserve">                                </w:t>
      </w:r>
      <w:r w:rsidRPr="2A58E4B6" w:rsidR="45D96B55">
        <w:rPr>
          <w:rFonts w:ascii="Aptos Display" w:hAnsi="Aptos Display" w:eastAsia="Aptos Display" w:cs="Aptos Display" w:asciiTheme="majorAscii" w:hAnsiTheme="majorAscii" w:eastAsiaTheme="majorAscii" w:cstheme="majorAscii"/>
          <w:b w:val="1"/>
          <w:bCs w:val="1"/>
          <w:sz w:val="36"/>
          <w:szCs w:val="36"/>
          <w:u w:val="single"/>
        </w:rPr>
        <w:t>A Narrative Review of Scoliosis</w:t>
      </w:r>
    </w:p>
    <w:p w:rsidR="139C3079" w:rsidP="2A58E4B6" w:rsidRDefault="139C3079" w14:paraId="67A5EB43" w14:textId="76F4CDFD">
      <w:pPr>
        <w:pStyle w:val="Normal"/>
        <w:rPr>
          <w:rFonts w:ascii="Aptos" w:hAnsi="Aptos" w:eastAsia="Aptos" w:cs="Aptos" w:asciiTheme="minorAscii" w:hAnsiTheme="minorAscii" w:eastAsiaTheme="minorAscii" w:cstheme="minorAscii"/>
          <w:b w:val="0"/>
          <w:bCs w:val="0"/>
          <w:color w:val="auto"/>
          <w:sz w:val="22"/>
          <w:szCs w:val="22"/>
          <w:u w:val="none"/>
        </w:rPr>
      </w:pPr>
      <w:r w:rsidRPr="2A58E4B6" w:rsidR="139C3079">
        <w:rPr>
          <w:rFonts w:ascii="Aptos" w:hAnsi="Aptos" w:eastAsia="Aptos" w:cs="Aptos" w:asciiTheme="minorAscii" w:hAnsiTheme="minorAscii" w:eastAsiaTheme="minorAscii" w:cstheme="minorAscii"/>
          <w:b w:val="0"/>
          <w:bCs w:val="0"/>
          <w:color w:val="auto"/>
          <w:sz w:val="22"/>
          <w:szCs w:val="22"/>
          <w:u w:val="none"/>
        </w:rPr>
        <w:t>Introduction</w:t>
      </w:r>
    </w:p>
    <w:p w:rsidR="52C2CC08" w:rsidP="2A58E4B6" w:rsidRDefault="52C2CC08" w14:paraId="15D64CB7" w14:textId="154B684E">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52C2CC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search for relevant literature was conducted using a systematic approach, encompassing the university library, academic journals found </w:t>
      </w:r>
      <w:r w:rsidRPr="2A58E4B6" w:rsidR="689E8BB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online</w:t>
      </w:r>
      <w:r w:rsidRPr="2A58E4B6" w:rsidR="52C2CC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using google schola</w:t>
      </w:r>
      <w:r w:rsidRPr="2A58E4B6" w:rsidR="3E5E394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 and references and citations found in other relevant literature</w:t>
      </w:r>
      <w:r w:rsidRPr="2A58E4B6" w:rsidR="52C2CC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2A58E4B6" w:rsidR="084AE5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This review was conducted </w:t>
      </w:r>
      <w:r w:rsidRPr="2A58E4B6" w:rsidR="54294A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to</w:t>
      </w:r>
      <w:r w:rsidRPr="2A58E4B6" w:rsidR="084AE5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give a comprehensive </w:t>
      </w:r>
      <w:r w:rsidRPr="2A58E4B6" w:rsidR="591B295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assessment of the literature that relates to scoliosis.</w:t>
      </w:r>
    </w:p>
    <w:p w:rsidR="011FD2F9" w:rsidP="2A58E4B6" w:rsidRDefault="011FD2F9" w14:paraId="56E223BE" w14:textId="2A7C64B1">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011FD2F9">
        <w:rPr>
          <w:rFonts w:ascii="Aptos" w:hAnsi="Aptos" w:eastAsia="Aptos" w:cs="Aptos" w:asciiTheme="minorAscii" w:hAnsiTheme="minorAscii" w:eastAsiaTheme="minorAscii" w:cstheme="minorAscii"/>
          <w:b w:val="0"/>
          <w:bCs w:val="0"/>
          <w:color w:val="auto"/>
          <w:sz w:val="22"/>
          <w:szCs w:val="22"/>
          <w:u w:val="none"/>
        </w:rPr>
        <w:t>Scoliosis is a deformity that consists of lateral curvature of the spine. Scoliosis has various causes and can be classified as c</w:t>
      </w:r>
      <w:r w:rsidRPr="2A58E4B6" w:rsidR="011FD2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ongenital, neuromuscular, syndrome-related, </w:t>
      </w:r>
      <w:r w:rsidRPr="2A58E4B6" w:rsidR="011FD2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idiopathic</w:t>
      </w:r>
      <w:r w:rsidRPr="2A58E4B6" w:rsidR="011FD2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spinal curvature due to secondary reasons (Janicki and Alman, 2007)</w:t>
      </w:r>
      <w:r w:rsidRPr="2A58E4B6" w:rsidR="011FD2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011FD2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Most cases </w:t>
      </w:r>
      <w:r w:rsidRPr="2A58E4B6" w:rsidR="011FD2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encountered</w:t>
      </w:r>
      <w:r w:rsidRPr="2A58E4B6" w:rsidR="011FD2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by a general practitioner will be idiopathic, meaning the cause is unknown (Janicki and Alman, 2007).</w:t>
      </w:r>
    </w:p>
    <w:p w:rsidR="2A58E4B6" w:rsidP="2A58E4B6" w:rsidRDefault="2A58E4B6" w14:paraId="0F738161" w14:textId="37E79908">
      <w:pPr>
        <w:pStyle w:val="Normal"/>
        <w:rPr>
          <w:rFonts w:ascii="Aptos" w:hAnsi="Aptos" w:eastAsia="Aptos" w:cs="Aptos" w:asciiTheme="minorAscii" w:hAnsiTheme="minorAscii" w:eastAsiaTheme="minorAscii" w:cstheme="minorAscii"/>
          <w:b w:val="0"/>
          <w:bCs w:val="0"/>
          <w:color w:val="auto"/>
          <w:sz w:val="22"/>
          <w:szCs w:val="22"/>
          <w:u w:val="none"/>
        </w:rPr>
      </w:pPr>
    </w:p>
    <w:p w:rsidR="139C3079" w:rsidP="2A58E4B6" w:rsidRDefault="139C3079" w14:paraId="34C8EF02" w14:textId="0964E934">
      <w:pPr>
        <w:pStyle w:val="Normal"/>
        <w:rPr>
          <w:rFonts w:ascii="Aptos" w:hAnsi="Aptos" w:eastAsia="Aptos" w:cs="Aptos" w:asciiTheme="minorAscii" w:hAnsiTheme="minorAscii" w:eastAsiaTheme="minorAscii" w:cstheme="minorAscii"/>
          <w:b w:val="0"/>
          <w:bCs w:val="0"/>
          <w:color w:val="auto"/>
          <w:sz w:val="22"/>
          <w:szCs w:val="22"/>
          <w:u w:val="none"/>
        </w:rPr>
      </w:pPr>
      <w:r w:rsidRPr="2A58E4B6" w:rsidR="139C3079">
        <w:rPr>
          <w:rFonts w:ascii="Aptos" w:hAnsi="Aptos" w:eastAsia="Aptos" w:cs="Aptos" w:asciiTheme="minorAscii" w:hAnsiTheme="minorAscii" w:eastAsiaTheme="minorAscii" w:cstheme="minorAscii"/>
          <w:b w:val="0"/>
          <w:bCs w:val="0"/>
          <w:color w:val="auto"/>
          <w:sz w:val="22"/>
          <w:szCs w:val="22"/>
          <w:u w:val="none"/>
        </w:rPr>
        <w:t>Epidemiology</w:t>
      </w:r>
    </w:p>
    <w:p w:rsidR="4B0BF639" w:rsidP="2A58E4B6" w:rsidRDefault="4B0BF639" w14:paraId="3F1F7EF8" w14:textId="5EB523F7">
      <w:pPr>
        <w:pStyle w:val="Normal"/>
        <w:shd w:val="clear" w:color="auto" w:fill="FFFFFF" w:themeFill="background1"/>
        <w:spacing w:before="0" w:beforeAutospacing="off" w:after="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Over 60% of scoliosis cases are idiopathic, with the majority occurring in adolescents (Rosenberg, 2011). This highlights the common occurrence of idiopathic scoliosis during adolescence</w:t>
      </w:r>
      <w:r w:rsidRPr="2A58E4B6" w:rsidR="5DA6D72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(as opposed to pre-adolescent children)</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likely due</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to ongoing growth and development.</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0EB95A5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2A58E4B6" w:rsidR="0EB95A5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condition occurs in otherwise healthy individuals and currently has no recognizable cause.” (Cheng et </w:t>
      </w:r>
      <w:r w:rsidRPr="2A58E4B6" w:rsidR="7A54C79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al., </w:t>
      </w:r>
      <w:r w:rsidRPr="2A58E4B6" w:rsidR="5318A90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2015). Physical</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maturity is a factor predicting curve progression in idiopathic scoliosis (Altaf et al., 2013). This suggests that the stage of physical development </w:t>
      </w:r>
      <w:r w:rsidRPr="2A58E4B6" w:rsidR="4B7B78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is associated with</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 progression of </w:t>
      </w:r>
      <w:r w:rsidRPr="2A58E4B6" w:rsidR="3213068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spinal</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curvature.</w:t>
      </w:r>
      <w:r w:rsidRPr="2A58E4B6" w:rsidR="6C3DB5C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 significant proportion</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(97%) of adolescent idiopathic scoliosis cases have a family history of the condition (</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Kamtsiuris</w:t>
      </w: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et al., 2007). However, caution is advised in interpreting this data due to variations in screening methods, cohorts, and diagnostic criteria across studies.</w:t>
      </w:r>
      <w:r w:rsidRPr="2A58E4B6" w:rsidR="5CA5A33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5CA5A33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Ratahi</w:t>
      </w:r>
      <w:r w:rsidRPr="2A58E4B6" w:rsidR="5CA5A33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et al. (2002) found that adolescent idiopathic scoliosis is more frequent in Europeans compared to Polynesians. This suggests potential ethnic variations in the prevalence or presentation of the condition.</w:t>
      </w:r>
    </w:p>
    <w:p w:rsidR="2A58E4B6" w:rsidP="2A58E4B6" w:rsidRDefault="2A58E4B6" w14:paraId="3369DC2C" w14:textId="07C62D06">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4B0BF639" w:rsidP="2A58E4B6" w:rsidRDefault="4B0BF639" w14:paraId="0A8515E0" w14:textId="7A846255">
      <w:pPr>
        <w:pStyle w:val="Normal"/>
        <w:shd w:val="clear" w:color="auto" w:fill="FFFFFF" w:themeFill="background1"/>
        <w:spacing w:before="0" w:beforeAutospacing="off" w:after="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4B0BF6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About one third of non-idiopathic cases of scoliosis are associated with neurological disorders such as cerebral palsy (Konieczny et al., 2013). This highlights the diverse etiology of scoliosis beyond idiopathic causes.</w:t>
      </w:r>
    </w:p>
    <w:p w:rsidR="2A58E4B6" w:rsidP="2A58E4B6" w:rsidRDefault="2A58E4B6" w14:paraId="4B6FD611" w14:textId="3F7A3C74">
      <w:pPr>
        <w:pStyle w:val="Normal"/>
        <w:rPr>
          <w:rFonts w:ascii="Aptos" w:hAnsi="Aptos" w:eastAsia="Aptos" w:cs="Aptos" w:asciiTheme="minorAscii" w:hAnsiTheme="minorAscii" w:eastAsiaTheme="minorAscii" w:cstheme="minorAscii"/>
          <w:b w:val="0"/>
          <w:bCs w:val="0"/>
          <w:color w:val="auto"/>
          <w:sz w:val="22"/>
          <w:szCs w:val="22"/>
          <w:u w:val="none"/>
        </w:rPr>
      </w:pPr>
    </w:p>
    <w:p w:rsidR="139C3079" w:rsidP="2A58E4B6" w:rsidRDefault="139C3079" w14:paraId="497E8308" w14:textId="50E3A1D0">
      <w:pPr>
        <w:pStyle w:val="Normal"/>
        <w:rPr>
          <w:rFonts w:ascii="Aptos" w:hAnsi="Aptos" w:eastAsia="Aptos" w:cs="Aptos" w:asciiTheme="minorAscii" w:hAnsiTheme="minorAscii" w:eastAsiaTheme="minorAscii" w:cstheme="minorAscii"/>
          <w:b w:val="0"/>
          <w:bCs w:val="0"/>
          <w:color w:val="auto"/>
          <w:sz w:val="22"/>
          <w:szCs w:val="22"/>
          <w:u w:val="none"/>
        </w:rPr>
      </w:pPr>
      <w:r w:rsidRPr="2A58E4B6" w:rsidR="139C3079">
        <w:rPr>
          <w:rFonts w:ascii="Aptos" w:hAnsi="Aptos" w:eastAsia="Aptos" w:cs="Aptos" w:asciiTheme="minorAscii" w:hAnsiTheme="minorAscii" w:eastAsiaTheme="minorAscii" w:cstheme="minorAscii"/>
          <w:b w:val="0"/>
          <w:bCs w:val="0"/>
          <w:color w:val="auto"/>
          <w:sz w:val="22"/>
          <w:szCs w:val="22"/>
          <w:u w:val="none"/>
        </w:rPr>
        <w:t>Aetiology</w:t>
      </w:r>
    </w:p>
    <w:p w:rsidR="75F2F9F5" w:rsidP="2A58E4B6" w:rsidRDefault="75F2F9F5" w14:paraId="50ABB9AC" w14:textId="0E98B266">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75F2F9F5">
        <w:rPr>
          <w:rFonts w:ascii="Aptos" w:hAnsi="Aptos" w:eastAsia="Aptos" w:cs="Aptos" w:asciiTheme="minorAscii" w:hAnsiTheme="minorAscii" w:eastAsiaTheme="minorAscii" w:cstheme="minorAscii"/>
          <w:b w:val="0"/>
          <w:bCs w:val="0"/>
          <w:color w:val="auto"/>
          <w:sz w:val="22"/>
          <w:szCs w:val="22"/>
          <w:u w:val="none"/>
        </w:rPr>
        <w:t>Koniesczny</w:t>
      </w:r>
      <w:r w:rsidRPr="2A58E4B6" w:rsidR="75F2F9F5">
        <w:rPr>
          <w:rFonts w:ascii="Aptos" w:hAnsi="Aptos" w:eastAsia="Aptos" w:cs="Aptos" w:asciiTheme="minorAscii" w:hAnsiTheme="minorAscii" w:eastAsiaTheme="minorAscii" w:cstheme="minorAscii"/>
          <w:b w:val="0"/>
          <w:bCs w:val="0"/>
          <w:color w:val="auto"/>
          <w:sz w:val="22"/>
          <w:szCs w:val="22"/>
          <w:u w:val="none"/>
        </w:rPr>
        <w:t xml:space="preserve"> et al., (2013) states one third of Non idiopathic scoliosis cases are associated with neurological disorders, this suggests that </w:t>
      </w:r>
      <w:r w:rsidRPr="2A58E4B6" w:rsidR="5ED83197">
        <w:rPr>
          <w:rFonts w:ascii="Aptos" w:hAnsi="Aptos" w:eastAsia="Aptos" w:cs="Aptos" w:asciiTheme="minorAscii" w:hAnsiTheme="minorAscii" w:eastAsiaTheme="minorAscii" w:cstheme="minorAscii"/>
          <w:b w:val="0"/>
          <w:bCs w:val="0"/>
          <w:color w:val="auto"/>
          <w:sz w:val="22"/>
          <w:szCs w:val="22"/>
          <w:u w:val="none"/>
        </w:rPr>
        <w:t xml:space="preserve">people with </w:t>
      </w:r>
      <w:r w:rsidRPr="2A58E4B6" w:rsidR="75F2F9F5">
        <w:rPr>
          <w:rFonts w:ascii="Aptos" w:hAnsi="Aptos" w:eastAsia="Aptos" w:cs="Aptos" w:asciiTheme="minorAscii" w:hAnsiTheme="minorAscii" w:eastAsiaTheme="minorAscii" w:cstheme="minorAscii"/>
          <w:b w:val="0"/>
          <w:bCs w:val="0"/>
          <w:color w:val="auto"/>
          <w:sz w:val="22"/>
          <w:szCs w:val="22"/>
          <w:u w:val="none"/>
        </w:rPr>
        <w:t>neurolo</w:t>
      </w:r>
      <w:r w:rsidRPr="2A58E4B6" w:rsidR="02C026BE">
        <w:rPr>
          <w:rFonts w:ascii="Aptos" w:hAnsi="Aptos" w:eastAsia="Aptos" w:cs="Aptos" w:asciiTheme="minorAscii" w:hAnsiTheme="minorAscii" w:eastAsiaTheme="minorAscii" w:cstheme="minorAscii"/>
          <w:b w:val="0"/>
          <w:bCs w:val="0"/>
          <w:color w:val="auto"/>
          <w:sz w:val="22"/>
          <w:szCs w:val="22"/>
          <w:u w:val="none"/>
        </w:rPr>
        <w:t>gical disorders such as cerebral palsy</w:t>
      </w:r>
      <w:r w:rsidRPr="2A58E4B6" w:rsidR="7F774939">
        <w:rPr>
          <w:rFonts w:ascii="Aptos" w:hAnsi="Aptos" w:eastAsia="Aptos" w:cs="Aptos" w:asciiTheme="minorAscii" w:hAnsiTheme="minorAscii" w:eastAsiaTheme="minorAscii" w:cstheme="minorAscii"/>
          <w:b w:val="0"/>
          <w:bCs w:val="0"/>
          <w:color w:val="auto"/>
          <w:sz w:val="22"/>
          <w:szCs w:val="22"/>
          <w:u w:val="none"/>
        </w:rPr>
        <w:t>, may be at risk of scoliosis.</w:t>
      </w:r>
      <w:r w:rsidRPr="2A58E4B6" w:rsidR="2F2D6452">
        <w:rPr>
          <w:rFonts w:ascii="Aptos" w:hAnsi="Aptos" w:eastAsia="Aptos" w:cs="Aptos" w:asciiTheme="minorAscii" w:hAnsiTheme="minorAscii" w:eastAsiaTheme="minorAscii" w:cstheme="minorAscii"/>
          <w:b w:val="0"/>
          <w:bCs w:val="0"/>
          <w:color w:val="auto"/>
          <w:sz w:val="22"/>
          <w:szCs w:val="22"/>
          <w:u w:val="none"/>
        </w:rPr>
        <w:t xml:space="preserve"> </w:t>
      </w:r>
      <w:r w:rsidRPr="2A58E4B6" w:rsidR="35D63918">
        <w:rPr>
          <w:rFonts w:ascii="Aptos" w:hAnsi="Aptos" w:eastAsia="Aptos" w:cs="Aptos" w:asciiTheme="minorAscii" w:hAnsiTheme="minorAscii" w:eastAsiaTheme="minorAscii" w:cstheme="minorAscii"/>
          <w:b w:val="0"/>
          <w:bCs w:val="0"/>
          <w:color w:val="auto"/>
          <w:sz w:val="22"/>
          <w:szCs w:val="22"/>
          <w:u w:val="none"/>
        </w:rPr>
        <w:t xml:space="preserve">Goldberg et al., (2007) states that </w:t>
      </w:r>
      <w:r w:rsidRPr="2A58E4B6" w:rsidR="1FAA01ED">
        <w:rPr>
          <w:rFonts w:ascii="Aptos" w:hAnsi="Aptos" w:eastAsia="Aptos" w:cs="Aptos" w:asciiTheme="minorAscii" w:hAnsiTheme="minorAscii" w:eastAsiaTheme="minorAscii" w:cstheme="minorAscii"/>
          <w:b w:val="0"/>
          <w:bCs w:val="0"/>
          <w:color w:val="auto"/>
          <w:sz w:val="22"/>
          <w:szCs w:val="22"/>
          <w:u w:val="none"/>
        </w:rPr>
        <w:t>“</w:t>
      </w:r>
      <w:r w:rsidRPr="2A58E4B6" w:rsidR="1FAA01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boys are significantly</w:t>
      </w:r>
      <w:r w:rsidRPr="2A58E4B6" w:rsidR="1FAA01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1FAA01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more likely to have an underlying condition that will need attention”, which suggests that underlying conditions may predispose boys specifically to scoliosis.</w:t>
      </w:r>
      <w:r w:rsidRPr="2A58E4B6" w:rsidR="5791380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“Progressive adolescent idiopathic scoliosis (AIS) that mainly affects girls is generally attributed to relative anterior spinal overgrowth from a mechanical mechanism (torsion) during the adolescent growth spurt” (</w:t>
      </w:r>
      <w:r w:rsidRPr="2A58E4B6" w:rsidR="5C412B9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Burwell, 2003</w:t>
      </w:r>
      <w:r w:rsidRPr="2A58E4B6" w:rsidR="26F0702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6BFBEBB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This suggests that </w:t>
      </w:r>
      <w:r w:rsidRPr="2A58E4B6" w:rsidR="128BDD6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Adolescent idiopathic scoliosis is associated and is </w:t>
      </w:r>
      <w:r w:rsidRPr="2A58E4B6" w:rsidR="128BDD6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likely caused</w:t>
      </w:r>
      <w:r w:rsidRPr="2A58E4B6" w:rsidR="128BDD6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or </w:t>
      </w:r>
      <w:r w:rsidRPr="2A58E4B6" w:rsidR="4F38439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made w</w:t>
      </w:r>
      <w:r w:rsidRPr="2A58E4B6" w:rsidR="7EF26A5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orse by growth spurts, this is backed up by </w:t>
      </w:r>
      <w:r w:rsidRPr="2A58E4B6" w:rsidR="4332C63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fact that (as previously </w:t>
      </w:r>
      <w:r w:rsidRPr="2A58E4B6" w:rsidR="4332C63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stated</w:t>
      </w:r>
      <w:r w:rsidRPr="2A58E4B6" w:rsidR="4332C63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physical maturity is a factor predicting curve progression in idiopathic scoliosis (Altaf et al., 2013)</w:t>
      </w:r>
      <w:r w:rsidRPr="2A58E4B6" w:rsidR="73D1ECF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2A58E4B6" w:rsidR="71D36CC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Veldhuizen et al., (2000) states that </w:t>
      </w:r>
      <w:r w:rsidRPr="2A58E4B6" w:rsidR="1F4E26F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patients who have adolescent idiopathic scoliosis are usually growing faster and/or taller. This further </w:t>
      </w:r>
      <w:r w:rsidRPr="2A58E4B6" w:rsidR="4327E30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enforces the association between growth spurts in adolescence and scoliosis.</w:t>
      </w:r>
    </w:p>
    <w:p w:rsidR="73D1ECF6" w:rsidP="2A58E4B6" w:rsidRDefault="73D1ECF6" w14:paraId="7AC5DE4C" w14:textId="5F30E793">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73D1ECF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73D1ECF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Established biological risk factors to AIS are growth velocity and potential residual spinal growth assessed by maturity indicators. Spine slenderness and </w:t>
      </w:r>
      <w:r w:rsidRPr="2A58E4B6" w:rsidR="73D1ECF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ectomorphy</w:t>
      </w:r>
      <w:r w:rsidRPr="2A58E4B6" w:rsidR="73D1ECF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in girls are thought to be risk factors for AIS.” (Burwell, 2003)</w:t>
      </w:r>
      <w:r w:rsidRPr="2A58E4B6" w:rsidR="5CF8E0F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Despite the potential risk factors for scoliosis </w:t>
      </w:r>
      <w:r w:rsidRPr="2A58E4B6" w:rsidR="5CF8E0F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stated</w:t>
      </w:r>
      <w:r w:rsidRPr="2A58E4B6" w:rsidR="5CF8E0F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above, </w:t>
      </w:r>
      <w:r w:rsidRPr="2A58E4B6" w:rsidR="42B1E9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w:t>
      </w:r>
      <w:r w:rsidRPr="2A58E4B6" w:rsidR="42B1E9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aetiology</w:t>
      </w:r>
      <w:r w:rsidRPr="2A58E4B6" w:rsidR="42B1E9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of scoliosis </w:t>
      </w:r>
      <w:r w:rsidRPr="2A58E4B6" w:rsidR="42B1E9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remains</w:t>
      </w:r>
      <w:r w:rsidRPr="2A58E4B6" w:rsidR="42B1E9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somewhat of a mystery</w:t>
      </w:r>
      <w:r w:rsidRPr="2A58E4B6" w:rsidR="0156CF2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42B1E9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(Vel</w:t>
      </w:r>
      <w:r w:rsidRPr="2A58E4B6" w:rsidR="51A2E1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dhuizen, 2000).</w:t>
      </w:r>
    </w:p>
    <w:p w:rsidR="2A58E4B6" w:rsidP="2A58E4B6" w:rsidRDefault="2A58E4B6" w14:paraId="68A8D043" w14:textId="5B4D6597">
      <w:pPr>
        <w:pStyle w:val="Normal"/>
        <w:rPr>
          <w:rFonts w:ascii="Aptos" w:hAnsi="Aptos" w:eastAsia="Aptos" w:cs="Aptos" w:asciiTheme="minorAscii" w:hAnsiTheme="minorAscii" w:eastAsiaTheme="minorAscii" w:cstheme="minorAscii"/>
          <w:b w:val="0"/>
          <w:bCs w:val="0"/>
          <w:color w:val="auto"/>
          <w:sz w:val="22"/>
          <w:szCs w:val="22"/>
          <w:u w:val="none"/>
        </w:rPr>
      </w:pPr>
    </w:p>
    <w:p w:rsidR="139C3079" w:rsidP="2A58E4B6" w:rsidRDefault="139C3079" w14:paraId="5CD88FFD" w14:textId="2C8EC173">
      <w:pPr>
        <w:pStyle w:val="Normal"/>
        <w:rPr>
          <w:rFonts w:ascii="Aptos" w:hAnsi="Aptos" w:eastAsia="Aptos" w:cs="Aptos" w:asciiTheme="minorAscii" w:hAnsiTheme="minorAscii" w:eastAsiaTheme="minorAscii" w:cstheme="minorAscii"/>
          <w:b w:val="0"/>
          <w:bCs w:val="0"/>
          <w:color w:val="auto"/>
          <w:sz w:val="22"/>
          <w:szCs w:val="22"/>
          <w:u w:val="none"/>
        </w:rPr>
      </w:pPr>
      <w:r w:rsidRPr="2A58E4B6" w:rsidR="139C3079">
        <w:rPr>
          <w:rFonts w:ascii="Aptos" w:hAnsi="Aptos" w:eastAsia="Aptos" w:cs="Aptos" w:asciiTheme="minorAscii" w:hAnsiTheme="minorAscii" w:eastAsiaTheme="minorAscii" w:cstheme="minorAscii"/>
          <w:b w:val="0"/>
          <w:bCs w:val="0"/>
          <w:color w:val="auto"/>
          <w:sz w:val="22"/>
          <w:szCs w:val="22"/>
          <w:u w:val="none"/>
        </w:rPr>
        <w:t>Impact of Condition</w:t>
      </w:r>
    </w:p>
    <w:p w:rsidR="4000909A" w:rsidP="2A58E4B6" w:rsidRDefault="4000909A" w14:paraId="0E078780" w14:textId="62B1CD47">
      <w:pPr>
        <w:shd w:val="clear" w:color="auto" w:fill="FFFFFF" w:themeFill="background1"/>
        <w:spacing w:before="0" w:beforeAutospacing="off" w:after="30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Scoliosis progression can significantly </w:t>
      </w: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impact</w:t>
      </w: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both physical health and appearance. Kotwicki et al. (2013) note that the natural course of the disease often leads to notable changes in body morphology, such as reduced thoracic volume, potentially impairing respiratory function. Moreover, individuals with scoliosis commonly report heightened rates of back pain and face significant aesthetic concerns due to the visible curvature of the spine.</w:t>
      </w:r>
    </w:p>
    <w:p w:rsidR="4000909A" w:rsidP="2A58E4B6" w:rsidRDefault="4000909A" w14:paraId="5D65A2B5" w14:textId="467DAA3A">
      <w:pPr>
        <w:shd w:val="clear" w:color="auto" w:fill="FFFFFF" w:themeFill="background1"/>
        <w:spacing w:before="300" w:beforeAutospacing="off" w:after="30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Given the high prevalence of scoliosis among adolescents and its association with physical maturity and growth, inadequate management of the condition can have profound implications for spinal structure and function. Adolescent scoliosis not only affects physical well-being but also poses psychosocial challenges, particularly during treatment, as highlighted by Tones et al. (2006).</w:t>
      </w:r>
    </w:p>
    <w:p w:rsidR="4000909A" w:rsidP="2A58E4B6" w:rsidRDefault="4000909A" w14:paraId="64D6088C" w14:textId="71231659">
      <w:pPr>
        <w:shd w:val="clear" w:color="auto" w:fill="FFFFFF" w:themeFill="background1"/>
        <w:spacing w:before="300" w:beforeAutospacing="off" w:after="30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 essence, scoliosis</w:t>
      </w: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particularly in adolescents, </w:t>
      </w: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warrants</w:t>
      </w: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comprehensive management to address its multifaceted effects on physical health, appearance, and psychosocial well-being. Effective interventions are crucial not only for mitigating the progression of spinal curvature but also for improving functional </w:t>
      </w: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capacity</w:t>
      </w:r>
      <w:r w:rsidRPr="2A58E4B6" w:rsidR="400090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overall quality of life for individuals living with scoliosis</w:t>
      </w:r>
    </w:p>
    <w:p w:rsidR="2A58E4B6" w:rsidP="2A58E4B6" w:rsidRDefault="2A58E4B6" w14:paraId="4E368149" w14:textId="08D922C9">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2A58E4B6" w:rsidP="2A58E4B6" w:rsidRDefault="2A58E4B6" w14:paraId="0DA8F15F" w14:textId="0BE240E2">
      <w:pPr>
        <w:pStyle w:val="Normal"/>
        <w:rPr>
          <w:rFonts w:ascii="Aptos" w:hAnsi="Aptos" w:eastAsia="Aptos" w:cs="Aptos" w:asciiTheme="minorAscii" w:hAnsiTheme="minorAscii" w:eastAsiaTheme="minorAscii" w:cstheme="minorAscii"/>
          <w:b w:val="0"/>
          <w:bCs w:val="0"/>
          <w:color w:val="auto"/>
          <w:sz w:val="22"/>
          <w:szCs w:val="22"/>
          <w:u w:val="none"/>
        </w:rPr>
      </w:pPr>
    </w:p>
    <w:p w:rsidR="2A58E4B6" w:rsidP="2A58E4B6" w:rsidRDefault="2A58E4B6" w14:paraId="7BEDE998" w14:textId="7626C689">
      <w:pPr>
        <w:pStyle w:val="Normal"/>
        <w:rPr>
          <w:rFonts w:ascii="Aptos" w:hAnsi="Aptos" w:eastAsia="Aptos" w:cs="Aptos" w:asciiTheme="minorAscii" w:hAnsiTheme="minorAscii" w:eastAsiaTheme="minorAscii" w:cstheme="minorAscii"/>
          <w:b w:val="0"/>
          <w:bCs w:val="0"/>
          <w:color w:val="auto"/>
          <w:sz w:val="22"/>
          <w:szCs w:val="22"/>
          <w:u w:val="none"/>
        </w:rPr>
      </w:pPr>
    </w:p>
    <w:p w:rsidR="139C3079" w:rsidP="2A58E4B6" w:rsidRDefault="139C3079" w14:paraId="49199077" w14:textId="5A40E28F">
      <w:pPr>
        <w:pStyle w:val="Normal"/>
        <w:rPr>
          <w:rFonts w:ascii="Aptos" w:hAnsi="Aptos" w:eastAsia="Aptos" w:cs="Aptos" w:asciiTheme="minorAscii" w:hAnsiTheme="minorAscii" w:eastAsiaTheme="minorAscii" w:cstheme="minorAscii"/>
          <w:b w:val="0"/>
          <w:bCs w:val="0"/>
          <w:color w:val="auto"/>
          <w:sz w:val="22"/>
          <w:szCs w:val="22"/>
          <w:u w:val="none"/>
        </w:rPr>
      </w:pPr>
      <w:r w:rsidRPr="2A58E4B6" w:rsidR="139C3079">
        <w:rPr>
          <w:rFonts w:ascii="Aptos" w:hAnsi="Aptos" w:eastAsia="Aptos" w:cs="Aptos" w:asciiTheme="minorAscii" w:hAnsiTheme="minorAscii" w:eastAsiaTheme="minorAscii" w:cstheme="minorAscii"/>
          <w:b w:val="0"/>
          <w:bCs w:val="0"/>
          <w:color w:val="auto"/>
          <w:sz w:val="22"/>
          <w:szCs w:val="22"/>
          <w:u w:val="none"/>
        </w:rPr>
        <w:t xml:space="preserve">Principles of </w:t>
      </w:r>
      <w:r w:rsidRPr="2A58E4B6" w:rsidR="139C3079">
        <w:rPr>
          <w:rFonts w:ascii="Aptos" w:hAnsi="Aptos" w:eastAsia="Aptos" w:cs="Aptos" w:asciiTheme="minorAscii" w:hAnsiTheme="minorAscii" w:eastAsiaTheme="minorAscii" w:cstheme="minorAscii"/>
          <w:b w:val="0"/>
          <w:bCs w:val="0"/>
          <w:color w:val="auto"/>
          <w:sz w:val="22"/>
          <w:szCs w:val="22"/>
          <w:u w:val="none"/>
        </w:rPr>
        <w:t>Muscoskeletal</w:t>
      </w:r>
      <w:r w:rsidRPr="2A58E4B6" w:rsidR="139C3079">
        <w:rPr>
          <w:rFonts w:ascii="Aptos" w:hAnsi="Aptos" w:eastAsia="Aptos" w:cs="Aptos" w:asciiTheme="minorAscii" w:hAnsiTheme="minorAscii" w:eastAsiaTheme="minorAscii" w:cstheme="minorAscii"/>
          <w:b w:val="0"/>
          <w:bCs w:val="0"/>
          <w:color w:val="auto"/>
          <w:sz w:val="22"/>
          <w:szCs w:val="22"/>
          <w:u w:val="none"/>
        </w:rPr>
        <w:t xml:space="preserve"> Man</w:t>
      </w:r>
      <w:r w:rsidRPr="2A58E4B6" w:rsidR="20AAD216">
        <w:rPr>
          <w:rFonts w:ascii="Aptos" w:hAnsi="Aptos" w:eastAsia="Aptos" w:cs="Aptos" w:asciiTheme="minorAscii" w:hAnsiTheme="minorAscii" w:eastAsiaTheme="minorAscii" w:cstheme="minorAscii"/>
          <w:b w:val="0"/>
          <w:bCs w:val="0"/>
          <w:color w:val="auto"/>
          <w:sz w:val="22"/>
          <w:szCs w:val="22"/>
          <w:u w:val="none"/>
        </w:rPr>
        <w:t>age</w:t>
      </w:r>
      <w:r w:rsidRPr="2A58E4B6" w:rsidR="139C3079">
        <w:rPr>
          <w:rFonts w:ascii="Aptos" w:hAnsi="Aptos" w:eastAsia="Aptos" w:cs="Aptos" w:asciiTheme="minorAscii" w:hAnsiTheme="minorAscii" w:eastAsiaTheme="minorAscii" w:cstheme="minorAscii"/>
          <w:b w:val="0"/>
          <w:bCs w:val="0"/>
          <w:color w:val="auto"/>
          <w:sz w:val="22"/>
          <w:szCs w:val="22"/>
          <w:u w:val="none"/>
        </w:rPr>
        <w:t>ment</w:t>
      </w:r>
    </w:p>
    <w:p w:rsidR="5DCC1A02" w:rsidP="2A58E4B6" w:rsidRDefault="5DCC1A02" w14:paraId="29C709FE" w14:textId="1F4D9B3B">
      <w:pPr>
        <w:shd w:val="clear" w:color="auto" w:fill="FFFFFF" w:themeFill="background1"/>
        <w:spacing w:before="0" w:beforeAutospacing="off" w:after="30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In skeletally immature patients with adolescent idiopathic scoliosis, the advantages of bracing are clear. Heary (2008) highlights that prompt recognition and </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appropriate bracing</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can often halt the progression of this form of deformity, potentially </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eliminating</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 need for surgery altogether. This underscores the importance of </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timely</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intervention, particularly in adolescents, where bracing can have a significant impact on preventing further curvature of the spine.</w:t>
      </w:r>
    </w:p>
    <w:p w:rsidR="5DCC1A02" w:rsidP="2A58E4B6" w:rsidRDefault="5DCC1A02" w14:paraId="0DDC503D" w14:textId="2E933813">
      <w:pPr>
        <w:shd w:val="clear" w:color="auto" w:fill="FFFFFF" w:themeFill="background1"/>
        <w:spacing w:before="300" w:beforeAutospacing="off" w:after="30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management of scoliosis encompasses a range of treatment options tailored to the severity of the condition and individual prognosis. Kotwicki et al. (2013) </w:t>
      </w:r>
      <w:r w:rsidRPr="2A58E4B6" w:rsidR="4E34E87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proposes</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physiotherapy, corrective bracing, or surgery for mild, moderate, or severe scoliosis, respectively, with consideration given to the degree of deformity and prognosis. While bracing and physiotherapy are recommended, Weiss et al. (2016) caution against spinal fusion surgery based on current evidence.</w:t>
      </w:r>
    </w:p>
    <w:p w:rsidR="5DCC1A02" w:rsidP="2A58E4B6" w:rsidRDefault="5DCC1A02" w14:paraId="2B208D56" w14:textId="343EB10B">
      <w:pPr>
        <w:shd w:val="clear" w:color="auto" w:fill="FFFFFF" w:themeFill="background1"/>
        <w:spacing w:before="300" w:beforeAutospacing="off" w:after="30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Physiotherapy, as described by Altaf et al. (2013), encompasses exercises and physical therapy techniques, including electrostimulation of paravertebral muscles. This non-invasive approach is commonly employed due to the unclear etiology of scoliosis, making surgical and medication-based treatments challenging to develop (Veldhuizen, 2000). </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Weinsyein</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et al. (2008) assert that non-surgical interventions, like physiotherapy, aim to halt curve progression, potentially reducing the need for surgical intervention. This underscores the importance of </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timely</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initiation of non-surgical treatments to mitigate the necessity for surgical procedures.</w:t>
      </w:r>
    </w:p>
    <w:p w:rsidR="5DCC1A02" w:rsidP="2A58E4B6" w:rsidRDefault="5DCC1A02" w14:paraId="38BC9629" w14:textId="4C7C7FFF">
      <w:pPr>
        <w:shd w:val="clear" w:color="auto" w:fill="FFFFFF" w:themeFill="background1"/>
        <w:spacing w:before="300" w:beforeAutospacing="off" w:after="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Overall, the evidence supports the use of physiotherapy and bracing in scoliosis management, particularly in preventing curve progression and reducing reliance on surgical interventions. The versatility of physiotherapy, coupled with its non-invasive nature and focus on halting progression, positions it as a crucial </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component</w:t>
      </w:r>
      <w:r w:rsidRPr="2A58E4B6" w:rsidR="5DCC1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of early intervention strategies for scoliosis patients.</w:t>
      </w:r>
    </w:p>
    <w:p w:rsidR="2A58E4B6" w:rsidP="2A58E4B6" w:rsidRDefault="2A58E4B6" w14:paraId="57933993" w14:textId="11F36D52">
      <w:pPr>
        <w:pStyle w:val="Normal"/>
        <w:shd w:val="clear" w:color="auto" w:fill="FFFFFF" w:themeFill="background1"/>
        <w:spacing w:before="300" w:beforeAutospacing="off" w:after="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2A58E4B6" w:rsidP="2A58E4B6" w:rsidRDefault="2A58E4B6" w14:paraId="3A574B28" w14:textId="6902B024">
      <w:pPr>
        <w:pStyle w:val="Normal"/>
        <w:spacing w:before="300" w:beforeAutospacing="off" w:after="300" w:afterAutospacing="off"/>
        <w:ind w:left="0" w:right="2235"/>
        <w:jc w:val="both"/>
        <w:rPr>
          <w:rFonts w:ascii="Aptos" w:hAnsi="Aptos" w:eastAsia="Aptos" w:cs="Aptos" w:asciiTheme="minorAscii" w:hAnsiTheme="minorAscii" w:eastAsiaTheme="minorAscii" w:cstheme="minorAscii"/>
          <w:b w:val="0"/>
          <w:bCs w:val="0"/>
          <w:noProof w:val="0"/>
          <w:color w:val="auto"/>
          <w:sz w:val="22"/>
          <w:szCs w:val="22"/>
          <w:lang w:val="en-US"/>
        </w:rPr>
      </w:pPr>
    </w:p>
    <w:p w:rsidR="2A58E4B6" w:rsidP="2A58E4B6" w:rsidRDefault="2A58E4B6" w14:paraId="18D9845F" w14:textId="74350C39">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color w:val="auto"/>
          <w:sz w:val="22"/>
          <w:szCs w:val="22"/>
        </w:rPr>
      </w:pPr>
    </w:p>
    <w:p w:rsidR="2A58E4B6" w:rsidP="2A58E4B6" w:rsidRDefault="2A58E4B6" w14:paraId="3F7033FF" w14:textId="3ED9517F">
      <w:pPr>
        <w:pStyle w:val="Normal"/>
        <w:rPr>
          <w:rFonts w:ascii="Aptos" w:hAnsi="Aptos" w:eastAsia="Aptos" w:cs="Aptos" w:asciiTheme="minorAscii" w:hAnsiTheme="minorAscii" w:eastAsiaTheme="minorAscii" w:cstheme="minorAscii"/>
          <w:b w:val="0"/>
          <w:bCs w:val="0"/>
          <w:color w:val="auto"/>
          <w:sz w:val="22"/>
          <w:szCs w:val="22"/>
          <w:u w:val="none"/>
        </w:rPr>
      </w:pPr>
    </w:p>
    <w:p w:rsidR="139C3079" w:rsidP="2A58E4B6" w:rsidRDefault="139C3079" w14:paraId="2729ACFC" w14:textId="129C2EC9">
      <w:pPr>
        <w:pStyle w:val="Normal"/>
        <w:rPr>
          <w:rFonts w:ascii="Aptos" w:hAnsi="Aptos" w:eastAsia="Aptos" w:cs="Aptos" w:asciiTheme="minorAscii" w:hAnsiTheme="minorAscii" w:eastAsiaTheme="minorAscii" w:cstheme="minorAscii"/>
          <w:b w:val="0"/>
          <w:bCs w:val="0"/>
          <w:color w:val="auto"/>
          <w:sz w:val="22"/>
          <w:szCs w:val="22"/>
          <w:u w:val="none"/>
        </w:rPr>
      </w:pPr>
      <w:r w:rsidRPr="2A58E4B6" w:rsidR="139C3079">
        <w:rPr>
          <w:rFonts w:ascii="Aptos" w:hAnsi="Aptos" w:eastAsia="Aptos" w:cs="Aptos" w:asciiTheme="minorAscii" w:hAnsiTheme="minorAscii" w:eastAsiaTheme="minorAscii" w:cstheme="minorAscii"/>
          <w:b w:val="0"/>
          <w:bCs w:val="0"/>
          <w:color w:val="auto"/>
          <w:sz w:val="22"/>
          <w:szCs w:val="22"/>
          <w:u w:val="none"/>
        </w:rPr>
        <w:t>Conclusion</w:t>
      </w:r>
    </w:p>
    <w:p w:rsidR="42ED21B3" w:rsidP="2A58E4B6" w:rsidRDefault="42ED21B3" w14:paraId="44CC28BE" w14:textId="734E1CA4">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42ED21B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prevalence of scoliosis, especially idiopathic cases among adolescents, underscores its significance during periods of growth and development. While the exact cause </w:t>
      </w:r>
      <w:r w:rsidRPr="2A58E4B6" w:rsidR="42ED21B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remains</w:t>
      </w:r>
      <w:r w:rsidRPr="2A58E4B6" w:rsidR="42ED21B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elusive, familial predisposition and ethnic variations suggest a complex interplay of genetic and environmental factors. Non-idiopathic forms, often linked to neurological disorders, further emphasize the condition's diverse </w:t>
      </w:r>
      <w:r w:rsidRPr="2A58E4B6" w:rsidR="42ED21B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aetiology</w:t>
      </w:r>
      <w:r w:rsidRPr="2A58E4B6" w:rsidR="42ED21B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Growth spurts and physical maturity are key predictors of progression, </w:t>
      </w:r>
      <w:r w:rsidRPr="2A58E4B6" w:rsidR="42ED21B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impacting</w:t>
      </w:r>
      <w:r w:rsidRPr="2A58E4B6" w:rsidR="42ED21B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spinal morphology and respiratory function. Scoliosis's impact extends beyond physical health, affecting psychosocial well-being, particularly during adolescence. Comprehensive management is essential to address the multifaceted challenges posed by scoliosis, emphasizing the importance of early intervention and holistic care to </w:t>
      </w:r>
      <w:r w:rsidRPr="2A58E4B6" w:rsidR="42ED21B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optimize</w:t>
      </w:r>
      <w:r w:rsidRPr="2A58E4B6" w:rsidR="42ED21B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outcomes and enhance quality of life.</w:t>
      </w:r>
    </w:p>
    <w:p w:rsidR="2A58E4B6" w:rsidP="2A58E4B6" w:rsidRDefault="2A58E4B6" w14:paraId="24660CC4" w14:textId="22E2E450">
      <w:pPr>
        <w:pStyle w:val="Normal"/>
        <w:rPr>
          <w:rFonts w:ascii="Aptos" w:hAnsi="Aptos" w:eastAsia="Aptos" w:cs="Aptos" w:asciiTheme="minorAscii" w:hAnsiTheme="minorAscii" w:eastAsiaTheme="minorAscii" w:cstheme="minorAscii"/>
          <w:b w:val="0"/>
          <w:bCs w:val="0"/>
          <w:color w:val="auto"/>
          <w:sz w:val="22"/>
          <w:szCs w:val="22"/>
          <w:u w:val="none"/>
        </w:rPr>
      </w:pPr>
    </w:p>
    <w:p w:rsidR="0FD095B8" w:rsidP="2A58E4B6" w:rsidRDefault="0FD095B8" w14:paraId="75160DC5" w14:textId="5D2786C5">
      <w:pPr>
        <w:pStyle w:val="Normal"/>
        <w:rPr>
          <w:rFonts w:ascii="Aptos" w:hAnsi="Aptos" w:eastAsia="Aptos" w:cs="Aptos" w:asciiTheme="minorAscii" w:hAnsiTheme="minorAscii" w:eastAsiaTheme="minorAscii" w:cstheme="minorAscii"/>
          <w:b w:val="0"/>
          <w:bCs w:val="0"/>
          <w:color w:val="auto"/>
          <w:sz w:val="22"/>
          <w:szCs w:val="22"/>
          <w:u w:val="none"/>
        </w:rPr>
      </w:pPr>
      <w:r w:rsidRPr="2A58E4B6" w:rsidR="0FD095B8">
        <w:rPr>
          <w:rFonts w:ascii="Aptos" w:hAnsi="Aptos" w:eastAsia="Aptos" w:cs="Aptos" w:asciiTheme="minorAscii" w:hAnsiTheme="minorAscii" w:eastAsiaTheme="minorAscii" w:cstheme="minorAscii"/>
          <w:b w:val="0"/>
          <w:bCs w:val="0"/>
          <w:color w:val="auto"/>
          <w:sz w:val="22"/>
          <w:szCs w:val="22"/>
          <w:u w:val="none"/>
        </w:rPr>
        <w:t>Reference List-</w:t>
      </w:r>
    </w:p>
    <w:p w:rsidR="2A58E4B6" w:rsidP="2A58E4B6" w:rsidRDefault="2A58E4B6" w14:paraId="1E8C0E0F" w14:textId="5F5C256F">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49919A86" w:rsidP="2A58E4B6" w:rsidRDefault="49919A86" w14:paraId="452008AC" w14:textId="3C78F7F7">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49919A8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Burwell, R.G. (2003). </w:t>
      </w:r>
      <w:r w:rsidRPr="2A58E4B6" w:rsidR="49919A8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Aetiology</w:t>
      </w:r>
      <w:r w:rsidRPr="2A58E4B6" w:rsidR="49919A8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of idiopathic scoliosis: current concepts. </w:t>
      </w:r>
      <w:r w:rsidRPr="2A58E4B6" w:rsidR="49919A86">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Pediatric Rehabilitation</w:t>
      </w:r>
      <w:r w:rsidRPr="2A58E4B6" w:rsidR="49919A8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6(3-4), pp.137–170.</w:t>
      </w:r>
      <w:r w:rsidRPr="2A58E4B6" w:rsidR="49919A86">
        <w:rPr>
          <w:rFonts w:ascii="Aptos" w:hAnsi="Aptos" w:eastAsia="Aptos" w:cs="Aptos" w:asciiTheme="minorAscii" w:hAnsiTheme="minorAscii" w:eastAsiaTheme="minorAscii" w:cstheme="minorAscii"/>
          <w:b w:val="0"/>
          <w:bCs w:val="0"/>
          <w:noProof w:val="0"/>
          <w:color w:val="auto"/>
          <w:sz w:val="22"/>
          <w:szCs w:val="22"/>
          <w:lang w:val="en-US"/>
        </w:rPr>
        <w:t xml:space="preserve"> </w:t>
      </w:r>
    </w:p>
    <w:p w:rsidR="690EE157" w:rsidP="2A58E4B6" w:rsidRDefault="690EE157" w14:paraId="0A0EC0EE" w14:textId="29223420">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690EE15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Cheng, J.C., Castelein, R.M., Chu, W.C., Danielsson, A.J., Dobbs, M.B., Grivas, T.B., Gurnett, C.A., Luk, K.D., Moreau, A., Newton, P.O., Stokes, I.A., Weinstein, S.L. and Burwell, R.G. (2015). Adolescent idiopathic scoliosis. </w:t>
      </w:r>
      <w:r w:rsidRPr="2A58E4B6" w:rsidR="690EE157">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Nature Reviews Disease Primers</w:t>
      </w:r>
      <w:r w:rsidRPr="2A58E4B6" w:rsidR="690EE15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[Accessed April.2015]</w:t>
      </w:r>
    </w:p>
    <w:p w:rsidR="140ABF38" w:rsidP="2A58E4B6" w:rsidRDefault="140ABF38" w14:paraId="39CD89BF" w14:textId="7F0B6C1B">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140ABF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Goldberg, C.J., Moore, D.P., Fogarty, E.E. and Dowling, F.E. (2007). Scoliosis: a review. </w:t>
      </w:r>
      <w:r w:rsidRPr="2A58E4B6" w:rsidR="140ABF38">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Pediatric Surgery International</w:t>
      </w:r>
      <w:r w:rsidRPr="2A58E4B6" w:rsidR="140ABF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[Accessed 25 April.2024</w:t>
      </w:r>
      <w:r w:rsidRPr="2A58E4B6" w:rsidR="140ABF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w:t>
      </w:r>
      <w:r w:rsidRPr="2A58E4B6" w:rsidR="140ABF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pp.129–144.</w:t>
      </w:r>
    </w:p>
    <w:p w:rsidR="2E3C7BF3" w:rsidP="2A58E4B6" w:rsidRDefault="2E3C7BF3" w14:paraId="79F214AA" w14:textId="48AFDB4F">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2E3C7BF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Heary, R.F., Kumar, </w:t>
      </w:r>
      <w:r w:rsidRPr="2A58E4B6" w:rsidR="2E3C7BF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w:t>
      </w:r>
      <w:r w:rsidRPr="2A58E4B6" w:rsidR="2E3C7BF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Bono, C.M. (2008). BRACING FOR SCOLIOSIS. </w:t>
      </w:r>
      <w:r w:rsidRPr="2A58E4B6" w:rsidR="2E3C7BF3">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Neurosurgery</w:t>
      </w:r>
      <w:r w:rsidRPr="2A58E4B6" w:rsidR="2E3C7BF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63(suppl_3), </w:t>
      </w:r>
      <w:r w:rsidRPr="2A58E4B6" w:rsidR="2E3C7BF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pp.A</w:t>
      </w:r>
      <w:r w:rsidRPr="2A58E4B6" w:rsidR="2E3C7BF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125–A130.</w:t>
      </w:r>
      <w:r w:rsidRPr="2A58E4B6" w:rsidR="2E3C7BF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p>
    <w:p w:rsidR="0FD095B8" w:rsidP="2A58E4B6" w:rsidRDefault="0FD095B8" w14:paraId="3C4C5AA1" w14:textId="7E7D9977">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0FD095B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Janicki, J.A. and Alman, B. (2007). Scoliosis: Review of diagnosis and treatment. </w:t>
      </w:r>
      <w:r w:rsidRPr="2A58E4B6" w:rsidR="0FD095B8">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Paediatrics</w:t>
      </w:r>
      <w:r w:rsidRPr="2A58E4B6" w:rsidR="0FD095B8">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 xml:space="preserve"> &amp; Child Health</w:t>
      </w:r>
      <w:r w:rsidRPr="2A58E4B6" w:rsidR="0FD095B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A58E4B6" w:rsidR="5832865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[Accessed 25 Apr</w:t>
      </w:r>
      <w:r w:rsidRPr="2A58E4B6" w:rsidR="51E0AEA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il</w:t>
      </w:r>
      <w:r w:rsidRPr="2A58E4B6" w:rsidR="5832865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2024</w:t>
      </w:r>
      <w:r w:rsidRPr="2A58E4B6" w:rsidR="0FD095B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12(9), pp.771–776.</w:t>
      </w:r>
    </w:p>
    <w:p w:rsidR="151F65DC" w:rsidP="2A58E4B6" w:rsidRDefault="151F65DC" w14:paraId="7AC115B3" w14:textId="4A66E112">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Kamtsiuris</w:t>
      </w: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 </w:t>
      </w: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Atzpodien</w:t>
      </w: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K., Ellert, U., Schlack, R. and Schlaud, M. (2007). </w:t>
      </w: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Prevalence of somatic diseases in German children and adolescents. Results of the German Health Interview and Examination Survey for Children and Adolescents (</w:t>
      </w: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KiGGS</w:t>
      </w: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w:t>
      </w: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accesed</w:t>
      </w: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25 </w:t>
      </w: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April,</w:t>
      </w:r>
      <w:r w:rsidRPr="2A58E4B6" w:rsidR="151F65D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2024]</w:t>
      </w:r>
    </w:p>
    <w:p w:rsidR="5BEB1309" w:rsidP="2A58E4B6" w:rsidRDefault="5BEB1309" w14:paraId="34191D40" w14:textId="3E6D2265">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5BEB130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Konieczny, M.R., </w:t>
      </w:r>
      <w:r w:rsidRPr="2A58E4B6" w:rsidR="5BEB130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Senyurt</w:t>
      </w:r>
      <w:r w:rsidRPr="2A58E4B6" w:rsidR="5BEB130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H. and </w:t>
      </w:r>
      <w:r w:rsidRPr="2A58E4B6" w:rsidR="5BEB130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Krauspe</w:t>
      </w:r>
      <w:r w:rsidRPr="2A58E4B6" w:rsidR="5BEB130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R. (2013). Epidemiology of adolescent idiopathic scoliosis. </w:t>
      </w:r>
      <w:r w:rsidRPr="2A58E4B6" w:rsidR="5BEB1309">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 xml:space="preserve">Journal of Children’s </w:t>
      </w:r>
      <w:r w:rsidRPr="2A58E4B6" w:rsidR="5BEB1309">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Orthopaedics</w:t>
      </w:r>
      <w:r w:rsidRPr="2A58E4B6" w:rsidR="5BEB130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[accessed 25 April.2024]</w:t>
      </w:r>
    </w:p>
    <w:p w:rsidR="7ED736B4" w:rsidP="2A58E4B6" w:rsidRDefault="7ED736B4" w14:paraId="68B98082" w14:textId="26842514">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7ED736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Kotwicki, T., </w:t>
      </w:r>
      <w:r w:rsidRPr="2A58E4B6" w:rsidR="7ED736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Chowanska</w:t>
      </w:r>
      <w:r w:rsidRPr="2A58E4B6" w:rsidR="7ED736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J., Kinel, E., </w:t>
      </w:r>
      <w:r w:rsidRPr="2A58E4B6" w:rsidR="7ED736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Czaprowski</w:t>
      </w:r>
      <w:r w:rsidRPr="2A58E4B6" w:rsidR="7ED736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D., Tomaszewski, M. and Janusz, P. (2013). Optimal management of idiopathic scoliosis in adolescence. </w:t>
      </w:r>
      <w:r w:rsidRPr="2A58E4B6" w:rsidR="7ED736B4">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 xml:space="preserve">Adolescent Health, </w:t>
      </w:r>
      <w:r w:rsidRPr="2A58E4B6" w:rsidR="7ED736B4">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Medicine</w:t>
      </w:r>
      <w:r w:rsidRPr="2A58E4B6" w:rsidR="7ED736B4">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 xml:space="preserve"> and Therapeutics</w:t>
      </w:r>
      <w:r w:rsidRPr="2A58E4B6" w:rsidR="7ED736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[Accessed 25 April.2024] 4,</w:t>
      </w:r>
    </w:p>
    <w:p w:rsidR="289906C0" w:rsidP="2A58E4B6" w:rsidRDefault="289906C0" w14:paraId="3B5FF073" w14:textId="343EE7F8">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289906C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Ratahi</w:t>
      </w:r>
      <w:r w:rsidRPr="2A58E4B6" w:rsidR="289906C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E.D., Crawford, H.A., Thompson, J.M. and Barnes, M.J. (2002). Ethnic Variance in the Epidemiology of Scoliosis in New Zealand. </w:t>
      </w:r>
      <w:r w:rsidRPr="2A58E4B6" w:rsidR="289906C0">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 xml:space="preserve">Journal of Pediatric </w:t>
      </w:r>
      <w:r w:rsidRPr="2A58E4B6" w:rsidR="289906C0">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Orthopaedics</w:t>
      </w:r>
      <w:r w:rsidRPr="2A58E4B6" w:rsidR="289906C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[accessed 25 April. 2024] 22(6), p.784. </w:t>
      </w:r>
      <w:r w:rsidRPr="2A58E4B6" w:rsidR="289906C0">
        <w:rPr>
          <w:rFonts w:ascii="Aptos" w:hAnsi="Aptos" w:eastAsia="Aptos" w:cs="Aptos" w:asciiTheme="minorAscii" w:hAnsiTheme="minorAscii" w:eastAsiaTheme="minorAscii" w:cstheme="minorAscii"/>
          <w:b w:val="0"/>
          <w:bCs w:val="0"/>
          <w:noProof w:val="0"/>
          <w:color w:val="auto"/>
          <w:sz w:val="22"/>
          <w:szCs w:val="22"/>
          <w:lang w:val="en-US"/>
        </w:rPr>
        <w:t xml:space="preserve"> </w:t>
      </w:r>
    </w:p>
    <w:p w:rsidR="2496E260" w:rsidP="2A58E4B6" w:rsidRDefault="2496E260" w14:paraId="614C8701" w14:textId="0DFCE567">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A58E4B6" w:rsidR="2496E26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Rosenburg (2011). Pediatrics in Review</w:t>
      </w:r>
      <w:r w:rsidRPr="2A58E4B6" w:rsidR="0B0B72A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Scoliosis. [Accessed 25 Ap</w:t>
      </w:r>
      <w:r w:rsidRPr="2A58E4B6" w:rsidR="0B0B72A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w:t>
      </w:r>
      <w:r w:rsidRPr="2A58E4B6" w:rsidR="2A118CD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il</w:t>
      </w:r>
      <w:r w:rsidRPr="2A58E4B6" w:rsidR="0B0B72A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2024]</w:t>
      </w:r>
      <w:r w:rsidRPr="2A58E4B6" w:rsidR="0E37A14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p397-398.</w:t>
      </w:r>
    </w:p>
    <w:p w:rsidR="1655F3C7" w:rsidP="2A58E4B6" w:rsidRDefault="1655F3C7" w14:paraId="4199CFC4" w14:textId="30263797">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1655F3C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Saraiva, B.M.A., Araujo, G.S., Sperandio, E.F., </w:t>
      </w:r>
      <w:r w:rsidRPr="2A58E4B6" w:rsidR="1655F3C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Gotfryd</w:t>
      </w:r>
      <w:r w:rsidRPr="2A58E4B6" w:rsidR="1655F3C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A.O., Dourado, V.Z. and </w:t>
      </w:r>
      <w:r w:rsidRPr="2A58E4B6" w:rsidR="1655F3C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Vidotto</w:t>
      </w:r>
      <w:r w:rsidRPr="2A58E4B6" w:rsidR="1655F3C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M.C. (2018). Impact of Scoliosis Severity on Functional Capacity in Patients </w:t>
      </w:r>
      <w:r w:rsidRPr="2A58E4B6" w:rsidR="1655F3C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With</w:t>
      </w:r>
      <w:r w:rsidRPr="2A58E4B6" w:rsidR="1655F3C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Adolescent Idiopathic Scoliosis. </w:t>
      </w:r>
      <w:r w:rsidRPr="2A58E4B6" w:rsidR="1655F3C7">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Pediatric Exercise Science</w:t>
      </w:r>
      <w:r w:rsidRPr="2A58E4B6" w:rsidR="1655F3C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[online] 30(2), pp.243–250 </w:t>
      </w:r>
      <w:r w:rsidRPr="2A58E4B6" w:rsidR="12643EA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Tones, M., Moss, </w:t>
      </w:r>
      <w:r w:rsidRPr="2A58E4B6" w:rsidR="12643EA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N.</w:t>
      </w:r>
      <w:r w:rsidRPr="2A58E4B6" w:rsidR="12643EA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Polly, D.W. (2006). A Review of Quality of Life and Psychosocial Issues in Scoliosis. </w:t>
      </w:r>
      <w:r w:rsidRPr="2A58E4B6" w:rsidR="12643EAE">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Spine</w:t>
      </w:r>
      <w:r w:rsidRPr="2A58E4B6" w:rsidR="12643EA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31(26), pp.3027–3038.</w:t>
      </w:r>
    </w:p>
    <w:p w:rsidR="3C4B5397" w:rsidP="2A58E4B6" w:rsidRDefault="3C4B5397" w14:paraId="7009DAFF" w14:textId="1ACAF490">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3C4B539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Veldhuizen, A.G., Wever, D.J. and Webb, P.J. (2000). The </w:t>
      </w:r>
      <w:r w:rsidRPr="2A58E4B6" w:rsidR="3C4B539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aetiology</w:t>
      </w:r>
      <w:r w:rsidRPr="2A58E4B6" w:rsidR="3C4B539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of idiopathic scoliosis: biomechanical and neuromuscular factors. </w:t>
      </w:r>
      <w:r w:rsidRPr="2A58E4B6" w:rsidR="3C4B5397">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European Spine Journal</w:t>
      </w:r>
      <w:r w:rsidRPr="2A58E4B6" w:rsidR="3C4B539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9(3), pp.178–184.</w:t>
      </w:r>
    </w:p>
    <w:p w:rsidR="568B90AF" w:rsidP="2A58E4B6" w:rsidRDefault="568B90AF" w14:paraId="4C53C79E" w14:textId="39FC54DC">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568B90A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Weinstein, S.L., Dolan, L.A., Cheng, J.C., Danielsson, A. and </w:t>
      </w:r>
      <w:r w:rsidRPr="2A58E4B6" w:rsidR="568B90A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Morcuende</w:t>
      </w:r>
      <w:r w:rsidRPr="2A58E4B6" w:rsidR="568B90A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J.A. (2008).</w:t>
      </w:r>
      <w:r w:rsidRPr="2A58E4B6" w:rsidR="568B90A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Adolescent idiopathic scoliosis. </w:t>
      </w:r>
      <w:r w:rsidRPr="2A58E4B6" w:rsidR="568B90AF">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The Lancet</w:t>
      </w:r>
      <w:r w:rsidRPr="2A58E4B6" w:rsidR="568B90A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371(9623), pp.1527–1537, [accessed 25 April. 2024]</w:t>
      </w:r>
    </w:p>
    <w:p w:rsidR="54CE8B3D" w:rsidP="2A58E4B6" w:rsidRDefault="54CE8B3D" w14:paraId="57FE8502" w14:textId="6810F59A">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54CE8B3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Weiss, H.-R., Turnbull, D., </w:t>
      </w:r>
      <w:r w:rsidRPr="2A58E4B6" w:rsidR="54CE8B3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Tournavitis</w:t>
      </w:r>
      <w:r w:rsidRPr="2A58E4B6" w:rsidR="54CE8B3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N. and Borysov, M. (2016). Treatment of Scoliosis-Evidence and Management (Review of the Literature). </w:t>
      </w:r>
      <w:r w:rsidRPr="2A58E4B6" w:rsidR="54CE8B3D">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Middle East Journal of Rehabilitation and Health</w:t>
      </w:r>
      <w:r w:rsidRPr="2A58E4B6" w:rsidR="54CE8B3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2A58E4B6" w:rsidR="54CE8B3D">
        <w:rPr>
          <w:rFonts w:ascii="Aptos" w:hAnsi="Aptos" w:eastAsia="Aptos" w:cs="Aptos" w:asciiTheme="minorAscii" w:hAnsiTheme="minorAscii" w:eastAsiaTheme="minorAscii" w:cstheme="minorAscii"/>
          <w:b w:val="0"/>
          <w:bCs w:val="0"/>
          <w:noProof w:val="0"/>
          <w:color w:val="auto"/>
          <w:sz w:val="22"/>
          <w:szCs w:val="22"/>
          <w:lang w:val="en-US"/>
        </w:rPr>
        <w:t xml:space="preserve"> [accessed 25 april.2024]</w:t>
      </w:r>
    </w:p>
    <w:p w:rsidR="3C4C0ED4" w:rsidP="2A58E4B6" w:rsidRDefault="3C4C0ED4" w14:paraId="2E4B24AB" w14:textId="2FC7B4D8">
      <w:pPr>
        <w:pStyle w:val="Normal"/>
        <w:rPr>
          <w:rFonts w:ascii="Aptos" w:hAnsi="Aptos" w:eastAsia="Aptos" w:cs="Aptos" w:asciiTheme="minorAscii" w:hAnsiTheme="minorAscii" w:eastAsiaTheme="minorAscii" w:cstheme="minorAscii"/>
          <w:b w:val="0"/>
          <w:bCs w:val="0"/>
          <w:noProof w:val="0"/>
          <w:color w:val="auto"/>
          <w:sz w:val="22"/>
          <w:szCs w:val="22"/>
          <w:lang w:val="en-US"/>
        </w:rPr>
      </w:pPr>
      <w:r w:rsidRPr="2A58E4B6" w:rsidR="3C4C0ED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92OzhaAdmvWjAG" int2:id="mb2RNZak">
      <int2:state int2:type="AugLoop_Text_Critique" int2:value="Rejected"/>
    </int2:textHash>
    <int2:bookmark int2:bookmarkName="_Int_1pTqpxIy" int2:invalidationBookmarkName="" int2:hashCode="IOqink1A6xWH60" int2:id="bckTMfG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48f6c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46ACB1"/>
    <w:rsid w:val="011FD2F9"/>
    <w:rsid w:val="0156CF2D"/>
    <w:rsid w:val="01706642"/>
    <w:rsid w:val="023371C9"/>
    <w:rsid w:val="025D21D2"/>
    <w:rsid w:val="02C026BE"/>
    <w:rsid w:val="02D58CD8"/>
    <w:rsid w:val="03BC3197"/>
    <w:rsid w:val="04951707"/>
    <w:rsid w:val="05A9BC11"/>
    <w:rsid w:val="06D9A345"/>
    <w:rsid w:val="07458C72"/>
    <w:rsid w:val="084AE539"/>
    <w:rsid w:val="08A2B34D"/>
    <w:rsid w:val="08E72AAE"/>
    <w:rsid w:val="0AD35E07"/>
    <w:rsid w:val="0B0B72A8"/>
    <w:rsid w:val="0B6ABE71"/>
    <w:rsid w:val="0BC20D33"/>
    <w:rsid w:val="0C7C5DDC"/>
    <w:rsid w:val="0D068ED2"/>
    <w:rsid w:val="0D6B6BB9"/>
    <w:rsid w:val="0E37A14D"/>
    <w:rsid w:val="0E8C742F"/>
    <w:rsid w:val="0EB95A59"/>
    <w:rsid w:val="0EDFBCFC"/>
    <w:rsid w:val="0F073C1A"/>
    <w:rsid w:val="0FD095B8"/>
    <w:rsid w:val="10949CD5"/>
    <w:rsid w:val="112351FE"/>
    <w:rsid w:val="11429F8B"/>
    <w:rsid w:val="122FC181"/>
    <w:rsid w:val="12643EAE"/>
    <w:rsid w:val="128BDD60"/>
    <w:rsid w:val="139C3079"/>
    <w:rsid w:val="140ABF38"/>
    <w:rsid w:val="14CEDE7C"/>
    <w:rsid w:val="151F65DC"/>
    <w:rsid w:val="1549B1F2"/>
    <w:rsid w:val="15F6C321"/>
    <w:rsid w:val="1640376C"/>
    <w:rsid w:val="1655F3C7"/>
    <w:rsid w:val="16569D42"/>
    <w:rsid w:val="17DC07CD"/>
    <w:rsid w:val="184624E3"/>
    <w:rsid w:val="19067586"/>
    <w:rsid w:val="19986BC9"/>
    <w:rsid w:val="19CF26D6"/>
    <w:rsid w:val="1A50E824"/>
    <w:rsid w:val="1B6AF737"/>
    <w:rsid w:val="1B8CF213"/>
    <w:rsid w:val="1D259B46"/>
    <w:rsid w:val="1F4E26F7"/>
    <w:rsid w:val="1FAA01ED"/>
    <w:rsid w:val="1FD07B5C"/>
    <w:rsid w:val="20AAD216"/>
    <w:rsid w:val="21542629"/>
    <w:rsid w:val="216C4BBD"/>
    <w:rsid w:val="21E22641"/>
    <w:rsid w:val="22276BAC"/>
    <w:rsid w:val="22A1891E"/>
    <w:rsid w:val="22FC9ED5"/>
    <w:rsid w:val="23C346A5"/>
    <w:rsid w:val="23F5861D"/>
    <w:rsid w:val="2496E260"/>
    <w:rsid w:val="251E6B9D"/>
    <w:rsid w:val="2591567E"/>
    <w:rsid w:val="26343F97"/>
    <w:rsid w:val="263FBCE0"/>
    <w:rsid w:val="2693FC17"/>
    <w:rsid w:val="26CBA2FC"/>
    <w:rsid w:val="26F07021"/>
    <w:rsid w:val="270393A3"/>
    <w:rsid w:val="2713FE82"/>
    <w:rsid w:val="2742E8DE"/>
    <w:rsid w:val="277CE6CC"/>
    <w:rsid w:val="27C367AD"/>
    <w:rsid w:val="285167C5"/>
    <w:rsid w:val="289906C0"/>
    <w:rsid w:val="292414D5"/>
    <w:rsid w:val="29C01DCF"/>
    <w:rsid w:val="2A118CDB"/>
    <w:rsid w:val="2A58E4B6"/>
    <w:rsid w:val="2A68968E"/>
    <w:rsid w:val="2C0466EF"/>
    <w:rsid w:val="2C2EDE60"/>
    <w:rsid w:val="2C71A09B"/>
    <w:rsid w:val="2D46D3C4"/>
    <w:rsid w:val="2DBE9FDC"/>
    <w:rsid w:val="2E3C7BF3"/>
    <w:rsid w:val="2E8B26C9"/>
    <w:rsid w:val="2F2D6452"/>
    <w:rsid w:val="2F46ACB1"/>
    <w:rsid w:val="2F610E10"/>
    <w:rsid w:val="3151114F"/>
    <w:rsid w:val="32130685"/>
    <w:rsid w:val="332A1286"/>
    <w:rsid w:val="3345BF06"/>
    <w:rsid w:val="33B2138A"/>
    <w:rsid w:val="34300C6F"/>
    <w:rsid w:val="34E12511"/>
    <w:rsid w:val="34E18F67"/>
    <w:rsid w:val="35D63918"/>
    <w:rsid w:val="36207067"/>
    <w:rsid w:val="367D5FC8"/>
    <w:rsid w:val="36E9B44C"/>
    <w:rsid w:val="38DDF1C9"/>
    <w:rsid w:val="390CF31C"/>
    <w:rsid w:val="39956EF2"/>
    <w:rsid w:val="3A21550E"/>
    <w:rsid w:val="3A509979"/>
    <w:rsid w:val="3A79C22A"/>
    <w:rsid w:val="3AD298DE"/>
    <w:rsid w:val="3C15928B"/>
    <w:rsid w:val="3C4B5397"/>
    <w:rsid w:val="3C4C0ED4"/>
    <w:rsid w:val="3D0FCF35"/>
    <w:rsid w:val="3D74D455"/>
    <w:rsid w:val="3DBE48A0"/>
    <w:rsid w:val="3E54AFE6"/>
    <w:rsid w:val="3E5E3947"/>
    <w:rsid w:val="3EC7A076"/>
    <w:rsid w:val="3F3D21B7"/>
    <w:rsid w:val="3FC752AD"/>
    <w:rsid w:val="4000909A"/>
    <w:rsid w:val="413110B8"/>
    <w:rsid w:val="4235D01E"/>
    <w:rsid w:val="4274C279"/>
    <w:rsid w:val="42B1E9FB"/>
    <w:rsid w:val="42E9086B"/>
    <w:rsid w:val="42ED21B3"/>
    <w:rsid w:val="4327E303"/>
    <w:rsid w:val="4332C634"/>
    <w:rsid w:val="4338AE6C"/>
    <w:rsid w:val="4377A57B"/>
    <w:rsid w:val="44E33FEA"/>
    <w:rsid w:val="44FFA0B7"/>
    <w:rsid w:val="45D96B55"/>
    <w:rsid w:val="4620A92D"/>
    <w:rsid w:val="469C0795"/>
    <w:rsid w:val="46C10DF4"/>
    <w:rsid w:val="476B8E72"/>
    <w:rsid w:val="49919A86"/>
    <w:rsid w:val="4B0BF639"/>
    <w:rsid w:val="4B7B7839"/>
    <w:rsid w:val="4E347D4A"/>
    <w:rsid w:val="4E34E873"/>
    <w:rsid w:val="4E84E042"/>
    <w:rsid w:val="4EDF4C73"/>
    <w:rsid w:val="4F384399"/>
    <w:rsid w:val="4FADDDAC"/>
    <w:rsid w:val="4FFE0917"/>
    <w:rsid w:val="50B8110D"/>
    <w:rsid w:val="510E7E4E"/>
    <w:rsid w:val="51A2E124"/>
    <w:rsid w:val="51E0AEA7"/>
    <w:rsid w:val="52C2CC08"/>
    <w:rsid w:val="52E57E6E"/>
    <w:rsid w:val="5318A90C"/>
    <w:rsid w:val="54294AEB"/>
    <w:rsid w:val="54CE8B3D"/>
    <w:rsid w:val="554D61B8"/>
    <w:rsid w:val="55BADC97"/>
    <w:rsid w:val="55E1EF71"/>
    <w:rsid w:val="56840A80"/>
    <w:rsid w:val="568B90AF"/>
    <w:rsid w:val="569D219B"/>
    <w:rsid w:val="56CD578D"/>
    <w:rsid w:val="57747E0C"/>
    <w:rsid w:val="57913804"/>
    <w:rsid w:val="58129A2B"/>
    <w:rsid w:val="581FDAE1"/>
    <w:rsid w:val="58328658"/>
    <w:rsid w:val="591B2952"/>
    <w:rsid w:val="5A8E8A30"/>
    <w:rsid w:val="5B4A3AED"/>
    <w:rsid w:val="5B51443E"/>
    <w:rsid w:val="5BEB1309"/>
    <w:rsid w:val="5C412B90"/>
    <w:rsid w:val="5CA5A33B"/>
    <w:rsid w:val="5CF8E0FE"/>
    <w:rsid w:val="5DA6D721"/>
    <w:rsid w:val="5DCC1A02"/>
    <w:rsid w:val="5E7BB67F"/>
    <w:rsid w:val="5ED83197"/>
    <w:rsid w:val="5F7B94DD"/>
    <w:rsid w:val="5F822C06"/>
    <w:rsid w:val="601DAC10"/>
    <w:rsid w:val="601F3FA7"/>
    <w:rsid w:val="60B50C7A"/>
    <w:rsid w:val="61B97C71"/>
    <w:rsid w:val="61EA124E"/>
    <w:rsid w:val="62B5B9C2"/>
    <w:rsid w:val="63A9EB01"/>
    <w:rsid w:val="64D1CFA6"/>
    <w:rsid w:val="65947D2E"/>
    <w:rsid w:val="65ED5A84"/>
    <w:rsid w:val="666DA007"/>
    <w:rsid w:val="6673BC8D"/>
    <w:rsid w:val="66F23BA8"/>
    <w:rsid w:val="6774BE48"/>
    <w:rsid w:val="679BD122"/>
    <w:rsid w:val="685A66E8"/>
    <w:rsid w:val="689E8BB7"/>
    <w:rsid w:val="690EE157"/>
    <w:rsid w:val="6A10665D"/>
    <w:rsid w:val="6A1F0C95"/>
    <w:rsid w:val="6AC0CBA7"/>
    <w:rsid w:val="6AC98C20"/>
    <w:rsid w:val="6B121B6A"/>
    <w:rsid w:val="6B74E9E8"/>
    <w:rsid w:val="6BFBEBB6"/>
    <w:rsid w:val="6C3DB5C2"/>
    <w:rsid w:val="6C482F6B"/>
    <w:rsid w:val="6C50E63F"/>
    <w:rsid w:val="6C655C81"/>
    <w:rsid w:val="6DA35EFB"/>
    <w:rsid w:val="6E01D0E0"/>
    <w:rsid w:val="6E64C0ED"/>
    <w:rsid w:val="6EA6965D"/>
    <w:rsid w:val="6F18EF75"/>
    <w:rsid w:val="6F9CFD43"/>
    <w:rsid w:val="704EF075"/>
    <w:rsid w:val="70F855FF"/>
    <w:rsid w:val="71107B93"/>
    <w:rsid w:val="719C61AF"/>
    <w:rsid w:val="71D36CC7"/>
    <w:rsid w:val="72590327"/>
    <w:rsid w:val="72B14422"/>
    <w:rsid w:val="7300C894"/>
    <w:rsid w:val="730BF278"/>
    <w:rsid w:val="73735E22"/>
    <w:rsid w:val="7374F1B9"/>
    <w:rsid w:val="73D1ECF6"/>
    <w:rsid w:val="749C98F5"/>
    <w:rsid w:val="755B70E0"/>
    <w:rsid w:val="75BC9AB4"/>
    <w:rsid w:val="75F2F9F5"/>
    <w:rsid w:val="76386956"/>
    <w:rsid w:val="768F47C4"/>
    <w:rsid w:val="76AB1C7D"/>
    <w:rsid w:val="774E5EDF"/>
    <w:rsid w:val="785EC7B7"/>
    <w:rsid w:val="78C844AB"/>
    <w:rsid w:val="7A54C797"/>
    <w:rsid w:val="7A68B9A6"/>
    <w:rsid w:val="7ACFC19C"/>
    <w:rsid w:val="7D6000A5"/>
    <w:rsid w:val="7D9BB5CE"/>
    <w:rsid w:val="7DD3BC71"/>
    <w:rsid w:val="7E38C57F"/>
    <w:rsid w:val="7ED736B4"/>
    <w:rsid w:val="7EF26A55"/>
    <w:rsid w:val="7F3700C5"/>
    <w:rsid w:val="7F774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6ACB1"/>
  <w15:chartTrackingRefBased/>
  <w15:docId w15:val="{86AFCAB8-F49B-448A-AAEA-4CD421610C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371fe43c12c4f23" /><Relationship Type="http://schemas.openxmlformats.org/officeDocument/2006/relationships/numbering" Target="numbering.xml" Id="R4e562ac5afc3429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2024-04-25T09:48:52.5150847Z</dcterms:created>
  <dcterms:modified xsi:type="dcterms:W3CDTF">2024-04-25T21:56:39.5224276Z</dcterms:modified>
  <dc:creator>Matthew Francis (2318301)</dc:creator>
  <lastModifiedBy>Matthew Francis (2318301)</lastModifiedBy>
</coreProperties>
</file>