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6E30C" w14:textId="6D131A0A" w:rsidR="00025728"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UNIVERSITY OF WALES TRINITY ST DAVID</w:t>
      </w:r>
    </w:p>
    <w:p w14:paraId="66E42CCE" w14:textId="0C08836C"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BSc HEALTH AND SOCIAL CARE</w:t>
      </w:r>
      <w:r w:rsidRPr="002163EC">
        <w:rPr>
          <w:rFonts w:ascii="Arial" w:hAnsi="Arial" w:cs="Arial"/>
          <w:b/>
          <w:bCs/>
          <w:sz w:val="28"/>
          <w:szCs w:val="28"/>
        </w:rPr>
        <w:tab/>
      </w:r>
    </w:p>
    <w:p w14:paraId="3AB02E29" w14:textId="787D1272"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MODULE: PROTECTING AND SUPPORTING FAMILIES IN HEALTH AND SOCIAL CARE</w:t>
      </w:r>
    </w:p>
    <w:p w14:paraId="480400DF" w14:textId="3ED0A047"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MODULE TUTOR: ROBERT NARTOWSKI</w:t>
      </w:r>
    </w:p>
    <w:p w14:paraId="4E5322C5" w14:textId="504A57FB"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MODULE CODE: BMHP5021</w:t>
      </w:r>
    </w:p>
    <w:p w14:paraId="25999380" w14:textId="1AFE4113"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ASSIGNMENT: COMPONENT 2 WRITTEN REPORT</w:t>
      </w:r>
    </w:p>
    <w:p w14:paraId="4E810F0B" w14:textId="2BE82CEB"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STUDENT NAME: NAUREEN HUSSAIN</w:t>
      </w:r>
    </w:p>
    <w:p w14:paraId="51DDB90D" w14:textId="1530E74A" w:rsidR="002163EC" w:rsidRPr="002163EC" w:rsidRDefault="002163EC" w:rsidP="003D5225">
      <w:pPr>
        <w:spacing w:line="360" w:lineRule="auto"/>
        <w:rPr>
          <w:rFonts w:ascii="Arial" w:hAnsi="Arial" w:cs="Arial"/>
          <w:b/>
          <w:bCs/>
          <w:sz w:val="28"/>
          <w:szCs w:val="28"/>
        </w:rPr>
      </w:pPr>
      <w:r w:rsidRPr="002163EC">
        <w:rPr>
          <w:rFonts w:ascii="Arial" w:hAnsi="Arial" w:cs="Arial"/>
          <w:b/>
          <w:bCs/>
          <w:sz w:val="28"/>
          <w:szCs w:val="28"/>
        </w:rPr>
        <w:t>STUDENT NUMBER: 2410266</w:t>
      </w:r>
    </w:p>
    <w:p w14:paraId="28B676EA" w14:textId="77777777" w:rsidR="002163EC" w:rsidRDefault="002163EC" w:rsidP="003D5225">
      <w:pPr>
        <w:spacing w:line="360" w:lineRule="auto"/>
        <w:rPr>
          <w:rFonts w:ascii="Arial" w:hAnsi="Arial" w:cs="Arial"/>
          <w:b/>
          <w:bCs/>
          <w:sz w:val="22"/>
          <w:szCs w:val="22"/>
        </w:rPr>
      </w:pPr>
    </w:p>
    <w:p w14:paraId="523CB7E3" w14:textId="77777777" w:rsidR="00025728" w:rsidRDefault="00025728" w:rsidP="003D5225">
      <w:pPr>
        <w:spacing w:line="360" w:lineRule="auto"/>
        <w:rPr>
          <w:rFonts w:ascii="Arial" w:hAnsi="Arial" w:cs="Arial"/>
          <w:b/>
          <w:bCs/>
          <w:sz w:val="22"/>
          <w:szCs w:val="22"/>
        </w:rPr>
      </w:pPr>
    </w:p>
    <w:p w14:paraId="5D1EFF6A" w14:textId="77777777" w:rsidR="00025728" w:rsidRDefault="00025728" w:rsidP="003D5225">
      <w:pPr>
        <w:spacing w:line="360" w:lineRule="auto"/>
        <w:rPr>
          <w:rFonts w:ascii="Arial" w:hAnsi="Arial" w:cs="Arial"/>
          <w:b/>
          <w:bCs/>
          <w:sz w:val="22"/>
          <w:szCs w:val="22"/>
        </w:rPr>
      </w:pPr>
    </w:p>
    <w:p w14:paraId="78E36CD0" w14:textId="77777777" w:rsidR="00025728" w:rsidRDefault="00025728" w:rsidP="003D5225">
      <w:pPr>
        <w:spacing w:line="360" w:lineRule="auto"/>
        <w:rPr>
          <w:rFonts w:ascii="Arial" w:hAnsi="Arial" w:cs="Arial"/>
          <w:b/>
          <w:bCs/>
          <w:sz w:val="22"/>
          <w:szCs w:val="22"/>
        </w:rPr>
      </w:pPr>
    </w:p>
    <w:p w14:paraId="6AF83D93" w14:textId="77777777" w:rsidR="00025728" w:rsidRDefault="00025728" w:rsidP="003D5225">
      <w:pPr>
        <w:spacing w:line="360" w:lineRule="auto"/>
        <w:rPr>
          <w:rFonts w:ascii="Arial" w:hAnsi="Arial" w:cs="Arial"/>
          <w:b/>
          <w:bCs/>
          <w:sz w:val="22"/>
          <w:szCs w:val="22"/>
        </w:rPr>
      </w:pPr>
    </w:p>
    <w:p w14:paraId="69AB57BF" w14:textId="77777777" w:rsidR="00025728" w:rsidRDefault="00025728" w:rsidP="003D5225">
      <w:pPr>
        <w:spacing w:line="360" w:lineRule="auto"/>
        <w:rPr>
          <w:rFonts w:ascii="Arial" w:hAnsi="Arial" w:cs="Arial"/>
          <w:b/>
          <w:bCs/>
          <w:sz w:val="22"/>
          <w:szCs w:val="22"/>
        </w:rPr>
      </w:pPr>
    </w:p>
    <w:p w14:paraId="05E3ACF0" w14:textId="77777777" w:rsidR="00025728" w:rsidRDefault="00025728" w:rsidP="003D5225">
      <w:pPr>
        <w:spacing w:line="360" w:lineRule="auto"/>
        <w:rPr>
          <w:rFonts w:ascii="Arial" w:hAnsi="Arial" w:cs="Arial"/>
          <w:b/>
          <w:bCs/>
          <w:sz w:val="22"/>
          <w:szCs w:val="22"/>
        </w:rPr>
      </w:pPr>
    </w:p>
    <w:p w14:paraId="3EA5DB3E" w14:textId="77777777" w:rsidR="00025728" w:rsidRDefault="00025728" w:rsidP="003D5225">
      <w:pPr>
        <w:spacing w:line="360" w:lineRule="auto"/>
        <w:rPr>
          <w:rFonts w:ascii="Arial" w:hAnsi="Arial" w:cs="Arial"/>
          <w:b/>
          <w:bCs/>
          <w:sz w:val="22"/>
          <w:szCs w:val="22"/>
        </w:rPr>
      </w:pPr>
    </w:p>
    <w:p w14:paraId="407A6A15" w14:textId="77777777" w:rsidR="00025728" w:rsidRDefault="00025728" w:rsidP="003D5225">
      <w:pPr>
        <w:spacing w:line="360" w:lineRule="auto"/>
        <w:rPr>
          <w:rFonts w:ascii="Arial" w:hAnsi="Arial" w:cs="Arial"/>
          <w:b/>
          <w:bCs/>
          <w:sz w:val="22"/>
          <w:szCs w:val="22"/>
        </w:rPr>
      </w:pPr>
    </w:p>
    <w:p w14:paraId="65B4AF70" w14:textId="77777777" w:rsidR="00025728" w:rsidRDefault="00025728" w:rsidP="003D5225">
      <w:pPr>
        <w:spacing w:line="360" w:lineRule="auto"/>
        <w:rPr>
          <w:rFonts w:ascii="Arial" w:hAnsi="Arial" w:cs="Arial"/>
          <w:b/>
          <w:bCs/>
          <w:sz w:val="22"/>
          <w:szCs w:val="22"/>
        </w:rPr>
      </w:pPr>
    </w:p>
    <w:p w14:paraId="2DA4FAD6" w14:textId="77777777" w:rsidR="00025728" w:rsidRDefault="00025728" w:rsidP="003D5225">
      <w:pPr>
        <w:spacing w:line="360" w:lineRule="auto"/>
        <w:rPr>
          <w:rFonts w:ascii="Arial" w:hAnsi="Arial" w:cs="Arial"/>
          <w:b/>
          <w:bCs/>
          <w:sz w:val="22"/>
          <w:szCs w:val="22"/>
        </w:rPr>
      </w:pPr>
    </w:p>
    <w:p w14:paraId="18344282" w14:textId="77777777" w:rsidR="00025728" w:rsidRDefault="00025728" w:rsidP="003D5225">
      <w:pPr>
        <w:spacing w:line="360" w:lineRule="auto"/>
        <w:rPr>
          <w:rFonts w:ascii="Arial" w:hAnsi="Arial" w:cs="Arial"/>
          <w:b/>
          <w:bCs/>
          <w:sz w:val="22"/>
          <w:szCs w:val="22"/>
        </w:rPr>
      </w:pPr>
    </w:p>
    <w:p w14:paraId="13A18E35" w14:textId="77777777" w:rsidR="00025728" w:rsidRDefault="00025728" w:rsidP="003D5225">
      <w:pPr>
        <w:spacing w:line="360" w:lineRule="auto"/>
        <w:rPr>
          <w:rFonts w:ascii="Arial" w:hAnsi="Arial" w:cs="Arial"/>
          <w:b/>
          <w:bCs/>
          <w:sz w:val="22"/>
          <w:szCs w:val="22"/>
        </w:rPr>
      </w:pPr>
    </w:p>
    <w:p w14:paraId="25D3F0E8" w14:textId="77777777" w:rsidR="00025728" w:rsidRDefault="00025728" w:rsidP="003D5225">
      <w:pPr>
        <w:spacing w:line="360" w:lineRule="auto"/>
        <w:rPr>
          <w:rFonts w:ascii="Arial" w:hAnsi="Arial" w:cs="Arial"/>
          <w:b/>
          <w:bCs/>
          <w:sz w:val="22"/>
          <w:szCs w:val="22"/>
        </w:rPr>
      </w:pPr>
    </w:p>
    <w:p w14:paraId="747AE8E1" w14:textId="77777777" w:rsidR="00F56ADF" w:rsidRDefault="00F56ADF" w:rsidP="003D5225">
      <w:pPr>
        <w:spacing w:line="360" w:lineRule="auto"/>
        <w:rPr>
          <w:rFonts w:ascii="Arial" w:hAnsi="Arial" w:cs="Arial"/>
          <w:b/>
          <w:bCs/>
          <w:sz w:val="22"/>
          <w:szCs w:val="22"/>
        </w:rPr>
      </w:pPr>
    </w:p>
    <w:p w14:paraId="11A01A76" w14:textId="2EEA7AEF" w:rsidR="00685494" w:rsidRPr="003D5225" w:rsidRDefault="00B84D1F" w:rsidP="003D5225">
      <w:pPr>
        <w:spacing w:line="360" w:lineRule="auto"/>
        <w:rPr>
          <w:rFonts w:ascii="Arial" w:hAnsi="Arial" w:cs="Arial"/>
          <w:b/>
          <w:bCs/>
          <w:sz w:val="22"/>
          <w:szCs w:val="22"/>
        </w:rPr>
      </w:pPr>
      <w:r w:rsidRPr="003D5225">
        <w:rPr>
          <w:rFonts w:ascii="Arial" w:hAnsi="Arial" w:cs="Arial"/>
          <w:b/>
          <w:bCs/>
          <w:sz w:val="22"/>
          <w:szCs w:val="22"/>
        </w:rPr>
        <w:lastRenderedPageBreak/>
        <w:t xml:space="preserve">An Examination and Analysis of How the ‘Early Help’ System is Signposted to UK Families by Local Authority Websites </w:t>
      </w:r>
    </w:p>
    <w:p w14:paraId="2DCBCC90" w14:textId="0405F2E2"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The 'Early Help' system constitutes a vital element of the safeguarding framework in the United Kingdom.</w:t>
      </w:r>
      <w:r w:rsidR="004E70AB" w:rsidRPr="003D5225">
        <w:rPr>
          <w:rFonts w:ascii="Arial" w:hAnsi="Arial" w:cs="Arial"/>
          <w:sz w:val="22"/>
          <w:szCs w:val="22"/>
        </w:rPr>
        <w:t xml:space="preserve"> </w:t>
      </w:r>
      <w:r w:rsidRPr="003D5225">
        <w:rPr>
          <w:rFonts w:ascii="Arial" w:hAnsi="Arial" w:cs="Arial"/>
          <w:sz w:val="22"/>
          <w:szCs w:val="22"/>
        </w:rPr>
        <w:t>This report investigates how three local authorities—Leeds City Council, Norfolk County Council, and Tower Hamlets Council—display and convey information about Early Help services via their official websites. It assesses the accessibility, clarity, and comprehensiveness of this information for families, while also evaluating how effectively each authority embodies the principles set forth in national guidance. The report commences by elucidating the Early Help system and the significance of collaborative agency efforts. Subsequently, it reviews each local authority website individually, followed by a comparative analysis of their respective strengths and weaknesses. The report concludes by identifying which authority exemplifies the most effective communication of Early Help services and provides recommendations for enhancement.</w:t>
      </w:r>
    </w:p>
    <w:p w14:paraId="7F35F775" w14:textId="740E41F8"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Explanation of the </w:t>
      </w:r>
      <w:r w:rsidR="003D5225">
        <w:rPr>
          <w:rFonts w:ascii="Arial" w:hAnsi="Arial" w:cs="Arial"/>
          <w:b/>
          <w:bCs/>
          <w:sz w:val="22"/>
          <w:szCs w:val="22"/>
        </w:rPr>
        <w:t>E</w:t>
      </w:r>
      <w:r w:rsidRPr="003D5225">
        <w:rPr>
          <w:rFonts w:ascii="Arial" w:hAnsi="Arial" w:cs="Arial"/>
          <w:b/>
          <w:bCs/>
          <w:sz w:val="22"/>
          <w:szCs w:val="22"/>
        </w:rPr>
        <w:t xml:space="preserve">arly </w:t>
      </w:r>
      <w:r w:rsidR="003D5225">
        <w:rPr>
          <w:rFonts w:ascii="Arial" w:hAnsi="Arial" w:cs="Arial"/>
          <w:b/>
          <w:bCs/>
          <w:sz w:val="22"/>
          <w:szCs w:val="22"/>
        </w:rPr>
        <w:t>H</w:t>
      </w:r>
      <w:r w:rsidRPr="003D5225">
        <w:rPr>
          <w:rFonts w:ascii="Arial" w:hAnsi="Arial" w:cs="Arial"/>
          <w:b/>
          <w:bCs/>
          <w:sz w:val="22"/>
          <w:szCs w:val="22"/>
        </w:rPr>
        <w:t xml:space="preserve">elp </w:t>
      </w:r>
      <w:r w:rsidR="003D5225">
        <w:rPr>
          <w:rFonts w:ascii="Arial" w:hAnsi="Arial" w:cs="Arial"/>
          <w:b/>
          <w:bCs/>
          <w:sz w:val="22"/>
          <w:szCs w:val="22"/>
        </w:rPr>
        <w:t>S</w:t>
      </w:r>
      <w:r w:rsidRPr="003D5225">
        <w:rPr>
          <w:rFonts w:ascii="Arial" w:hAnsi="Arial" w:cs="Arial"/>
          <w:b/>
          <w:bCs/>
          <w:sz w:val="22"/>
          <w:szCs w:val="22"/>
        </w:rPr>
        <w:t>ystem</w:t>
      </w:r>
    </w:p>
    <w:p w14:paraId="4C1A2790" w14:textId="429BDE01"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Early Help denotes the assistance offered to children, young individuals, and families at the onset of emerging issues</w:t>
      </w:r>
      <w:r w:rsidR="004E70AB" w:rsidRPr="003D5225">
        <w:rPr>
          <w:rFonts w:ascii="Arial" w:hAnsi="Arial" w:cs="Arial"/>
          <w:sz w:val="22"/>
          <w:szCs w:val="22"/>
        </w:rPr>
        <w:t xml:space="preserve">. </w:t>
      </w:r>
      <w:r w:rsidRPr="003D5225">
        <w:rPr>
          <w:rFonts w:ascii="Arial" w:hAnsi="Arial" w:cs="Arial"/>
          <w:sz w:val="22"/>
          <w:szCs w:val="22"/>
        </w:rPr>
        <w:t>Its main objective is to enhance outcomes for children by addressing their needs promptly and preventing further complications (HM Government, 2023).</w:t>
      </w:r>
      <w:r w:rsidR="004E70AB" w:rsidRPr="003D5225">
        <w:rPr>
          <w:rFonts w:ascii="Arial" w:hAnsi="Arial" w:cs="Arial"/>
          <w:sz w:val="22"/>
          <w:szCs w:val="22"/>
        </w:rPr>
        <w:t xml:space="preserve"> </w:t>
      </w:r>
      <w:r w:rsidRPr="003D5225">
        <w:rPr>
          <w:rFonts w:ascii="Arial" w:hAnsi="Arial" w:cs="Arial"/>
          <w:sz w:val="22"/>
          <w:szCs w:val="22"/>
        </w:rPr>
        <w:t>The Early Help System Guide (Department for Education, 2020) specifies that Early Help should adopt a coordinated, family-focused strategy that comprehensively identifies needs. This approach entails practitioners collaborating with families to evaluate their circumstances</w:t>
      </w:r>
      <w:r w:rsidR="004E70AB" w:rsidRPr="003D5225">
        <w:rPr>
          <w:rFonts w:ascii="Arial" w:hAnsi="Arial" w:cs="Arial"/>
          <w:sz w:val="22"/>
          <w:szCs w:val="22"/>
        </w:rPr>
        <w:t xml:space="preserve">. </w:t>
      </w:r>
      <w:r w:rsidRPr="003D5225">
        <w:rPr>
          <w:rFonts w:ascii="Arial" w:hAnsi="Arial" w:cs="Arial"/>
          <w:sz w:val="22"/>
          <w:szCs w:val="22"/>
        </w:rPr>
        <w:t xml:space="preserve">A significant aspect of the Early Help system is its voluntary characteristic. Families are motivated to participate in services without the apprehension of being judged or automatically referred to child protection protocols. </w:t>
      </w:r>
    </w:p>
    <w:p w14:paraId="6B33B6CB" w14:textId="77777777"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Early Help services can encompass a broad spectrum of areas, including:</w:t>
      </w:r>
    </w:p>
    <w:p w14:paraId="56D4331F"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Parenting support and family dynamics</w:t>
      </w:r>
    </w:p>
    <w:p w14:paraId="45484635"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Child development and educational needs</w:t>
      </w:r>
    </w:p>
    <w:p w14:paraId="6613BCB4"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Mental health and emotional wellness</w:t>
      </w:r>
    </w:p>
    <w:p w14:paraId="43D93968" w14:textId="77777777" w:rsidR="002353C6"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Housing and financial challenges</w:t>
      </w:r>
    </w:p>
    <w:p w14:paraId="5DA01D78" w14:textId="03D95687" w:rsidR="00B84D1F" w:rsidRPr="003D5225" w:rsidRDefault="00B84D1F" w:rsidP="003D5225">
      <w:pPr>
        <w:pStyle w:val="ListParagraph"/>
        <w:numPr>
          <w:ilvl w:val="0"/>
          <w:numId w:val="1"/>
        </w:numPr>
        <w:spacing w:line="360" w:lineRule="auto"/>
        <w:rPr>
          <w:rFonts w:ascii="Arial" w:hAnsi="Arial" w:cs="Arial"/>
          <w:sz w:val="22"/>
          <w:szCs w:val="22"/>
        </w:rPr>
      </w:pPr>
      <w:r w:rsidRPr="003D5225">
        <w:rPr>
          <w:rFonts w:ascii="Arial" w:hAnsi="Arial" w:cs="Arial"/>
          <w:sz w:val="22"/>
          <w:szCs w:val="22"/>
        </w:rPr>
        <w:t>Substance abuse and domestic violence.</w:t>
      </w:r>
    </w:p>
    <w:p w14:paraId="75FFA24E" w14:textId="74B19913" w:rsidR="00B84D1F" w:rsidRPr="003D5225" w:rsidRDefault="00B84D1F" w:rsidP="003D5225">
      <w:pPr>
        <w:spacing w:line="360" w:lineRule="auto"/>
        <w:rPr>
          <w:rFonts w:ascii="Arial" w:hAnsi="Arial" w:cs="Arial"/>
          <w:sz w:val="22"/>
          <w:szCs w:val="22"/>
        </w:rPr>
      </w:pPr>
      <w:r w:rsidRPr="003D5225">
        <w:rPr>
          <w:rFonts w:ascii="Arial" w:hAnsi="Arial" w:cs="Arial"/>
          <w:sz w:val="22"/>
          <w:szCs w:val="22"/>
        </w:rPr>
        <w:t xml:space="preserve">The Early Help Assessment (EHA) is frequently </w:t>
      </w:r>
      <w:r w:rsidR="002353C6" w:rsidRPr="003D5225">
        <w:rPr>
          <w:rFonts w:ascii="Arial" w:hAnsi="Arial" w:cs="Arial"/>
          <w:sz w:val="22"/>
          <w:szCs w:val="22"/>
        </w:rPr>
        <w:t>utilised</w:t>
      </w:r>
      <w:r w:rsidRPr="003D5225">
        <w:rPr>
          <w:rFonts w:ascii="Arial" w:hAnsi="Arial" w:cs="Arial"/>
          <w:sz w:val="22"/>
          <w:szCs w:val="22"/>
        </w:rPr>
        <w:t xml:space="preserve"> as a systematic tool to collect information and coordinate assistance. This guarantees that all professionals involved possess a unified understanding of the family's needs and can collaborate effectively.</w:t>
      </w:r>
      <w:r w:rsidR="002353C6" w:rsidRPr="003D5225">
        <w:rPr>
          <w:rFonts w:ascii="Arial" w:hAnsi="Arial" w:cs="Arial"/>
          <w:sz w:val="22"/>
          <w:szCs w:val="22"/>
        </w:rPr>
        <w:t xml:space="preserve"> </w:t>
      </w:r>
      <w:r w:rsidRPr="003D5225">
        <w:rPr>
          <w:rFonts w:ascii="Arial" w:hAnsi="Arial" w:cs="Arial"/>
          <w:sz w:val="22"/>
          <w:szCs w:val="22"/>
        </w:rPr>
        <w:t xml:space="preserve">In essence, the Early Help system is fundamentally preventative. By taking early action, it </w:t>
      </w:r>
      <w:r w:rsidRPr="003D5225">
        <w:rPr>
          <w:rFonts w:ascii="Arial" w:hAnsi="Arial" w:cs="Arial"/>
          <w:sz w:val="22"/>
          <w:szCs w:val="22"/>
        </w:rPr>
        <w:lastRenderedPageBreak/>
        <w:t>seeks to diminish the probability of more serious safeguarding issues arising, while simultaneously enhancing long-term outcomes for children and families.</w:t>
      </w:r>
    </w:p>
    <w:p w14:paraId="0E2CB9D9" w14:textId="5F7BDA1D"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Explanation of </w:t>
      </w:r>
      <w:proofErr w:type="gramStart"/>
      <w:r w:rsidR="008E74EB" w:rsidRPr="003D5225">
        <w:rPr>
          <w:rFonts w:ascii="Arial" w:hAnsi="Arial" w:cs="Arial"/>
          <w:b/>
          <w:bCs/>
          <w:sz w:val="22"/>
          <w:szCs w:val="22"/>
        </w:rPr>
        <w:t>M</w:t>
      </w:r>
      <w:r w:rsidRPr="003D5225">
        <w:rPr>
          <w:rFonts w:ascii="Arial" w:hAnsi="Arial" w:cs="Arial"/>
          <w:b/>
          <w:bCs/>
          <w:sz w:val="22"/>
          <w:szCs w:val="22"/>
        </w:rPr>
        <w:t>ulti-</w:t>
      </w:r>
      <w:r w:rsidR="008E74EB" w:rsidRPr="003D5225">
        <w:rPr>
          <w:rFonts w:ascii="Arial" w:hAnsi="Arial" w:cs="Arial"/>
          <w:b/>
          <w:bCs/>
          <w:sz w:val="22"/>
          <w:szCs w:val="22"/>
        </w:rPr>
        <w:t>A</w:t>
      </w:r>
      <w:r w:rsidRPr="003D5225">
        <w:rPr>
          <w:rFonts w:ascii="Arial" w:hAnsi="Arial" w:cs="Arial"/>
          <w:b/>
          <w:bCs/>
          <w:sz w:val="22"/>
          <w:szCs w:val="22"/>
        </w:rPr>
        <w:t>gency</w:t>
      </w:r>
      <w:proofErr w:type="gramEnd"/>
      <w:r w:rsidRPr="003D5225">
        <w:rPr>
          <w:rFonts w:ascii="Arial" w:hAnsi="Arial" w:cs="Arial"/>
          <w:b/>
          <w:bCs/>
          <w:sz w:val="22"/>
          <w:szCs w:val="22"/>
        </w:rPr>
        <w:t xml:space="preserve"> working</w:t>
      </w:r>
    </w:p>
    <w:p w14:paraId="512FA7EC" w14:textId="70A0B3E9"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 xml:space="preserve">Collaboration among multiple agencies is fundamental to the effectiveness of the Early Help system. This collaboration encompasses various services, such as education, health, social care, police, and voluntary organisations, to deliver coordinated and efficient support. The 2023 guidance titled Working Together to Safeguard Children highlights that safeguarding and promoting children's welfare is a collective obligation. </w:t>
      </w:r>
    </w:p>
    <w:p w14:paraId="2871FF7E" w14:textId="7B363707"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The hallmarks of effective multi-agency collaboration include:</w:t>
      </w:r>
    </w:p>
    <w:p w14:paraId="47560570"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Open and transparent communication among professionals</w:t>
      </w:r>
    </w:p>
    <w:p w14:paraId="0014FAC3"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Timely information sharing in accordance with data protection regulations</w:t>
      </w:r>
    </w:p>
    <w:p w14:paraId="6AE54F77"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Joint assessments and planning</w:t>
      </w:r>
    </w:p>
    <w:p w14:paraId="62E37E68" w14:textId="77777777"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Clearly defined roles and responsibilities</w:t>
      </w:r>
    </w:p>
    <w:p w14:paraId="778A47D8" w14:textId="1EF2C7B0" w:rsidR="002353C6" w:rsidRPr="003D5225" w:rsidRDefault="002353C6" w:rsidP="003D5225">
      <w:pPr>
        <w:pStyle w:val="ListParagraph"/>
        <w:numPr>
          <w:ilvl w:val="0"/>
          <w:numId w:val="2"/>
        </w:numPr>
        <w:spacing w:line="360" w:lineRule="auto"/>
        <w:rPr>
          <w:rFonts w:ascii="Arial" w:hAnsi="Arial" w:cs="Arial"/>
          <w:sz w:val="22"/>
          <w:szCs w:val="22"/>
        </w:rPr>
      </w:pPr>
      <w:r w:rsidRPr="003D5225">
        <w:rPr>
          <w:rFonts w:ascii="Arial" w:hAnsi="Arial" w:cs="Arial"/>
          <w:sz w:val="22"/>
          <w:szCs w:val="22"/>
        </w:rPr>
        <w:t xml:space="preserve"> Strong leadership through safeguarding partnerships</w:t>
      </w:r>
    </w:p>
    <w:p w14:paraId="49968F6A" w14:textId="6205CF29"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Within the Early Help framework, multi-agency collaboration guarantees that families receive a comprehensive package of support instead of disjointed interventions. Local authority websites are crucial in showcasing this collaborative model. They should effectively guide families to various services and illustrate how different agencies collaborate to provide support.</w:t>
      </w:r>
    </w:p>
    <w:p w14:paraId="577843CC" w14:textId="5DC242B4"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Evaluation of local authority websites </w:t>
      </w:r>
    </w:p>
    <w:p w14:paraId="428F3A0B" w14:textId="0DCC4BC5"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Leeds </w:t>
      </w:r>
      <w:r w:rsidR="00CA1417" w:rsidRPr="003D5225">
        <w:rPr>
          <w:rFonts w:ascii="Arial" w:hAnsi="Arial" w:cs="Arial"/>
          <w:b/>
          <w:bCs/>
          <w:sz w:val="22"/>
          <w:szCs w:val="22"/>
        </w:rPr>
        <w:t>City Council</w:t>
      </w:r>
    </w:p>
    <w:p w14:paraId="4AF8F469" w14:textId="13E952B4"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Leeds City Council’s website offers a well-organised and thorough overview of Early Help services. The information is categorised within a specific section for children and families, which facilitates users in finding relevant content with relative ease. A notable advantage of the Leeds website is its clarity. It clearly defines what Early Help entails, identifies its target audience, and outlines how families can obtain support in a straightforward way. The use of simple language ensures that the content is accessible to a broad audience</w:t>
      </w:r>
      <w:r w:rsidR="004E70AB" w:rsidRPr="003D5225">
        <w:rPr>
          <w:rFonts w:ascii="Arial" w:hAnsi="Arial" w:cs="Arial"/>
          <w:sz w:val="22"/>
          <w:szCs w:val="22"/>
        </w:rPr>
        <w:t xml:space="preserve">. </w:t>
      </w:r>
      <w:r w:rsidRPr="003D5225">
        <w:rPr>
          <w:rFonts w:ascii="Arial" w:hAnsi="Arial" w:cs="Arial"/>
          <w:sz w:val="22"/>
          <w:szCs w:val="22"/>
        </w:rPr>
        <w:t>Additionally, the website presents detailed information regarding specific services, such as children’s centres, family support teams, and targeted interventions. This assists families in comprehending the variety of support options available</w:t>
      </w:r>
      <w:r w:rsidR="004E70AB" w:rsidRPr="003D5225">
        <w:rPr>
          <w:rFonts w:ascii="Arial" w:hAnsi="Arial" w:cs="Arial"/>
          <w:sz w:val="22"/>
          <w:szCs w:val="22"/>
        </w:rPr>
        <w:t xml:space="preserve">. </w:t>
      </w:r>
      <w:r w:rsidRPr="003D5225">
        <w:rPr>
          <w:rFonts w:ascii="Arial" w:hAnsi="Arial" w:cs="Arial"/>
          <w:sz w:val="22"/>
          <w:szCs w:val="22"/>
        </w:rPr>
        <w:t xml:space="preserve">Moreover, Leeds provides explicit guidance on referral processes, detailing how both professionals and families can seek support. Contact information and links to additional resources are prominently featured. Nevertheless, the website could benefit from the inclusion of more visual elements, such as infographics or </w:t>
      </w:r>
      <w:r w:rsidRPr="003D5225">
        <w:rPr>
          <w:rFonts w:ascii="Arial" w:hAnsi="Arial" w:cs="Arial"/>
          <w:sz w:val="22"/>
          <w:szCs w:val="22"/>
        </w:rPr>
        <w:lastRenderedPageBreak/>
        <w:t>videos, to accommodate users with varying learning preferences. Although the information is comprehensive, the sheer amount of text may be daunting for some users.</w:t>
      </w:r>
    </w:p>
    <w:p w14:paraId="69CC9904" w14:textId="11490238"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Norfolk </w:t>
      </w:r>
      <w:r w:rsidR="00CA1417" w:rsidRPr="003D5225">
        <w:rPr>
          <w:rFonts w:ascii="Arial" w:hAnsi="Arial" w:cs="Arial"/>
          <w:b/>
          <w:bCs/>
          <w:sz w:val="22"/>
          <w:szCs w:val="22"/>
        </w:rPr>
        <w:t>County C</w:t>
      </w:r>
      <w:r w:rsidRPr="003D5225">
        <w:rPr>
          <w:rFonts w:ascii="Arial" w:hAnsi="Arial" w:cs="Arial"/>
          <w:b/>
          <w:bCs/>
          <w:sz w:val="22"/>
          <w:szCs w:val="22"/>
        </w:rPr>
        <w:t>ouncil</w:t>
      </w:r>
    </w:p>
    <w:p w14:paraId="69E0C770" w14:textId="72107584" w:rsidR="002353C6" w:rsidRPr="003D5225" w:rsidRDefault="002353C6" w:rsidP="003D5225">
      <w:pPr>
        <w:spacing w:line="360" w:lineRule="auto"/>
        <w:rPr>
          <w:rFonts w:ascii="Arial" w:hAnsi="Arial" w:cs="Arial"/>
          <w:sz w:val="22"/>
          <w:szCs w:val="22"/>
        </w:rPr>
      </w:pPr>
      <w:r w:rsidRPr="003D5225">
        <w:rPr>
          <w:rFonts w:ascii="Arial" w:hAnsi="Arial" w:cs="Arial"/>
          <w:sz w:val="22"/>
          <w:szCs w:val="22"/>
        </w:rPr>
        <w:t>Norfolk County Council’s website offers comprehensive and organized information regarding Early Help, placing significant emphasis on procedures and professional advice. The material is closely aligned with statutory frameworks and incorporates references to assessment tools and thresholds. A notable strength of the Norfolk website is the extensive information it provides. It offers clear descriptions of the functioning of Early Help, including detailed guidance on assessments and referrals. Additionally, the website features downloadable resources, such as forms and guidance documents, which facilitate the practical application of Early Help processes. This reflects a strong adherence to national guidance and collaborative working practices among multiple agencies. Nevertheless, the website poses accessibility challenges for families. The terminology used is frequently technical and may prove difficult for individuals lacking professional expertise to comprehend. Furthermore, the navigation system can be intricate, necessitating several steps to reach essential information. Although the content is extensive, it could be enhanced by being presented in a more user-friendly manner, with clearer summaries and simplified explanations tailored for families.</w:t>
      </w:r>
    </w:p>
    <w:p w14:paraId="3918D498" w14:textId="6AB8417F" w:rsidR="002353C6" w:rsidRPr="003D5225" w:rsidRDefault="002353C6" w:rsidP="003D5225">
      <w:pPr>
        <w:spacing w:line="360" w:lineRule="auto"/>
        <w:rPr>
          <w:rFonts w:ascii="Arial" w:hAnsi="Arial" w:cs="Arial"/>
          <w:b/>
          <w:bCs/>
          <w:sz w:val="22"/>
          <w:szCs w:val="22"/>
        </w:rPr>
      </w:pPr>
      <w:r w:rsidRPr="003D5225">
        <w:rPr>
          <w:rFonts w:ascii="Arial" w:hAnsi="Arial" w:cs="Arial"/>
          <w:b/>
          <w:bCs/>
          <w:sz w:val="22"/>
          <w:szCs w:val="22"/>
        </w:rPr>
        <w:t xml:space="preserve">Tower Hamlets </w:t>
      </w:r>
      <w:r w:rsidR="00CA1417" w:rsidRPr="003D5225">
        <w:rPr>
          <w:rFonts w:ascii="Arial" w:hAnsi="Arial" w:cs="Arial"/>
          <w:b/>
          <w:bCs/>
          <w:sz w:val="22"/>
          <w:szCs w:val="22"/>
        </w:rPr>
        <w:t>C</w:t>
      </w:r>
      <w:r w:rsidRPr="003D5225">
        <w:rPr>
          <w:rFonts w:ascii="Arial" w:hAnsi="Arial" w:cs="Arial"/>
          <w:b/>
          <w:bCs/>
          <w:sz w:val="22"/>
          <w:szCs w:val="22"/>
        </w:rPr>
        <w:t>ouncil</w:t>
      </w:r>
    </w:p>
    <w:p w14:paraId="6F1F7F84" w14:textId="76B34D20" w:rsidR="002353C6" w:rsidRPr="003D5225" w:rsidRDefault="00DE5EB0" w:rsidP="003D5225">
      <w:pPr>
        <w:spacing w:line="360" w:lineRule="auto"/>
        <w:rPr>
          <w:rFonts w:ascii="Arial" w:hAnsi="Arial" w:cs="Arial"/>
          <w:sz w:val="22"/>
          <w:szCs w:val="22"/>
        </w:rPr>
      </w:pPr>
      <w:r w:rsidRPr="003D5225">
        <w:rPr>
          <w:rFonts w:ascii="Arial" w:hAnsi="Arial" w:cs="Arial"/>
          <w:sz w:val="22"/>
          <w:szCs w:val="22"/>
        </w:rPr>
        <w:t>Tower Hamlets Council’s website embraces a more community-oriented and accessible method of conveying Early Help services. The information is articulated in clear, straightforward language, facilitating comprehension for families. A significant advantage of the website is its focus on accessibility and inclusivity. It offers clear descriptions of what Early Help entails and the ways families can obtain support, including self-referral options</w:t>
      </w:r>
      <w:r w:rsidR="004E70AB" w:rsidRPr="003D5225">
        <w:rPr>
          <w:rFonts w:ascii="Arial" w:hAnsi="Arial" w:cs="Arial"/>
          <w:sz w:val="22"/>
          <w:szCs w:val="22"/>
        </w:rPr>
        <w:t xml:space="preserve">. </w:t>
      </w:r>
      <w:r w:rsidRPr="003D5225">
        <w:rPr>
          <w:rFonts w:ascii="Arial" w:hAnsi="Arial" w:cs="Arial"/>
          <w:sz w:val="22"/>
          <w:szCs w:val="22"/>
        </w:rPr>
        <w:t>The website also showcases local services, such as children’s centres and community hubs, which cater to the needs of the local community. Furthermore, the site mirrors the community's diversity by delivering information in an inclusive and culturally aware manner. This aspect is especially crucial in regions with varied populations. Nevertheless, the website offers less comprehensive information regarding processes and multi-agency collaboration when compared to Leeds and Norfolk. While the straightforwardness is advantageous for accessibility, it may restrict the depth of understanding for users in search of more detailed guidance.</w:t>
      </w:r>
    </w:p>
    <w:p w14:paraId="5316DDD2" w14:textId="77777777" w:rsidR="00DE5EB0" w:rsidRPr="003D5225" w:rsidRDefault="00DE5EB0" w:rsidP="003D5225">
      <w:pPr>
        <w:spacing w:line="360" w:lineRule="auto"/>
        <w:rPr>
          <w:rFonts w:ascii="Arial" w:hAnsi="Arial" w:cs="Arial"/>
          <w:sz w:val="22"/>
          <w:szCs w:val="22"/>
        </w:rPr>
      </w:pPr>
    </w:p>
    <w:p w14:paraId="12B88D08" w14:textId="77777777" w:rsidR="00DE5EB0" w:rsidRPr="003D5225" w:rsidRDefault="00DE5EB0" w:rsidP="003D5225">
      <w:pPr>
        <w:spacing w:line="360" w:lineRule="auto"/>
        <w:rPr>
          <w:rFonts w:ascii="Arial" w:hAnsi="Arial" w:cs="Arial"/>
          <w:sz w:val="22"/>
          <w:szCs w:val="22"/>
        </w:rPr>
      </w:pPr>
    </w:p>
    <w:p w14:paraId="23BC3640" w14:textId="0F36CCAE" w:rsidR="00DE5EB0" w:rsidRPr="003D5225" w:rsidRDefault="00DE5EB0" w:rsidP="003D5225">
      <w:pPr>
        <w:spacing w:line="360" w:lineRule="auto"/>
        <w:rPr>
          <w:rFonts w:ascii="Arial" w:hAnsi="Arial" w:cs="Arial"/>
          <w:b/>
          <w:bCs/>
          <w:sz w:val="22"/>
          <w:szCs w:val="22"/>
        </w:rPr>
      </w:pPr>
      <w:r w:rsidRPr="003D5225">
        <w:rPr>
          <w:rFonts w:ascii="Arial" w:hAnsi="Arial" w:cs="Arial"/>
          <w:b/>
          <w:bCs/>
          <w:sz w:val="22"/>
          <w:szCs w:val="22"/>
        </w:rPr>
        <w:lastRenderedPageBreak/>
        <w:t xml:space="preserve">Comparative analysis of strengths and weaknesses </w:t>
      </w:r>
    </w:p>
    <w:p w14:paraId="76BA1094" w14:textId="32859152" w:rsidR="00DE5EB0" w:rsidRPr="003D5225" w:rsidRDefault="00DE5EB0" w:rsidP="003D5225">
      <w:pPr>
        <w:spacing w:line="360" w:lineRule="auto"/>
        <w:rPr>
          <w:rFonts w:ascii="Arial" w:hAnsi="Arial" w:cs="Arial"/>
          <w:sz w:val="22"/>
          <w:szCs w:val="22"/>
        </w:rPr>
      </w:pPr>
      <w:r w:rsidRPr="003D5225">
        <w:rPr>
          <w:rFonts w:ascii="Arial" w:hAnsi="Arial" w:cs="Arial"/>
          <w:sz w:val="22"/>
          <w:szCs w:val="22"/>
        </w:rPr>
        <w:t>An analysis of the three local authority websites indicates notable disparities in the manner in which Early Help is conveyed to families. These disparities not only stem from design decisions but also from fundamental priorities concerning whether the main audience is families or professionals. This has significant ramifications for accessibility, engagement, and ultimately the efficacy of Early Help as a preventative framework.</w:t>
      </w:r>
    </w:p>
    <w:p w14:paraId="3548E7F2" w14:textId="7F7E7CC5" w:rsidR="00DE5EB0" w:rsidRPr="003D5225" w:rsidRDefault="00DE5EB0" w:rsidP="003D5225">
      <w:pPr>
        <w:spacing w:line="360" w:lineRule="auto"/>
        <w:rPr>
          <w:rFonts w:ascii="Arial" w:hAnsi="Arial" w:cs="Arial"/>
          <w:b/>
          <w:bCs/>
          <w:sz w:val="22"/>
          <w:szCs w:val="22"/>
        </w:rPr>
      </w:pPr>
      <w:r w:rsidRPr="003D5225">
        <w:rPr>
          <w:rFonts w:ascii="Arial" w:hAnsi="Arial" w:cs="Arial"/>
          <w:b/>
          <w:bCs/>
          <w:sz w:val="22"/>
          <w:szCs w:val="22"/>
        </w:rPr>
        <w:t>Accessibility</w:t>
      </w:r>
    </w:p>
    <w:p w14:paraId="3F6336CF" w14:textId="6E2E40F2" w:rsidR="00DE5EB0" w:rsidRPr="003D5225" w:rsidRDefault="00DE5EB0" w:rsidP="003D5225">
      <w:pPr>
        <w:spacing w:line="360" w:lineRule="auto"/>
        <w:rPr>
          <w:rFonts w:ascii="Arial" w:hAnsi="Arial" w:cs="Arial"/>
          <w:sz w:val="22"/>
          <w:szCs w:val="22"/>
        </w:rPr>
      </w:pPr>
      <w:r w:rsidRPr="003D5225">
        <w:rPr>
          <w:rFonts w:ascii="Arial" w:hAnsi="Arial" w:cs="Arial"/>
          <w:sz w:val="22"/>
          <w:szCs w:val="22"/>
        </w:rPr>
        <w:t>Accessibility is a vital element in assessing whether families can engage with Early Help services promptly. Tower Hamlets exhibits the most effective performance in this regard. Its employment of plain English, concise sentences, and clearly delineated headings guarantees that information is readily comprehensible to a broad audience. This is especially crucial for families who may be facing stress, crisis, or disadvantage, as complicated language can serve as an obstacle to seeking assistance. The website appears to be crafted with the user’s requirements as a priority, embodying the principle of accessibility as outlined in the Early Help System Guide (Department for Education, 2020). Leeds also demonstrates a relatively strong performance concerning accessibility. The language utilised is generally straightforward and avoids excessive jargon, making it appropriate for most users. However, the substantial amount of information presented may overwhelm certain families, particularly those with lower literacy levels or limited digital proficiency. This implies that while Leeds emphasises providing thorough information, it could benefit from further simplifying the presentation of that information. Conversely, Norfolk’s website is the least accessible. The use of technical language and a professional tone suggests that the content is primarily directed at practitioners rather than families. This creates a barrier to engagement, potentially deterring families from accessing Early Help at the earliest possible moment, which undermines its preventative objective.</w:t>
      </w:r>
    </w:p>
    <w:p w14:paraId="600828FF" w14:textId="15160B61"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Clarity</w:t>
      </w:r>
    </w:p>
    <w:p w14:paraId="022D681E" w14:textId="3DC449ED"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Clarity pertains to the effectiveness of information communication and the ease with which users can comprehend what Early Help is and how to obtain it. Leeds offers the most comprehensive explanation, employing a logical framework that navigates users through essential information. It distinctly specifies what Early Help entails, the target audience, and the necessary steps to receive support. This organised method enhances user comprehension and adheres to best practices in digital communication. Tower Hamlets also exhibits notable clarity through its straightforward and concise language. Nevertheless, the emphasis on simplicity results in certain elements of the process being inadequately detailed. While this approach promotes accessibility, it may leave some users unclear about </w:t>
      </w:r>
      <w:r w:rsidRPr="003D5225">
        <w:rPr>
          <w:rFonts w:ascii="Arial" w:hAnsi="Arial" w:cs="Arial"/>
          <w:sz w:val="22"/>
          <w:szCs w:val="22"/>
        </w:rPr>
        <w:lastRenderedPageBreak/>
        <w:t>what to anticipate after reaching out to services. Norfolk emphasises procedural clarity by providing thorough descriptions of referral pathways and assessment procedures. Although this is advantageous for professionals, it diminishes clarity for families, as crucial messages may be obscured within dense and technical information. This indicates a disconnect between the target audience and the manner in which information is presented.</w:t>
      </w:r>
    </w:p>
    <w:p w14:paraId="4FE1D5CF" w14:textId="721F34F7"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Navigation and User Experience</w:t>
      </w:r>
    </w:p>
    <w:p w14:paraId="59A9FC10" w14:textId="656EAFDB"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Navigation is crucial in determining how effectively users can access information. Leeds presents the most intuitive navigation, featuring clearly labelled sections and logical routes that enable users to swiftly locate pertinent information. This alleviates frustration and fosters engagement, especially for users who may be unfamiliar with local authority systems. Tower Hamlets also offers a clear and user-friendly structure. The website seems to prioritise user-friendliness, requiring minimal steps to access essential information. This facilitates families in obtaining assistance promptly and efficiently. Norfolk’s navigation is more intricate and necessitates users to traverse multiple layers of content. This complexity may pose challenges for families, particularly those visiting the website during stressful circumstances. A more streamlined structure would improve usability and support earlier engagement. </w:t>
      </w:r>
    </w:p>
    <w:p w14:paraId="1ED44A86" w14:textId="39EAA1A9"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 xml:space="preserve">Depth of </w:t>
      </w:r>
      <w:r w:rsidR="003D5225">
        <w:rPr>
          <w:rFonts w:ascii="Arial" w:hAnsi="Arial" w:cs="Arial"/>
          <w:b/>
          <w:bCs/>
          <w:sz w:val="22"/>
          <w:szCs w:val="22"/>
        </w:rPr>
        <w:t>I</w:t>
      </w:r>
      <w:r w:rsidRPr="003D5225">
        <w:rPr>
          <w:rFonts w:ascii="Arial" w:hAnsi="Arial" w:cs="Arial"/>
          <w:b/>
          <w:bCs/>
          <w:sz w:val="22"/>
          <w:szCs w:val="22"/>
        </w:rPr>
        <w:t xml:space="preserve">nformation </w:t>
      </w:r>
    </w:p>
    <w:p w14:paraId="5300E476" w14:textId="77D4191C"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There are distinct variations in the level of detail provided by each authority. Norfolk presents the most thorough and detailed information, especially concerning assessments, thresholds, and multi-agency collaboration. This demonstrates a strong alignment with Working Together to Safeguard Children (HM Government, 2023) and is extremely beneficial for professionals. Leeds offers a well-balanced level of detail, supplying sufficient information to assist families while ensuring accessibility. This equilibrium is a notable strength, as it allows both families and practitioners to gain from the website. Tower Hamlets emphasises simplicity rather than depth, concentrating on essential messages and access points. While this improves usability, it may restrict users’ comprehension of how Early Help functions and what support they can anticipate.</w:t>
      </w:r>
    </w:p>
    <w:p w14:paraId="0614FEE8" w14:textId="2BD973CB"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Inclusivity</w:t>
      </w:r>
    </w:p>
    <w:p w14:paraId="78232417" w14:textId="1FAA3592"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Inclusivity represents a considerable strength of the Tower Hamlets website. Its user-friendly language and community-oriented approach cater to the needs of a diverse population. Leeds also showcases inclusivity, although it could be further improved by incorporating additional language options and culturally tailored content. Norfolk’s strategy is more generalised and does not seem to specifically cater to the needs of diverse communities, which may hinder engagement with certain groups. Overall, Leeds City Council strikes the </w:t>
      </w:r>
      <w:r w:rsidRPr="003D5225">
        <w:rPr>
          <w:rFonts w:ascii="Arial" w:hAnsi="Arial" w:cs="Arial"/>
          <w:sz w:val="22"/>
          <w:szCs w:val="22"/>
        </w:rPr>
        <w:lastRenderedPageBreak/>
        <w:t>most effective balance among accessibility, clarity, and depth of information. It caters to the needs of both families and professionals, rendering it the most comprehensive and user-friendly choice. In contrast, Tower Hamlets excels in engaging families but falls short in providing detailed information, whereas Norfolk offers robust professional guidance but is less accessible to the general public.</w:t>
      </w:r>
    </w:p>
    <w:p w14:paraId="02D3E675" w14:textId="743292A2"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t>Conclusion and Recommendations</w:t>
      </w:r>
    </w:p>
    <w:p w14:paraId="42541769" w14:textId="7E214016"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In summary, all three local authorities exhibit strengths in their communication of Early Help services; however, their effectiveness varies based on how well they address the needs of families as the primary users. Leeds City Council stands out as the most effective overall, successfully balancing accessibility with detailed information and clear navigation. This strategy facilitates early intervention by ensuring that families can easily comprehend and access support. Tower Hamlets Council is commendable for its accessibility and inclusivity, making it particularly effective in engaging families from various backgrounds. Nevertheless, the absence of detailed information regarding processes and multi-agency collaboration may restrict users' understanding of how support is provided. Norfolk County Council delivers comprehensive and detailed guidance that aligns closely with national frameworks. However, its use of technical language and complex structure diminishes accessibility for families, potentially hindering early engagement.</w:t>
      </w:r>
    </w:p>
    <w:p w14:paraId="6C095B90" w14:textId="79169210"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Local authorities ought to prioritise the use of plain English to guarantee that information is accessible to all users. Technical jargon should be minimised or thoroughly explained. Furthermore, websites should include visual aids such as infographics and videos to enhance understanding, especially for intricate processes like referrals and assessments. A layered approach to information should also be embraced, offering simple summaries for families alongside more comprehensive guidance for professionals. This ensures that various user groups can obtain suitable levels of information without feeling overwhelmed. Navigation and structure should be optimised to reduce the number of steps needed to access essential information. Clear headings and intuitive pathways can greatly enhance user experience. Inclusivity should be bolstered through the provision of multilingual content and culturally relevant information. This will assist in ensuring that all families, irrespective of their background, can access support. By adopting these recommendations, local authorities can enhance the accessibility and effectiveness of their Early Help communication, thereby supporting more families in obtaining timely and appropriate assistance.</w:t>
      </w:r>
    </w:p>
    <w:p w14:paraId="61B3ED90" w14:textId="77777777" w:rsidR="003D5225" w:rsidRDefault="003D5225" w:rsidP="003D5225">
      <w:pPr>
        <w:spacing w:line="360" w:lineRule="auto"/>
        <w:rPr>
          <w:rFonts w:ascii="Arial" w:hAnsi="Arial" w:cs="Arial"/>
          <w:sz w:val="22"/>
          <w:szCs w:val="22"/>
        </w:rPr>
      </w:pPr>
    </w:p>
    <w:p w14:paraId="72BA9CD9" w14:textId="77777777" w:rsidR="003D5225" w:rsidRDefault="003D5225" w:rsidP="003D5225">
      <w:pPr>
        <w:spacing w:line="360" w:lineRule="auto"/>
        <w:rPr>
          <w:rFonts w:ascii="Arial" w:hAnsi="Arial" w:cs="Arial"/>
          <w:b/>
          <w:bCs/>
          <w:sz w:val="22"/>
          <w:szCs w:val="22"/>
        </w:rPr>
      </w:pPr>
    </w:p>
    <w:p w14:paraId="446165C1" w14:textId="7948A3A3" w:rsidR="007958E6" w:rsidRPr="003D5225" w:rsidRDefault="007958E6" w:rsidP="003D5225">
      <w:pPr>
        <w:spacing w:line="360" w:lineRule="auto"/>
        <w:rPr>
          <w:rFonts w:ascii="Arial" w:hAnsi="Arial" w:cs="Arial"/>
          <w:b/>
          <w:bCs/>
          <w:sz w:val="22"/>
          <w:szCs w:val="22"/>
        </w:rPr>
      </w:pPr>
      <w:r w:rsidRPr="003D5225">
        <w:rPr>
          <w:rFonts w:ascii="Arial" w:hAnsi="Arial" w:cs="Arial"/>
          <w:b/>
          <w:bCs/>
          <w:sz w:val="22"/>
          <w:szCs w:val="22"/>
        </w:rPr>
        <w:lastRenderedPageBreak/>
        <w:t>References</w:t>
      </w:r>
      <w:r w:rsidR="003D5225">
        <w:rPr>
          <w:rFonts w:ascii="Arial" w:hAnsi="Arial" w:cs="Arial"/>
          <w:b/>
          <w:bCs/>
          <w:sz w:val="22"/>
          <w:szCs w:val="22"/>
        </w:rPr>
        <w:t>:</w:t>
      </w:r>
    </w:p>
    <w:p w14:paraId="3E8FC545"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(2020) </w:t>
      </w:r>
      <w:r w:rsidRPr="007958E6">
        <w:rPr>
          <w:rFonts w:ascii="Arial" w:hAnsi="Arial" w:cs="Arial"/>
          <w:i/>
          <w:iCs/>
          <w:sz w:val="22"/>
          <w:szCs w:val="22"/>
        </w:rPr>
        <w:t>Early Help System Guide</w:t>
      </w:r>
      <w:r w:rsidRPr="007958E6">
        <w:rPr>
          <w:rFonts w:ascii="Arial" w:hAnsi="Arial" w:cs="Arial"/>
          <w:sz w:val="22"/>
          <w:szCs w:val="22"/>
        </w:rPr>
        <w:t xml:space="preserve">. Available at: </w:t>
      </w:r>
      <w:hyperlink r:id="rId5" w:history="1">
        <w:r w:rsidRPr="007958E6">
          <w:rPr>
            <w:rStyle w:val="Hyperlink"/>
            <w:rFonts w:ascii="Arial" w:hAnsi="Arial" w:cs="Arial"/>
            <w:sz w:val="22"/>
            <w:szCs w:val="22"/>
          </w:rPr>
          <w:t>https://publishing.service.gov.uk</w:t>
        </w:r>
      </w:hyperlink>
    </w:p>
    <w:p w14:paraId="2C8FACA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HM Government (2023) </w:t>
      </w:r>
      <w:r w:rsidRPr="007958E6">
        <w:rPr>
          <w:rFonts w:ascii="Arial" w:hAnsi="Arial" w:cs="Arial"/>
          <w:i/>
          <w:iCs/>
          <w:sz w:val="22"/>
          <w:szCs w:val="22"/>
        </w:rPr>
        <w:t>Working Together to Safeguard Children 2023</w:t>
      </w:r>
      <w:r w:rsidRPr="007958E6">
        <w:rPr>
          <w:rFonts w:ascii="Arial" w:hAnsi="Arial" w:cs="Arial"/>
          <w:sz w:val="22"/>
          <w:szCs w:val="22"/>
        </w:rPr>
        <w:t>. London: HM Government.</w:t>
      </w:r>
    </w:p>
    <w:p w14:paraId="1EDE57AF"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Leeds City Council (2026) </w:t>
      </w:r>
      <w:r w:rsidRPr="007958E6">
        <w:rPr>
          <w:rFonts w:ascii="Arial" w:hAnsi="Arial" w:cs="Arial"/>
          <w:i/>
          <w:iCs/>
          <w:sz w:val="22"/>
          <w:szCs w:val="22"/>
        </w:rPr>
        <w:t>Children and Families Services</w:t>
      </w:r>
      <w:r w:rsidRPr="007958E6">
        <w:rPr>
          <w:rFonts w:ascii="Arial" w:hAnsi="Arial" w:cs="Arial"/>
          <w:sz w:val="22"/>
          <w:szCs w:val="22"/>
        </w:rPr>
        <w:t xml:space="preserve">. Available at: </w:t>
      </w:r>
      <w:hyperlink r:id="rId6" w:history="1">
        <w:r w:rsidRPr="007958E6">
          <w:rPr>
            <w:rStyle w:val="Hyperlink"/>
            <w:rFonts w:ascii="Arial" w:hAnsi="Arial" w:cs="Arial"/>
            <w:sz w:val="22"/>
            <w:szCs w:val="22"/>
          </w:rPr>
          <w:t>https://www.leeds.gov.uk/</w:t>
        </w:r>
      </w:hyperlink>
    </w:p>
    <w:p w14:paraId="52D69B15"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Norfolk County Council (2026) </w:t>
      </w:r>
      <w:r w:rsidRPr="007958E6">
        <w:rPr>
          <w:rFonts w:ascii="Arial" w:hAnsi="Arial" w:cs="Arial"/>
          <w:i/>
          <w:iCs/>
          <w:sz w:val="22"/>
          <w:szCs w:val="22"/>
        </w:rPr>
        <w:t>Early Help Information</w:t>
      </w:r>
      <w:r w:rsidRPr="007958E6">
        <w:rPr>
          <w:rFonts w:ascii="Arial" w:hAnsi="Arial" w:cs="Arial"/>
          <w:sz w:val="22"/>
          <w:szCs w:val="22"/>
        </w:rPr>
        <w:t xml:space="preserve">. Available at: </w:t>
      </w:r>
      <w:hyperlink r:id="rId7" w:history="1">
        <w:r w:rsidRPr="007958E6">
          <w:rPr>
            <w:rStyle w:val="Hyperlink"/>
            <w:rFonts w:ascii="Arial" w:hAnsi="Arial" w:cs="Arial"/>
            <w:sz w:val="22"/>
            <w:szCs w:val="22"/>
          </w:rPr>
          <w:t>https://www.norfolk.gov.uk/</w:t>
        </w:r>
      </w:hyperlink>
    </w:p>
    <w:p w14:paraId="0E084B8D"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Tower Hamlets Council (2026) </w:t>
      </w:r>
      <w:r w:rsidRPr="007958E6">
        <w:rPr>
          <w:rFonts w:ascii="Arial" w:hAnsi="Arial" w:cs="Arial"/>
          <w:i/>
          <w:iCs/>
          <w:sz w:val="22"/>
          <w:szCs w:val="22"/>
        </w:rPr>
        <w:t>Family Support and Early Help</w:t>
      </w:r>
      <w:r w:rsidRPr="007958E6">
        <w:rPr>
          <w:rFonts w:ascii="Arial" w:hAnsi="Arial" w:cs="Arial"/>
          <w:sz w:val="22"/>
          <w:szCs w:val="22"/>
        </w:rPr>
        <w:t xml:space="preserve">. Available at: </w:t>
      </w:r>
      <w:hyperlink r:id="rId8" w:history="1">
        <w:r w:rsidRPr="007958E6">
          <w:rPr>
            <w:rStyle w:val="Hyperlink"/>
            <w:rFonts w:ascii="Arial" w:hAnsi="Arial" w:cs="Arial"/>
            <w:sz w:val="22"/>
            <w:szCs w:val="22"/>
          </w:rPr>
          <w:t>https://www.towerhamlets.gov.uk/</w:t>
        </w:r>
      </w:hyperlink>
    </w:p>
    <w:p w14:paraId="1F65E9C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(2018) </w:t>
      </w:r>
      <w:r w:rsidRPr="007958E6">
        <w:rPr>
          <w:rFonts w:ascii="Arial" w:hAnsi="Arial" w:cs="Arial"/>
          <w:i/>
          <w:iCs/>
          <w:sz w:val="22"/>
          <w:szCs w:val="22"/>
        </w:rPr>
        <w:t xml:space="preserve">Statutory framework for the early </w:t>
      </w:r>
      <w:proofErr w:type="gramStart"/>
      <w:r w:rsidRPr="007958E6">
        <w:rPr>
          <w:rFonts w:ascii="Arial" w:hAnsi="Arial" w:cs="Arial"/>
          <w:i/>
          <w:iCs/>
          <w:sz w:val="22"/>
          <w:szCs w:val="22"/>
        </w:rPr>
        <w:t>years</w:t>
      </w:r>
      <w:proofErr w:type="gramEnd"/>
      <w:r w:rsidRPr="007958E6">
        <w:rPr>
          <w:rFonts w:ascii="Arial" w:hAnsi="Arial" w:cs="Arial"/>
          <w:i/>
          <w:iCs/>
          <w:sz w:val="22"/>
          <w:szCs w:val="22"/>
        </w:rPr>
        <w:t xml:space="preserve"> foundation stage</w:t>
      </w:r>
      <w:r w:rsidRPr="007958E6">
        <w:rPr>
          <w:rFonts w:ascii="Arial" w:hAnsi="Arial" w:cs="Arial"/>
          <w:sz w:val="22"/>
          <w:szCs w:val="22"/>
        </w:rPr>
        <w:t>. London: DfE.</w:t>
      </w:r>
    </w:p>
    <w:p w14:paraId="23C55261"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Department for Education (2021) </w:t>
      </w:r>
      <w:r w:rsidRPr="007958E6">
        <w:rPr>
          <w:rFonts w:ascii="Arial" w:hAnsi="Arial" w:cs="Arial"/>
          <w:i/>
          <w:iCs/>
          <w:sz w:val="22"/>
          <w:szCs w:val="22"/>
        </w:rPr>
        <w:t>Keeping children safe in education</w:t>
      </w:r>
      <w:r w:rsidRPr="007958E6">
        <w:rPr>
          <w:rFonts w:ascii="Arial" w:hAnsi="Arial" w:cs="Arial"/>
          <w:sz w:val="22"/>
          <w:szCs w:val="22"/>
        </w:rPr>
        <w:t>. London: DfE.</w:t>
      </w:r>
    </w:p>
    <w:p w14:paraId="63F60EBB" w14:textId="77777777" w:rsidR="007958E6" w:rsidRPr="007958E6" w:rsidRDefault="007958E6" w:rsidP="003D5225">
      <w:pPr>
        <w:spacing w:line="360" w:lineRule="auto"/>
        <w:rPr>
          <w:rFonts w:ascii="Arial" w:hAnsi="Arial" w:cs="Arial"/>
          <w:sz w:val="22"/>
          <w:szCs w:val="22"/>
        </w:rPr>
      </w:pPr>
      <w:r w:rsidRPr="007958E6">
        <w:rPr>
          <w:rFonts w:ascii="Arial" w:hAnsi="Arial" w:cs="Arial"/>
          <w:sz w:val="22"/>
          <w:szCs w:val="22"/>
        </w:rPr>
        <w:t xml:space="preserve">Early Intervention Foundation (2018) </w:t>
      </w:r>
      <w:r w:rsidRPr="007958E6">
        <w:rPr>
          <w:rFonts w:ascii="Arial" w:hAnsi="Arial" w:cs="Arial"/>
          <w:i/>
          <w:iCs/>
          <w:sz w:val="22"/>
          <w:szCs w:val="22"/>
        </w:rPr>
        <w:t>Realising the potential of early intervention</w:t>
      </w:r>
      <w:r w:rsidRPr="007958E6">
        <w:rPr>
          <w:rFonts w:ascii="Arial" w:hAnsi="Arial" w:cs="Arial"/>
          <w:sz w:val="22"/>
          <w:szCs w:val="22"/>
        </w:rPr>
        <w:t>. London: EIF.</w:t>
      </w:r>
    </w:p>
    <w:p w14:paraId="445823C2" w14:textId="3C6B2417"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Local Government Association (2020) </w:t>
      </w:r>
      <w:r w:rsidRPr="003D5225">
        <w:rPr>
          <w:rFonts w:ascii="Arial" w:hAnsi="Arial" w:cs="Arial"/>
          <w:i/>
          <w:iCs/>
          <w:sz w:val="22"/>
          <w:szCs w:val="22"/>
        </w:rPr>
        <w:t>A councillor’s workbook on children’s services</w:t>
      </w:r>
      <w:r w:rsidRPr="003D5225">
        <w:rPr>
          <w:rFonts w:ascii="Arial" w:hAnsi="Arial" w:cs="Arial"/>
          <w:sz w:val="22"/>
          <w:szCs w:val="22"/>
        </w:rPr>
        <w:t>. London: LGA.</w:t>
      </w:r>
    </w:p>
    <w:p w14:paraId="4B052F9F" w14:textId="5B964B3D" w:rsidR="007958E6" w:rsidRPr="003D5225" w:rsidRDefault="007958E6" w:rsidP="003D5225">
      <w:pPr>
        <w:spacing w:line="360" w:lineRule="auto"/>
        <w:rPr>
          <w:rFonts w:ascii="Arial" w:hAnsi="Arial" w:cs="Arial"/>
          <w:sz w:val="22"/>
          <w:szCs w:val="22"/>
        </w:rPr>
      </w:pPr>
      <w:r w:rsidRPr="003D5225">
        <w:rPr>
          <w:rFonts w:ascii="Arial" w:hAnsi="Arial" w:cs="Arial"/>
          <w:sz w:val="22"/>
          <w:szCs w:val="22"/>
        </w:rPr>
        <w:t xml:space="preserve">Munro, E. (2011) </w:t>
      </w:r>
      <w:r w:rsidRPr="003D5225">
        <w:rPr>
          <w:rFonts w:ascii="Arial" w:hAnsi="Arial" w:cs="Arial"/>
          <w:i/>
          <w:iCs/>
          <w:sz w:val="22"/>
          <w:szCs w:val="22"/>
        </w:rPr>
        <w:t>The Munro Review of Child Protection: Final Report</w:t>
      </w:r>
      <w:r w:rsidRPr="003D5225">
        <w:rPr>
          <w:rFonts w:ascii="Arial" w:hAnsi="Arial" w:cs="Arial"/>
          <w:sz w:val="22"/>
          <w:szCs w:val="22"/>
        </w:rPr>
        <w:t>. London: Department for Education.</w:t>
      </w:r>
    </w:p>
    <w:p w14:paraId="1857C217" w14:textId="49814EF7" w:rsidR="00442C44" w:rsidRPr="003D5225" w:rsidRDefault="00442C44" w:rsidP="003D5225">
      <w:pPr>
        <w:spacing w:line="360" w:lineRule="auto"/>
        <w:rPr>
          <w:rFonts w:ascii="Arial" w:hAnsi="Arial" w:cs="Arial"/>
          <w:sz w:val="22"/>
          <w:szCs w:val="22"/>
        </w:rPr>
      </w:pPr>
      <w:r w:rsidRPr="003D5225">
        <w:rPr>
          <w:rFonts w:ascii="Arial" w:hAnsi="Arial" w:cs="Arial"/>
          <w:sz w:val="22"/>
          <w:szCs w:val="22"/>
        </w:rPr>
        <w:t xml:space="preserve">Public Health England (2019) </w:t>
      </w:r>
      <w:r w:rsidRPr="003D5225">
        <w:rPr>
          <w:rFonts w:ascii="Arial" w:hAnsi="Arial" w:cs="Arial"/>
          <w:i/>
          <w:iCs/>
          <w:sz w:val="22"/>
          <w:szCs w:val="22"/>
        </w:rPr>
        <w:t>Early intervention and prevention in children and young people’s mental health services</w:t>
      </w:r>
      <w:r w:rsidRPr="003D5225">
        <w:rPr>
          <w:rFonts w:ascii="Arial" w:hAnsi="Arial" w:cs="Arial"/>
          <w:sz w:val="22"/>
          <w:szCs w:val="22"/>
        </w:rPr>
        <w:t>. London: PHE.</w:t>
      </w:r>
    </w:p>
    <w:sectPr w:rsidR="00442C44" w:rsidRPr="003D52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D7972"/>
    <w:multiLevelType w:val="hybridMultilevel"/>
    <w:tmpl w:val="A7481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469A7"/>
    <w:multiLevelType w:val="hybridMultilevel"/>
    <w:tmpl w:val="F37EC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8194708">
    <w:abstractNumId w:val="1"/>
  </w:num>
  <w:num w:numId="2" w16cid:durableId="12574009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494"/>
    <w:rsid w:val="00025728"/>
    <w:rsid w:val="002163EC"/>
    <w:rsid w:val="002353C6"/>
    <w:rsid w:val="003D5225"/>
    <w:rsid w:val="00442C44"/>
    <w:rsid w:val="004938C6"/>
    <w:rsid w:val="004E70AB"/>
    <w:rsid w:val="006426B8"/>
    <w:rsid w:val="00685494"/>
    <w:rsid w:val="006C00FB"/>
    <w:rsid w:val="007958E6"/>
    <w:rsid w:val="008E74EB"/>
    <w:rsid w:val="00B84D1F"/>
    <w:rsid w:val="00C56257"/>
    <w:rsid w:val="00CA1417"/>
    <w:rsid w:val="00DE5EB0"/>
    <w:rsid w:val="00F56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68641"/>
  <w15:chartTrackingRefBased/>
  <w15:docId w15:val="{13A4C040-6B55-43CA-A00E-46A0F1E13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4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4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4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4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4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4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4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4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4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4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4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4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4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4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4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4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4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494"/>
    <w:rPr>
      <w:rFonts w:eastAsiaTheme="majorEastAsia" w:cstheme="majorBidi"/>
      <w:color w:val="272727" w:themeColor="text1" w:themeTint="D8"/>
    </w:rPr>
  </w:style>
  <w:style w:type="paragraph" w:styleId="Title">
    <w:name w:val="Title"/>
    <w:basedOn w:val="Normal"/>
    <w:next w:val="Normal"/>
    <w:link w:val="TitleChar"/>
    <w:uiPriority w:val="10"/>
    <w:qFormat/>
    <w:rsid w:val="006854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4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4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4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494"/>
    <w:pPr>
      <w:spacing w:before="160"/>
      <w:jc w:val="center"/>
    </w:pPr>
    <w:rPr>
      <w:i/>
      <w:iCs/>
      <w:color w:val="404040" w:themeColor="text1" w:themeTint="BF"/>
    </w:rPr>
  </w:style>
  <w:style w:type="character" w:customStyle="1" w:styleId="QuoteChar">
    <w:name w:val="Quote Char"/>
    <w:basedOn w:val="DefaultParagraphFont"/>
    <w:link w:val="Quote"/>
    <w:uiPriority w:val="29"/>
    <w:rsid w:val="00685494"/>
    <w:rPr>
      <w:i/>
      <w:iCs/>
      <w:color w:val="404040" w:themeColor="text1" w:themeTint="BF"/>
    </w:rPr>
  </w:style>
  <w:style w:type="paragraph" w:styleId="ListParagraph">
    <w:name w:val="List Paragraph"/>
    <w:basedOn w:val="Normal"/>
    <w:uiPriority w:val="34"/>
    <w:qFormat/>
    <w:rsid w:val="00685494"/>
    <w:pPr>
      <w:ind w:left="720"/>
      <w:contextualSpacing/>
    </w:pPr>
  </w:style>
  <w:style w:type="character" w:styleId="IntenseEmphasis">
    <w:name w:val="Intense Emphasis"/>
    <w:basedOn w:val="DefaultParagraphFont"/>
    <w:uiPriority w:val="21"/>
    <w:qFormat/>
    <w:rsid w:val="00685494"/>
    <w:rPr>
      <w:i/>
      <w:iCs/>
      <w:color w:val="0F4761" w:themeColor="accent1" w:themeShade="BF"/>
    </w:rPr>
  </w:style>
  <w:style w:type="paragraph" w:styleId="IntenseQuote">
    <w:name w:val="Intense Quote"/>
    <w:basedOn w:val="Normal"/>
    <w:next w:val="Normal"/>
    <w:link w:val="IntenseQuoteChar"/>
    <w:uiPriority w:val="30"/>
    <w:qFormat/>
    <w:rsid w:val="006854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494"/>
    <w:rPr>
      <w:i/>
      <w:iCs/>
      <w:color w:val="0F4761" w:themeColor="accent1" w:themeShade="BF"/>
    </w:rPr>
  </w:style>
  <w:style w:type="character" w:styleId="IntenseReference">
    <w:name w:val="Intense Reference"/>
    <w:basedOn w:val="DefaultParagraphFont"/>
    <w:uiPriority w:val="32"/>
    <w:qFormat/>
    <w:rsid w:val="00685494"/>
    <w:rPr>
      <w:b/>
      <w:bCs/>
      <w:smallCaps/>
      <w:color w:val="0F4761" w:themeColor="accent1" w:themeShade="BF"/>
      <w:spacing w:val="5"/>
    </w:rPr>
  </w:style>
  <w:style w:type="character" w:styleId="Hyperlink">
    <w:name w:val="Hyperlink"/>
    <w:basedOn w:val="DefaultParagraphFont"/>
    <w:uiPriority w:val="99"/>
    <w:unhideWhenUsed/>
    <w:rsid w:val="007958E6"/>
    <w:rPr>
      <w:color w:val="467886" w:themeColor="hyperlink"/>
      <w:u w:val="single"/>
    </w:rPr>
  </w:style>
  <w:style w:type="character" w:styleId="UnresolvedMention">
    <w:name w:val="Unresolved Mention"/>
    <w:basedOn w:val="DefaultParagraphFont"/>
    <w:uiPriority w:val="99"/>
    <w:semiHidden/>
    <w:unhideWhenUsed/>
    <w:rsid w:val="007958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werhamlets.gov.uk/" TargetMode="External"/><Relationship Id="rId3" Type="http://schemas.openxmlformats.org/officeDocument/2006/relationships/settings" Target="settings.xml"/><Relationship Id="rId7" Type="http://schemas.openxmlformats.org/officeDocument/2006/relationships/hyperlink" Target="https://www.norfolk.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eds.gov.uk/" TargetMode="External"/><Relationship Id="rId5" Type="http://schemas.openxmlformats.org/officeDocument/2006/relationships/hyperlink" Target="https://publishing.service.gov.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8</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 hasan</dc:creator>
  <cp:keywords/>
  <dc:description/>
  <cp:lastModifiedBy>aima hasan</cp:lastModifiedBy>
  <cp:revision>3</cp:revision>
  <dcterms:created xsi:type="dcterms:W3CDTF">2026-03-28T11:26:00Z</dcterms:created>
  <dcterms:modified xsi:type="dcterms:W3CDTF">2026-03-28T11:50:00Z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f845e5df-a017-45f5-b60f-bba8b9f18388</vt:lpwstr>
  </property>
</Properties>
</file>