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CF6B7" w14:textId="0157029E"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Qualification: </w:t>
      </w:r>
      <w:r w:rsidRPr="363618A7">
        <w:rPr>
          <w:rFonts w:ascii="Calibri" w:eastAsia="Calibri" w:hAnsi="Calibri" w:cs="Calibri"/>
          <w:color w:val="000000" w:themeColor="text1"/>
          <w:sz w:val="40"/>
          <w:szCs w:val="40"/>
        </w:rPr>
        <w:t>Postgraduate Diploma in Strategic People Management</w:t>
      </w:r>
    </w:p>
    <w:p w14:paraId="152B1B66" w14:textId="2F469F6F" w:rsidR="0015035E" w:rsidRDefault="0015035E" w:rsidP="363618A7">
      <w:pPr>
        <w:spacing w:after="0" w:line="240" w:lineRule="auto"/>
        <w:jc w:val="center"/>
        <w:rPr>
          <w:rFonts w:ascii="Calibri" w:eastAsia="Calibri" w:hAnsi="Calibri" w:cs="Calibri"/>
          <w:color w:val="000000" w:themeColor="text1"/>
          <w:sz w:val="40"/>
          <w:szCs w:val="40"/>
        </w:rPr>
      </w:pPr>
    </w:p>
    <w:p w14:paraId="6A1F9836" w14:textId="3CD24E26" w:rsidR="0015035E" w:rsidRDefault="0015035E" w:rsidP="363618A7">
      <w:pPr>
        <w:spacing w:after="0" w:line="240" w:lineRule="auto"/>
        <w:jc w:val="center"/>
        <w:rPr>
          <w:rFonts w:ascii="Calibri" w:eastAsia="Calibri" w:hAnsi="Calibri" w:cs="Calibri"/>
          <w:color w:val="000000" w:themeColor="text1"/>
          <w:sz w:val="40"/>
          <w:szCs w:val="40"/>
        </w:rPr>
      </w:pPr>
    </w:p>
    <w:p w14:paraId="5A1523F7" w14:textId="5A7AB8A8"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Module Name: </w:t>
      </w:r>
      <w:r w:rsidRPr="363618A7">
        <w:rPr>
          <w:rFonts w:ascii="Calibri" w:eastAsia="Calibri" w:hAnsi="Calibri" w:cs="Calibri"/>
          <w:color w:val="000000" w:themeColor="text1"/>
          <w:sz w:val="40"/>
          <w:szCs w:val="40"/>
        </w:rPr>
        <w:t xml:space="preserve">Advanced Application of Employment Law (BMHR7019) </w:t>
      </w:r>
    </w:p>
    <w:p w14:paraId="63A14276" w14:textId="4E3AC13F" w:rsidR="0015035E" w:rsidRDefault="0015035E" w:rsidP="363618A7">
      <w:pPr>
        <w:spacing w:after="0" w:line="240" w:lineRule="auto"/>
        <w:jc w:val="center"/>
        <w:rPr>
          <w:rFonts w:ascii="Calibri" w:eastAsia="Calibri" w:hAnsi="Calibri" w:cs="Calibri"/>
          <w:color w:val="000000" w:themeColor="text1"/>
          <w:sz w:val="40"/>
          <w:szCs w:val="40"/>
        </w:rPr>
      </w:pPr>
    </w:p>
    <w:p w14:paraId="36E0B81B" w14:textId="08A9C258" w:rsidR="0015035E" w:rsidRDefault="0015035E" w:rsidP="363618A7">
      <w:pPr>
        <w:spacing w:after="0" w:line="240" w:lineRule="auto"/>
        <w:jc w:val="center"/>
        <w:rPr>
          <w:rFonts w:ascii="Calibri" w:eastAsia="Calibri" w:hAnsi="Calibri" w:cs="Calibri"/>
          <w:color w:val="000000" w:themeColor="text1"/>
          <w:sz w:val="40"/>
          <w:szCs w:val="40"/>
        </w:rPr>
      </w:pPr>
    </w:p>
    <w:p w14:paraId="364A9F02" w14:textId="17AFCE1A"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Assessment: </w:t>
      </w:r>
      <w:r w:rsidRPr="363618A7">
        <w:rPr>
          <w:rFonts w:ascii="Calibri" w:eastAsia="Calibri" w:hAnsi="Calibri" w:cs="Calibri"/>
          <w:color w:val="000000" w:themeColor="text1"/>
          <w:sz w:val="40"/>
          <w:szCs w:val="40"/>
        </w:rPr>
        <w:t>Written responses and leaflet</w:t>
      </w:r>
    </w:p>
    <w:p w14:paraId="704C58A4" w14:textId="0D1F0733" w:rsidR="0015035E" w:rsidRDefault="0015035E" w:rsidP="363618A7">
      <w:pPr>
        <w:spacing w:after="0" w:line="240" w:lineRule="auto"/>
        <w:rPr>
          <w:rFonts w:ascii="Calibri" w:eastAsia="Calibri" w:hAnsi="Calibri" w:cs="Calibri"/>
          <w:color w:val="000000" w:themeColor="text1"/>
          <w:sz w:val="40"/>
          <w:szCs w:val="40"/>
        </w:rPr>
      </w:pPr>
    </w:p>
    <w:p w14:paraId="34D721B0" w14:textId="58583494" w:rsidR="0015035E" w:rsidRDefault="0015035E" w:rsidP="363618A7">
      <w:pPr>
        <w:spacing w:after="0" w:line="240" w:lineRule="auto"/>
        <w:rPr>
          <w:rFonts w:ascii="Calibri" w:eastAsia="Calibri" w:hAnsi="Calibri" w:cs="Calibri"/>
          <w:color w:val="000000" w:themeColor="text1"/>
          <w:sz w:val="40"/>
          <w:szCs w:val="40"/>
        </w:rPr>
      </w:pPr>
    </w:p>
    <w:p w14:paraId="092C89DB" w14:textId="14C42E83"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Student Name: </w:t>
      </w:r>
      <w:r w:rsidRPr="363618A7">
        <w:rPr>
          <w:rFonts w:ascii="Calibri" w:eastAsia="Calibri" w:hAnsi="Calibri" w:cs="Calibri"/>
          <w:color w:val="000000" w:themeColor="text1"/>
          <w:sz w:val="40"/>
          <w:szCs w:val="40"/>
        </w:rPr>
        <w:t>Jessica Rainbow</w:t>
      </w:r>
    </w:p>
    <w:p w14:paraId="3B3E7CBF" w14:textId="5AA5662C" w:rsidR="0015035E" w:rsidRDefault="0015035E" w:rsidP="363618A7">
      <w:pPr>
        <w:spacing w:after="0" w:line="240" w:lineRule="auto"/>
        <w:jc w:val="center"/>
        <w:rPr>
          <w:rFonts w:ascii="Calibri" w:eastAsia="Calibri" w:hAnsi="Calibri" w:cs="Calibri"/>
          <w:color w:val="000000" w:themeColor="text1"/>
          <w:sz w:val="40"/>
          <w:szCs w:val="40"/>
        </w:rPr>
      </w:pPr>
    </w:p>
    <w:p w14:paraId="3E0C64B8" w14:textId="3510ACF7" w:rsidR="0015035E" w:rsidRDefault="0015035E" w:rsidP="363618A7">
      <w:pPr>
        <w:spacing w:after="0" w:line="240" w:lineRule="auto"/>
        <w:jc w:val="center"/>
        <w:rPr>
          <w:rFonts w:ascii="Calibri" w:eastAsia="Calibri" w:hAnsi="Calibri" w:cs="Calibri"/>
          <w:color w:val="000000" w:themeColor="text1"/>
          <w:sz w:val="40"/>
          <w:szCs w:val="40"/>
        </w:rPr>
      </w:pPr>
    </w:p>
    <w:p w14:paraId="717E9681" w14:textId="070D92D2"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Student Number: </w:t>
      </w:r>
      <w:r w:rsidRPr="363618A7">
        <w:rPr>
          <w:rFonts w:ascii="Calibri" w:eastAsia="Calibri" w:hAnsi="Calibri" w:cs="Calibri"/>
          <w:color w:val="000000" w:themeColor="text1"/>
          <w:sz w:val="40"/>
          <w:szCs w:val="40"/>
        </w:rPr>
        <w:t>1904613</w:t>
      </w:r>
    </w:p>
    <w:p w14:paraId="6693BB54" w14:textId="42F793E2" w:rsidR="0015035E" w:rsidRDefault="0015035E" w:rsidP="363618A7">
      <w:pPr>
        <w:spacing w:after="0" w:line="240" w:lineRule="auto"/>
        <w:jc w:val="center"/>
        <w:rPr>
          <w:rFonts w:ascii="Calibri" w:eastAsia="Calibri" w:hAnsi="Calibri" w:cs="Calibri"/>
          <w:color w:val="000000" w:themeColor="text1"/>
          <w:sz w:val="40"/>
          <w:szCs w:val="40"/>
        </w:rPr>
      </w:pPr>
    </w:p>
    <w:p w14:paraId="63A041EE" w14:textId="3EF2FDF6" w:rsidR="0015035E" w:rsidRDefault="0015035E" w:rsidP="363618A7">
      <w:pPr>
        <w:spacing w:after="0" w:line="240" w:lineRule="auto"/>
        <w:jc w:val="center"/>
        <w:rPr>
          <w:rFonts w:ascii="Calibri" w:eastAsia="Calibri" w:hAnsi="Calibri" w:cs="Calibri"/>
          <w:color w:val="000000" w:themeColor="text1"/>
          <w:sz w:val="40"/>
          <w:szCs w:val="40"/>
        </w:rPr>
      </w:pPr>
    </w:p>
    <w:p w14:paraId="56DF34DE" w14:textId="0507E3F2" w:rsidR="0015035E" w:rsidRDefault="363618A7" w:rsidP="363618A7">
      <w:pPr>
        <w:spacing w:after="0" w:line="240" w:lineRule="auto"/>
        <w:jc w:val="center"/>
        <w:rPr>
          <w:rFonts w:ascii="Calibri" w:eastAsia="Calibri" w:hAnsi="Calibri" w:cs="Calibri"/>
          <w:color w:val="000000" w:themeColor="text1"/>
          <w:sz w:val="40"/>
          <w:szCs w:val="40"/>
        </w:rPr>
      </w:pPr>
      <w:r w:rsidRPr="363618A7">
        <w:rPr>
          <w:rFonts w:ascii="Calibri" w:eastAsia="Calibri" w:hAnsi="Calibri" w:cs="Calibri"/>
          <w:b/>
          <w:bCs/>
          <w:color w:val="000000" w:themeColor="text1"/>
          <w:sz w:val="40"/>
          <w:szCs w:val="40"/>
        </w:rPr>
        <w:t xml:space="preserve">CIPD Membership Number: </w:t>
      </w:r>
      <w:r w:rsidRPr="363618A7">
        <w:rPr>
          <w:rFonts w:ascii="Calibri" w:eastAsia="Calibri" w:hAnsi="Calibri" w:cs="Calibri"/>
          <w:color w:val="000000" w:themeColor="text1"/>
          <w:sz w:val="40"/>
          <w:szCs w:val="40"/>
        </w:rPr>
        <w:t>54071923</w:t>
      </w:r>
    </w:p>
    <w:p w14:paraId="3E500624" w14:textId="6DE9A763" w:rsidR="0015035E" w:rsidRDefault="00213DA1" w:rsidP="363618A7">
      <w:pPr>
        <w:spacing w:after="0" w:line="240" w:lineRule="auto"/>
        <w:jc w:val="center"/>
        <w:rPr>
          <w:rFonts w:ascii="Calibri" w:eastAsia="Calibri" w:hAnsi="Calibri" w:cs="Calibri"/>
          <w:color w:val="000000" w:themeColor="text1"/>
          <w:sz w:val="40"/>
          <w:szCs w:val="40"/>
        </w:rPr>
      </w:pPr>
      <w:r>
        <w:br/>
      </w:r>
    </w:p>
    <w:p w14:paraId="107E3EE7" w14:textId="18D9381E" w:rsidR="0015035E" w:rsidRDefault="30147B71" w:rsidP="30147B71">
      <w:pPr>
        <w:spacing w:after="0" w:line="240" w:lineRule="auto"/>
        <w:jc w:val="center"/>
        <w:rPr>
          <w:rFonts w:ascii="Calibri" w:eastAsia="Calibri" w:hAnsi="Calibri" w:cs="Calibri"/>
          <w:color w:val="000000" w:themeColor="text1"/>
          <w:sz w:val="40"/>
          <w:szCs w:val="40"/>
        </w:rPr>
      </w:pPr>
      <w:r w:rsidRPr="30147B71">
        <w:rPr>
          <w:rFonts w:ascii="Calibri" w:eastAsia="Calibri" w:hAnsi="Calibri" w:cs="Calibri"/>
          <w:b/>
          <w:bCs/>
          <w:color w:val="000000" w:themeColor="text1"/>
          <w:sz w:val="40"/>
          <w:szCs w:val="40"/>
        </w:rPr>
        <w:t xml:space="preserve">Word Count: </w:t>
      </w:r>
      <w:r w:rsidR="00213DA1">
        <w:br/>
      </w:r>
      <w:r w:rsidRPr="30147B71">
        <w:rPr>
          <w:rFonts w:ascii="Calibri" w:eastAsia="Calibri" w:hAnsi="Calibri" w:cs="Calibri"/>
          <w:color w:val="000000" w:themeColor="text1"/>
          <w:sz w:val="40"/>
          <w:szCs w:val="40"/>
        </w:rPr>
        <w:t>Section A: 2816</w:t>
      </w:r>
    </w:p>
    <w:p w14:paraId="4EB0A3D3" w14:textId="22357121" w:rsidR="30147B71" w:rsidRDefault="30147B71" w:rsidP="30147B71">
      <w:pPr>
        <w:spacing w:after="0" w:line="240" w:lineRule="auto"/>
        <w:jc w:val="center"/>
        <w:rPr>
          <w:rFonts w:ascii="Calibri" w:eastAsia="Calibri" w:hAnsi="Calibri" w:cs="Calibri"/>
          <w:color w:val="000000" w:themeColor="text1"/>
          <w:sz w:val="40"/>
          <w:szCs w:val="40"/>
        </w:rPr>
      </w:pPr>
      <w:r w:rsidRPr="30147B71">
        <w:rPr>
          <w:rFonts w:ascii="Calibri" w:eastAsia="Calibri" w:hAnsi="Calibri" w:cs="Calibri"/>
          <w:color w:val="000000" w:themeColor="text1"/>
          <w:sz w:val="40"/>
          <w:szCs w:val="40"/>
        </w:rPr>
        <w:t>Section B: 483</w:t>
      </w:r>
    </w:p>
    <w:p w14:paraId="06B30241" w14:textId="5A6DBC87" w:rsidR="1C8EC627" w:rsidRDefault="30147B71" w:rsidP="30147B71">
      <w:pPr>
        <w:spacing w:after="0" w:line="240" w:lineRule="auto"/>
        <w:jc w:val="center"/>
        <w:rPr>
          <w:rFonts w:ascii="Calibri" w:eastAsia="Calibri" w:hAnsi="Calibri" w:cs="Calibri"/>
          <w:color w:val="000000" w:themeColor="text1"/>
          <w:sz w:val="40"/>
          <w:szCs w:val="40"/>
        </w:rPr>
      </w:pPr>
      <w:r w:rsidRPr="30147B71">
        <w:rPr>
          <w:rFonts w:ascii="Calibri" w:eastAsia="Calibri" w:hAnsi="Calibri" w:cs="Calibri"/>
          <w:color w:val="000000" w:themeColor="text1"/>
          <w:sz w:val="40"/>
          <w:szCs w:val="40"/>
        </w:rPr>
        <w:t>Total: 3,299</w:t>
      </w:r>
    </w:p>
    <w:p w14:paraId="594A1907" w14:textId="5885112E"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52C2638E" w14:textId="402D2190"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11921739" w14:textId="70A0DF69"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4A0220B4" w14:textId="7CBF8AEB"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7DD10F62" w14:textId="6F9BA353"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5129EACE" w14:textId="26D8C2FB"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40B5F315" w14:textId="11173D95" w:rsidR="1C8EC627" w:rsidRDefault="1C8EC627" w:rsidP="30147B71">
      <w:pPr>
        <w:spacing w:after="0" w:line="240" w:lineRule="auto"/>
        <w:rPr>
          <w:rFonts w:ascii="Times New Roman" w:eastAsia="Times New Roman" w:hAnsi="Times New Roman" w:cs="Times New Roman"/>
          <w:color w:val="000000" w:themeColor="text1"/>
          <w:sz w:val="24"/>
          <w:szCs w:val="24"/>
        </w:rPr>
      </w:pPr>
    </w:p>
    <w:p w14:paraId="7F12C934" w14:textId="0D352E01" w:rsidR="30147B71" w:rsidRDefault="30147B71" w:rsidP="30147B71">
      <w:pPr>
        <w:spacing w:after="0" w:line="240" w:lineRule="auto"/>
        <w:rPr>
          <w:rFonts w:ascii="Times New Roman" w:eastAsia="Times New Roman" w:hAnsi="Times New Roman" w:cs="Times New Roman"/>
          <w:color w:val="000000" w:themeColor="text1"/>
          <w:sz w:val="24"/>
          <w:szCs w:val="24"/>
        </w:rPr>
      </w:pPr>
    </w:p>
    <w:p w14:paraId="67F96895" w14:textId="34059513" w:rsidR="30147B71" w:rsidRDefault="30147B71" w:rsidP="30147B71">
      <w:pPr>
        <w:spacing w:after="0" w:line="240" w:lineRule="auto"/>
        <w:rPr>
          <w:rFonts w:ascii="Times New Roman" w:eastAsia="Times New Roman" w:hAnsi="Times New Roman" w:cs="Times New Roman"/>
          <w:color w:val="000000" w:themeColor="text1"/>
          <w:sz w:val="24"/>
          <w:szCs w:val="24"/>
        </w:rPr>
      </w:pPr>
    </w:p>
    <w:p w14:paraId="7665B9D1" w14:textId="59C35EBA"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4104C3D3" w14:textId="3000B2F3"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17EB1074" w14:textId="0184740B"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2472D756" w14:textId="500A9F0A" w:rsidR="1C8EC627" w:rsidRDefault="1C8EC627" w:rsidP="1C8EC627">
      <w:pPr>
        <w:spacing w:after="0" w:line="240" w:lineRule="auto"/>
        <w:rPr>
          <w:rFonts w:ascii="Times New Roman" w:eastAsia="Times New Roman" w:hAnsi="Times New Roman" w:cs="Times New Roman"/>
          <w:color w:val="000000" w:themeColor="text1"/>
          <w:sz w:val="24"/>
          <w:szCs w:val="24"/>
        </w:rPr>
      </w:pPr>
    </w:p>
    <w:p w14:paraId="2B30A6ED" w14:textId="77777777" w:rsidR="00213DA1" w:rsidRDefault="00213DA1" w:rsidP="1C8EC627">
      <w:pPr>
        <w:spacing w:after="0" w:line="240" w:lineRule="auto"/>
        <w:rPr>
          <w:rFonts w:ascii="Times New Roman" w:eastAsia="Times New Roman" w:hAnsi="Times New Roman" w:cs="Times New Roman"/>
          <w:color w:val="000000" w:themeColor="text1"/>
          <w:sz w:val="24"/>
          <w:szCs w:val="24"/>
        </w:rPr>
      </w:pPr>
    </w:p>
    <w:p w14:paraId="74749C33" w14:textId="7751AD0C" w:rsidR="15ADF079" w:rsidRDefault="30147B71" w:rsidP="30147B71">
      <w:pPr>
        <w:spacing w:after="0" w:line="240" w:lineRule="auto"/>
        <w:rPr>
          <w:rFonts w:ascii="Arial" w:eastAsia="Arial" w:hAnsi="Arial" w:cs="Arial"/>
        </w:rPr>
      </w:pPr>
      <w:r w:rsidRPr="30147B71">
        <w:rPr>
          <w:rFonts w:ascii="Arial" w:eastAsia="Arial" w:hAnsi="Arial" w:cs="Arial"/>
        </w:rPr>
        <w:lastRenderedPageBreak/>
        <w:t>Recipient: Bob Braeburn</w:t>
      </w:r>
    </w:p>
    <w:p w14:paraId="3D9461F8" w14:textId="57B32B2F" w:rsidR="3A9E703C" w:rsidRDefault="30147B71" w:rsidP="30147B71">
      <w:pPr>
        <w:spacing w:after="0" w:line="240" w:lineRule="auto"/>
        <w:rPr>
          <w:rFonts w:ascii="Arial" w:eastAsia="Arial" w:hAnsi="Arial" w:cs="Arial"/>
        </w:rPr>
      </w:pPr>
      <w:r w:rsidRPr="30147B71">
        <w:rPr>
          <w:rFonts w:ascii="Arial" w:eastAsia="Arial" w:hAnsi="Arial" w:cs="Arial"/>
        </w:rPr>
        <w:t>Sender: Jessica Rainbow</w:t>
      </w:r>
    </w:p>
    <w:p w14:paraId="2C253D5E" w14:textId="3865D20C" w:rsidR="3A9E703C" w:rsidRDefault="30147B71" w:rsidP="30147B71">
      <w:pPr>
        <w:spacing w:after="0" w:line="240" w:lineRule="auto"/>
        <w:rPr>
          <w:rFonts w:ascii="Arial" w:eastAsia="Arial" w:hAnsi="Arial" w:cs="Arial"/>
        </w:rPr>
      </w:pPr>
      <w:r w:rsidRPr="30147B71">
        <w:rPr>
          <w:rFonts w:ascii="Arial" w:eastAsia="Arial" w:hAnsi="Arial" w:cs="Arial"/>
        </w:rPr>
        <w:t>Date: 15 April 2023</w:t>
      </w:r>
    </w:p>
    <w:p w14:paraId="018EEE14" w14:textId="0EE6C988" w:rsidR="3A9E703C" w:rsidRDefault="30147B71" w:rsidP="30147B71">
      <w:pPr>
        <w:spacing w:after="0" w:line="240" w:lineRule="auto"/>
        <w:rPr>
          <w:rFonts w:ascii="Arial" w:eastAsia="Arial" w:hAnsi="Arial" w:cs="Arial"/>
        </w:rPr>
      </w:pPr>
      <w:r w:rsidRPr="30147B71">
        <w:rPr>
          <w:rFonts w:ascii="Arial" w:eastAsia="Arial" w:hAnsi="Arial" w:cs="Arial"/>
        </w:rPr>
        <w:t>Re. Advice on receipt of ET1</w:t>
      </w:r>
    </w:p>
    <w:p w14:paraId="5983668E" w14:textId="6E92C5E9" w:rsidR="3A9E703C" w:rsidRDefault="3A9E703C" w:rsidP="30147B71">
      <w:pPr>
        <w:spacing w:after="0" w:line="240" w:lineRule="auto"/>
        <w:rPr>
          <w:rFonts w:ascii="Arial" w:eastAsia="Arial" w:hAnsi="Arial" w:cs="Arial"/>
        </w:rPr>
      </w:pPr>
    </w:p>
    <w:p w14:paraId="5649E1C4" w14:textId="153778A0" w:rsidR="3A9E703C" w:rsidRDefault="30147B71" w:rsidP="30147B71">
      <w:pPr>
        <w:spacing w:after="0" w:line="240" w:lineRule="auto"/>
        <w:rPr>
          <w:rFonts w:ascii="Arial" w:eastAsia="Arial" w:hAnsi="Arial" w:cs="Arial"/>
        </w:rPr>
      </w:pPr>
      <w:r w:rsidRPr="30147B71">
        <w:rPr>
          <w:rFonts w:ascii="Arial" w:eastAsia="Arial" w:hAnsi="Arial" w:cs="Arial"/>
        </w:rPr>
        <w:t xml:space="preserve">This memorandum responds to the query following receipt of the ET1 and outlines advice in relation to the case and appropriate action. </w:t>
      </w:r>
    </w:p>
    <w:p w14:paraId="0B25A818" w14:textId="1D1DBB41" w:rsidR="3A9E703C" w:rsidRDefault="3A9E703C" w:rsidP="30147B71">
      <w:pPr>
        <w:spacing w:after="0" w:line="240" w:lineRule="auto"/>
        <w:rPr>
          <w:rFonts w:ascii="Arial" w:eastAsia="Arial" w:hAnsi="Arial" w:cs="Arial"/>
        </w:rPr>
      </w:pPr>
    </w:p>
    <w:p w14:paraId="613A8C3A" w14:textId="3902594B" w:rsidR="3A9E703C" w:rsidRDefault="30147B71" w:rsidP="30147B71">
      <w:pPr>
        <w:spacing w:after="0" w:line="240" w:lineRule="auto"/>
        <w:rPr>
          <w:rFonts w:ascii="Arial" w:eastAsia="Arial" w:hAnsi="Arial" w:cs="Arial"/>
          <w:b/>
          <w:bCs/>
          <w:u w:val="single"/>
        </w:rPr>
      </w:pPr>
      <w:r w:rsidRPr="30147B71">
        <w:rPr>
          <w:rFonts w:ascii="Arial" w:eastAsia="Arial" w:hAnsi="Arial" w:cs="Arial"/>
          <w:b/>
          <w:bCs/>
          <w:u w:val="single"/>
        </w:rPr>
        <w:t>ET3</w:t>
      </w:r>
    </w:p>
    <w:p w14:paraId="7DFD1EBF" w14:textId="57A3503B" w:rsidR="3A9E703C" w:rsidRDefault="3A9E703C" w:rsidP="30147B71">
      <w:pPr>
        <w:spacing w:after="0" w:line="240" w:lineRule="auto"/>
        <w:rPr>
          <w:rFonts w:ascii="Arial" w:eastAsia="Arial" w:hAnsi="Arial" w:cs="Arial"/>
          <w:b/>
          <w:bCs/>
          <w:u w:val="single"/>
        </w:rPr>
      </w:pPr>
    </w:p>
    <w:p w14:paraId="4DFECE48" w14:textId="056928E8" w:rsidR="3A9E703C" w:rsidRDefault="30147B71" w:rsidP="30147B71">
      <w:pPr>
        <w:jc w:val="both"/>
        <w:rPr>
          <w:rFonts w:ascii="Arial" w:eastAsia="Arial" w:hAnsi="Arial" w:cs="Arial"/>
        </w:rPr>
      </w:pPr>
      <w:r w:rsidRPr="30147B71">
        <w:rPr>
          <w:rFonts w:ascii="Arial" w:eastAsia="Arial" w:hAnsi="Arial" w:cs="Arial"/>
        </w:rPr>
        <w:t xml:space="preserve">As early conciliation has been unsuccessful, the business must decide and act timely on how it will respond. The ET3 is the approved response form which can be completed physically or online. I would advise online, as it will automatically be sent to the relevant person(s) (HM Courts &amp; Tribunals Service, 2021). </w:t>
      </w:r>
    </w:p>
    <w:p w14:paraId="0238149C" w14:textId="5F1D965D" w:rsidR="3A9E703C" w:rsidRDefault="30147B71" w:rsidP="30147B71">
      <w:pPr>
        <w:ind w:firstLine="720"/>
        <w:jc w:val="both"/>
        <w:rPr>
          <w:rFonts w:ascii="Arial" w:eastAsia="Arial" w:hAnsi="Arial" w:cs="Arial"/>
          <w:i/>
          <w:iCs/>
        </w:rPr>
      </w:pPr>
      <w:r w:rsidRPr="30147B71">
        <w:rPr>
          <w:rFonts w:ascii="Arial" w:eastAsia="Arial" w:hAnsi="Arial" w:cs="Arial"/>
          <w:i/>
          <w:iCs/>
        </w:rPr>
        <w:t xml:space="preserve">Completing the ET3 </w:t>
      </w:r>
    </w:p>
    <w:p w14:paraId="5BFBB7FA" w14:textId="62933A0C" w:rsidR="3A9E703C" w:rsidRDefault="30147B71" w:rsidP="30147B71">
      <w:pPr>
        <w:jc w:val="both"/>
        <w:rPr>
          <w:rFonts w:ascii="Arial" w:eastAsia="Arial" w:hAnsi="Arial" w:cs="Arial"/>
        </w:rPr>
      </w:pPr>
      <w:r w:rsidRPr="30147B71">
        <w:rPr>
          <w:rFonts w:ascii="Arial" w:eastAsia="Arial" w:hAnsi="Arial" w:cs="Arial"/>
        </w:rPr>
        <w:t>The ET3 is significant within the claims process, I would advise it is given considerable thought before responding as it is the initial opportunity to outline the businesses version of events i.e., summarising the defence against the claims (Barnett, 2020).</w:t>
      </w:r>
    </w:p>
    <w:p w14:paraId="0B0545B7" w14:textId="4A88DB03" w:rsidR="3A9E703C" w:rsidRDefault="30147B71" w:rsidP="30147B71">
      <w:pPr>
        <w:jc w:val="both"/>
        <w:rPr>
          <w:rFonts w:ascii="Arial" w:eastAsia="Arial" w:hAnsi="Arial" w:cs="Arial"/>
        </w:rPr>
      </w:pPr>
      <w:r w:rsidRPr="30147B71">
        <w:rPr>
          <w:rFonts w:ascii="Arial" w:eastAsia="Arial" w:hAnsi="Arial" w:cs="Arial"/>
        </w:rPr>
        <w:t xml:space="preserve">Legal compliance with the claims process is essential. The following information will need to be </w:t>
      </w:r>
      <w:proofErr w:type="gramStart"/>
      <w:r w:rsidRPr="30147B71">
        <w:rPr>
          <w:rFonts w:ascii="Arial" w:eastAsia="Arial" w:hAnsi="Arial" w:cs="Arial"/>
        </w:rPr>
        <w:t>included  to</w:t>
      </w:r>
      <w:proofErr w:type="gramEnd"/>
      <w:r w:rsidRPr="30147B71">
        <w:rPr>
          <w:rFonts w:ascii="Arial" w:eastAsia="Arial" w:hAnsi="Arial" w:cs="Arial"/>
        </w:rPr>
        <w:t xml:space="preserve"> complete the ET3:</w:t>
      </w:r>
    </w:p>
    <w:p w14:paraId="0A163B38" w14:textId="7E0AF5E5" w:rsidR="3A9E703C" w:rsidRDefault="30147B71" w:rsidP="30147B71">
      <w:pPr>
        <w:pStyle w:val="ListParagraph"/>
        <w:numPr>
          <w:ilvl w:val="0"/>
          <w:numId w:val="4"/>
        </w:numPr>
        <w:jc w:val="both"/>
        <w:rPr>
          <w:rFonts w:ascii="Arial" w:eastAsia="Arial" w:hAnsi="Arial" w:cs="Arial"/>
        </w:rPr>
      </w:pPr>
      <w:r w:rsidRPr="30147B71">
        <w:rPr>
          <w:rFonts w:ascii="Arial" w:eastAsia="Arial" w:hAnsi="Arial" w:cs="Arial"/>
        </w:rPr>
        <w:t>Case number found within the initial response pack.</w:t>
      </w:r>
    </w:p>
    <w:p w14:paraId="5573EBB0" w14:textId="2CD138B7" w:rsidR="3A9E703C" w:rsidRDefault="30147B71" w:rsidP="30147B71">
      <w:pPr>
        <w:pStyle w:val="ListParagraph"/>
        <w:numPr>
          <w:ilvl w:val="0"/>
          <w:numId w:val="4"/>
        </w:numPr>
        <w:jc w:val="both"/>
        <w:rPr>
          <w:rFonts w:ascii="Arial" w:eastAsia="Arial" w:hAnsi="Arial" w:cs="Arial"/>
        </w:rPr>
      </w:pPr>
      <w:r w:rsidRPr="30147B71">
        <w:rPr>
          <w:rFonts w:ascii="Arial" w:eastAsia="Arial" w:hAnsi="Arial" w:cs="Arial"/>
        </w:rPr>
        <w:t xml:space="preserve">Information in relation to AA’s employment, including contractual information such as start date, working hours and notice period, </w:t>
      </w:r>
      <w:proofErr w:type="gramStart"/>
      <w:r w:rsidRPr="30147B71">
        <w:rPr>
          <w:rFonts w:ascii="Arial" w:eastAsia="Arial" w:hAnsi="Arial" w:cs="Arial"/>
        </w:rPr>
        <w:t>salary</w:t>
      </w:r>
      <w:proofErr w:type="gramEnd"/>
      <w:r w:rsidRPr="30147B71">
        <w:rPr>
          <w:rFonts w:ascii="Arial" w:eastAsia="Arial" w:hAnsi="Arial" w:cs="Arial"/>
        </w:rPr>
        <w:t xml:space="preserve"> and benefit details.</w:t>
      </w:r>
    </w:p>
    <w:p w14:paraId="16B2DF4D" w14:textId="4949FA77" w:rsidR="3A9E703C" w:rsidRDefault="30147B71" w:rsidP="30147B71">
      <w:pPr>
        <w:pStyle w:val="ListParagraph"/>
        <w:numPr>
          <w:ilvl w:val="0"/>
          <w:numId w:val="4"/>
        </w:numPr>
        <w:jc w:val="both"/>
        <w:rPr>
          <w:rFonts w:ascii="Arial" w:eastAsia="Arial" w:hAnsi="Arial" w:cs="Arial"/>
        </w:rPr>
      </w:pPr>
      <w:r w:rsidRPr="30147B71">
        <w:rPr>
          <w:rFonts w:ascii="Arial" w:eastAsia="Arial" w:hAnsi="Arial" w:cs="Arial"/>
        </w:rPr>
        <w:t>The ACAS early conciliation details (HM Courts &amp; Tribunals Service, 2021).</w:t>
      </w:r>
    </w:p>
    <w:p w14:paraId="7139F445" w14:textId="53450967" w:rsidR="3A9E703C" w:rsidRDefault="30147B71" w:rsidP="30147B71">
      <w:pPr>
        <w:ind w:firstLine="720"/>
        <w:jc w:val="both"/>
        <w:rPr>
          <w:rFonts w:ascii="Arial" w:eastAsia="Arial" w:hAnsi="Arial" w:cs="Arial"/>
          <w:i/>
          <w:iCs/>
        </w:rPr>
      </w:pPr>
      <w:r w:rsidRPr="30147B71">
        <w:rPr>
          <w:rFonts w:ascii="Arial" w:eastAsia="Arial" w:hAnsi="Arial" w:cs="Arial"/>
          <w:i/>
          <w:iCs/>
        </w:rPr>
        <w:t>Time limits</w:t>
      </w:r>
    </w:p>
    <w:p w14:paraId="368192CD" w14:textId="6C4A5DD6" w:rsidR="3A9E703C" w:rsidRDefault="30147B71" w:rsidP="30147B71">
      <w:pPr>
        <w:jc w:val="both"/>
        <w:rPr>
          <w:rFonts w:ascii="Arial" w:eastAsia="Arial" w:hAnsi="Arial" w:cs="Arial"/>
        </w:rPr>
      </w:pPr>
      <w:r w:rsidRPr="30147B71">
        <w:rPr>
          <w:rFonts w:ascii="Arial" w:eastAsia="Arial" w:hAnsi="Arial" w:cs="Arial"/>
        </w:rPr>
        <w:t xml:space="preserve">The business has 28 days to respond. Further time can be requested if the time scale is not possible </w:t>
      </w:r>
      <w:proofErr w:type="gramStart"/>
      <w:r w:rsidRPr="30147B71">
        <w:rPr>
          <w:rFonts w:ascii="Arial" w:eastAsia="Arial" w:hAnsi="Arial" w:cs="Arial"/>
        </w:rPr>
        <w:t>e.g.</w:t>
      </w:r>
      <w:proofErr w:type="gramEnd"/>
      <w:r w:rsidRPr="30147B71">
        <w:rPr>
          <w:rFonts w:ascii="Arial" w:eastAsia="Arial" w:hAnsi="Arial" w:cs="Arial"/>
        </w:rPr>
        <w:t xml:space="preserve"> the business identifies information that cannot be collated. However, an extension must be requested in advance (HM Courts &amp; Tribunals Service, 2021). Should there be no response within the timescale, the tribunal can proceed and decide the case without a hearing. The claim will be treated without a defence and could result in the claimant’s favour (Barnett, 2020).</w:t>
      </w:r>
    </w:p>
    <w:p w14:paraId="77D3E28D" w14:textId="074EDE94" w:rsidR="3A9E703C" w:rsidRDefault="30147B71" w:rsidP="30147B71">
      <w:pPr>
        <w:jc w:val="both"/>
        <w:rPr>
          <w:rFonts w:ascii="Arial" w:eastAsia="Arial" w:hAnsi="Arial" w:cs="Arial"/>
          <w:b/>
          <w:bCs/>
          <w:u w:val="single"/>
        </w:rPr>
      </w:pPr>
      <w:r w:rsidRPr="30147B71">
        <w:rPr>
          <w:rFonts w:ascii="Arial" w:eastAsia="Arial" w:hAnsi="Arial" w:cs="Arial"/>
          <w:b/>
          <w:bCs/>
          <w:u w:val="single"/>
        </w:rPr>
        <w:t>Potential grounds for any claims</w:t>
      </w:r>
    </w:p>
    <w:p w14:paraId="0BF07C90" w14:textId="6C4B8C20" w:rsidR="3A9E703C" w:rsidRDefault="30147B71" w:rsidP="30147B71">
      <w:pPr>
        <w:jc w:val="both"/>
        <w:rPr>
          <w:rFonts w:ascii="Arial" w:eastAsia="Arial" w:hAnsi="Arial" w:cs="Arial"/>
        </w:rPr>
      </w:pPr>
      <w:r w:rsidRPr="30147B71">
        <w:rPr>
          <w:rFonts w:ascii="Arial" w:eastAsia="Arial" w:hAnsi="Arial" w:cs="Arial"/>
        </w:rPr>
        <w:t>Based on AA’s version of events, it would appear she intends on bringing the following claims:</w:t>
      </w:r>
    </w:p>
    <w:p w14:paraId="7192A148" w14:textId="4EA9C587" w:rsidR="3A9E703C" w:rsidRDefault="30147B71" w:rsidP="30147B71">
      <w:pPr>
        <w:ind w:firstLine="720"/>
        <w:jc w:val="both"/>
        <w:rPr>
          <w:rFonts w:ascii="Arial" w:eastAsia="Arial" w:hAnsi="Arial" w:cs="Arial"/>
          <w:i/>
          <w:iCs/>
        </w:rPr>
      </w:pPr>
      <w:r w:rsidRPr="30147B71">
        <w:rPr>
          <w:rFonts w:ascii="Arial" w:eastAsia="Arial" w:hAnsi="Arial" w:cs="Arial"/>
          <w:i/>
          <w:iCs/>
        </w:rPr>
        <w:t xml:space="preserve">Constructive Dismissal </w:t>
      </w:r>
    </w:p>
    <w:p w14:paraId="2638CEE6" w14:textId="5AB7AD98" w:rsidR="3A9E703C" w:rsidRDefault="30147B71" w:rsidP="30147B71">
      <w:pPr>
        <w:jc w:val="both"/>
        <w:rPr>
          <w:rFonts w:ascii="Arial" w:eastAsia="Arial" w:hAnsi="Arial" w:cs="Arial"/>
        </w:rPr>
      </w:pPr>
      <w:r w:rsidRPr="30147B71">
        <w:rPr>
          <w:rFonts w:ascii="Arial" w:eastAsia="Arial" w:hAnsi="Arial" w:cs="Arial"/>
        </w:rPr>
        <w:t xml:space="preserve">This form of dismissal is where an individual is forced to leave a job due to the conduct of the employer by way of a breach of contract (Gov.uk, 2023). AA specifically references being forced out of her position due to her treatment, which has also impacted her ability to find alternative employment – due to her ill-health and the economic climate. </w:t>
      </w:r>
    </w:p>
    <w:p w14:paraId="3A6A97BD" w14:textId="19C62B82" w:rsidR="3A9E703C" w:rsidRDefault="30147B71" w:rsidP="30147B71">
      <w:pPr>
        <w:ind w:firstLine="720"/>
        <w:jc w:val="both"/>
        <w:rPr>
          <w:rFonts w:ascii="Arial" w:eastAsia="Arial" w:hAnsi="Arial" w:cs="Arial"/>
          <w:i/>
          <w:iCs/>
        </w:rPr>
      </w:pPr>
      <w:r w:rsidRPr="30147B71">
        <w:rPr>
          <w:rFonts w:ascii="Arial" w:eastAsia="Arial" w:hAnsi="Arial" w:cs="Arial"/>
          <w:i/>
          <w:iCs/>
        </w:rPr>
        <w:t>Sexual harassment</w:t>
      </w:r>
    </w:p>
    <w:p w14:paraId="393B659D" w14:textId="1BAB32AB" w:rsidR="3A9E703C" w:rsidRDefault="30147B71" w:rsidP="30147B71">
      <w:pPr>
        <w:jc w:val="both"/>
        <w:rPr>
          <w:rFonts w:ascii="Arial" w:eastAsia="Arial" w:hAnsi="Arial" w:cs="Arial"/>
        </w:rPr>
      </w:pPr>
      <w:r w:rsidRPr="30147B71">
        <w:rPr>
          <w:rFonts w:ascii="Arial" w:eastAsia="Arial" w:hAnsi="Arial" w:cs="Arial"/>
        </w:rPr>
        <w:t xml:space="preserve">Sexual harassment is defined as any unwanted conduct of a sexual nature, with the purpose or effect of violating an </w:t>
      </w:r>
      <w:proofErr w:type="spellStart"/>
      <w:r w:rsidRPr="30147B71">
        <w:rPr>
          <w:rFonts w:ascii="Arial" w:eastAsia="Arial" w:hAnsi="Arial" w:cs="Arial"/>
        </w:rPr>
        <w:t>individuals</w:t>
      </w:r>
      <w:proofErr w:type="spellEnd"/>
      <w:r w:rsidRPr="30147B71">
        <w:rPr>
          <w:rFonts w:ascii="Arial" w:eastAsia="Arial" w:hAnsi="Arial" w:cs="Arial"/>
        </w:rPr>
        <w:t xml:space="preserve"> dignity, or where an “intimidating, hostile, degrading, humiliating or offensive” environment is created (Lewis et al., 2023). Unlike harassment, which is unwanted conducted related to a protected characteristic, there is a distinct provision within the </w:t>
      </w:r>
      <w:proofErr w:type="spellStart"/>
      <w:r w:rsidRPr="30147B71">
        <w:rPr>
          <w:rFonts w:ascii="Arial" w:eastAsia="Arial" w:hAnsi="Arial" w:cs="Arial"/>
        </w:rPr>
        <w:t>EqA</w:t>
      </w:r>
      <w:proofErr w:type="spellEnd"/>
      <w:r w:rsidRPr="30147B71">
        <w:rPr>
          <w:rFonts w:ascii="Arial" w:eastAsia="Arial" w:hAnsi="Arial" w:cs="Arial"/>
        </w:rPr>
        <w:t xml:space="preserve"> 2010 s26(2), whereby if the criteria above are met, a connection with a protected characteristic is not necessary (Barnett, 2021).</w:t>
      </w:r>
    </w:p>
    <w:p w14:paraId="0FE1783C" w14:textId="5C188D4B" w:rsidR="3A9E703C" w:rsidRDefault="30147B71" w:rsidP="30147B71">
      <w:pPr>
        <w:jc w:val="both"/>
        <w:rPr>
          <w:rFonts w:ascii="Arial" w:eastAsia="Arial" w:hAnsi="Arial" w:cs="Arial"/>
        </w:rPr>
      </w:pPr>
      <w:r w:rsidRPr="30147B71">
        <w:rPr>
          <w:rFonts w:ascii="Arial" w:eastAsia="Arial" w:hAnsi="Arial" w:cs="Arial"/>
        </w:rPr>
        <w:t xml:space="preserve">The basis for the claims </w:t>
      </w:r>
      <w:bookmarkStart w:id="0" w:name="_Int_l5ob1lKd"/>
      <w:proofErr w:type="gramStart"/>
      <w:r w:rsidRPr="30147B71">
        <w:rPr>
          <w:rFonts w:ascii="Arial" w:eastAsia="Arial" w:hAnsi="Arial" w:cs="Arial"/>
        </w:rPr>
        <w:t>are</w:t>
      </w:r>
      <w:bookmarkEnd w:id="0"/>
      <w:proofErr w:type="gramEnd"/>
      <w:r w:rsidRPr="30147B71">
        <w:rPr>
          <w:rFonts w:ascii="Arial" w:eastAsia="Arial" w:hAnsi="Arial" w:cs="Arial"/>
        </w:rPr>
        <w:t xml:space="preserve"> around SS behaviour namely attention that caused AA discomfort including remarks around her being a woman and her appearance between 1 December to 19 December 2022. On 19 December, AA reports SS touching her leg, and moving towards her when she attempted to move away, AA reports asking SS not to touch her. On 8 January, SS is reported to have dismissed concerns raised by AA regarding a client's behaviour and encouraged her to use the behaviour to her advantage. Following this, during a business trip on 2/3 March 2023, whilst carrying out some preparation work in SS hotel room, AA </w:t>
      </w:r>
      <w:r w:rsidRPr="30147B71">
        <w:rPr>
          <w:rFonts w:ascii="Arial" w:eastAsia="Arial" w:hAnsi="Arial" w:cs="Arial"/>
        </w:rPr>
        <w:lastRenderedPageBreak/>
        <w:t xml:space="preserve">reports going to the toilet and upon her return SS was laid on the bed gesturing her to join him. AA reports that she found the door locked when attempting to leave. </w:t>
      </w:r>
    </w:p>
    <w:p w14:paraId="591979DB" w14:textId="72AC1FDC" w:rsidR="3A9E703C" w:rsidRDefault="30147B71" w:rsidP="30147B71">
      <w:pPr>
        <w:ind w:firstLine="720"/>
        <w:jc w:val="both"/>
        <w:rPr>
          <w:rFonts w:ascii="Arial" w:eastAsia="Arial" w:hAnsi="Arial" w:cs="Arial"/>
          <w:i/>
          <w:iCs/>
        </w:rPr>
      </w:pPr>
      <w:r w:rsidRPr="30147B71">
        <w:rPr>
          <w:rFonts w:ascii="Arial" w:eastAsia="Arial" w:hAnsi="Arial" w:cs="Arial"/>
          <w:i/>
          <w:iCs/>
        </w:rPr>
        <w:t>Third party sexual harassment</w:t>
      </w:r>
    </w:p>
    <w:p w14:paraId="3E0E3363" w14:textId="05CF02F3" w:rsidR="3A9E703C" w:rsidRDefault="30147B71" w:rsidP="30147B71">
      <w:pPr>
        <w:jc w:val="both"/>
        <w:rPr>
          <w:rFonts w:ascii="Arial" w:eastAsia="Arial" w:hAnsi="Arial" w:cs="Arial"/>
        </w:rPr>
      </w:pPr>
      <w:r w:rsidRPr="30147B71">
        <w:rPr>
          <w:rFonts w:ascii="Arial" w:eastAsia="Arial" w:hAnsi="Arial" w:cs="Arial"/>
        </w:rPr>
        <w:t xml:space="preserve">Third-party relates to customers, </w:t>
      </w:r>
      <w:proofErr w:type="gramStart"/>
      <w:r w:rsidRPr="30147B71">
        <w:rPr>
          <w:rFonts w:ascii="Arial" w:eastAsia="Arial" w:hAnsi="Arial" w:cs="Arial"/>
        </w:rPr>
        <w:t>suppliers</w:t>
      </w:r>
      <w:proofErr w:type="gramEnd"/>
      <w:r w:rsidRPr="30147B71">
        <w:rPr>
          <w:rFonts w:ascii="Arial" w:eastAsia="Arial" w:hAnsi="Arial" w:cs="Arial"/>
        </w:rPr>
        <w:t xml:space="preserve"> or others (excluding other employees) that an employee may be in contact with as part of their employment (Mansoor, 2023). On 17 December 2022, RR is reported as making comments on AA’s legs and suggestions around personal attention to boost orders. AA visited RR in January, and it is reported that RR had changed the appointment resulting in AA and RR being alone. AA reports RR sitting between her and the door, commenting on her appearance, namely that it was a shame her outfit did not show off her figure, physically touching AA by massaging her shoulders, and stating that if she was nice to him and they had a close relationship, she would receive more orders. A further meeting occurred on 1 February 2023, where further suggestive remarks are reported as being made. </w:t>
      </w:r>
    </w:p>
    <w:p w14:paraId="0E733B8B" w14:textId="6882848D" w:rsidR="3A9E703C" w:rsidRDefault="30147B71" w:rsidP="30147B71">
      <w:pPr>
        <w:ind w:firstLine="720"/>
        <w:rPr>
          <w:rFonts w:ascii="Arial" w:eastAsia="Arial" w:hAnsi="Arial" w:cs="Arial"/>
          <w:i/>
          <w:iCs/>
        </w:rPr>
      </w:pPr>
      <w:r w:rsidRPr="30147B71">
        <w:rPr>
          <w:rFonts w:ascii="Arial" w:eastAsia="Arial" w:hAnsi="Arial" w:cs="Arial"/>
          <w:i/>
          <w:iCs/>
        </w:rPr>
        <w:t xml:space="preserve">Direct discrimination </w:t>
      </w:r>
    </w:p>
    <w:p w14:paraId="43C55E4A" w14:textId="722752CB" w:rsidR="3A9E703C" w:rsidRDefault="30147B71" w:rsidP="30147B71">
      <w:pPr>
        <w:jc w:val="both"/>
        <w:rPr>
          <w:rFonts w:ascii="Arial" w:eastAsia="Arial" w:hAnsi="Arial" w:cs="Arial"/>
        </w:rPr>
      </w:pPr>
      <w:r w:rsidRPr="30147B71">
        <w:rPr>
          <w:rFonts w:ascii="Arial" w:eastAsia="Arial" w:hAnsi="Arial" w:cs="Arial"/>
        </w:rPr>
        <w:t xml:space="preserve">This relates to less favourable treatment, which has arisen from a protected characteristic (Barnett, 2020). The basis for this claim, is where SS encouraged </w:t>
      </w:r>
      <w:proofErr w:type="gramStart"/>
      <w:r w:rsidRPr="30147B71">
        <w:rPr>
          <w:rFonts w:ascii="Arial" w:eastAsia="Arial" w:hAnsi="Arial" w:cs="Arial"/>
        </w:rPr>
        <w:t>particular workwear</w:t>
      </w:r>
      <w:proofErr w:type="gramEnd"/>
      <w:r w:rsidRPr="30147B71">
        <w:rPr>
          <w:rFonts w:ascii="Arial" w:eastAsia="Arial" w:hAnsi="Arial" w:cs="Arial"/>
        </w:rPr>
        <w:t xml:space="preserve"> namely short skirts to result in a team bonus. Further to this, as AA’s complaint regarding RR was not dealt with, AA felt unable to visit RR, and was threatened with disciplinary action if she did not continue with the visits. AA had no alternative but to carry out a further </w:t>
      </w:r>
      <w:proofErr w:type="gramStart"/>
      <w:r w:rsidRPr="30147B71">
        <w:rPr>
          <w:rFonts w:ascii="Arial" w:eastAsia="Arial" w:hAnsi="Arial" w:cs="Arial"/>
        </w:rPr>
        <w:t>visit, and</w:t>
      </w:r>
      <w:proofErr w:type="gramEnd"/>
      <w:r w:rsidRPr="30147B71">
        <w:rPr>
          <w:rFonts w:ascii="Arial" w:eastAsia="Arial" w:hAnsi="Arial" w:cs="Arial"/>
        </w:rPr>
        <w:t xml:space="preserve"> be subjected to further inappropriate behaviour.</w:t>
      </w:r>
    </w:p>
    <w:p w14:paraId="1FF759C1" w14:textId="2E0505C5" w:rsidR="3A9E703C" w:rsidRDefault="30147B71" w:rsidP="30147B71">
      <w:pPr>
        <w:ind w:firstLine="720"/>
        <w:rPr>
          <w:rFonts w:ascii="Arial" w:eastAsia="Arial" w:hAnsi="Arial" w:cs="Arial"/>
          <w:i/>
          <w:iCs/>
        </w:rPr>
      </w:pPr>
      <w:r w:rsidRPr="30147B71">
        <w:rPr>
          <w:rFonts w:ascii="Arial" w:eastAsia="Arial" w:hAnsi="Arial" w:cs="Arial"/>
          <w:i/>
          <w:iCs/>
        </w:rPr>
        <w:t>Victimisation</w:t>
      </w:r>
    </w:p>
    <w:p w14:paraId="176550AB" w14:textId="3BE595A2" w:rsidR="3A9E703C" w:rsidRDefault="30147B71" w:rsidP="30147B71">
      <w:pPr>
        <w:jc w:val="both"/>
        <w:rPr>
          <w:rFonts w:ascii="Arial" w:eastAsia="Arial" w:hAnsi="Arial" w:cs="Arial"/>
        </w:rPr>
      </w:pPr>
      <w:r w:rsidRPr="30147B71">
        <w:rPr>
          <w:rFonts w:ascii="Arial" w:eastAsia="Arial" w:hAnsi="Arial" w:cs="Arial"/>
        </w:rPr>
        <w:t>In equality law, victimisation is where an individual is subjected to a detriment because they have done a ‘protected act’ (Lewis et al., 2023).  The basis for this claim is that AA has made an allegation of third-party sexual harassment under the EA 2010 to SS on 8 January 2023, expressing her discomfort with the client visits. Further to this, AA was threatened with disciplinary action.</w:t>
      </w:r>
    </w:p>
    <w:p w14:paraId="21FCF8B6" w14:textId="7A90D9F2" w:rsidR="3A9E703C" w:rsidRDefault="30147B71" w:rsidP="30147B71">
      <w:pPr>
        <w:rPr>
          <w:rFonts w:ascii="Arial" w:eastAsia="Arial" w:hAnsi="Arial" w:cs="Arial"/>
          <w:b/>
          <w:bCs/>
          <w:u w:val="single"/>
        </w:rPr>
      </w:pPr>
      <w:r w:rsidRPr="30147B71">
        <w:rPr>
          <w:rFonts w:ascii="Arial" w:eastAsia="Arial" w:hAnsi="Arial" w:cs="Arial"/>
        </w:rPr>
        <w:t xml:space="preserve"> </w:t>
      </w:r>
      <w:r w:rsidRPr="30147B71">
        <w:rPr>
          <w:rFonts w:ascii="Arial" w:eastAsia="Arial" w:hAnsi="Arial" w:cs="Arial"/>
          <w:b/>
          <w:bCs/>
          <w:u w:val="single"/>
        </w:rPr>
        <w:t>Defences to potential claims</w:t>
      </w:r>
    </w:p>
    <w:p w14:paraId="54491882" w14:textId="3C6E4356" w:rsidR="3A9E703C" w:rsidRDefault="30147B71" w:rsidP="30147B71">
      <w:pPr>
        <w:ind w:left="720"/>
        <w:rPr>
          <w:rFonts w:ascii="Arial" w:eastAsia="Arial" w:hAnsi="Arial" w:cs="Arial"/>
          <w:i/>
          <w:iCs/>
        </w:rPr>
      </w:pPr>
      <w:r w:rsidRPr="30147B71">
        <w:rPr>
          <w:rFonts w:ascii="Arial" w:eastAsia="Arial" w:hAnsi="Arial" w:cs="Arial"/>
          <w:i/>
          <w:iCs/>
        </w:rPr>
        <w:t>Constructive dismissal</w:t>
      </w:r>
    </w:p>
    <w:p w14:paraId="676EB5AE" w14:textId="235622C4" w:rsidR="6E29A42F" w:rsidRDefault="30147B71" w:rsidP="30147B71">
      <w:pPr>
        <w:jc w:val="both"/>
        <w:rPr>
          <w:rFonts w:ascii="Arial" w:eastAsia="Arial" w:hAnsi="Arial" w:cs="Arial"/>
        </w:rPr>
      </w:pPr>
      <w:r w:rsidRPr="30147B71">
        <w:rPr>
          <w:rFonts w:ascii="Arial" w:eastAsia="Arial" w:hAnsi="Arial" w:cs="Arial"/>
          <w:color w:val="000000" w:themeColor="text1"/>
        </w:rPr>
        <w:t xml:space="preserve">To bring a constructive dismissal claim, raising a formal grievance is recommended (ACAS, 2015). In this case, AA did not raise a formal grievance and therefore the internal procedures had not been exhausted to enable the business to investigate and deal with matters accordingly (Landau Law, 2022). </w:t>
      </w:r>
      <w:r w:rsidRPr="30147B71">
        <w:rPr>
          <w:rFonts w:ascii="Arial" w:eastAsia="Arial" w:hAnsi="Arial" w:cs="Arial"/>
        </w:rPr>
        <w:t xml:space="preserve"> Despite this, SS is facing disciplinary proceedings, following the internal investigation.</w:t>
      </w:r>
    </w:p>
    <w:p w14:paraId="5D1E991F" w14:textId="12AD45FA" w:rsidR="3A9E703C" w:rsidRDefault="30147B71" w:rsidP="30147B71">
      <w:pPr>
        <w:ind w:left="720"/>
        <w:rPr>
          <w:rFonts w:ascii="Arial" w:eastAsia="Arial" w:hAnsi="Arial" w:cs="Arial"/>
          <w:i/>
          <w:iCs/>
        </w:rPr>
      </w:pPr>
      <w:r w:rsidRPr="30147B71">
        <w:rPr>
          <w:rFonts w:ascii="Arial" w:eastAsia="Arial" w:hAnsi="Arial" w:cs="Arial"/>
          <w:i/>
          <w:iCs/>
        </w:rPr>
        <w:t>Sexual harassment</w:t>
      </w:r>
    </w:p>
    <w:p w14:paraId="3C21E42B" w14:textId="3611EA93" w:rsidR="3A9E703C" w:rsidRDefault="30147B71" w:rsidP="30147B71">
      <w:pPr>
        <w:jc w:val="both"/>
        <w:rPr>
          <w:rFonts w:ascii="Arial" w:eastAsia="Arial" w:hAnsi="Arial" w:cs="Arial"/>
        </w:rPr>
      </w:pPr>
      <w:r w:rsidRPr="30147B71">
        <w:rPr>
          <w:rFonts w:ascii="Arial" w:eastAsia="Arial" w:hAnsi="Arial" w:cs="Arial"/>
        </w:rPr>
        <w:t xml:space="preserve">SS has been employed for 8 years having had </w:t>
      </w:r>
      <w:proofErr w:type="gramStart"/>
      <w:r w:rsidRPr="30147B71">
        <w:rPr>
          <w:rFonts w:ascii="Arial" w:eastAsia="Arial" w:hAnsi="Arial" w:cs="Arial"/>
        </w:rPr>
        <w:t>a number of</w:t>
      </w:r>
      <w:proofErr w:type="gramEnd"/>
      <w:r w:rsidRPr="30147B71">
        <w:rPr>
          <w:rFonts w:ascii="Arial" w:eastAsia="Arial" w:hAnsi="Arial" w:cs="Arial"/>
        </w:rPr>
        <w:t xml:space="preserve"> female direct reports. SS is aware of the equal opportunities policy; however, the business may wish to review the evidence of policy and training records to support this.  Whilst AA claims comments and behaviours caused her discomfort, SS claims that AA engaged in social and personal chat and </w:t>
      </w:r>
      <w:proofErr w:type="gramStart"/>
      <w:r w:rsidRPr="30147B71">
        <w:rPr>
          <w:rFonts w:ascii="Arial" w:eastAsia="Arial" w:hAnsi="Arial" w:cs="Arial"/>
        </w:rPr>
        <w:t>banter, and</w:t>
      </w:r>
      <w:proofErr w:type="gramEnd"/>
      <w:r w:rsidRPr="30147B71">
        <w:rPr>
          <w:rFonts w:ascii="Arial" w:eastAsia="Arial" w:hAnsi="Arial" w:cs="Arial"/>
        </w:rPr>
        <w:t xml:space="preserve"> had no hesitations about socialising after work. SS disputes AA’s account at the hotel, and states that the discussion moved from professional to personal. SS claims he misread the situation and understood it to be a mutual affection, however upon realising this was not the case, SS felt foolish and apologised. The investigation did not highlight any prior concerns. </w:t>
      </w:r>
    </w:p>
    <w:p w14:paraId="241A3516" w14:textId="0B8D7632" w:rsidR="3A9E703C" w:rsidRDefault="30147B71" w:rsidP="30147B71">
      <w:pPr>
        <w:ind w:left="720"/>
        <w:rPr>
          <w:rFonts w:ascii="Arial" w:eastAsia="Arial" w:hAnsi="Arial" w:cs="Arial"/>
          <w:i/>
          <w:iCs/>
        </w:rPr>
      </w:pPr>
      <w:r w:rsidRPr="30147B71">
        <w:rPr>
          <w:rFonts w:ascii="Arial" w:eastAsia="Arial" w:hAnsi="Arial" w:cs="Arial"/>
          <w:i/>
          <w:iCs/>
        </w:rPr>
        <w:t>Third-party sexual harassment</w:t>
      </w:r>
    </w:p>
    <w:p w14:paraId="24FD1575" w14:textId="46C05103" w:rsidR="3A9E703C" w:rsidRDefault="30147B71" w:rsidP="30147B71">
      <w:pPr>
        <w:jc w:val="both"/>
        <w:rPr>
          <w:rFonts w:ascii="Arial" w:eastAsia="Arial" w:hAnsi="Arial" w:cs="Arial"/>
        </w:rPr>
      </w:pPr>
      <w:r w:rsidRPr="30147B71">
        <w:rPr>
          <w:rFonts w:ascii="Arial" w:eastAsia="Arial" w:hAnsi="Arial" w:cs="Arial"/>
        </w:rPr>
        <w:t>AA claims she raised the issue with SS in relation to RR, however the matter was not raised formally to enable the business to investigate.</w:t>
      </w:r>
    </w:p>
    <w:p w14:paraId="0B8CB3BC" w14:textId="5A9D18D9" w:rsidR="3A9E703C" w:rsidRDefault="30147B71" w:rsidP="30147B71">
      <w:pPr>
        <w:ind w:firstLine="720"/>
        <w:rPr>
          <w:rFonts w:ascii="Arial" w:eastAsia="Arial" w:hAnsi="Arial" w:cs="Arial"/>
          <w:i/>
          <w:iCs/>
        </w:rPr>
      </w:pPr>
      <w:r w:rsidRPr="30147B71">
        <w:rPr>
          <w:rFonts w:ascii="Arial" w:eastAsia="Arial" w:hAnsi="Arial" w:cs="Arial"/>
          <w:i/>
          <w:iCs/>
        </w:rPr>
        <w:t xml:space="preserve">Direct discrimination </w:t>
      </w:r>
    </w:p>
    <w:p w14:paraId="6A0BE7A4" w14:textId="54D1D3AE" w:rsidR="3A9E703C" w:rsidRDefault="30147B71" w:rsidP="30147B71">
      <w:pPr>
        <w:jc w:val="both"/>
        <w:rPr>
          <w:rFonts w:ascii="Arial" w:eastAsia="Arial" w:hAnsi="Arial" w:cs="Arial"/>
        </w:rPr>
      </w:pPr>
      <w:r w:rsidRPr="30147B71">
        <w:rPr>
          <w:rFonts w:ascii="Arial" w:eastAsia="Arial" w:hAnsi="Arial" w:cs="Arial"/>
        </w:rPr>
        <w:t xml:space="preserve">Whilst SS acknowledges making comments around workwear, he states it was in jest based on the ‘lively banter’ they had developed and in response to comments AA had made, and AA’s claim is out of context. </w:t>
      </w:r>
    </w:p>
    <w:p w14:paraId="39F68F33" w14:textId="0D7FAB6B" w:rsidR="3A9E703C" w:rsidRDefault="30147B71" w:rsidP="30147B71">
      <w:pPr>
        <w:jc w:val="both"/>
        <w:rPr>
          <w:rFonts w:ascii="Arial" w:eastAsia="Arial" w:hAnsi="Arial" w:cs="Arial"/>
        </w:rPr>
      </w:pPr>
      <w:r w:rsidRPr="30147B71">
        <w:rPr>
          <w:rFonts w:ascii="Arial" w:eastAsia="Arial" w:hAnsi="Arial" w:cs="Arial"/>
          <w:i/>
          <w:iCs/>
        </w:rPr>
        <w:t>Victimisation</w:t>
      </w:r>
      <w:r w:rsidRPr="30147B71">
        <w:rPr>
          <w:rFonts w:ascii="Arial" w:eastAsia="Arial" w:hAnsi="Arial" w:cs="Arial"/>
        </w:rPr>
        <w:t xml:space="preserve"> </w:t>
      </w:r>
    </w:p>
    <w:p w14:paraId="25E3F25C" w14:textId="77338C3D" w:rsidR="3A9E703C" w:rsidRDefault="30147B71" w:rsidP="30147B71">
      <w:pPr>
        <w:jc w:val="both"/>
        <w:rPr>
          <w:rFonts w:ascii="Arial" w:eastAsia="Arial" w:hAnsi="Arial" w:cs="Arial"/>
        </w:rPr>
      </w:pPr>
      <w:r w:rsidRPr="30147B71">
        <w:rPr>
          <w:rFonts w:ascii="Arial" w:eastAsia="Arial" w:hAnsi="Arial" w:cs="Arial"/>
        </w:rPr>
        <w:t xml:space="preserve">SS claims that he was unaware the issues with RR were substantial. Upon receiving a complaint from RR, disciplinary proceedings were discussed with AA. However, as this was the first complaint received, SS did </w:t>
      </w:r>
      <w:r w:rsidRPr="30147B71">
        <w:rPr>
          <w:rFonts w:ascii="Arial" w:eastAsia="Arial" w:hAnsi="Arial" w:cs="Arial"/>
        </w:rPr>
        <w:lastRenderedPageBreak/>
        <w:t xml:space="preserve">not intend on pursuing this. SS states he would deal with the matter in the same way for any sales representative who was not fulfilling their duties. </w:t>
      </w:r>
    </w:p>
    <w:p w14:paraId="5918CD72" w14:textId="281D11DC" w:rsidR="461DC36F" w:rsidRDefault="30147B71" w:rsidP="30147B71">
      <w:pPr>
        <w:jc w:val="both"/>
        <w:rPr>
          <w:rFonts w:ascii="Arial" w:eastAsia="Arial" w:hAnsi="Arial" w:cs="Arial"/>
          <w:b/>
          <w:bCs/>
          <w:u w:val="single"/>
        </w:rPr>
      </w:pPr>
      <w:r w:rsidRPr="30147B71">
        <w:rPr>
          <w:rFonts w:ascii="Arial" w:eastAsia="Arial" w:hAnsi="Arial" w:cs="Arial"/>
          <w:b/>
          <w:bCs/>
          <w:u w:val="single"/>
        </w:rPr>
        <w:t xml:space="preserve">Analysis of the case </w:t>
      </w:r>
    </w:p>
    <w:p w14:paraId="376CC52A" w14:textId="59870049" w:rsidR="461DC36F"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 xml:space="preserve">The legal test to evidence a constructive dismissal includes a sufficiently serious fundamental or repudiatory breach of contract (actual or anticipated) that justifies a resignation (Morris, 2022a). Morris (2022b) adds that the resignation must be in response to that breach due to it being untenable to continue in employment, and without delay, which both are suggested by AA. In relation to this case, Morris (2022a) continues that a breach is not only an express contractual </w:t>
      </w:r>
      <w:proofErr w:type="gramStart"/>
      <w:r w:rsidRPr="30147B71">
        <w:rPr>
          <w:rFonts w:ascii="Arial" w:eastAsia="Arial" w:hAnsi="Arial" w:cs="Arial"/>
          <w:color w:val="000000" w:themeColor="text1"/>
        </w:rPr>
        <w:t>term, but</w:t>
      </w:r>
      <w:proofErr w:type="gramEnd"/>
      <w:r w:rsidRPr="30147B71">
        <w:rPr>
          <w:rFonts w:ascii="Arial" w:eastAsia="Arial" w:hAnsi="Arial" w:cs="Arial"/>
          <w:color w:val="000000" w:themeColor="text1"/>
        </w:rPr>
        <w:t xml:space="preserve"> can be the implied term of trust and confidence. The implied term of trust and confidence is closely associated with an employer's obligation to act reasonably (Barnett, 2020). </w:t>
      </w:r>
    </w:p>
    <w:p w14:paraId="1E1F7877" w14:textId="48A27779" w:rsidR="461DC36F"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Whilst the business may argue that a formal grievance was not raised, a case can be brought if an employee resigned on a ‘last straw’ basis whereby the conduct as a collective resulted in a breach in the employer's ability to honour the trust and confidence (Barnett, 2022). One of the events in isolation does not have to be sufficient to have caused a breach and any form of discrimination is considered a serious breach (Barnett, 2020)</w:t>
      </w:r>
    </w:p>
    <w:p w14:paraId="5CEAB9A0" w14:textId="72855D8D" w:rsidR="042D8967"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 xml:space="preserve">In cases of discrimination, where the claimant has demonstrated that facts exist and the ET can make a presumption on discrimination, it is for the business to offer a non-discriminatory explanation (Kelly, 2021). The business could provide evidence to undermine AA’s claims to clear this initial step, however based on the statements provided, SS acknowledges comments made, which would not have been said to a </w:t>
      </w:r>
      <w:proofErr w:type="gramStart"/>
      <w:r w:rsidRPr="30147B71">
        <w:rPr>
          <w:rFonts w:ascii="Arial" w:eastAsia="Arial" w:hAnsi="Arial" w:cs="Arial"/>
          <w:color w:val="000000" w:themeColor="text1"/>
        </w:rPr>
        <w:t>man,  similarly</w:t>
      </w:r>
      <w:proofErr w:type="gramEnd"/>
      <w:r w:rsidRPr="30147B71">
        <w:rPr>
          <w:rFonts w:ascii="Arial" w:eastAsia="Arial" w:hAnsi="Arial" w:cs="Arial"/>
          <w:color w:val="000000" w:themeColor="text1"/>
        </w:rPr>
        <w:t xml:space="preserve"> to the case of Stannard v Overseas Courier Service (2021), which constituted sex discrimination. It is also important to note that one area that has emerged around sex discrimination, is specifically dress codes and appearances (Lewis et al., 2023), which is referenced in AA’s claims. </w:t>
      </w:r>
    </w:p>
    <w:p w14:paraId="543ABC53" w14:textId="46806312" w:rsidR="042D8967"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 xml:space="preserve">Section 109(4) of the EQA, does provide the business with a defence; to demonstrate that it took all reasonable steps to prevent any discriminatory acts by SS (Kelly, 2021). Whilst SS acknowledges awareness of the policy, there is no evidence to support this or any training within the investigation (Kelly, 2021). The threshold for this defence is particularly high, as outlined in Allay (UK) Limited v </w:t>
      </w:r>
      <w:proofErr w:type="spellStart"/>
      <w:r w:rsidRPr="30147B71">
        <w:rPr>
          <w:rFonts w:ascii="Arial" w:eastAsia="Arial" w:hAnsi="Arial" w:cs="Arial"/>
          <w:color w:val="000000" w:themeColor="text1"/>
        </w:rPr>
        <w:t>Gehlen</w:t>
      </w:r>
      <w:proofErr w:type="spellEnd"/>
      <w:r w:rsidRPr="30147B71">
        <w:rPr>
          <w:rFonts w:ascii="Arial" w:eastAsia="Arial" w:hAnsi="Arial" w:cs="Arial"/>
          <w:color w:val="000000" w:themeColor="text1"/>
        </w:rPr>
        <w:t xml:space="preserve"> (2021), where training conducted 12 months prior was insufficient in relation to discrimination. </w:t>
      </w:r>
    </w:p>
    <w:p w14:paraId="62293CB2" w14:textId="04590F23" w:rsidR="461DC36F"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 xml:space="preserve">Behaviours referenced by AA have been acknowledged by SS, however there is a dispute as to whether this behaviour was ‘unwanted’, as per the definition of harassment. Should the ET find it reasonable to take offence, the view on whether it was unwanted will be taken from AA’s perspective (Barnett, 2020). Further, the defence to the claims are the exchanges were mutual. However, as in Munchkins Restaurant Ltd v </w:t>
      </w:r>
      <w:proofErr w:type="spellStart"/>
      <w:r w:rsidRPr="30147B71">
        <w:rPr>
          <w:rFonts w:ascii="Arial" w:eastAsia="Arial" w:hAnsi="Arial" w:cs="Arial"/>
          <w:color w:val="000000" w:themeColor="text1"/>
        </w:rPr>
        <w:t>Karmazyn</w:t>
      </w:r>
      <w:proofErr w:type="spellEnd"/>
      <w:r w:rsidRPr="30147B71">
        <w:rPr>
          <w:rFonts w:ascii="Arial" w:eastAsia="Arial" w:hAnsi="Arial" w:cs="Arial"/>
          <w:color w:val="000000" w:themeColor="text1"/>
        </w:rPr>
        <w:t xml:space="preserve"> (2010), particularly in cases of a power imbalance I.e., line manager and employee, this will unlikely be a substantive justification. Equally, as in </w:t>
      </w:r>
      <w:proofErr w:type="spellStart"/>
      <w:r w:rsidRPr="30147B71">
        <w:rPr>
          <w:rFonts w:ascii="Arial" w:eastAsia="Arial" w:hAnsi="Arial" w:cs="Arial"/>
          <w:color w:val="000000" w:themeColor="text1"/>
        </w:rPr>
        <w:t>Insitu</w:t>
      </w:r>
      <w:proofErr w:type="spellEnd"/>
      <w:r w:rsidRPr="30147B71">
        <w:rPr>
          <w:rFonts w:ascii="Arial" w:eastAsia="Arial" w:hAnsi="Arial" w:cs="Arial"/>
          <w:color w:val="000000" w:themeColor="text1"/>
        </w:rPr>
        <w:t xml:space="preserve"> Cleaning Co v Heads (1995), even if SS did not realise the conduct was unwanted, or just a single comment was made, it is unlikely to stand as a defence. The ET irrespective of intent, will consider AA’s argument that the conduct had the effect of satisfying the definition of harassment (Barnett, 2020).</w:t>
      </w:r>
    </w:p>
    <w:p w14:paraId="47FA6F73" w14:textId="6408C0E3" w:rsidR="461DC36F"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Unless the business can demonstrate it took all reasonable steps to prevent any sexual harassment, there is also the consideration of vicarious liability. There is a two-stage test to establish a relationship akin to employment and the question of whether the incident occurred in the course of employment (Barnett, 2020). In Lincolnshire Police v Stubbs (1997), a social gathering occurring immediately after work, was found to have sufficient connection with the employment for vicarious liability. Equally, in Livesey v Parker Merchanting (2004), an incident occurring at a Christmas party and subsequent car journey home was also found to be within the course of employment. The business trip, after work drinks and car journeys were an extension of the employment, suggesting vicarious liability (Maynard, 2023). The ET will also consider whether genuine attempts have been made to resolve the issue (Landau Law, 2022). SS did not report the incident to enable to business to manage the situation and prevent a resignation and/or mutually agree a resolve from AA (Maynard, 2023).</w:t>
      </w:r>
    </w:p>
    <w:p w14:paraId="1F8C53AD" w14:textId="256756D7" w:rsidR="042D8967" w:rsidRDefault="30147B71" w:rsidP="30147B71">
      <w:pPr>
        <w:jc w:val="both"/>
        <w:rPr>
          <w:rFonts w:ascii="Arial" w:eastAsia="Arial" w:hAnsi="Arial" w:cs="Arial"/>
          <w:color w:val="000000" w:themeColor="text1"/>
        </w:rPr>
      </w:pPr>
      <w:r w:rsidRPr="30147B71">
        <w:rPr>
          <w:rFonts w:ascii="Arial" w:eastAsia="Arial" w:hAnsi="Arial" w:cs="Arial"/>
          <w:color w:val="000000" w:themeColor="text1"/>
        </w:rPr>
        <w:t xml:space="preserve">The worker protection bill will soon reinstate liability to employers for third-party harassment and whilst it is important to factor in the attitudes of Government have changed, the current legislation invokes a ‘three strike’ ruling to hold the employer liable, and therefore AA is unlikely to hold any grounds for a claim (MacLellan, </w:t>
      </w:r>
      <w:r w:rsidRPr="30147B71">
        <w:rPr>
          <w:rFonts w:ascii="Arial" w:eastAsia="Arial" w:hAnsi="Arial" w:cs="Arial"/>
          <w:color w:val="000000" w:themeColor="text1"/>
        </w:rPr>
        <w:lastRenderedPageBreak/>
        <w:t>2022). Equally, whilst it may be deemed a protected act to have raised the matter regarding RR, AA did not suffer any detriment given that disciplinary action was not pursued (MacLellan, 2022).</w:t>
      </w:r>
    </w:p>
    <w:p w14:paraId="2D87F2C7" w14:textId="36EDA5B5" w:rsidR="461DC36F" w:rsidRDefault="30147B71" w:rsidP="30147B71">
      <w:pPr>
        <w:rPr>
          <w:rFonts w:ascii="Arial" w:eastAsia="Arial" w:hAnsi="Arial" w:cs="Arial"/>
          <w:b/>
          <w:bCs/>
          <w:color w:val="000000" w:themeColor="text1"/>
        </w:rPr>
      </w:pPr>
      <w:r w:rsidRPr="30147B71">
        <w:rPr>
          <w:rFonts w:ascii="Arial" w:eastAsia="Arial" w:hAnsi="Arial" w:cs="Arial"/>
          <w:b/>
          <w:bCs/>
          <w:color w:val="000000" w:themeColor="text1"/>
        </w:rPr>
        <w:t>Potential Awards</w:t>
      </w:r>
    </w:p>
    <w:p w14:paraId="4561315D" w14:textId="39F75D83" w:rsidR="042D8967" w:rsidRDefault="30147B71" w:rsidP="30147B71">
      <w:pPr>
        <w:jc w:val="both"/>
        <w:rPr>
          <w:rFonts w:ascii="Arial" w:eastAsia="Arial" w:hAnsi="Arial" w:cs="Arial"/>
        </w:rPr>
      </w:pPr>
      <w:r w:rsidRPr="30147B71">
        <w:rPr>
          <w:rFonts w:ascii="Arial" w:eastAsia="Arial" w:hAnsi="Arial" w:cs="Arial"/>
        </w:rPr>
        <w:t xml:space="preserve">A constructive dismissal award is a basic and compensatory award. The basic award is the statutory award, calculated from length of service, age and a week’s salary (Morris, 2022a). As AA is aged 33 and meets the 2-year minimum service requirement with 2 full years' service, she is entitled to 2 weeks' pay. Often the larger sum, the compensatory award relates to any losses of wages, future wages, statutory </w:t>
      </w:r>
      <w:proofErr w:type="gramStart"/>
      <w:r w:rsidRPr="30147B71">
        <w:rPr>
          <w:rFonts w:ascii="Arial" w:eastAsia="Arial" w:hAnsi="Arial" w:cs="Arial"/>
        </w:rPr>
        <w:t>rights</w:t>
      </w:r>
      <w:proofErr w:type="gramEnd"/>
      <w:r w:rsidRPr="30147B71">
        <w:rPr>
          <w:rFonts w:ascii="Arial" w:eastAsia="Arial" w:hAnsi="Arial" w:cs="Arial"/>
        </w:rPr>
        <w:t xml:space="preserve"> and pensions/contractual benefits. AA’s claim that she is off work and unable to seek employment, would likely bring a loss of future wages, alongside a loss of statutory rights given her length of service (Landau Law, 2023a).</w:t>
      </w:r>
    </w:p>
    <w:p w14:paraId="7113D8F8" w14:textId="3FF8FD28" w:rsidR="042D8967" w:rsidRDefault="30147B71" w:rsidP="30147B71">
      <w:pPr>
        <w:jc w:val="both"/>
        <w:rPr>
          <w:rFonts w:ascii="Arial" w:eastAsia="Arial" w:hAnsi="Arial" w:cs="Arial"/>
        </w:rPr>
      </w:pPr>
      <w:r w:rsidRPr="30147B71">
        <w:rPr>
          <w:rFonts w:ascii="Arial" w:eastAsia="Arial" w:hAnsi="Arial" w:cs="Arial"/>
        </w:rPr>
        <w:t xml:space="preserve">There is no injury to feelings award in a constructive dismissal claim; AA will need to be successful in her claims for sex discrimination and/or sexual harassment (Morris, 2022a). Further to any compensation for any financial loss, a discrimination and sexual harassment claim can result in ‘injury to feelings’ awards, personal injury awards and interest. Whilst injury to feelings is as implied, personal injury awards can be in addition (Barnett, 2020). </w:t>
      </w:r>
    </w:p>
    <w:p w14:paraId="662315E8" w14:textId="550F49D7" w:rsidR="042D8967" w:rsidRDefault="30147B71" w:rsidP="30147B71">
      <w:pPr>
        <w:jc w:val="both"/>
        <w:rPr>
          <w:rFonts w:ascii="Arial" w:eastAsia="Arial" w:hAnsi="Arial" w:cs="Arial"/>
        </w:rPr>
      </w:pPr>
      <w:r w:rsidRPr="30147B71">
        <w:rPr>
          <w:rFonts w:ascii="Arial" w:eastAsia="Arial" w:hAnsi="Arial" w:cs="Arial"/>
        </w:rPr>
        <w:t xml:space="preserve">The ET will consider the Vento bands to determine the amount of injury to feelings compensation (Citizens Advice, 2019). The Vento bands offer clear guidelines – the lowest, </w:t>
      </w:r>
      <w:proofErr w:type="gramStart"/>
      <w:r w:rsidRPr="30147B71">
        <w:rPr>
          <w:rFonts w:ascii="Arial" w:eastAsia="Arial" w:hAnsi="Arial" w:cs="Arial"/>
        </w:rPr>
        <w:t>middle</w:t>
      </w:r>
      <w:proofErr w:type="gramEnd"/>
      <w:r w:rsidRPr="30147B71">
        <w:rPr>
          <w:rFonts w:ascii="Arial" w:eastAsia="Arial" w:hAnsi="Arial" w:cs="Arial"/>
        </w:rPr>
        <w:t xml:space="preserve"> and highest band ranging from the least serious to the most serious cases. It is particularly difficult to predict which band, and where the ET will place the award within the bands (Brown, 2022). It is also worth noting that the highest banding does not act as a limit, and can exceed this if appropriate, although this is rare (Brown, 2022). The lowest band is deemed a one-off incident, whereby the highest suggests a lengthy campaign having a profound impact on the claimant (Johnson, 2023).</w:t>
      </w:r>
    </w:p>
    <w:p w14:paraId="7B66212A" w14:textId="2D67DC04" w:rsidR="042D8967" w:rsidRDefault="30147B71" w:rsidP="30147B71">
      <w:pPr>
        <w:jc w:val="both"/>
        <w:rPr>
          <w:rFonts w:ascii="Arial" w:eastAsia="Arial" w:hAnsi="Arial" w:cs="Arial"/>
        </w:rPr>
      </w:pPr>
      <w:proofErr w:type="gramStart"/>
      <w:r w:rsidRPr="30147B71">
        <w:rPr>
          <w:rFonts w:ascii="Arial" w:eastAsia="Arial" w:hAnsi="Arial" w:cs="Arial"/>
        </w:rPr>
        <w:t>The majority of</w:t>
      </w:r>
      <w:proofErr w:type="gramEnd"/>
      <w:r w:rsidRPr="30147B71">
        <w:rPr>
          <w:rFonts w:ascii="Arial" w:eastAsia="Arial" w:hAnsi="Arial" w:cs="Arial"/>
        </w:rPr>
        <w:t xml:space="preserve"> claims for personal injury are psychiatric injury and should be supported my medical evidence (Barnett, 2020). As seen in Alexander v Home Office (1988), injury to feelings is likely to present for a short duration, whilst personal injury is more serious, persisting for months or even for life. Based on the available information of a 1-week fit note with work related stress, I do not feel there is grounds for this. However, a likely amount of award is detailed below:</w:t>
      </w:r>
    </w:p>
    <w:tbl>
      <w:tblPr>
        <w:tblStyle w:val="TableGrid"/>
        <w:tblW w:w="10455" w:type="dxa"/>
        <w:tblLayout w:type="fixed"/>
        <w:tblLook w:val="06A0" w:firstRow="1" w:lastRow="0" w:firstColumn="1" w:lastColumn="0" w:noHBand="1" w:noVBand="1"/>
      </w:tblPr>
      <w:tblGrid>
        <w:gridCol w:w="1946"/>
        <w:gridCol w:w="1974"/>
        <w:gridCol w:w="4535"/>
        <w:gridCol w:w="2000"/>
      </w:tblGrid>
      <w:tr w:rsidR="042D8967" w14:paraId="1C6FBE71" w14:textId="77777777" w:rsidTr="30147B71">
        <w:trPr>
          <w:trHeight w:val="300"/>
        </w:trPr>
        <w:tc>
          <w:tcPr>
            <w:tcW w:w="1946" w:type="dxa"/>
          </w:tcPr>
          <w:p w14:paraId="00FFF7CA" w14:textId="4AD37E59" w:rsidR="042D8967" w:rsidRDefault="30147B71" w:rsidP="30147B71">
            <w:pPr>
              <w:rPr>
                <w:rFonts w:ascii="Arial" w:eastAsia="Arial" w:hAnsi="Arial" w:cs="Arial"/>
                <w:b/>
                <w:bCs/>
              </w:rPr>
            </w:pPr>
            <w:r w:rsidRPr="30147B71">
              <w:rPr>
                <w:rFonts w:ascii="Arial" w:eastAsia="Arial" w:hAnsi="Arial" w:cs="Arial"/>
                <w:b/>
                <w:bCs/>
              </w:rPr>
              <w:t>Claim</w:t>
            </w:r>
          </w:p>
        </w:tc>
        <w:tc>
          <w:tcPr>
            <w:tcW w:w="1974" w:type="dxa"/>
          </w:tcPr>
          <w:p w14:paraId="275EB5A2" w14:textId="5DD9C031" w:rsidR="042D8967" w:rsidRDefault="30147B71" w:rsidP="30147B71">
            <w:pPr>
              <w:rPr>
                <w:rFonts w:ascii="Arial" w:eastAsia="Arial" w:hAnsi="Arial" w:cs="Arial"/>
                <w:b/>
                <w:bCs/>
              </w:rPr>
            </w:pPr>
            <w:r w:rsidRPr="30147B71">
              <w:rPr>
                <w:rFonts w:ascii="Arial" w:eastAsia="Arial" w:hAnsi="Arial" w:cs="Arial"/>
                <w:b/>
                <w:bCs/>
              </w:rPr>
              <w:t>Award Type</w:t>
            </w:r>
          </w:p>
        </w:tc>
        <w:tc>
          <w:tcPr>
            <w:tcW w:w="4535" w:type="dxa"/>
          </w:tcPr>
          <w:p w14:paraId="0E34ACB0" w14:textId="05886789" w:rsidR="042D8967" w:rsidRDefault="30147B71" w:rsidP="30147B71">
            <w:pPr>
              <w:rPr>
                <w:rFonts w:ascii="Arial" w:eastAsia="Arial" w:hAnsi="Arial" w:cs="Arial"/>
                <w:b/>
                <w:bCs/>
              </w:rPr>
            </w:pPr>
            <w:r w:rsidRPr="30147B71">
              <w:rPr>
                <w:rFonts w:ascii="Arial" w:eastAsia="Arial" w:hAnsi="Arial" w:cs="Arial"/>
                <w:b/>
                <w:bCs/>
              </w:rPr>
              <w:t>Detail</w:t>
            </w:r>
          </w:p>
        </w:tc>
        <w:tc>
          <w:tcPr>
            <w:tcW w:w="2000" w:type="dxa"/>
          </w:tcPr>
          <w:p w14:paraId="3D504884" w14:textId="55ED440C" w:rsidR="042D8967" w:rsidRDefault="30147B71" w:rsidP="30147B71">
            <w:pPr>
              <w:rPr>
                <w:rFonts w:ascii="Arial" w:eastAsia="Arial" w:hAnsi="Arial" w:cs="Arial"/>
                <w:b/>
                <w:bCs/>
              </w:rPr>
            </w:pPr>
            <w:r w:rsidRPr="30147B71">
              <w:rPr>
                <w:rFonts w:ascii="Arial" w:eastAsia="Arial" w:hAnsi="Arial" w:cs="Arial"/>
                <w:b/>
                <w:bCs/>
              </w:rPr>
              <w:t>Award Amount</w:t>
            </w:r>
          </w:p>
        </w:tc>
      </w:tr>
      <w:tr w:rsidR="042D8967" w14:paraId="41718845" w14:textId="77777777" w:rsidTr="30147B71">
        <w:trPr>
          <w:trHeight w:val="300"/>
        </w:trPr>
        <w:tc>
          <w:tcPr>
            <w:tcW w:w="10455" w:type="dxa"/>
            <w:gridSpan w:val="4"/>
            <w:shd w:val="clear" w:color="auto" w:fill="E7E6E6" w:themeFill="background2"/>
          </w:tcPr>
          <w:p w14:paraId="60C748CE" w14:textId="7687D962" w:rsidR="042D8967" w:rsidRDefault="30147B71" w:rsidP="30147B71">
            <w:pPr>
              <w:rPr>
                <w:rFonts w:ascii="Arial" w:eastAsia="Arial" w:hAnsi="Arial" w:cs="Arial"/>
              </w:rPr>
            </w:pPr>
            <w:r w:rsidRPr="30147B71">
              <w:rPr>
                <w:rFonts w:ascii="Arial" w:eastAsia="Arial" w:hAnsi="Arial" w:cs="Arial"/>
              </w:rPr>
              <w:t>Constructive Dismissal</w:t>
            </w:r>
          </w:p>
        </w:tc>
      </w:tr>
      <w:tr w:rsidR="042D8967" w14:paraId="2542BBF1" w14:textId="77777777" w:rsidTr="30147B71">
        <w:trPr>
          <w:trHeight w:val="300"/>
        </w:trPr>
        <w:tc>
          <w:tcPr>
            <w:tcW w:w="1946" w:type="dxa"/>
          </w:tcPr>
          <w:p w14:paraId="42E56175" w14:textId="3CBFDE58" w:rsidR="042D8967" w:rsidRDefault="042D8967" w:rsidP="30147B71">
            <w:pPr>
              <w:rPr>
                <w:rFonts w:ascii="Arial" w:eastAsia="Arial" w:hAnsi="Arial" w:cs="Arial"/>
              </w:rPr>
            </w:pPr>
          </w:p>
        </w:tc>
        <w:tc>
          <w:tcPr>
            <w:tcW w:w="1974" w:type="dxa"/>
          </w:tcPr>
          <w:p w14:paraId="48C8EC25" w14:textId="1D271FF7" w:rsidR="042D8967" w:rsidRDefault="30147B71" w:rsidP="30147B71">
            <w:pPr>
              <w:rPr>
                <w:rFonts w:ascii="Arial" w:eastAsia="Arial" w:hAnsi="Arial" w:cs="Arial"/>
              </w:rPr>
            </w:pPr>
            <w:r w:rsidRPr="30147B71">
              <w:rPr>
                <w:rFonts w:ascii="Arial" w:eastAsia="Arial" w:hAnsi="Arial" w:cs="Arial"/>
              </w:rPr>
              <w:t>Basic Award</w:t>
            </w:r>
          </w:p>
        </w:tc>
        <w:tc>
          <w:tcPr>
            <w:tcW w:w="4535" w:type="dxa"/>
          </w:tcPr>
          <w:p w14:paraId="0D0CC79C" w14:textId="68F64D42" w:rsidR="042D8967" w:rsidRDefault="30147B71" w:rsidP="30147B71">
            <w:pPr>
              <w:spacing w:line="259" w:lineRule="auto"/>
              <w:rPr>
                <w:rFonts w:ascii="Arial" w:eastAsia="Arial" w:hAnsi="Arial" w:cs="Arial"/>
              </w:rPr>
            </w:pPr>
            <w:r w:rsidRPr="30147B71">
              <w:rPr>
                <w:rFonts w:ascii="Arial" w:eastAsia="Arial" w:hAnsi="Arial" w:cs="Arial"/>
              </w:rPr>
              <w:t xml:space="preserve">Age 33 </w:t>
            </w:r>
          </w:p>
          <w:p w14:paraId="2B41FC24" w14:textId="2185828F" w:rsidR="042D8967" w:rsidRDefault="30147B71" w:rsidP="30147B71">
            <w:pPr>
              <w:rPr>
                <w:rFonts w:ascii="Arial" w:eastAsia="Arial" w:hAnsi="Arial" w:cs="Arial"/>
              </w:rPr>
            </w:pPr>
            <w:r w:rsidRPr="30147B71">
              <w:rPr>
                <w:rFonts w:ascii="Arial" w:eastAsia="Arial" w:hAnsi="Arial" w:cs="Arial"/>
              </w:rPr>
              <w:t>2 years' service</w:t>
            </w:r>
          </w:p>
          <w:p w14:paraId="282DFAF5" w14:textId="1F67A6E0" w:rsidR="042D8967" w:rsidRDefault="30147B71" w:rsidP="30147B71">
            <w:pPr>
              <w:rPr>
                <w:rFonts w:ascii="Arial" w:eastAsia="Arial" w:hAnsi="Arial" w:cs="Arial"/>
              </w:rPr>
            </w:pPr>
            <w:r w:rsidRPr="30147B71">
              <w:rPr>
                <w:rFonts w:ascii="Arial" w:eastAsia="Arial" w:hAnsi="Arial" w:cs="Arial"/>
              </w:rPr>
              <w:t>Weekly pay £653.85</w:t>
            </w:r>
          </w:p>
          <w:p w14:paraId="59CCD4CF" w14:textId="4B5F19E1" w:rsidR="042D8967" w:rsidRDefault="30147B71" w:rsidP="30147B71">
            <w:pPr>
              <w:rPr>
                <w:rFonts w:ascii="Arial" w:eastAsia="Arial" w:hAnsi="Arial" w:cs="Arial"/>
              </w:rPr>
            </w:pPr>
            <w:r w:rsidRPr="30147B71">
              <w:rPr>
                <w:rFonts w:ascii="Arial" w:eastAsia="Arial" w:hAnsi="Arial" w:cs="Arial"/>
              </w:rPr>
              <w:t xml:space="preserve">Weekly pay cap £643.00 </w:t>
            </w:r>
          </w:p>
        </w:tc>
        <w:tc>
          <w:tcPr>
            <w:tcW w:w="2000" w:type="dxa"/>
          </w:tcPr>
          <w:p w14:paraId="6E294B5E" w14:textId="315D58B2" w:rsidR="042D8967" w:rsidRDefault="30147B71" w:rsidP="30147B71">
            <w:pPr>
              <w:rPr>
                <w:rFonts w:ascii="Arial" w:eastAsia="Arial" w:hAnsi="Arial" w:cs="Arial"/>
              </w:rPr>
            </w:pPr>
            <w:r w:rsidRPr="30147B71">
              <w:rPr>
                <w:rFonts w:ascii="Arial" w:eastAsia="Arial" w:hAnsi="Arial" w:cs="Arial"/>
              </w:rPr>
              <w:t>£1,286</w:t>
            </w:r>
          </w:p>
        </w:tc>
      </w:tr>
      <w:tr w:rsidR="042D8967" w14:paraId="2D44A886" w14:textId="77777777" w:rsidTr="30147B71">
        <w:trPr>
          <w:trHeight w:val="720"/>
        </w:trPr>
        <w:tc>
          <w:tcPr>
            <w:tcW w:w="1946" w:type="dxa"/>
          </w:tcPr>
          <w:p w14:paraId="723A0584" w14:textId="01C178BE" w:rsidR="042D8967" w:rsidRDefault="042D8967" w:rsidP="30147B71">
            <w:pPr>
              <w:rPr>
                <w:rFonts w:ascii="Arial" w:eastAsia="Arial" w:hAnsi="Arial" w:cs="Arial"/>
              </w:rPr>
            </w:pPr>
          </w:p>
        </w:tc>
        <w:tc>
          <w:tcPr>
            <w:tcW w:w="1974" w:type="dxa"/>
          </w:tcPr>
          <w:p w14:paraId="4A6A611B" w14:textId="131BDB1F" w:rsidR="042D8967" w:rsidRDefault="30147B71" w:rsidP="30147B71">
            <w:pPr>
              <w:rPr>
                <w:rFonts w:ascii="Arial" w:eastAsia="Arial" w:hAnsi="Arial" w:cs="Arial"/>
              </w:rPr>
            </w:pPr>
            <w:r w:rsidRPr="30147B71">
              <w:rPr>
                <w:rFonts w:ascii="Arial" w:eastAsia="Arial" w:hAnsi="Arial" w:cs="Arial"/>
              </w:rPr>
              <w:t>Compensatory</w:t>
            </w:r>
          </w:p>
        </w:tc>
        <w:tc>
          <w:tcPr>
            <w:tcW w:w="4535" w:type="dxa"/>
          </w:tcPr>
          <w:p w14:paraId="6B3322CE" w14:textId="53DAFD8A" w:rsidR="042D8967" w:rsidRDefault="30147B71" w:rsidP="30147B71">
            <w:pPr>
              <w:rPr>
                <w:rFonts w:ascii="Arial" w:eastAsia="Arial" w:hAnsi="Arial" w:cs="Arial"/>
              </w:rPr>
            </w:pPr>
            <w:r w:rsidRPr="30147B71">
              <w:rPr>
                <w:rFonts w:ascii="Arial" w:eastAsia="Arial" w:hAnsi="Arial" w:cs="Arial"/>
              </w:rPr>
              <w:t>Future losses:</w:t>
            </w:r>
          </w:p>
          <w:p w14:paraId="0FDB16CF" w14:textId="1BEB9144" w:rsidR="042D8967" w:rsidRDefault="30147B71" w:rsidP="30147B71">
            <w:pPr>
              <w:rPr>
                <w:rFonts w:ascii="Arial" w:eastAsia="Arial" w:hAnsi="Arial" w:cs="Arial"/>
              </w:rPr>
            </w:pPr>
            <w:r w:rsidRPr="30147B71">
              <w:rPr>
                <w:rFonts w:ascii="Arial" w:eastAsia="Arial" w:hAnsi="Arial" w:cs="Arial"/>
              </w:rPr>
              <w:t xml:space="preserve"> 6 months x £2,261/86 (net pay / 20% tax)</w:t>
            </w:r>
          </w:p>
          <w:p w14:paraId="4470C083" w14:textId="0E8EABA2" w:rsidR="042D8967" w:rsidRDefault="30147B71" w:rsidP="30147B71">
            <w:pPr>
              <w:rPr>
                <w:rFonts w:ascii="Arial" w:eastAsia="Arial" w:hAnsi="Arial" w:cs="Arial"/>
              </w:rPr>
            </w:pPr>
            <w:r w:rsidRPr="30147B71">
              <w:rPr>
                <w:rFonts w:ascii="Arial" w:eastAsia="Arial" w:hAnsi="Arial" w:cs="Arial"/>
              </w:rPr>
              <w:t>Loss of statutory rights</w:t>
            </w:r>
          </w:p>
        </w:tc>
        <w:tc>
          <w:tcPr>
            <w:tcW w:w="2000" w:type="dxa"/>
          </w:tcPr>
          <w:p w14:paraId="5884B779" w14:textId="0F5699F7" w:rsidR="042D8967" w:rsidRDefault="30147B71" w:rsidP="30147B71">
            <w:pPr>
              <w:rPr>
                <w:rFonts w:ascii="Arial" w:eastAsia="Arial" w:hAnsi="Arial" w:cs="Arial"/>
              </w:rPr>
            </w:pPr>
            <w:r w:rsidRPr="30147B71">
              <w:rPr>
                <w:rFonts w:ascii="Arial" w:eastAsia="Arial" w:hAnsi="Arial" w:cs="Arial"/>
              </w:rPr>
              <w:t>£13,566</w:t>
            </w:r>
          </w:p>
          <w:p w14:paraId="241CEF69" w14:textId="3CCB2324" w:rsidR="042D8967" w:rsidRDefault="042D8967" w:rsidP="30147B71">
            <w:pPr>
              <w:rPr>
                <w:rFonts w:ascii="Arial" w:eastAsia="Arial" w:hAnsi="Arial" w:cs="Arial"/>
              </w:rPr>
            </w:pPr>
          </w:p>
          <w:p w14:paraId="6B5A4303" w14:textId="673949C4" w:rsidR="042D8967" w:rsidRDefault="30147B71" w:rsidP="30147B71">
            <w:pPr>
              <w:rPr>
                <w:rFonts w:ascii="Arial" w:eastAsia="Arial" w:hAnsi="Arial" w:cs="Arial"/>
              </w:rPr>
            </w:pPr>
            <w:r w:rsidRPr="30147B71">
              <w:rPr>
                <w:rFonts w:ascii="Arial" w:eastAsia="Arial" w:hAnsi="Arial" w:cs="Arial"/>
              </w:rPr>
              <w:t>£500</w:t>
            </w:r>
          </w:p>
        </w:tc>
      </w:tr>
      <w:tr w:rsidR="042D8967" w14:paraId="3C6FCFDB" w14:textId="77777777" w:rsidTr="30147B71">
        <w:trPr>
          <w:trHeight w:val="388"/>
        </w:trPr>
        <w:tc>
          <w:tcPr>
            <w:tcW w:w="10455" w:type="dxa"/>
            <w:gridSpan w:val="4"/>
            <w:shd w:val="clear" w:color="auto" w:fill="E7E6E6" w:themeFill="background2"/>
          </w:tcPr>
          <w:p w14:paraId="2171569F" w14:textId="274B39A2" w:rsidR="042D8967" w:rsidRDefault="30147B71" w:rsidP="30147B71">
            <w:pPr>
              <w:rPr>
                <w:rFonts w:ascii="Arial" w:eastAsia="Arial" w:hAnsi="Arial" w:cs="Arial"/>
              </w:rPr>
            </w:pPr>
            <w:r w:rsidRPr="30147B71">
              <w:rPr>
                <w:rFonts w:ascii="Arial" w:eastAsia="Arial" w:hAnsi="Arial" w:cs="Arial"/>
              </w:rPr>
              <w:t>Sex Discrimination / Sexual Harassment</w:t>
            </w:r>
            <w:r w:rsidR="042D8967">
              <w:br/>
            </w:r>
          </w:p>
        </w:tc>
      </w:tr>
      <w:tr w:rsidR="042D8967" w14:paraId="524B7DFB" w14:textId="77777777" w:rsidTr="30147B71">
        <w:trPr>
          <w:trHeight w:val="450"/>
        </w:trPr>
        <w:tc>
          <w:tcPr>
            <w:tcW w:w="1946" w:type="dxa"/>
          </w:tcPr>
          <w:p w14:paraId="417B343F" w14:textId="6337D7CE" w:rsidR="042D8967" w:rsidRDefault="042D8967" w:rsidP="30147B71">
            <w:pPr>
              <w:rPr>
                <w:rFonts w:ascii="Arial" w:eastAsia="Arial" w:hAnsi="Arial" w:cs="Arial"/>
              </w:rPr>
            </w:pPr>
          </w:p>
        </w:tc>
        <w:tc>
          <w:tcPr>
            <w:tcW w:w="1974" w:type="dxa"/>
          </w:tcPr>
          <w:p w14:paraId="71F87337" w14:textId="26606F23" w:rsidR="042D8967" w:rsidRDefault="30147B71" w:rsidP="30147B71">
            <w:pPr>
              <w:rPr>
                <w:rFonts w:ascii="Arial" w:eastAsia="Arial" w:hAnsi="Arial" w:cs="Arial"/>
              </w:rPr>
            </w:pPr>
            <w:r w:rsidRPr="30147B71">
              <w:rPr>
                <w:rFonts w:ascii="Arial" w:eastAsia="Arial" w:hAnsi="Arial" w:cs="Arial"/>
              </w:rPr>
              <w:t>Injury to Feelings</w:t>
            </w:r>
          </w:p>
        </w:tc>
        <w:tc>
          <w:tcPr>
            <w:tcW w:w="4535" w:type="dxa"/>
          </w:tcPr>
          <w:p w14:paraId="72A3D3A0" w14:textId="28476652" w:rsidR="042D8967" w:rsidRDefault="30147B71" w:rsidP="30147B71">
            <w:pPr>
              <w:rPr>
                <w:rFonts w:ascii="Arial" w:eastAsia="Arial" w:hAnsi="Arial" w:cs="Arial"/>
              </w:rPr>
            </w:pPr>
            <w:r w:rsidRPr="30147B71">
              <w:rPr>
                <w:rFonts w:ascii="Arial" w:eastAsia="Arial" w:hAnsi="Arial" w:cs="Arial"/>
              </w:rPr>
              <w:t>Middle band</w:t>
            </w:r>
          </w:p>
        </w:tc>
        <w:tc>
          <w:tcPr>
            <w:tcW w:w="2000" w:type="dxa"/>
          </w:tcPr>
          <w:p w14:paraId="19361854" w14:textId="7F88EF89" w:rsidR="042D8967" w:rsidRDefault="30147B71" w:rsidP="30147B71">
            <w:pPr>
              <w:rPr>
                <w:rFonts w:ascii="Arial" w:eastAsia="Arial" w:hAnsi="Arial" w:cs="Arial"/>
              </w:rPr>
            </w:pPr>
            <w:r w:rsidRPr="30147B71">
              <w:rPr>
                <w:rFonts w:ascii="Arial" w:eastAsia="Arial" w:hAnsi="Arial" w:cs="Arial"/>
              </w:rPr>
              <w:t>£11,200</w:t>
            </w:r>
          </w:p>
        </w:tc>
      </w:tr>
      <w:tr w:rsidR="30147B71" w14:paraId="19BCB83B" w14:textId="77777777" w:rsidTr="30147B71">
        <w:trPr>
          <w:trHeight w:val="615"/>
        </w:trPr>
        <w:tc>
          <w:tcPr>
            <w:tcW w:w="1946" w:type="dxa"/>
          </w:tcPr>
          <w:p w14:paraId="6F816C7F" w14:textId="376C7285" w:rsidR="30147B71" w:rsidRDefault="30147B71" w:rsidP="30147B71">
            <w:pPr>
              <w:rPr>
                <w:rFonts w:ascii="Arial" w:eastAsia="Arial" w:hAnsi="Arial" w:cs="Arial"/>
                <w:b/>
                <w:bCs/>
              </w:rPr>
            </w:pPr>
            <w:r w:rsidRPr="30147B71">
              <w:rPr>
                <w:rFonts w:ascii="Arial" w:eastAsia="Arial" w:hAnsi="Arial" w:cs="Arial"/>
                <w:b/>
                <w:bCs/>
              </w:rPr>
              <w:t>TOTAL (GROSS)</w:t>
            </w:r>
          </w:p>
        </w:tc>
        <w:tc>
          <w:tcPr>
            <w:tcW w:w="1974" w:type="dxa"/>
          </w:tcPr>
          <w:p w14:paraId="4AF10280" w14:textId="6F2A1694" w:rsidR="30147B71" w:rsidRDefault="30147B71" w:rsidP="30147B71">
            <w:pPr>
              <w:rPr>
                <w:rFonts w:ascii="Arial" w:eastAsia="Arial" w:hAnsi="Arial" w:cs="Arial"/>
              </w:rPr>
            </w:pPr>
          </w:p>
        </w:tc>
        <w:tc>
          <w:tcPr>
            <w:tcW w:w="4535" w:type="dxa"/>
          </w:tcPr>
          <w:p w14:paraId="1671004E" w14:textId="61631C53" w:rsidR="30147B71" w:rsidRDefault="30147B71" w:rsidP="30147B71">
            <w:pPr>
              <w:rPr>
                <w:rFonts w:ascii="Arial" w:eastAsia="Arial" w:hAnsi="Arial" w:cs="Arial"/>
              </w:rPr>
            </w:pPr>
          </w:p>
        </w:tc>
        <w:tc>
          <w:tcPr>
            <w:tcW w:w="2000" w:type="dxa"/>
          </w:tcPr>
          <w:p w14:paraId="79793A9F" w14:textId="59E021F3" w:rsidR="30147B71" w:rsidRDefault="30147B71" w:rsidP="30147B71">
            <w:pPr>
              <w:rPr>
                <w:rFonts w:ascii="Arial" w:eastAsia="Arial" w:hAnsi="Arial" w:cs="Arial"/>
              </w:rPr>
            </w:pPr>
            <w:r w:rsidRPr="30147B71">
              <w:rPr>
                <w:rFonts w:ascii="Arial" w:eastAsia="Arial" w:hAnsi="Arial" w:cs="Arial"/>
              </w:rPr>
              <w:t>£26,552</w:t>
            </w:r>
          </w:p>
        </w:tc>
      </w:tr>
    </w:tbl>
    <w:p w14:paraId="623F7A57" w14:textId="1620CF42" w:rsidR="30147B71" w:rsidRDefault="30147B71" w:rsidP="30147B71">
      <w:pPr>
        <w:ind w:left="4320"/>
        <w:rPr>
          <w:rFonts w:ascii="Arial" w:eastAsia="Arial" w:hAnsi="Arial" w:cs="Arial"/>
        </w:rPr>
      </w:pPr>
      <w:r w:rsidRPr="30147B71">
        <w:rPr>
          <w:rFonts w:ascii="Arial" w:eastAsia="Arial" w:hAnsi="Arial" w:cs="Arial"/>
        </w:rPr>
        <w:t>(Barnett, 2020; Citizens Advice, 2021; Landau Law, 2023a).</w:t>
      </w:r>
    </w:p>
    <w:p w14:paraId="10DE2253" w14:textId="517EEA0C" w:rsidR="3A9E703C" w:rsidRDefault="30147B71" w:rsidP="30147B71">
      <w:pPr>
        <w:jc w:val="both"/>
        <w:rPr>
          <w:rFonts w:ascii="Arial" w:eastAsia="Arial" w:hAnsi="Arial" w:cs="Arial"/>
        </w:rPr>
      </w:pPr>
      <w:r w:rsidRPr="30147B71">
        <w:rPr>
          <w:rFonts w:ascii="Arial" w:eastAsia="Arial" w:hAnsi="Arial" w:cs="Arial"/>
        </w:rPr>
        <w:t>The compensatory element of the constructive dismissal can be reduced if the claimant has contributed to the dismissal, also should the ‘</w:t>
      </w:r>
      <w:proofErr w:type="spellStart"/>
      <w:r w:rsidRPr="30147B71">
        <w:rPr>
          <w:rFonts w:ascii="Arial" w:eastAsia="Arial" w:hAnsi="Arial" w:cs="Arial"/>
        </w:rPr>
        <w:t>Polkey</w:t>
      </w:r>
      <w:proofErr w:type="spellEnd"/>
      <w:r w:rsidRPr="30147B71">
        <w:rPr>
          <w:rFonts w:ascii="Arial" w:eastAsia="Arial" w:hAnsi="Arial" w:cs="Arial"/>
        </w:rPr>
        <w:t xml:space="preserve"> reduction’ apply, where the business can evidence that had a fair procedure been followed, dismissal would have been the likely outcome (Kelly, 2021). However, there do not appear to be any facts to suggest either.</w:t>
      </w:r>
    </w:p>
    <w:p w14:paraId="172D97AF" w14:textId="3DDBA268" w:rsidR="3A9E703C" w:rsidRDefault="30147B71" w:rsidP="30147B71">
      <w:pPr>
        <w:jc w:val="both"/>
        <w:rPr>
          <w:rFonts w:ascii="Arial" w:eastAsia="Arial" w:hAnsi="Arial" w:cs="Arial"/>
        </w:rPr>
      </w:pPr>
      <w:r w:rsidRPr="30147B71">
        <w:rPr>
          <w:rFonts w:ascii="Arial" w:eastAsia="Arial" w:hAnsi="Arial" w:cs="Arial"/>
        </w:rPr>
        <w:t xml:space="preserve">Where the ACAS code has not been complied with, the ET can reduce or increase the award given (Barnett, 2020). The business could argue that AA did not follow the grievance procedure, however the counter argument would be that AA attempted to raise issues with SS, and again within her resignation letter, whereby the business had an opportunity to respond and invoke the formal grievance procedure to investigate. Should </w:t>
      </w:r>
      <w:r w:rsidRPr="30147B71">
        <w:rPr>
          <w:rFonts w:ascii="Arial" w:eastAsia="Arial" w:hAnsi="Arial" w:cs="Arial"/>
        </w:rPr>
        <w:lastRenderedPageBreak/>
        <w:t>the ET favour AA, a 25% uplift would be given to any compensation awarded, and conversely, a 25% deduction if the businesses version is upheld (Barnett, 2020).</w:t>
      </w:r>
    </w:p>
    <w:p w14:paraId="794B8838" w14:textId="1D52242E" w:rsidR="042D8967" w:rsidRDefault="30147B71" w:rsidP="30147B71">
      <w:pPr>
        <w:jc w:val="both"/>
        <w:rPr>
          <w:rFonts w:ascii="Arial" w:eastAsia="Arial" w:hAnsi="Arial" w:cs="Arial"/>
        </w:rPr>
      </w:pPr>
      <w:r w:rsidRPr="30147B71">
        <w:rPr>
          <w:rFonts w:ascii="Arial" w:eastAsia="Arial" w:hAnsi="Arial" w:cs="Arial"/>
        </w:rPr>
        <w:t xml:space="preserve">Further deductions may be made should AA not take steps to mitigate her losses I.e., looking for work, however, her fit note in relation to stress may be extended and therefore offering her a justification for her loss of income (Barnett, 2020). </w:t>
      </w:r>
    </w:p>
    <w:p w14:paraId="1372B7D6" w14:textId="1AB8465A" w:rsidR="3A9E703C" w:rsidRDefault="30147B71" w:rsidP="30147B71">
      <w:pPr>
        <w:jc w:val="both"/>
        <w:rPr>
          <w:rFonts w:ascii="Arial" w:eastAsia="Arial" w:hAnsi="Arial" w:cs="Arial"/>
          <w:b/>
          <w:bCs/>
          <w:u w:val="single"/>
        </w:rPr>
      </w:pPr>
      <w:r w:rsidRPr="30147B71">
        <w:rPr>
          <w:rFonts w:ascii="Arial" w:eastAsia="Arial" w:hAnsi="Arial" w:cs="Arial"/>
          <w:b/>
          <w:bCs/>
          <w:u w:val="single"/>
        </w:rPr>
        <w:t>Closing</w:t>
      </w:r>
    </w:p>
    <w:p w14:paraId="60879976" w14:textId="24552CF0" w:rsidR="3A9E703C" w:rsidRDefault="30147B71" w:rsidP="30147B71">
      <w:pPr>
        <w:jc w:val="both"/>
        <w:rPr>
          <w:rFonts w:ascii="Arial" w:eastAsia="Arial" w:hAnsi="Arial" w:cs="Arial"/>
        </w:rPr>
      </w:pPr>
      <w:r w:rsidRPr="30147B71">
        <w:rPr>
          <w:rFonts w:ascii="Arial" w:eastAsia="Arial" w:hAnsi="Arial" w:cs="Arial"/>
        </w:rPr>
        <w:t>Based on the above, the below options are available:</w:t>
      </w:r>
    </w:p>
    <w:p w14:paraId="0D63897B" w14:textId="3D8E3E51" w:rsidR="3A9E703C" w:rsidRDefault="30147B71" w:rsidP="30147B71">
      <w:pPr>
        <w:jc w:val="both"/>
        <w:rPr>
          <w:rFonts w:ascii="Arial" w:eastAsia="Arial" w:hAnsi="Arial" w:cs="Arial"/>
        </w:rPr>
      </w:pPr>
      <w:r w:rsidRPr="30147B71">
        <w:rPr>
          <w:rFonts w:ascii="Arial" w:eastAsia="Arial" w:hAnsi="Arial" w:cs="Arial"/>
          <w:b/>
          <w:bCs/>
          <w:u w:val="single"/>
        </w:rPr>
        <w:t xml:space="preserve">1 - </w:t>
      </w:r>
      <w:r w:rsidRPr="30147B71">
        <w:rPr>
          <w:rFonts w:ascii="Arial" w:eastAsia="Arial" w:hAnsi="Arial" w:cs="Arial"/>
        </w:rPr>
        <w:t xml:space="preserve">Not respond to the ET1 and await the outcome. This may save time initially by not preparing the ET3, however the ET will proceed and treat the claim without a defence, which could result in AA’s favour. </w:t>
      </w:r>
    </w:p>
    <w:p w14:paraId="77FD414E" w14:textId="4A803474" w:rsidR="3A9E703C" w:rsidRDefault="30147B71" w:rsidP="30147B71">
      <w:pPr>
        <w:jc w:val="both"/>
        <w:rPr>
          <w:rFonts w:ascii="Arial" w:eastAsia="Arial" w:hAnsi="Arial" w:cs="Arial"/>
        </w:rPr>
      </w:pPr>
      <w:r w:rsidRPr="30147B71">
        <w:rPr>
          <w:rFonts w:ascii="Arial" w:eastAsia="Arial" w:hAnsi="Arial" w:cs="Arial"/>
          <w:b/>
          <w:bCs/>
          <w:u w:val="single"/>
        </w:rPr>
        <w:t xml:space="preserve">2 - </w:t>
      </w:r>
      <w:r w:rsidRPr="30147B71">
        <w:rPr>
          <w:rFonts w:ascii="Arial" w:eastAsia="Arial" w:hAnsi="Arial" w:cs="Arial"/>
        </w:rPr>
        <w:t>Proceed to the ET. This will provide the business with the opportunity to defend the claim, however based on the facts of the case, there is a small chance of successfully defending the claims in full. Equally, the process is time consuming in preparing a defence and attending a hearing (Daw, 2022).</w:t>
      </w:r>
    </w:p>
    <w:p w14:paraId="0370164E" w14:textId="26D26FEA" w:rsidR="3A9E703C" w:rsidRDefault="30147B71" w:rsidP="30147B71">
      <w:pPr>
        <w:jc w:val="both"/>
        <w:rPr>
          <w:rFonts w:ascii="Arial" w:eastAsia="Arial" w:hAnsi="Arial" w:cs="Arial"/>
        </w:rPr>
      </w:pPr>
      <w:r w:rsidRPr="30147B71">
        <w:rPr>
          <w:rFonts w:ascii="Arial" w:eastAsia="Arial" w:hAnsi="Arial" w:cs="Arial"/>
          <w:b/>
          <w:bCs/>
          <w:u w:val="single"/>
        </w:rPr>
        <w:t xml:space="preserve">3 - </w:t>
      </w:r>
      <w:r w:rsidRPr="30147B71">
        <w:rPr>
          <w:rFonts w:ascii="Arial" w:eastAsia="Arial" w:hAnsi="Arial" w:cs="Arial"/>
        </w:rPr>
        <w:t>Exploring a settlement agreement. Having pursued an early conciliation form initially, it would suggest AA is open to a resolve.</w:t>
      </w:r>
    </w:p>
    <w:p w14:paraId="3D3E9598" w14:textId="77777777" w:rsidR="00213DA1" w:rsidRDefault="00213DA1" w:rsidP="30147B71">
      <w:pPr>
        <w:jc w:val="both"/>
        <w:rPr>
          <w:rFonts w:ascii="Arial" w:eastAsia="Arial" w:hAnsi="Arial" w:cs="Arial"/>
        </w:rPr>
      </w:pPr>
    </w:p>
    <w:p w14:paraId="53AD91C3" w14:textId="2176388E" w:rsidR="00213DA1" w:rsidRDefault="00213DA1" w:rsidP="00213DA1">
      <w:r w:rsidRPr="30147B71">
        <w:rPr>
          <w:rFonts w:ascii="Arial" w:eastAsia="Arial" w:hAnsi="Arial" w:cs="Arial"/>
          <w:b/>
          <w:bCs/>
          <w:u w:val="single"/>
        </w:rPr>
        <w:t>To conclude</w:t>
      </w:r>
      <w:r w:rsidR="3A9E703C">
        <w:br/>
      </w:r>
    </w:p>
    <w:p w14:paraId="7E2CA076" w14:textId="048093AA" w:rsidR="3A9E703C" w:rsidRDefault="3A9E703C" w:rsidP="00213DA1">
      <w:pPr>
        <w:jc w:val="both"/>
        <w:rPr>
          <w:rFonts w:ascii="Arial" w:eastAsia="Arial" w:hAnsi="Arial" w:cs="Arial"/>
        </w:rPr>
      </w:pPr>
      <w:r>
        <w:br/>
      </w:r>
      <w:r w:rsidR="30147B71" w:rsidRPr="30147B71">
        <w:rPr>
          <w:rFonts w:ascii="Arial" w:eastAsia="Arial" w:hAnsi="Arial" w:cs="Arial"/>
        </w:rPr>
        <w:t>It would be my recommendation to pursue a settlement agreement. This can be achieved on mutually agreed terms, providing an opportunity for a clean break, quick resolve, confidentiality, and with no opportunity for AA to take further litigation (Richardson, 2023). This will avoid possibly lengthy legal proceedings and a costly defence where it would appear there is a small chance of success in this case. A settlement agreement would avoid any impacts on the business reputation, based on the ET outcome published to the public (Richardson, 2023).</w:t>
      </w:r>
    </w:p>
    <w:p w14:paraId="59E1072C" w14:textId="7DE6A52D" w:rsidR="30147B71" w:rsidRDefault="30147B71" w:rsidP="30147B71">
      <w:pPr>
        <w:jc w:val="both"/>
        <w:rPr>
          <w:rFonts w:ascii="Arial" w:eastAsia="Arial" w:hAnsi="Arial" w:cs="Arial"/>
        </w:rPr>
      </w:pPr>
    </w:p>
    <w:p w14:paraId="7413A85D" w14:textId="5771B041" w:rsidR="30147B71" w:rsidRDefault="30147B71" w:rsidP="30147B71">
      <w:pPr>
        <w:jc w:val="both"/>
        <w:rPr>
          <w:rFonts w:ascii="Arial" w:eastAsia="Arial" w:hAnsi="Arial" w:cs="Arial"/>
        </w:rPr>
      </w:pPr>
    </w:p>
    <w:p w14:paraId="175B544B" w14:textId="5358C650" w:rsidR="30147B71" w:rsidRDefault="30147B71" w:rsidP="30147B71">
      <w:pPr>
        <w:rPr>
          <w:rFonts w:ascii="Arial" w:eastAsia="Arial" w:hAnsi="Arial" w:cs="Arial"/>
        </w:rPr>
      </w:pPr>
    </w:p>
    <w:p w14:paraId="4855F910" w14:textId="373BD523" w:rsidR="30147B71" w:rsidRDefault="30147B71" w:rsidP="30147B71">
      <w:pPr>
        <w:rPr>
          <w:rFonts w:ascii="Arial" w:eastAsia="Arial" w:hAnsi="Arial" w:cs="Arial"/>
        </w:rPr>
      </w:pPr>
    </w:p>
    <w:p w14:paraId="710BD844" w14:textId="76A02DB9" w:rsidR="30147B71" w:rsidRDefault="30147B71" w:rsidP="30147B71">
      <w:pPr>
        <w:rPr>
          <w:rFonts w:ascii="Arial" w:eastAsia="Arial" w:hAnsi="Arial" w:cs="Arial"/>
        </w:rPr>
      </w:pPr>
    </w:p>
    <w:p w14:paraId="2E56C577" w14:textId="63108A6F" w:rsidR="30147B71" w:rsidRDefault="30147B71" w:rsidP="30147B71">
      <w:pPr>
        <w:rPr>
          <w:rFonts w:ascii="Arial" w:eastAsia="Arial" w:hAnsi="Arial" w:cs="Arial"/>
        </w:rPr>
      </w:pPr>
    </w:p>
    <w:p w14:paraId="47FE8906" w14:textId="4E694781" w:rsidR="30147B71" w:rsidRDefault="30147B71" w:rsidP="30147B71">
      <w:pPr>
        <w:rPr>
          <w:rFonts w:ascii="Arial" w:eastAsia="Arial" w:hAnsi="Arial" w:cs="Arial"/>
        </w:rPr>
      </w:pPr>
    </w:p>
    <w:p w14:paraId="58FE53E0" w14:textId="1784C8FC" w:rsidR="30147B71" w:rsidRDefault="30147B71" w:rsidP="30147B71">
      <w:pPr>
        <w:rPr>
          <w:rFonts w:ascii="Arial" w:eastAsia="Arial" w:hAnsi="Arial" w:cs="Arial"/>
        </w:rPr>
      </w:pPr>
    </w:p>
    <w:p w14:paraId="7D4DAEEC" w14:textId="7B907B04" w:rsidR="30147B71" w:rsidRDefault="30147B71" w:rsidP="30147B71">
      <w:pPr>
        <w:rPr>
          <w:rFonts w:ascii="Arial" w:eastAsia="Arial" w:hAnsi="Arial" w:cs="Arial"/>
        </w:rPr>
      </w:pPr>
    </w:p>
    <w:p w14:paraId="15B27D50" w14:textId="7CD4CD6F" w:rsidR="30147B71" w:rsidRDefault="30147B71" w:rsidP="30147B71">
      <w:pPr>
        <w:rPr>
          <w:rFonts w:ascii="Arial" w:eastAsia="Arial" w:hAnsi="Arial" w:cs="Arial"/>
        </w:rPr>
      </w:pPr>
    </w:p>
    <w:p w14:paraId="0E3BAD8E" w14:textId="603EE21F" w:rsidR="30147B71" w:rsidRDefault="30147B71" w:rsidP="30147B71">
      <w:pPr>
        <w:rPr>
          <w:rFonts w:ascii="Arial" w:eastAsia="Arial" w:hAnsi="Arial" w:cs="Arial"/>
        </w:rPr>
      </w:pPr>
    </w:p>
    <w:p w14:paraId="108BA9C4" w14:textId="247269FE" w:rsidR="30147B71" w:rsidRDefault="30147B71" w:rsidP="30147B71">
      <w:pPr>
        <w:rPr>
          <w:rFonts w:ascii="Arial" w:eastAsia="Arial" w:hAnsi="Arial" w:cs="Arial"/>
        </w:rPr>
      </w:pPr>
    </w:p>
    <w:p w14:paraId="032B796C" w14:textId="77777777" w:rsidR="00213DA1" w:rsidRDefault="00213DA1" w:rsidP="30147B71">
      <w:pPr>
        <w:rPr>
          <w:rFonts w:ascii="Arial" w:eastAsia="Arial" w:hAnsi="Arial" w:cs="Arial"/>
        </w:rPr>
      </w:pPr>
    </w:p>
    <w:p w14:paraId="199DDED2" w14:textId="77777777" w:rsidR="00213DA1" w:rsidRDefault="00213DA1" w:rsidP="30147B71">
      <w:pPr>
        <w:rPr>
          <w:rFonts w:ascii="Arial" w:eastAsia="Arial" w:hAnsi="Arial" w:cs="Arial"/>
        </w:rPr>
      </w:pPr>
    </w:p>
    <w:p w14:paraId="57C3F798" w14:textId="77777777" w:rsidR="00213DA1" w:rsidRDefault="00213DA1" w:rsidP="30147B71">
      <w:pPr>
        <w:rPr>
          <w:rFonts w:ascii="Arial" w:eastAsia="Arial" w:hAnsi="Arial" w:cs="Arial"/>
        </w:rPr>
      </w:pPr>
    </w:p>
    <w:p w14:paraId="21383073" w14:textId="77777777" w:rsidR="00213DA1" w:rsidRDefault="00213DA1" w:rsidP="30147B71">
      <w:pPr>
        <w:rPr>
          <w:rFonts w:ascii="Arial" w:eastAsia="Arial" w:hAnsi="Arial" w:cs="Arial"/>
        </w:rPr>
      </w:pPr>
    </w:p>
    <w:p w14:paraId="49A473C4" w14:textId="77777777" w:rsidR="00213DA1" w:rsidRDefault="00213DA1" w:rsidP="30147B71">
      <w:pPr>
        <w:rPr>
          <w:rFonts w:ascii="Arial" w:eastAsia="Arial" w:hAnsi="Arial" w:cs="Arial"/>
        </w:rPr>
      </w:pPr>
    </w:p>
    <w:p w14:paraId="599A1D5E" w14:textId="08A0FC9F" w:rsidR="042D8967" w:rsidRDefault="30147B71" w:rsidP="30147B71">
      <w:pPr>
        <w:rPr>
          <w:rFonts w:ascii="Arial" w:eastAsia="Arial" w:hAnsi="Arial" w:cs="Arial"/>
          <w:b/>
          <w:bCs/>
          <w:u w:val="single"/>
        </w:rPr>
      </w:pPr>
      <w:r w:rsidRPr="30147B71">
        <w:rPr>
          <w:rFonts w:ascii="Arial" w:eastAsia="Arial" w:hAnsi="Arial" w:cs="Arial"/>
          <w:b/>
          <w:bCs/>
          <w:u w:val="single"/>
        </w:rPr>
        <w:lastRenderedPageBreak/>
        <w:t>Briefing note</w:t>
      </w:r>
    </w:p>
    <w:p w14:paraId="4CB1A2CC" w14:textId="56757654" w:rsidR="042D8967" w:rsidRDefault="30147B71" w:rsidP="30147B71">
      <w:pPr>
        <w:rPr>
          <w:rFonts w:ascii="Arial" w:eastAsia="Arial" w:hAnsi="Arial" w:cs="Arial"/>
          <w:b/>
          <w:bCs/>
          <w:u w:val="single"/>
        </w:rPr>
      </w:pPr>
      <w:r w:rsidRPr="30147B71">
        <w:rPr>
          <w:rFonts w:ascii="Arial" w:eastAsia="Arial" w:hAnsi="Arial" w:cs="Arial"/>
          <w:b/>
          <w:bCs/>
          <w:u w:val="single"/>
        </w:rPr>
        <w:t>Issue</w:t>
      </w:r>
    </w:p>
    <w:p w14:paraId="76EAF8C9" w14:textId="30F145D2" w:rsidR="042D8967" w:rsidRDefault="30147B71" w:rsidP="30147B71">
      <w:pPr>
        <w:jc w:val="both"/>
        <w:rPr>
          <w:rFonts w:ascii="Arial" w:eastAsia="Arial" w:hAnsi="Arial" w:cs="Arial"/>
        </w:rPr>
      </w:pPr>
      <w:r w:rsidRPr="30147B71">
        <w:rPr>
          <w:rFonts w:ascii="Arial" w:eastAsia="Arial" w:hAnsi="Arial" w:cs="Arial"/>
        </w:rPr>
        <w:t>The legalities with dispensing Payment Providers for the outsourcing of services for the IT and Payroll function to insourcing.</w:t>
      </w:r>
    </w:p>
    <w:p w14:paraId="666EAFA5" w14:textId="6DE629A0" w:rsidR="042D8967" w:rsidRDefault="30147B71" w:rsidP="30147B71">
      <w:pPr>
        <w:jc w:val="both"/>
        <w:rPr>
          <w:rFonts w:ascii="Arial" w:eastAsia="Arial" w:hAnsi="Arial" w:cs="Arial"/>
          <w:b/>
          <w:bCs/>
          <w:u w:val="single"/>
        </w:rPr>
      </w:pPr>
      <w:r w:rsidRPr="30147B71">
        <w:rPr>
          <w:rFonts w:ascii="Arial" w:eastAsia="Arial" w:hAnsi="Arial" w:cs="Arial"/>
          <w:b/>
          <w:bCs/>
          <w:u w:val="single"/>
        </w:rPr>
        <w:t>Legalities</w:t>
      </w:r>
    </w:p>
    <w:p w14:paraId="2A5FE32C" w14:textId="513E2BCD" w:rsidR="042D8967" w:rsidRDefault="30147B71" w:rsidP="30147B71">
      <w:pPr>
        <w:jc w:val="both"/>
        <w:rPr>
          <w:rFonts w:ascii="Arial" w:eastAsia="Arial" w:hAnsi="Arial" w:cs="Arial"/>
        </w:rPr>
      </w:pPr>
      <w:r w:rsidRPr="30147B71">
        <w:rPr>
          <w:rFonts w:ascii="Arial" w:eastAsia="Arial" w:hAnsi="Arial" w:cs="Arial"/>
        </w:rPr>
        <w:t>When business activities are moved, our obligations are set out in the Transfer of Undertakings (Protection of Employment) Regulations 2006, SI 2006/46 “TUPE”. The TUPE regulations apply to a service provision change, namely outsourcing and insourcing. TUPE is applicable to bringing a contracted service in-house, whether for the first time or bringing it back, providing the following conditions are met:</w:t>
      </w:r>
    </w:p>
    <w:p w14:paraId="553C228C" w14:textId="4CFE7590" w:rsidR="042D8967" w:rsidRDefault="30147B71" w:rsidP="30147B71">
      <w:pPr>
        <w:ind w:left="720"/>
        <w:jc w:val="both"/>
        <w:rPr>
          <w:rFonts w:ascii="Arial" w:eastAsia="Arial" w:hAnsi="Arial" w:cs="Arial"/>
          <w:i/>
          <w:iCs/>
        </w:rPr>
      </w:pPr>
      <w:r w:rsidRPr="30147B71">
        <w:rPr>
          <w:rFonts w:ascii="Arial" w:eastAsia="Arial" w:hAnsi="Arial" w:cs="Arial"/>
          <w:i/>
          <w:iCs/>
        </w:rPr>
        <w:t>“An organised group of employees” (TUPE, 2006).</w:t>
      </w:r>
    </w:p>
    <w:p w14:paraId="57307F92" w14:textId="06EC39C5" w:rsidR="042D8967" w:rsidRDefault="30147B71" w:rsidP="30147B71">
      <w:pPr>
        <w:jc w:val="both"/>
        <w:rPr>
          <w:rFonts w:ascii="Arial" w:eastAsia="Arial" w:hAnsi="Arial" w:cs="Arial"/>
        </w:rPr>
      </w:pPr>
      <w:r w:rsidRPr="30147B71">
        <w:rPr>
          <w:rFonts w:ascii="Arial" w:eastAsia="Arial" w:hAnsi="Arial" w:cs="Arial"/>
        </w:rPr>
        <w:t>For TUPE to apply, there must be a specific group of people within the UK whose principal purpose is to undertake the specific outsourced activities I.e., it is their main role (Barnett, 2020).</w:t>
      </w:r>
    </w:p>
    <w:p w14:paraId="2405A6B1" w14:textId="2A4691D3" w:rsidR="042D8967" w:rsidRDefault="30147B71" w:rsidP="30147B71">
      <w:pPr>
        <w:ind w:left="720"/>
        <w:jc w:val="both"/>
        <w:rPr>
          <w:rFonts w:ascii="Arial" w:eastAsia="Arial" w:hAnsi="Arial" w:cs="Arial"/>
          <w:i/>
          <w:iCs/>
        </w:rPr>
      </w:pPr>
      <w:r w:rsidRPr="30147B71">
        <w:rPr>
          <w:rFonts w:ascii="Arial" w:eastAsia="Arial" w:hAnsi="Arial" w:cs="Arial"/>
          <w:i/>
          <w:iCs/>
        </w:rPr>
        <w:t>“Not a single specific event or sort-term task” (TUPE, 2006).</w:t>
      </w:r>
    </w:p>
    <w:p w14:paraId="71EB3869" w14:textId="03D17A1D" w:rsidR="042D8967" w:rsidRDefault="30147B71" w:rsidP="30147B71">
      <w:pPr>
        <w:jc w:val="both"/>
        <w:rPr>
          <w:rFonts w:ascii="Arial" w:eastAsia="Arial" w:hAnsi="Arial" w:cs="Arial"/>
        </w:rPr>
      </w:pPr>
      <w:r w:rsidRPr="30147B71">
        <w:rPr>
          <w:rFonts w:ascii="Arial" w:eastAsia="Arial" w:hAnsi="Arial" w:cs="Arial"/>
        </w:rPr>
        <w:t xml:space="preserve">As stated, the outsourcing has occurred for a “few years”, therefore it would seem this criterion applies. </w:t>
      </w:r>
    </w:p>
    <w:p w14:paraId="4C2AD023" w14:textId="78B0107B" w:rsidR="042D8967" w:rsidRDefault="30147B71" w:rsidP="30147B71">
      <w:pPr>
        <w:ind w:left="720"/>
        <w:jc w:val="both"/>
        <w:rPr>
          <w:rFonts w:ascii="Arial" w:eastAsia="Arial" w:hAnsi="Arial" w:cs="Arial"/>
          <w:i/>
          <w:iCs/>
        </w:rPr>
      </w:pPr>
      <w:r w:rsidRPr="30147B71">
        <w:rPr>
          <w:rFonts w:ascii="Arial" w:eastAsia="Arial" w:hAnsi="Arial" w:cs="Arial"/>
          <w:i/>
          <w:iCs/>
        </w:rPr>
        <w:t>“Not wholly or mainly the supply of goods for the client’s use” (TUPE, 2006).</w:t>
      </w:r>
    </w:p>
    <w:p w14:paraId="6B2E69EC" w14:textId="6E5690DC" w:rsidR="042D8967" w:rsidRDefault="30147B71" w:rsidP="30147B71">
      <w:pPr>
        <w:jc w:val="both"/>
        <w:rPr>
          <w:rFonts w:ascii="Arial" w:eastAsia="Arial" w:hAnsi="Arial" w:cs="Arial"/>
        </w:rPr>
      </w:pPr>
      <w:r w:rsidRPr="30147B71">
        <w:rPr>
          <w:rFonts w:ascii="Arial" w:eastAsia="Arial" w:hAnsi="Arial" w:cs="Arial"/>
        </w:rPr>
        <w:t xml:space="preserve">The activities carried out must be the provision of service, which is outlined in the email, therefore it would seem this criterion would also apply.  </w:t>
      </w:r>
    </w:p>
    <w:p w14:paraId="2A53EBB5" w14:textId="23F23878" w:rsidR="042D8967" w:rsidRDefault="30147B71" w:rsidP="30147B71">
      <w:pPr>
        <w:jc w:val="both"/>
        <w:rPr>
          <w:rFonts w:ascii="Arial" w:eastAsia="Arial" w:hAnsi="Arial" w:cs="Arial"/>
          <w:b/>
          <w:bCs/>
          <w:u w:val="single"/>
        </w:rPr>
      </w:pPr>
      <w:r w:rsidRPr="30147B71">
        <w:rPr>
          <w:rFonts w:ascii="Arial" w:eastAsia="Arial" w:hAnsi="Arial" w:cs="Arial"/>
          <w:b/>
          <w:bCs/>
          <w:u w:val="single"/>
        </w:rPr>
        <w:t>Rights and obligations</w:t>
      </w:r>
    </w:p>
    <w:p w14:paraId="36C39550" w14:textId="0C48A9D1" w:rsidR="042D8967" w:rsidRDefault="30147B71" w:rsidP="30147B71">
      <w:pPr>
        <w:jc w:val="both"/>
        <w:rPr>
          <w:rFonts w:ascii="Arial" w:eastAsia="Arial" w:hAnsi="Arial" w:cs="Arial"/>
        </w:rPr>
      </w:pPr>
      <w:r w:rsidRPr="30147B71">
        <w:rPr>
          <w:rFonts w:ascii="Arial" w:eastAsia="Arial" w:hAnsi="Arial" w:cs="Arial"/>
        </w:rPr>
        <w:t xml:space="preserve">Based on how TUPE would potentially apply: </w:t>
      </w:r>
    </w:p>
    <w:p w14:paraId="46DF164F" w14:textId="417B6F38" w:rsidR="042D8967" w:rsidRDefault="30147B71" w:rsidP="30147B71">
      <w:pPr>
        <w:jc w:val="both"/>
        <w:rPr>
          <w:rFonts w:ascii="Arial" w:eastAsia="Arial" w:hAnsi="Arial" w:cs="Arial"/>
        </w:rPr>
      </w:pPr>
      <w:r w:rsidRPr="30147B71">
        <w:rPr>
          <w:rFonts w:ascii="Arial" w:eastAsia="Arial" w:hAnsi="Arial" w:cs="Arial"/>
        </w:rPr>
        <w:t xml:space="preserve">In instances of a service provision change, those employed specifically to carry out the services in question, will automatically (based on their legal right) to transfer from Payment Providers to Scrumpy Cider on their current employment terms, </w:t>
      </w:r>
      <w:proofErr w:type="gramStart"/>
      <w:r w:rsidRPr="30147B71">
        <w:rPr>
          <w:rFonts w:ascii="Arial" w:eastAsia="Arial" w:hAnsi="Arial" w:cs="Arial"/>
        </w:rPr>
        <w:t>conditions</w:t>
      </w:r>
      <w:proofErr w:type="gramEnd"/>
      <w:r w:rsidRPr="30147B71">
        <w:rPr>
          <w:rFonts w:ascii="Arial" w:eastAsia="Arial" w:hAnsi="Arial" w:cs="Arial"/>
        </w:rPr>
        <w:t xml:space="preserve"> and rights. If the business decides not to employee any of these individuals, the business is likely liable for an automatic unfair dismissal claim (based on minimum 2 years' service requirement), unless the business can demonstrate an economic, </w:t>
      </w:r>
      <w:proofErr w:type="gramStart"/>
      <w:r w:rsidRPr="30147B71">
        <w:rPr>
          <w:rFonts w:ascii="Arial" w:eastAsia="Arial" w:hAnsi="Arial" w:cs="Arial"/>
        </w:rPr>
        <w:t>technical</w:t>
      </w:r>
      <w:proofErr w:type="gramEnd"/>
      <w:r w:rsidRPr="30147B71">
        <w:rPr>
          <w:rFonts w:ascii="Arial" w:eastAsia="Arial" w:hAnsi="Arial" w:cs="Arial"/>
        </w:rPr>
        <w:t xml:space="preserve"> or organisational reason (ETO) (England and Buckle, 2022). </w:t>
      </w:r>
    </w:p>
    <w:p w14:paraId="63C96E29" w14:textId="3F4D3603" w:rsidR="042D8967" w:rsidRDefault="30147B71" w:rsidP="30147B71">
      <w:pPr>
        <w:jc w:val="both"/>
        <w:rPr>
          <w:rFonts w:ascii="Arial" w:eastAsia="Arial" w:hAnsi="Arial" w:cs="Arial"/>
        </w:rPr>
      </w:pPr>
      <w:r w:rsidRPr="30147B71">
        <w:rPr>
          <w:rFonts w:ascii="Arial" w:eastAsia="Arial" w:hAnsi="Arial" w:cs="Arial"/>
        </w:rPr>
        <w:t>As stated, the business has sufficient staffing to insource the services. Lawful variations of contracts can be made alongside a fair dismissal e.g., redundancy, if for a legitimate ETO business reason, unconnected to the TUPE transfer, relating to day-to-day changes in business operations, employee headcount or their functions (Morris, 2022c). Should this be the case, the business can begin consulting with individuals prior to the transfer, in agreement with Payment Provider, but it cannot be concluded until the transfer is complete (Chappell, 2023).</w:t>
      </w:r>
    </w:p>
    <w:p w14:paraId="08F0BFC8" w14:textId="04CC914E" w:rsidR="042D8967" w:rsidRDefault="30147B71" w:rsidP="30147B71">
      <w:pPr>
        <w:jc w:val="both"/>
        <w:rPr>
          <w:rFonts w:ascii="Arial" w:eastAsia="Arial" w:hAnsi="Arial" w:cs="Arial"/>
        </w:rPr>
      </w:pPr>
      <w:r w:rsidRPr="30147B71">
        <w:rPr>
          <w:rFonts w:ascii="Arial" w:eastAsia="Arial" w:hAnsi="Arial" w:cs="Arial"/>
          <w:b/>
          <w:bCs/>
          <w:u w:val="single"/>
        </w:rPr>
        <w:t xml:space="preserve">Next steps </w:t>
      </w:r>
    </w:p>
    <w:p w14:paraId="17E0F031" w14:textId="610CC2ED" w:rsidR="042D8967" w:rsidRDefault="30147B71" w:rsidP="30147B71">
      <w:pPr>
        <w:jc w:val="both"/>
        <w:rPr>
          <w:rFonts w:ascii="Arial" w:eastAsia="Arial" w:hAnsi="Arial" w:cs="Arial"/>
        </w:rPr>
      </w:pPr>
      <w:r w:rsidRPr="30147B71">
        <w:rPr>
          <w:rFonts w:ascii="Arial" w:eastAsia="Arial" w:hAnsi="Arial" w:cs="Arial"/>
        </w:rPr>
        <w:t xml:space="preserve">The provision of TUPE is fact specific, therefore without </w:t>
      </w:r>
      <w:proofErr w:type="gramStart"/>
      <w:r w:rsidRPr="30147B71">
        <w:rPr>
          <w:rFonts w:ascii="Arial" w:eastAsia="Arial" w:hAnsi="Arial" w:cs="Arial"/>
        </w:rPr>
        <w:t>all of</w:t>
      </w:r>
      <w:proofErr w:type="gramEnd"/>
      <w:r w:rsidRPr="30147B71">
        <w:rPr>
          <w:rFonts w:ascii="Arial" w:eastAsia="Arial" w:hAnsi="Arial" w:cs="Arial"/>
        </w:rPr>
        <w:t xml:space="preserve"> the information, I am unable to reach a definitive answer. I would therefore request the below information is compiled:</w:t>
      </w:r>
    </w:p>
    <w:p w14:paraId="7E3C7491" w14:textId="5F57B669" w:rsidR="042D8967" w:rsidRDefault="30147B71" w:rsidP="30147B71">
      <w:pPr>
        <w:pStyle w:val="ListParagraph"/>
        <w:numPr>
          <w:ilvl w:val="0"/>
          <w:numId w:val="2"/>
        </w:numPr>
        <w:jc w:val="both"/>
        <w:rPr>
          <w:rFonts w:ascii="Arial" w:eastAsia="Arial" w:hAnsi="Arial" w:cs="Arial"/>
        </w:rPr>
      </w:pPr>
      <w:r w:rsidRPr="30147B71">
        <w:rPr>
          <w:rFonts w:ascii="Arial" w:eastAsia="Arial" w:hAnsi="Arial" w:cs="Arial"/>
        </w:rPr>
        <w:t>A copy of the commercial contract to understand the detailed terms and consideration in relation to TUPE.</w:t>
      </w:r>
    </w:p>
    <w:p w14:paraId="798AAF56" w14:textId="0E2C5D8B" w:rsidR="042D8967" w:rsidRDefault="30147B71" w:rsidP="30147B71">
      <w:pPr>
        <w:pStyle w:val="ListParagraph"/>
        <w:numPr>
          <w:ilvl w:val="0"/>
          <w:numId w:val="2"/>
        </w:numPr>
        <w:jc w:val="both"/>
        <w:rPr>
          <w:rFonts w:ascii="Arial" w:eastAsia="Arial" w:hAnsi="Arial" w:cs="Arial"/>
        </w:rPr>
      </w:pPr>
      <w:r w:rsidRPr="30147B71">
        <w:rPr>
          <w:rFonts w:ascii="Arial" w:eastAsia="Arial" w:hAnsi="Arial" w:cs="Arial"/>
        </w:rPr>
        <w:t xml:space="preserve">Have part or </w:t>
      </w:r>
      <w:proofErr w:type="gramStart"/>
      <w:r w:rsidRPr="30147B71">
        <w:rPr>
          <w:rFonts w:ascii="Arial" w:eastAsia="Arial" w:hAnsi="Arial" w:cs="Arial"/>
        </w:rPr>
        <w:t>all of</w:t>
      </w:r>
      <w:proofErr w:type="gramEnd"/>
      <w:r w:rsidRPr="30147B71">
        <w:rPr>
          <w:rFonts w:ascii="Arial" w:eastAsia="Arial" w:hAnsi="Arial" w:cs="Arial"/>
        </w:rPr>
        <w:t xml:space="preserve"> the services been subcontracted elsewhere?</w:t>
      </w:r>
    </w:p>
    <w:p w14:paraId="5E2EA93E" w14:textId="3B9377D1" w:rsidR="042D8967" w:rsidRDefault="30147B71" w:rsidP="30147B71">
      <w:pPr>
        <w:pStyle w:val="ListParagraph"/>
        <w:numPr>
          <w:ilvl w:val="0"/>
          <w:numId w:val="2"/>
        </w:numPr>
        <w:jc w:val="both"/>
        <w:rPr>
          <w:rFonts w:ascii="Arial" w:eastAsia="Arial" w:hAnsi="Arial" w:cs="Arial"/>
        </w:rPr>
      </w:pPr>
      <w:r w:rsidRPr="30147B71">
        <w:rPr>
          <w:rFonts w:ascii="Arial" w:eastAsia="Arial" w:hAnsi="Arial" w:cs="Arial"/>
        </w:rPr>
        <w:t>Is there an intentional grouping of staff employed by Payment Providers undertaking the work and if so, how many people?</w:t>
      </w:r>
      <w:r w:rsidR="042D8967">
        <w:br/>
      </w:r>
      <w:r w:rsidR="042D8967">
        <w:tab/>
      </w:r>
      <w:r w:rsidRPr="30147B71">
        <w:rPr>
          <w:rFonts w:ascii="Arial" w:eastAsia="Arial" w:hAnsi="Arial" w:cs="Arial"/>
        </w:rPr>
        <w:t>(If so, all 3 criteria have been met for TUPE to apply)</w:t>
      </w:r>
    </w:p>
    <w:p w14:paraId="3F90F88F" w14:textId="7B1790B7" w:rsidR="042D8967" w:rsidRDefault="30147B71" w:rsidP="30147B71">
      <w:pPr>
        <w:pStyle w:val="ListParagraph"/>
        <w:numPr>
          <w:ilvl w:val="0"/>
          <w:numId w:val="2"/>
        </w:numPr>
        <w:jc w:val="both"/>
        <w:rPr>
          <w:rFonts w:ascii="Arial" w:eastAsia="Arial" w:hAnsi="Arial" w:cs="Arial"/>
        </w:rPr>
      </w:pPr>
      <w:r w:rsidRPr="30147B71">
        <w:rPr>
          <w:rFonts w:ascii="Arial" w:eastAsia="Arial" w:hAnsi="Arial" w:cs="Arial"/>
        </w:rPr>
        <w:t>The contractual details of all individuals implicated to understand the implications of potential automatic transfer.</w:t>
      </w:r>
    </w:p>
    <w:p w14:paraId="6F8E47C7" w14:textId="285A853A" w:rsidR="042D8967" w:rsidRDefault="30147B71" w:rsidP="30147B71">
      <w:pPr>
        <w:pStyle w:val="ListParagraph"/>
        <w:numPr>
          <w:ilvl w:val="0"/>
          <w:numId w:val="2"/>
        </w:numPr>
        <w:jc w:val="both"/>
        <w:rPr>
          <w:rFonts w:ascii="Arial" w:eastAsia="Arial" w:hAnsi="Arial" w:cs="Arial"/>
        </w:rPr>
      </w:pPr>
      <w:r w:rsidRPr="30147B71">
        <w:rPr>
          <w:rFonts w:ascii="Arial" w:eastAsia="Arial" w:hAnsi="Arial" w:cs="Arial"/>
        </w:rPr>
        <w:t xml:space="preserve">The length of service of </w:t>
      </w:r>
      <w:proofErr w:type="gramStart"/>
      <w:r w:rsidRPr="30147B71">
        <w:rPr>
          <w:rFonts w:ascii="Arial" w:eastAsia="Arial" w:hAnsi="Arial" w:cs="Arial"/>
        </w:rPr>
        <w:t>each individual</w:t>
      </w:r>
      <w:proofErr w:type="gramEnd"/>
      <w:r w:rsidRPr="30147B71">
        <w:rPr>
          <w:rFonts w:ascii="Arial" w:eastAsia="Arial" w:hAnsi="Arial" w:cs="Arial"/>
        </w:rPr>
        <w:t xml:space="preserve"> – to understand unfair dismissal risks.</w:t>
      </w:r>
    </w:p>
    <w:p w14:paraId="43C9CFB9" w14:textId="77777777" w:rsidR="00213DA1" w:rsidRDefault="00213DA1" w:rsidP="30147B71">
      <w:pPr>
        <w:rPr>
          <w:rFonts w:ascii="Arial" w:eastAsia="Arial" w:hAnsi="Arial" w:cs="Arial"/>
          <w:b/>
          <w:bCs/>
          <w:color w:val="000000" w:themeColor="text1"/>
          <w:u w:val="single"/>
        </w:rPr>
      </w:pPr>
    </w:p>
    <w:p w14:paraId="26B68E1A" w14:textId="77777777" w:rsidR="00213DA1" w:rsidRDefault="00213DA1" w:rsidP="30147B71">
      <w:pPr>
        <w:rPr>
          <w:rFonts w:ascii="Arial" w:eastAsia="Arial" w:hAnsi="Arial" w:cs="Arial"/>
          <w:b/>
          <w:bCs/>
          <w:color w:val="000000" w:themeColor="text1"/>
          <w:u w:val="single"/>
        </w:rPr>
      </w:pPr>
    </w:p>
    <w:p w14:paraId="32FB6868" w14:textId="3032C4D9" w:rsidR="363618A7" w:rsidRDefault="30147B71" w:rsidP="30147B71">
      <w:pPr>
        <w:rPr>
          <w:rFonts w:ascii="Arial" w:eastAsia="Arial" w:hAnsi="Arial" w:cs="Arial"/>
          <w:color w:val="000000" w:themeColor="text1"/>
          <w:u w:val="single"/>
        </w:rPr>
      </w:pPr>
      <w:r w:rsidRPr="30147B71">
        <w:rPr>
          <w:rFonts w:ascii="Arial" w:eastAsia="Arial" w:hAnsi="Arial" w:cs="Arial"/>
          <w:b/>
          <w:bCs/>
          <w:color w:val="000000" w:themeColor="text1"/>
          <w:u w:val="single"/>
        </w:rPr>
        <w:lastRenderedPageBreak/>
        <w:t>References</w:t>
      </w:r>
    </w:p>
    <w:p w14:paraId="1386E10D" w14:textId="34594E77"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ACAS (2015) </w:t>
      </w:r>
      <w:r w:rsidRPr="30147B71">
        <w:rPr>
          <w:rFonts w:ascii="Arial" w:eastAsia="Arial" w:hAnsi="Arial" w:cs="Arial"/>
          <w:i/>
          <w:iCs/>
          <w:color w:val="000000" w:themeColor="text1"/>
        </w:rPr>
        <w:t>Code of practice on disciplinary and grievance procedures</w:t>
      </w:r>
      <w:r w:rsidRPr="30147B71">
        <w:rPr>
          <w:rFonts w:ascii="Arial" w:eastAsia="Arial" w:hAnsi="Arial" w:cs="Arial"/>
          <w:color w:val="000000" w:themeColor="text1"/>
        </w:rPr>
        <w:t xml:space="preserve">, </w:t>
      </w:r>
      <w:proofErr w:type="spellStart"/>
      <w:r w:rsidRPr="30147B71">
        <w:rPr>
          <w:rFonts w:ascii="Arial" w:eastAsia="Arial" w:hAnsi="Arial" w:cs="Arial"/>
          <w:i/>
          <w:iCs/>
          <w:color w:val="000000" w:themeColor="text1"/>
        </w:rPr>
        <w:t>Acas</w:t>
      </w:r>
      <w:proofErr w:type="spellEnd"/>
      <w:r w:rsidRPr="30147B71">
        <w:rPr>
          <w:rFonts w:ascii="Arial" w:eastAsia="Arial" w:hAnsi="Arial" w:cs="Arial"/>
          <w:color w:val="000000" w:themeColor="text1"/>
        </w:rPr>
        <w:t xml:space="preserve">. Available at: </w:t>
      </w:r>
      <w:hyperlink r:id="rId5">
        <w:r w:rsidRPr="30147B71">
          <w:rPr>
            <w:rStyle w:val="Hyperlink"/>
            <w:rFonts w:ascii="Arial" w:eastAsia="Arial" w:hAnsi="Arial" w:cs="Arial"/>
          </w:rPr>
          <w:t>https://www.acas.org.uk/acas-code-of-practice-for-disciplinary-and-grievance-procedures/html</w:t>
        </w:r>
      </w:hyperlink>
      <w:r w:rsidRPr="30147B71">
        <w:rPr>
          <w:rFonts w:ascii="Arial" w:eastAsia="Arial" w:hAnsi="Arial" w:cs="Arial"/>
          <w:color w:val="000000" w:themeColor="text1"/>
        </w:rPr>
        <w:t xml:space="preserve"> (Accessed: 14 May 2023).</w:t>
      </w:r>
    </w:p>
    <w:p w14:paraId="4AC60799" w14:textId="2D0A71DD"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‘Alexander v Home Office’ (1988) </w:t>
      </w:r>
      <w:proofErr w:type="spellStart"/>
      <w:r w:rsidRPr="30147B71">
        <w:rPr>
          <w:rFonts w:ascii="Arial" w:eastAsia="Arial" w:hAnsi="Arial" w:cs="Arial"/>
          <w:i/>
          <w:iCs/>
          <w:color w:val="000000" w:themeColor="text1"/>
        </w:rPr>
        <w:t>vlex</w:t>
      </w:r>
      <w:proofErr w:type="spellEnd"/>
      <w:r w:rsidRPr="30147B71">
        <w:rPr>
          <w:rFonts w:ascii="Arial" w:eastAsia="Arial" w:hAnsi="Arial" w:cs="Arial"/>
          <w:color w:val="000000" w:themeColor="text1"/>
        </w:rPr>
        <w:t xml:space="preserve">. Available at: </w:t>
      </w:r>
      <w:hyperlink r:id="rId6">
        <w:r w:rsidRPr="30147B71">
          <w:rPr>
            <w:rStyle w:val="Hyperlink"/>
            <w:rFonts w:ascii="Arial" w:eastAsia="Arial" w:hAnsi="Arial" w:cs="Arial"/>
          </w:rPr>
          <w:t>https://vlex.co.uk/vid/alexander-v-home-office-793779277</w:t>
        </w:r>
      </w:hyperlink>
      <w:r w:rsidRPr="30147B71">
        <w:rPr>
          <w:rFonts w:ascii="Arial" w:eastAsia="Arial" w:hAnsi="Arial" w:cs="Arial"/>
          <w:color w:val="000000" w:themeColor="text1"/>
        </w:rPr>
        <w:t xml:space="preserve"> (Accessed: 11 May 2023).</w:t>
      </w:r>
    </w:p>
    <w:p w14:paraId="0CC9225B" w14:textId="4E64D851"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‘Allay (UK) Limited v </w:t>
      </w:r>
      <w:proofErr w:type="spellStart"/>
      <w:r w:rsidRPr="30147B71">
        <w:rPr>
          <w:rFonts w:ascii="Arial" w:eastAsia="Arial" w:hAnsi="Arial" w:cs="Arial"/>
          <w:color w:val="000000" w:themeColor="text1"/>
        </w:rPr>
        <w:t>Gehlen</w:t>
      </w:r>
      <w:proofErr w:type="spellEnd"/>
      <w:r w:rsidRPr="30147B71">
        <w:rPr>
          <w:rFonts w:ascii="Arial" w:eastAsia="Arial" w:hAnsi="Arial" w:cs="Arial"/>
          <w:color w:val="000000" w:themeColor="text1"/>
        </w:rPr>
        <w:t xml:space="preserve">’ (2021) </w:t>
      </w:r>
      <w:r w:rsidRPr="30147B71">
        <w:rPr>
          <w:rFonts w:ascii="Arial" w:eastAsia="Arial" w:hAnsi="Arial" w:cs="Arial"/>
          <w:i/>
          <w:iCs/>
          <w:color w:val="000000" w:themeColor="text1"/>
        </w:rPr>
        <w:t xml:space="preserve">HM Courts &amp; Tribunals </w:t>
      </w:r>
      <w:bookmarkStart w:id="1" w:name="_Int_mxMBorsR"/>
      <w:proofErr w:type="gramStart"/>
      <w:r w:rsidRPr="30147B71">
        <w:rPr>
          <w:rFonts w:ascii="Arial" w:eastAsia="Arial" w:hAnsi="Arial" w:cs="Arial"/>
          <w:i/>
          <w:iCs/>
          <w:color w:val="000000" w:themeColor="text1"/>
        </w:rPr>
        <w:t xml:space="preserve">Service </w:t>
      </w:r>
      <w:r w:rsidRPr="30147B71">
        <w:rPr>
          <w:rFonts w:ascii="Arial" w:eastAsia="Arial" w:hAnsi="Arial" w:cs="Arial"/>
          <w:color w:val="000000" w:themeColor="text1"/>
        </w:rPr>
        <w:t>.</w:t>
      </w:r>
      <w:bookmarkEnd w:id="1"/>
      <w:proofErr w:type="gramEnd"/>
      <w:r w:rsidRPr="30147B71">
        <w:rPr>
          <w:rFonts w:ascii="Arial" w:eastAsia="Arial" w:hAnsi="Arial" w:cs="Arial"/>
          <w:color w:val="000000" w:themeColor="text1"/>
        </w:rPr>
        <w:t xml:space="preserve"> Available at: </w:t>
      </w:r>
      <w:hyperlink r:id="rId7">
        <w:r w:rsidRPr="30147B71">
          <w:rPr>
            <w:rStyle w:val="Hyperlink"/>
            <w:rFonts w:ascii="Arial" w:eastAsia="Arial" w:hAnsi="Arial" w:cs="Arial"/>
          </w:rPr>
          <w:t>https://www.gov.uk/employment-appeal-tribunal-decisions/allay-uk-ltd-v-mr-s-gehlen-ukeat-slash-0031-slash-20-slash-at</w:t>
        </w:r>
      </w:hyperlink>
      <w:r w:rsidRPr="30147B71">
        <w:rPr>
          <w:rFonts w:ascii="Arial" w:eastAsia="Arial" w:hAnsi="Arial" w:cs="Arial"/>
          <w:color w:val="000000" w:themeColor="text1"/>
        </w:rPr>
        <w:t xml:space="preserve"> (Accessed: 10 May 2023).</w:t>
      </w:r>
    </w:p>
    <w:p w14:paraId="207CD74C" w14:textId="2F143F35"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Barnett, D (2020) </w:t>
      </w:r>
      <w:r w:rsidRPr="30147B71">
        <w:rPr>
          <w:rFonts w:ascii="Arial" w:eastAsia="Arial" w:hAnsi="Arial" w:cs="Arial"/>
          <w:i/>
          <w:iCs/>
          <w:color w:val="000000" w:themeColor="text1"/>
        </w:rPr>
        <w:t>Employment Law Handbook</w:t>
      </w:r>
      <w:r w:rsidRPr="30147B71">
        <w:rPr>
          <w:rFonts w:ascii="Arial" w:eastAsia="Arial" w:hAnsi="Arial" w:cs="Arial"/>
          <w:color w:val="000000" w:themeColor="text1"/>
        </w:rPr>
        <w:t xml:space="preserve">. 8th </w:t>
      </w:r>
      <w:proofErr w:type="spellStart"/>
      <w:r w:rsidRPr="30147B71">
        <w:rPr>
          <w:rFonts w:ascii="Arial" w:eastAsia="Arial" w:hAnsi="Arial" w:cs="Arial"/>
          <w:color w:val="000000" w:themeColor="text1"/>
        </w:rPr>
        <w:t>edn</w:t>
      </w:r>
      <w:proofErr w:type="spellEnd"/>
      <w:r w:rsidRPr="30147B71">
        <w:rPr>
          <w:rFonts w:ascii="Arial" w:eastAsia="Arial" w:hAnsi="Arial" w:cs="Arial"/>
          <w:color w:val="000000" w:themeColor="text1"/>
        </w:rPr>
        <w:t>. Watford: Employment Law Services.</w:t>
      </w:r>
    </w:p>
    <w:p w14:paraId="3C41C739" w14:textId="24A3AB13"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Brown, N. (2022) </w:t>
      </w:r>
      <w:r w:rsidRPr="30147B71">
        <w:rPr>
          <w:rFonts w:ascii="Arial" w:eastAsia="Arial" w:hAnsi="Arial" w:cs="Arial"/>
          <w:i/>
          <w:iCs/>
          <w:color w:val="000000" w:themeColor="text1"/>
        </w:rPr>
        <w:t xml:space="preserve">What are </w:t>
      </w:r>
      <w:proofErr w:type="spellStart"/>
      <w:r w:rsidRPr="30147B71">
        <w:rPr>
          <w:rFonts w:ascii="Arial" w:eastAsia="Arial" w:hAnsi="Arial" w:cs="Arial"/>
          <w:i/>
          <w:iCs/>
          <w:color w:val="000000" w:themeColor="text1"/>
        </w:rPr>
        <w:t>vento</w:t>
      </w:r>
      <w:proofErr w:type="spellEnd"/>
      <w:r w:rsidRPr="30147B71">
        <w:rPr>
          <w:rFonts w:ascii="Arial" w:eastAsia="Arial" w:hAnsi="Arial" w:cs="Arial"/>
          <w:i/>
          <w:iCs/>
          <w:color w:val="000000" w:themeColor="text1"/>
        </w:rPr>
        <w:t xml:space="preserve"> bands and what will the new bands </w:t>
      </w:r>
      <w:bookmarkStart w:id="2" w:name="_Int_8Fg1Wpr3"/>
      <w:proofErr w:type="gramStart"/>
      <w:r w:rsidRPr="30147B71">
        <w:rPr>
          <w:rFonts w:ascii="Arial" w:eastAsia="Arial" w:hAnsi="Arial" w:cs="Arial"/>
          <w:i/>
          <w:iCs/>
          <w:color w:val="000000" w:themeColor="text1"/>
        </w:rPr>
        <w:t>be?</w:t>
      </w:r>
      <w:r w:rsidRPr="30147B71">
        <w:rPr>
          <w:rFonts w:ascii="Arial" w:eastAsia="Arial" w:hAnsi="Arial" w:cs="Arial"/>
          <w:color w:val="000000" w:themeColor="text1"/>
        </w:rPr>
        <w:t>,</w:t>
      </w:r>
      <w:bookmarkEnd w:id="2"/>
      <w:proofErr w:type="gramEnd"/>
      <w:r w:rsidRPr="30147B71">
        <w:rPr>
          <w:rFonts w:ascii="Arial" w:eastAsia="Arial" w:hAnsi="Arial" w:cs="Arial"/>
          <w:color w:val="000000" w:themeColor="text1"/>
        </w:rPr>
        <w:t xml:space="preserve"> </w:t>
      </w:r>
      <w:r w:rsidRPr="30147B71">
        <w:rPr>
          <w:rFonts w:ascii="Arial" w:eastAsia="Arial" w:hAnsi="Arial" w:cs="Arial"/>
          <w:i/>
          <w:iCs/>
          <w:color w:val="000000" w:themeColor="text1"/>
        </w:rPr>
        <w:t>Pure Employment Law</w:t>
      </w:r>
      <w:r w:rsidRPr="30147B71">
        <w:rPr>
          <w:rFonts w:ascii="Arial" w:eastAsia="Arial" w:hAnsi="Arial" w:cs="Arial"/>
          <w:color w:val="000000" w:themeColor="text1"/>
        </w:rPr>
        <w:t xml:space="preserve">. Available at: </w:t>
      </w:r>
      <w:hyperlink r:id="rId8">
        <w:r w:rsidRPr="30147B71">
          <w:rPr>
            <w:rStyle w:val="Hyperlink"/>
            <w:rFonts w:ascii="Arial" w:eastAsia="Arial" w:hAnsi="Arial" w:cs="Arial"/>
          </w:rPr>
          <w:t>https://www.pureemploymentlaw.co.uk/what-are-vento-bands-and-what-will-the-new-bands-be/</w:t>
        </w:r>
      </w:hyperlink>
      <w:r w:rsidRPr="30147B71">
        <w:rPr>
          <w:rFonts w:ascii="Arial" w:eastAsia="Arial" w:hAnsi="Arial" w:cs="Arial"/>
          <w:color w:val="000000" w:themeColor="text1"/>
        </w:rPr>
        <w:t xml:space="preserve"> (Accessed: 11 May 2023).</w:t>
      </w:r>
    </w:p>
    <w:p w14:paraId="51857948" w14:textId="42C5B219"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Chappell, C. (2023) </w:t>
      </w:r>
      <w:r w:rsidRPr="30147B71">
        <w:rPr>
          <w:rFonts w:ascii="Arial" w:eastAsia="Arial" w:hAnsi="Arial" w:cs="Arial"/>
          <w:i/>
          <w:iCs/>
          <w:color w:val="000000" w:themeColor="text1"/>
        </w:rPr>
        <w:t xml:space="preserve">Redundancy in a </w:t>
      </w:r>
      <w:proofErr w:type="spellStart"/>
      <w:r w:rsidRPr="30147B71">
        <w:rPr>
          <w:rFonts w:ascii="Arial" w:eastAsia="Arial" w:hAnsi="Arial" w:cs="Arial"/>
          <w:i/>
          <w:iCs/>
          <w:color w:val="000000" w:themeColor="text1"/>
        </w:rPr>
        <w:t>tupe</w:t>
      </w:r>
      <w:proofErr w:type="spellEnd"/>
      <w:r w:rsidRPr="30147B71">
        <w:rPr>
          <w:rFonts w:ascii="Arial" w:eastAsia="Arial" w:hAnsi="Arial" w:cs="Arial"/>
          <w:i/>
          <w:iCs/>
          <w:color w:val="000000" w:themeColor="text1"/>
        </w:rPr>
        <w:t xml:space="preserve"> transfer</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QLAW</w:t>
      </w:r>
      <w:r w:rsidRPr="30147B71">
        <w:rPr>
          <w:rFonts w:ascii="Arial" w:eastAsia="Arial" w:hAnsi="Arial" w:cs="Arial"/>
          <w:color w:val="000000" w:themeColor="text1"/>
        </w:rPr>
        <w:t xml:space="preserve">. Available at: </w:t>
      </w:r>
      <w:hyperlink r:id="rId9">
        <w:r w:rsidRPr="30147B71">
          <w:rPr>
            <w:rStyle w:val="Hyperlink"/>
            <w:rFonts w:ascii="Arial" w:eastAsia="Arial" w:hAnsi="Arial" w:cs="Arial"/>
          </w:rPr>
          <w:t>https://qlaw.co.uk/employment-law/redundancy-in-a-tupe-transfer/</w:t>
        </w:r>
      </w:hyperlink>
      <w:r w:rsidRPr="30147B71">
        <w:rPr>
          <w:rFonts w:ascii="Arial" w:eastAsia="Arial" w:hAnsi="Arial" w:cs="Arial"/>
          <w:color w:val="000000" w:themeColor="text1"/>
        </w:rPr>
        <w:t xml:space="preserve"> (Accessed: 12 May 2023).</w:t>
      </w:r>
    </w:p>
    <w:p w14:paraId="385A3595" w14:textId="7063F88F"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Citizens Advice (2021) </w:t>
      </w:r>
      <w:r w:rsidRPr="30147B71">
        <w:rPr>
          <w:rFonts w:ascii="Arial" w:eastAsia="Arial" w:hAnsi="Arial" w:cs="Arial"/>
          <w:i/>
          <w:iCs/>
          <w:color w:val="000000" w:themeColor="text1"/>
        </w:rPr>
        <w:t>Check what compensation you can get for unfair dismissal</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Citizens Advice</w:t>
      </w:r>
      <w:r w:rsidRPr="30147B71">
        <w:rPr>
          <w:rFonts w:ascii="Arial" w:eastAsia="Arial" w:hAnsi="Arial" w:cs="Arial"/>
          <w:color w:val="000000" w:themeColor="text1"/>
        </w:rPr>
        <w:t xml:space="preserve">. Available at: </w:t>
      </w:r>
      <w:hyperlink r:id="rId10">
        <w:r w:rsidRPr="30147B71">
          <w:rPr>
            <w:rStyle w:val="Hyperlink"/>
            <w:rFonts w:ascii="Arial" w:eastAsia="Arial" w:hAnsi="Arial" w:cs="Arial"/>
          </w:rPr>
          <w:t>https://www.citizensadvice.org.uk/work/employment-tribunals/employment-tribunals/before-you-go-to-the-tribunal/check-what-compensation-you-can-get-for-unfair-dismissal/</w:t>
        </w:r>
      </w:hyperlink>
      <w:r w:rsidRPr="30147B71">
        <w:rPr>
          <w:rFonts w:ascii="Arial" w:eastAsia="Arial" w:hAnsi="Arial" w:cs="Arial"/>
          <w:color w:val="000000" w:themeColor="text1"/>
        </w:rPr>
        <w:t xml:space="preserve"> (Accessed: 10 May 2023).</w:t>
      </w:r>
    </w:p>
    <w:p w14:paraId="7CF4CBC6" w14:textId="70A66E3E"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Citizens Advice (2019) </w:t>
      </w:r>
      <w:r w:rsidRPr="30147B71">
        <w:rPr>
          <w:rFonts w:ascii="Arial" w:eastAsia="Arial" w:hAnsi="Arial" w:cs="Arial"/>
          <w:i/>
          <w:iCs/>
          <w:color w:val="000000" w:themeColor="text1"/>
        </w:rPr>
        <w:t>Work out how much compensation you could get for discrimination</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Citizens Advice</w:t>
      </w:r>
      <w:r w:rsidRPr="30147B71">
        <w:rPr>
          <w:rFonts w:ascii="Arial" w:eastAsia="Arial" w:hAnsi="Arial" w:cs="Arial"/>
          <w:color w:val="000000" w:themeColor="text1"/>
        </w:rPr>
        <w:t xml:space="preserve">. Available at: </w:t>
      </w:r>
      <w:hyperlink r:id="rId11">
        <w:r w:rsidRPr="30147B71">
          <w:rPr>
            <w:rStyle w:val="Hyperlink"/>
            <w:rFonts w:ascii="Arial" w:eastAsia="Arial" w:hAnsi="Arial" w:cs="Arial"/>
          </w:rPr>
          <w:t>https://www.citizensadvice.org.uk/work/discrimination-at-work/discrimination-at-work/taking-action/work-out-how-much-compensation-you-could-get-for-discrimination-work/</w:t>
        </w:r>
      </w:hyperlink>
      <w:r w:rsidRPr="30147B71">
        <w:rPr>
          <w:rFonts w:ascii="Arial" w:eastAsia="Arial" w:hAnsi="Arial" w:cs="Arial"/>
          <w:color w:val="000000" w:themeColor="text1"/>
        </w:rPr>
        <w:t xml:space="preserve"> (Accessed: 10 May 2023).</w:t>
      </w:r>
    </w:p>
    <w:p w14:paraId="65A11F0F" w14:textId="515A0854"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Daw, C. (2022) </w:t>
      </w:r>
      <w:r w:rsidRPr="30147B71">
        <w:rPr>
          <w:rFonts w:ascii="Arial" w:eastAsia="Arial" w:hAnsi="Arial" w:cs="Arial"/>
          <w:i/>
          <w:iCs/>
          <w:color w:val="000000" w:themeColor="text1"/>
        </w:rPr>
        <w:t xml:space="preserve">Is it better to settle or fight an employment tribunal </w:t>
      </w:r>
      <w:bookmarkStart w:id="3" w:name="_Int_7OVd9G3C"/>
      <w:proofErr w:type="gramStart"/>
      <w:r w:rsidRPr="30147B71">
        <w:rPr>
          <w:rFonts w:ascii="Arial" w:eastAsia="Arial" w:hAnsi="Arial" w:cs="Arial"/>
          <w:i/>
          <w:iCs/>
          <w:color w:val="000000" w:themeColor="text1"/>
        </w:rPr>
        <w:t>claim?</w:t>
      </w:r>
      <w:r w:rsidRPr="30147B71">
        <w:rPr>
          <w:rFonts w:ascii="Arial" w:eastAsia="Arial" w:hAnsi="Arial" w:cs="Arial"/>
          <w:color w:val="000000" w:themeColor="text1"/>
        </w:rPr>
        <w:t>,</w:t>
      </w:r>
      <w:bookmarkEnd w:id="3"/>
      <w:proofErr w:type="gramEnd"/>
      <w:r w:rsidRPr="30147B71">
        <w:rPr>
          <w:rFonts w:ascii="Arial" w:eastAsia="Arial" w:hAnsi="Arial" w:cs="Arial"/>
          <w:color w:val="000000" w:themeColor="text1"/>
        </w:rPr>
        <w:t xml:space="preserve"> </w:t>
      </w:r>
      <w:proofErr w:type="spellStart"/>
      <w:r w:rsidRPr="30147B71">
        <w:rPr>
          <w:rFonts w:ascii="Arial" w:eastAsia="Arial" w:hAnsi="Arial" w:cs="Arial"/>
          <w:i/>
          <w:iCs/>
          <w:color w:val="000000" w:themeColor="text1"/>
        </w:rPr>
        <w:t>Brachers</w:t>
      </w:r>
      <w:proofErr w:type="spellEnd"/>
      <w:r w:rsidRPr="30147B71">
        <w:rPr>
          <w:rFonts w:ascii="Arial" w:eastAsia="Arial" w:hAnsi="Arial" w:cs="Arial"/>
          <w:color w:val="000000" w:themeColor="text1"/>
        </w:rPr>
        <w:t xml:space="preserve">. Available at: </w:t>
      </w:r>
      <w:hyperlink r:id="rId12">
        <w:r w:rsidRPr="30147B71">
          <w:rPr>
            <w:rStyle w:val="Hyperlink"/>
            <w:rFonts w:ascii="Arial" w:eastAsia="Arial" w:hAnsi="Arial" w:cs="Arial"/>
          </w:rPr>
          <w:t>https://www.brachers.co.uk/insights/is-it-better-to-settle-or-fight-an-employment-tribunal-claim</w:t>
        </w:r>
      </w:hyperlink>
      <w:r w:rsidRPr="30147B71">
        <w:rPr>
          <w:rFonts w:ascii="Arial" w:eastAsia="Arial" w:hAnsi="Arial" w:cs="Arial"/>
          <w:color w:val="000000" w:themeColor="text1"/>
        </w:rPr>
        <w:t xml:space="preserve"> (Accessed: 11 May 2023).</w:t>
      </w:r>
    </w:p>
    <w:p w14:paraId="063ABF7E" w14:textId="3BCB566F"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England, A. and Buckle, J. (2022) </w:t>
      </w:r>
      <w:r w:rsidRPr="30147B71">
        <w:rPr>
          <w:rFonts w:ascii="Arial" w:eastAsia="Arial" w:hAnsi="Arial" w:cs="Arial"/>
          <w:i/>
          <w:iCs/>
          <w:color w:val="000000" w:themeColor="text1"/>
        </w:rPr>
        <w:t xml:space="preserve">Gateley - </w:t>
      </w:r>
      <w:proofErr w:type="spellStart"/>
      <w:r w:rsidRPr="30147B71">
        <w:rPr>
          <w:rFonts w:ascii="Arial" w:eastAsia="Arial" w:hAnsi="Arial" w:cs="Arial"/>
          <w:i/>
          <w:iCs/>
          <w:color w:val="000000" w:themeColor="text1"/>
        </w:rPr>
        <w:t>Tupe</w:t>
      </w:r>
      <w:proofErr w:type="spellEnd"/>
      <w:r w:rsidRPr="30147B71">
        <w:rPr>
          <w:rFonts w:ascii="Arial" w:eastAsia="Arial" w:hAnsi="Arial" w:cs="Arial"/>
          <w:i/>
          <w:iCs/>
          <w:color w:val="000000" w:themeColor="text1"/>
        </w:rPr>
        <w:t xml:space="preserve"> or not to </w:t>
      </w:r>
      <w:proofErr w:type="spellStart"/>
      <w:r w:rsidRPr="30147B71">
        <w:rPr>
          <w:rFonts w:ascii="Arial" w:eastAsia="Arial" w:hAnsi="Arial" w:cs="Arial"/>
          <w:i/>
          <w:iCs/>
          <w:color w:val="000000" w:themeColor="text1"/>
        </w:rPr>
        <w:t>Tupe</w:t>
      </w:r>
      <w:proofErr w:type="spellEnd"/>
      <w:r w:rsidRPr="30147B71">
        <w:rPr>
          <w:rFonts w:ascii="Arial" w:eastAsia="Arial" w:hAnsi="Arial" w:cs="Arial"/>
          <w:i/>
          <w:iCs/>
          <w:color w:val="000000" w:themeColor="text1"/>
        </w:rPr>
        <w:t>: Service Provision changes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Gateley PLC</w:t>
      </w:r>
      <w:r w:rsidRPr="30147B71">
        <w:rPr>
          <w:rFonts w:ascii="Arial" w:eastAsia="Arial" w:hAnsi="Arial" w:cs="Arial"/>
          <w:color w:val="000000" w:themeColor="text1"/>
        </w:rPr>
        <w:t xml:space="preserve">. Available at: </w:t>
      </w:r>
      <w:hyperlink r:id="rId13">
        <w:r w:rsidRPr="30147B71">
          <w:rPr>
            <w:rStyle w:val="Hyperlink"/>
            <w:rFonts w:ascii="Arial" w:eastAsia="Arial" w:hAnsi="Arial" w:cs="Arial"/>
          </w:rPr>
          <w:t>https://gateleyplc.com/insight/in-depth/tupe-or-not-to-tupe-service-provision-changes/</w:t>
        </w:r>
      </w:hyperlink>
      <w:r w:rsidRPr="30147B71">
        <w:rPr>
          <w:rFonts w:ascii="Arial" w:eastAsia="Arial" w:hAnsi="Arial" w:cs="Arial"/>
          <w:color w:val="000000" w:themeColor="text1"/>
        </w:rPr>
        <w:t xml:space="preserve"> (Accessed: 12 May 2023).</w:t>
      </w:r>
    </w:p>
    <w:p w14:paraId="12A7D8B4" w14:textId="28763986" w:rsidR="363618A7" w:rsidRDefault="30147B71" w:rsidP="30147B71">
      <w:pPr>
        <w:rPr>
          <w:rFonts w:ascii="Arial" w:eastAsia="Arial" w:hAnsi="Arial" w:cs="Arial"/>
          <w:i/>
          <w:iCs/>
          <w:color w:val="000000" w:themeColor="text1"/>
        </w:rPr>
      </w:pPr>
      <w:r w:rsidRPr="30147B71">
        <w:rPr>
          <w:rFonts w:ascii="Arial" w:eastAsia="Arial" w:hAnsi="Arial" w:cs="Arial"/>
          <w:i/>
          <w:iCs/>
          <w:color w:val="000000" w:themeColor="text1"/>
        </w:rPr>
        <w:t xml:space="preserve">Equality Act 2010. </w:t>
      </w:r>
      <w:r w:rsidRPr="30147B71">
        <w:rPr>
          <w:rFonts w:ascii="Arial" w:eastAsia="Arial" w:hAnsi="Arial" w:cs="Arial"/>
          <w:color w:val="000000" w:themeColor="text1"/>
        </w:rPr>
        <w:t xml:space="preserve">Available at: </w:t>
      </w:r>
      <w:hyperlink r:id="rId14">
        <w:r w:rsidRPr="30147B71">
          <w:rPr>
            <w:rStyle w:val="Hyperlink"/>
            <w:rFonts w:ascii="Arial" w:eastAsia="Arial" w:hAnsi="Arial" w:cs="Arial"/>
          </w:rPr>
          <w:t>https://www.legislation.gov.uk/ukpga/2010/15/contents</w:t>
        </w:r>
      </w:hyperlink>
      <w:r w:rsidRPr="30147B71">
        <w:rPr>
          <w:rFonts w:ascii="Arial" w:eastAsia="Arial" w:hAnsi="Arial" w:cs="Arial"/>
          <w:color w:val="000000" w:themeColor="text1"/>
        </w:rPr>
        <w:t xml:space="preserve"> (Accessed: 10 May 2023).</w:t>
      </w:r>
    </w:p>
    <w:p w14:paraId="678E793B" w14:textId="7D46F149"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Gov.uk (2020) </w:t>
      </w:r>
      <w:r w:rsidRPr="30147B71">
        <w:rPr>
          <w:rFonts w:ascii="Arial" w:eastAsia="Arial" w:hAnsi="Arial" w:cs="Arial"/>
          <w:i/>
          <w:iCs/>
          <w:color w:val="000000" w:themeColor="text1"/>
        </w:rPr>
        <w:t>Dismissal: Your rights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GOV.UK</w:t>
      </w:r>
      <w:r w:rsidRPr="30147B71">
        <w:rPr>
          <w:rFonts w:ascii="Arial" w:eastAsia="Arial" w:hAnsi="Arial" w:cs="Arial"/>
          <w:color w:val="000000" w:themeColor="text1"/>
        </w:rPr>
        <w:t xml:space="preserve">. Available at: </w:t>
      </w:r>
      <w:hyperlink r:id="rId15" w:anchor=":~:text=Constructive%20dismissal%20is%20when%20you,demote%20you%20for%20no%20reason">
        <w:r w:rsidRPr="30147B71">
          <w:rPr>
            <w:rStyle w:val="Hyperlink"/>
            <w:rFonts w:ascii="Arial" w:eastAsia="Arial" w:hAnsi="Arial" w:cs="Arial"/>
          </w:rPr>
          <w:t>https://www.gov.uk/dismissal/unfair-and-constructive-dismissal#:~:text=Constructive%20dismissal%20is%20when%20you,demote%20you%20for%20no%20reason</w:t>
        </w:r>
      </w:hyperlink>
      <w:r w:rsidRPr="30147B71">
        <w:rPr>
          <w:rFonts w:ascii="Arial" w:eastAsia="Arial" w:hAnsi="Arial" w:cs="Arial"/>
          <w:color w:val="000000" w:themeColor="text1"/>
        </w:rPr>
        <w:t xml:space="preserve"> (Accessed: 14 May 2023).</w:t>
      </w:r>
    </w:p>
    <w:p w14:paraId="38FAFC22" w14:textId="3E1DC285"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HM Courts &amp; Tribunals Service (2021) </w:t>
      </w:r>
      <w:r w:rsidRPr="30147B71">
        <w:rPr>
          <w:rFonts w:ascii="Arial" w:eastAsia="Arial" w:hAnsi="Arial" w:cs="Arial"/>
          <w:i/>
          <w:iCs/>
          <w:color w:val="000000" w:themeColor="text1"/>
        </w:rPr>
        <w:t>Form ET3: Respond to a claim made to an employment tribunal</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GOV.UK</w:t>
      </w:r>
      <w:r w:rsidRPr="30147B71">
        <w:rPr>
          <w:rFonts w:ascii="Arial" w:eastAsia="Arial" w:hAnsi="Arial" w:cs="Arial"/>
          <w:color w:val="000000" w:themeColor="text1"/>
        </w:rPr>
        <w:t xml:space="preserve">. Available at: </w:t>
      </w:r>
      <w:hyperlink r:id="rId16">
        <w:r w:rsidRPr="30147B71">
          <w:rPr>
            <w:rStyle w:val="Hyperlink"/>
            <w:rFonts w:ascii="Arial" w:eastAsia="Arial" w:hAnsi="Arial" w:cs="Arial"/>
          </w:rPr>
          <w:t>https://www.gov.uk/government/publications/respond-to-a-claim-made-to-an-employment-tribunal-form-et3</w:t>
        </w:r>
      </w:hyperlink>
      <w:r w:rsidRPr="30147B71">
        <w:rPr>
          <w:rFonts w:ascii="Arial" w:eastAsia="Arial" w:hAnsi="Arial" w:cs="Arial"/>
          <w:color w:val="000000" w:themeColor="text1"/>
        </w:rPr>
        <w:t xml:space="preserve"> (Accessed: 14 May 2023).</w:t>
      </w:r>
    </w:p>
    <w:p w14:paraId="7079EA2B" w14:textId="6854B82F"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w:t>
      </w:r>
      <w:proofErr w:type="spellStart"/>
      <w:r w:rsidRPr="30147B71">
        <w:rPr>
          <w:rFonts w:ascii="Arial" w:eastAsia="Arial" w:hAnsi="Arial" w:cs="Arial"/>
          <w:color w:val="000000" w:themeColor="text1"/>
        </w:rPr>
        <w:t>Institu</w:t>
      </w:r>
      <w:proofErr w:type="spellEnd"/>
      <w:r w:rsidRPr="30147B71">
        <w:rPr>
          <w:rFonts w:ascii="Arial" w:eastAsia="Arial" w:hAnsi="Arial" w:cs="Arial"/>
          <w:color w:val="000000" w:themeColor="text1"/>
        </w:rPr>
        <w:t xml:space="preserve"> Cleaning Co Ltd v Heads’ (1995) </w:t>
      </w:r>
      <w:proofErr w:type="spellStart"/>
      <w:r w:rsidRPr="30147B71">
        <w:rPr>
          <w:rFonts w:ascii="Arial" w:eastAsia="Arial" w:hAnsi="Arial" w:cs="Arial"/>
          <w:i/>
          <w:iCs/>
          <w:color w:val="000000" w:themeColor="text1"/>
        </w:rPr>
        <w:t>Casemine</w:t>
      </w:r>
      <w:proofErr w:type="spellEnd"/>
      <w:r w:rsidRPr="30147B71">
        <w:rPr>
          <w:rFonts w:ascii="Arial" w:eastAsia="Arial" w:hAnsi="Arial" w:cs="Arial"/>
          <w:color w:val="000000" w:themeColor="text1"/>
        </w:rPr>
        <w:t xml:space="preserve">. Available at: </w:t>
      </w:r>
      <w:hyperlink r:id="rId17">
        <w:r w:rsidRPr="30147B71">
          <w:rPr>
            <w:rStyle w:val="Hyperlink"/>
            <w:rFonts w:ascii="Arial" w:eastAsia="Arial" w:hAnsi="Arial" w:cs="Arial"/>
          </w:rPr>
          <w:t>https://www.casemine.com/judgement/uk/5a8ff77e60d03e7f57ead854</w:t>
        </w:r>
      </w:hyperlink>
      <w:r w:rsidRPr="30147B71">
        <w:rPr>
          <w:rFonts w:ascii="Arial" w:eastAsia="Arial" w:hAnsi="Arial" w:cs="Arial"/>
          <w:color w:val="000000" w:themeColor="text1"/>
        </w:rPr>
        <w:t xml:space="preserve"> (Accessed: 10 May 2023).</w:t>
      </w:r>
    </w:p>
    <w:p w14:paraId="4A978F90" w14:textId="0AF61115"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Johnson, H. (2023) </w:t>
      </w:r>
      <w:r w:rsidRPr="30147B71">
        <w:rPr>
          <w:rFonts w:ascii="Arial" w:eastAsia="Arial" w:hAnsi="Arial" w:cs="Arial"/>
          <w:i/>
          <w:iCs/>
          <w:color w:val="000000" w:themeColor="text1"/>
        </w:rPr>
        <w:t>Calculating injury to feelings compensation awards in discrimination claims: Morton Fraser Lawyers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Morton Fraser</w:t>
      </w:r>
      <w:r w:rsidRPr="30147B71">
        <w:rPr>
          <w:rFonts w:ascii="Arial" w:eastAsia="Arial" w:hAnsi="Arial" w:cs="Arial"/>
          <w:color w:val="000000" w:themeColor="text1"/>
        </w:rPr>
        <w:t xml:space="preserve">. Available at: </w:t>
      </w:r>
      <w:hyperlink r:id="rId18">
        <w:r w:rsidRPr="30147B71">
          <w:rPr>
            <w:rStyle w:val="Hyperlink"/>
            <w:rFonts w:ascii="Arial" w:eastAsia="Arial" w:hAnsi="Arial" w:cs="Arial"/>
          </w:rPr>
          <w:t>https://www.morton-fraser.com/insights/calculating-injury-feelings-compensation-awards-discrimination-claims</w:t>
        </w:r>
      </w:hyperlink>
      <w:r w:rsidRPr="30147B71">
        <w:rPr>
          <w:rFonts w:ascii="Arial" w:eastAsia="Arial" w:hAnsi="Arial" w:cs="Arial"/>
          <w:color w:val="000000" w:themeColor="text1"/>
        </w:rPr>
        <w:t xml:space="preserve"> (Accessed: 10 May 2023).</w:t>
      </w:r>
    </w:p>
    <w:p w14:paraId="3CBB7FB4" w14:textId="0DF19DD5" w:rsidR="363618A7" w:rsidRDefault="363618A7" w:rsidP="30147B71">
      <w:pPr>
        <w:ind w:left="567" w:hanging="567"/>
        <w:rPr>
          <w:rFonts w:ascii="Arial" w:eastAsia="Arial" w:hAnsi="Arial" w:cs="Arial"/>
          <w:color w:val="000000" w:themeColor="text1"/>
        </w:rPr>
      </w:pPr>
    </w:p>
    <w:p w14:paraId="79C1F7AB" w14:textId="2E3A51FB"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lastRenderedPageBreak/>
        <w:t xml:space="preserve">Kelly, P. (2021) </w:t>
      </w:r>
      <w:r w:rsidRPr="30147B71">
        <w:rPr>
          <w:rFonts w:ascii="Arial" w:eastAsia="Arial" w:hAnsi="Arial" w:cs="Arial"/>
          <w:i/>
          <w:iCs/>
          <w:color w:val="000000" w:themeColor="text1"/>
        </w:rPr>
        <w:t>The ‘statutory defence’ against discrimination claims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Blacks Solicitors LLP</w:t>
      </w:r>
      <w:r w:rsidRPr="30147B71">
        <w:rPr>
          <w:rFonts w:ascii="Arial" w:eastAsia="Arial" w:hAnsi="Arial" w:cs="Arial"/>
          <w:color w:val="000000" w:themeColor="text1"/>
        </w:rPr>
        <w:t xml:space="preserve">. Available at: </w:t>
      </w:r>
      <w:hyperlink r:id="rId19">
        <w:r w:rsidRPr="30147B71">
          <w:rPr>
            <w:rStyle w:val="Hyperlink"/>
            <w:rFonts w:ascii="Arial" w:eastAsia="Arial" w:hAnsi="Arial" w:cs="Arial"/>
          </w:rPr>
          <w:t>https://www.lawblacks.com/2021/03/02/the-statutory-defence-against-discrimination-claims/</w:t>
        </w:r>
      </w:hyperlink>
      <w:r w:rsidRPr="30147B71">
        <w:rPr>
          <w:rFonts w:ascii="Arial" w:eastAsia="Arial" w:hAnsi="Arial" w:cs="Arial"/>
          <w:color w:val="000000" w:themeColor="text1"/>
        </w:rPr>
        <w:t xml:space="preserve"> (Accessed: 10 May 2023).</w:t>
      </w:r>
    </w:p>
    <w:p w14:paraId="322FCEAD" w14:textId="7B231269"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Landau Law (2022) </w:t>
      </w:r>
      <w:r w:rsidRPr="30147B71">
        <w:rPr>
          <w:rFonts w:ascii="Arial" w:eastAsia="Arial" w:hAnsi="Arial" w:cs="Arial"/>
          <w:i/>
          <w:iCs/>
          <w:color w:val="000000" w:themeColor="text1"/>
        </w:rPr>
        <w:t>Constructive dismissal- employment solicitors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Landau Law</w:t>
      </w:r>
      <w:r w:rsidRPr="30147B71">
        <w:rPr>
          <w:rFonts w:ascii="Arial" w:eastAsia="Arial" w:hAnsi="Arial" w:cs="Arial"/>
          <w:color w:val="000000" w:themeColor="text1"/>
        </w:rPr>
        <w:t xml:space="preserve">. Available at: </w:t>
      </w:r>
      <w:hyperlink r:id="rId20" w:anchor=":~:text=Lodging%20a%20grievance%2D%20an%20important,opportunity%20to%20resolve%20the%20dispute">
        <w:r w:rsidRPr="30147B71">
          <w:rPr>
            <w:rStyle w:val="Hyperlink"/>
            <w:rFonts w:ascii="Arial" w:eastAsia="Arial" w:hAnsi="Arial" w:cs="Arial"/>
          </w:rPr>
          <w:t>https://landaulaw.co.uk/constructive-dismissal/#:~:text=Lodging%20a%20grievance%2D%20an%20important,opportunity%20to%20resolve%20the%20dispute</w:t>
        </w:r>
      </w:hyperlink>
      <w:r w:rsidRPr="30147B71">
        <w:rPr>
          <w:rFonts w:ascii="Arial" w:eastAsia="Arial" w:hAnsi="Arial" w:cs="Arial"/>
          <w:color w:val="000000" w:themeColor="text1"/>
        </w:rPr>
        <w:t>. (Accessed: May 4, 2023).</w:t>
      </w:r>
    </w:p>
    <w:p w14:paraId="7A69258B" w14:textId="066C98DB"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Landau Law (2023a) </w:t>
      </w:r>
      <w:r w:rsidRPr="30147B71">
        <w:rPr>
          <w:rFonts w:ascii="Arial" w:eastAsia="Arial" w:hAnsi="Arial" w:cs="Arial"/>
          <w:i/>
          <w:iCs/>
          <w:color w:val="000000" w:themeColor="text1"/>
        </w:rPr>
        <w:t xml:space="preserve">What compensation would you receive in a constructive dismissal </w:t>
      </w:r>
      <w:bookmarkStart w:id="4" w:name="_Int_QEJsdCnn"/>
      <w:proofErr w:type="gramStart"/>
      <w:r w:rsidRPr="30147B71">
        <w:rPr>
          <w:rFonts w:ascii="Arial" w:eastAsia="Arial" w:hAnsi="Arial" w:cs="Arial"/>
          <w:i/>
          <w:iCs/>
          <w:color w:val="000000" w:themeColor="text1"/>
        </w:rPr>
        <w:t>claim?</w:t>
      </w:r>
      <w:r w:rsidRPr="30147B71">
        <w:rPr>
          <w:rFonts w:ascii="Arial" w:eastAsia="Arial" w:hAnsi="Arial" w:cs="Arial"/>
          <w:color w:val="000000" w:themeColor="text1"/>
        </w:rPr>
        <w:t>,</w:t>
      </w:r>
      <w:bookmarkEnd w:id="4"/>
      <w:proofErr w:type="gramEnd"/>
      <w:r w:rsidRPr="30147B71">
        <w:rPr>
          <w:rFonts w:ascii="Arial" w:eastAsia="Arial" w:hAnsi="Arial" w:cs="Arial"/>
          <w:color w:val="000000" w:themeColor="text1"/>
        </w:rPr>
        <w:t xml:space="preserve"> </w:t>
      </w:r>
      <w:r w:rsidRPr="30147B71">
        <w:rPr>
          <w:rFonts w:ascii="Arial" w:eastAsia="Arial" w:hAnsi="Arial" w:cs="Arial"/>
          <w:i/>
          <w:iCs/>
          <w:color w:val="000000" w:themeColor="text1"/>
        </w:rPr>
        <w:t>Landau Law</w:t>
      </w:r>
      <w:r w:rsidRPr="30147B71">
        <w:rPr>
          <w:rFonts w:ascii="Arial" w:eastAsia="Arial" w:hAnsi="Arial" w:cs="Arial"/>
          <w:color w:val="000000" w:themeColor="text1"/>
        </w:rPr>
        <w:t xml:space="preserve">. Available at: </w:t>
      </w:r>
      <w:hyperlink r:id="rId21">
        <w:r w:rsidRPr="30147B71">
          <w:rPr>
            <w:rStyle w:val="Hyperlink"/>
            <w:rFonts w:ascii="Arial" w:eastAsia="Arial" w:hAnsi="Arial" w:cs="Arial"/>
          </w:rPr>
          <w:t>https://landaulaw.co.uk/faqs/what-compensation-would-you-receive-in-a-constructive-dismissal-claim/</w:t>
        </w:r>
      </w:hyperlink>
      <w:r w:rsidRPr="30147B71">
        <w:rPr>
          <w:rFonts w:ascii="Arial" w:eastAsia="Arial" w:hAnsi="Arial" w:cs="Arial"/>
          <w:color w:val="000000" w:themeColor="text1"/>
        </w:rPr>
        <w:t xml:space="preserve"> (Accessed: 10 May 2023).</w:t>
      </w:r>
    </w:p>
    <w:p w14:paraId="62BAE622" w14:textId="4A42D9BD"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Landau Law (2023b) </w:t>
      </w:r>
      <w:r w:rsidRPr="30147B71">
        <w:rPr>
          <w:rFonts w:ascii="Arial" w:eastAsia="Arial" w:hAnsi="Arial" w:cs="Arial"/>
          <w:i/>
          <w:iCs/>
          <w:color w:val="000000" w:themeColor="text1"/>
        </w:rPr>
        <w:t>Sex discrimination employment lawyers</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Landau Law</w:t>
      </w:r>
      <w:r w:rsidRPr="30147B71">
        <w:rPr>
          <w:rFonts w:ascii="Arial" w:eastAsia="Arial" w:hAnsi="Arial" w:cs="Arial"/>
          <w:color w:val="000000" w:themeColor="text1"/>
        </w:rPr>
        <w:t xml:space="preserve">. Available at: </w:t>
      </w:r>
      <w:hyperlink r:id="rId22">
        <w:r w:rsidRPr="30147B71">
          <w:rPr>
            <w:rStyle w:val="Hyperlink"/>
            <w:rFonts w:ascii="Arial" w:eastAsia="Arial" w:hAnsi="Arial" w:cs="Arial"/>
          </w:rPr>
          <w:t>https://landaulaw.co.uk/sex-discrimination/</w:t>
        </w:r>
      </w:hyperlink>
      <w:r w:rsidRPr="30147B71">
        <w:rPr>
          <w:rFonts w:ascii="Arial" w:eastAsia="Arial" w:hAnsi="Arial" w:cs="Arial"/>
          <w:color w:val="000000" w:themeColor="text1"/>
        </w:rPr>
        <w:t xml:space="preserve"> (Accessed: 10 May 2023).</w:t>
      </w:r>
    </w:p>
    <w:p w14:paraId="1050A06E" w14:textId="7B1EDD5E"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Lewis, D., </w:t>
      </w:r>
      <w:r w:rsidRPr="30147B71">
        <w:rPr>
          <w:rFonts w:ascii="Arial" w:eastAsia="Arial" w:hAnsi="Arial" w:cs="Arial"/>
          <w:i/>
          <w:iCs/>
          <w:color w:val="000000" w:themeColor="text1"/>
        </w:rPr>
        <w:t>et al</w:t>
      </w:r>
      <w:r w:rsidRPr="30147B71">
        <w:rPr>
          <w:rFonts w:ascii="Arial" w:eastAsia="Arial" w:hAnsi="Arial" w:cs="Arial"/>
          <w:color w:val="000000" w:themeColor="text1"/>
        </w:rPr>
        <w:t xml:space="preserve">. (2023) </w:t>
      </w:r>
      <w:r w:rsidRPr="30147B71">
        <w:rPr>
          <w:rFonts w:ascii="Arial" w:eastAsia="Arial" w:hAnsi="Arial" w:cs="Arial"/>
          <w:i/>
          <w:iCs/>
          <w:color w:val="000000" w:themeColor="text1"/>
        </w:rPr>
        <w:t>Employment Law: The Essentials</w:t>
      </w:r>
      <w:r w:rsidRPr="30147B71">
        <w:rPr>
          <w:rFonts w:ascii="Arial" w:eastAsia="Arial" w:hAnsi="Arial" w:cs="Arial"/>
          <w:color w:val="000000" w:themeColor="text1"/>
        </w:rPr>
        <w:t xml:space="preserve">. 16th </w:t>
      </w:r>
      <w:proofErr w:type="spellStart"/>
      <w:r w:rsidRPr="30147B71">
        <w:rPr>
          <w:rFonts w:ascii="Arial" w:eastAsia="Arial" w:hAnsi="Arial" w:cs="Arial"/>
          <w:color w:val="000000" w:themeColor="text1"/>
        </w:rPr>
        <w:t>edn</w:t>
      </w:r>
      <w:proofErr w:type="spellEnd"/>
      <w:r w:rsidRPr="30147B71">
        <w:rPr>
          <w:rFonts w:ascii="Arial" w:eastAsia="Arial" w:hAnsi="Arial" w:cs="Arial"/>
          <w:color w:val="000000" w:themeColor="text1"/>
        </w:rPr>
        <w:t xml:space="preserve">. London: </w:t>
      </w:r>
      <w:proofErr w:type="spellStart"/>
      <w:r w:rsidRPr="30147B71">
        <w:rPr>
          <w:rFonts w:ascii="Arial" w:eastAsia="Arial" w:hAnsi="Arial" w:cs="Arial"/>
          <w:color w:val="000000" w:themeColor="text1"/>
        </w:rPr>
        <w:t>KoganPage</w:t>
      </w:r>
      <w:proofErr w:type="spellEnd"/>
      <w:r w:rsidRPr="30147B71">
        <w:rPr>
          <w:rFonts w:ascii="Arial" w:eastAsia="Arial" w:hAnsi="Arial" w:cs="Arial"/>
          <w:color w:val="000000" w:themeColor="text1"/>
        </w:rPr>
        <w:t>.</w:t>
      </w:r>
    </w:p>
    <w:p w14:paraId="7DAD9198" w14:textId="2DF2CFF5"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‘Lincolnshire Police v Stubbs’ (1997) </w:t>
      </w:r>
      <w:proofErr w:type="spellStart"/>
      <w:r w:rsidRPr="30147B71">
        <w:rPr>
          <w:rFonts w:ascii="Arial" w:eastAsia="Arial" w:hAnsi="Arial" w:cs="Arial"/>
          <w:i/>
          <w:iCs/>
          <w:color w:val="000000" w:themeColor="text1"/>
        </w:rPr>
        <w:t>Casemine</w:t>
      </w:r>
      <w:proofErr w:type="spellEnd"/>
      <w:r w:rsidRPr="30147B71">
        <w:rPr>
          <w:rFonts w:ascii="Arial" w:eastAsia="Arial" w:hAnsi="Arial" w:cs="Arial"/>
          <w:color w:val="000000" w:themeColor="text1"/>
        </w:rPr>
        <w:t xml:space="preserve">. Available at: </w:t>
      </w:r>
      <w:hyperlink r:id="rId23">
        <w:r w:rsidRPr="30147B71">
          <w:rPr>
            <w:rStyle w:val="Hyperlink"/>
            <w:rFonts w:ascii="Arial" w:eastAsia="Arial" w:hAnsi="Arial" w:cs="Arial"/>
          </w:rPr>
          <w:t>https://www.casemine.com/judgement/uk/5a8ff86660d03e7f57ebf949</w:t>
        </w:r>
      </w:hyperlink>
      <w:r w:rsidRPr="30147B71">
        <w:rPr>
          <w:rFonts w:ascii="Arial" w:eastAsia="Arial" w:hAnsi="Arial" w:cs="Arial"/>
          <w:color w:val="000000" w:themeColor="text1"/>
        </w:rPr>
        <w:t xml:space="preserve"> (Accessed: 10 May 2023).</w:t>
      </w:r>
    </w:p>
    <w:p w14:paraId="65C9A927" w14:textId="126BBBC0"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‘Livesey v Parker Merchanting Ltd’ (2004) </w:t>
      </w:r>
      <w:proofErr w:type="spellStart"/>
      <w:r w:rsidRPr="30147B71">
        <w:rPr>
          <w:rFonts w:ascii="Arial" w:eastAsia="Arial" w:hAnsi="Arial" w:cs="Arial"/>
          <w:i/>
          <w:iCs/>
          <w:color w:val="000000" w:themeColor="text1"/>
        </w:rPr>
        <w:t>Casemine</w:t>
      </w:r>
      <w:proofErr w:type="spellEnd"/>
      <w:r w:rsidRPr="30147B71">
        <w:rPr>
          <w:rFonts w:ascii="Arial" w:eastAsia="Arial" w:hAnsi="Arial" w:cs="Arial"/>
          <w:color w:val="000000" w:themeColor="text1"/>
        </w:rPr>
        <w:t xml:space="preserve">. Available at: </w:t>
      </w:r>
      <w:hyperlink r:id="rId24">
        <w:r w:rsidRPr="30147B71">
          <w:rPr>
            <w:rStyle w:val="Hyperlink"/>
            <w:rFonts w:ascii="Arial" w:eastAsia="Arial" w:hAnsi="Arial" w:cs="Arial"/>
          </w:rPr>
          <w:t>https://www.casemine.com/judgement/uk/5a8ff78860d03e7f57eae6e2</w:t>
        </w:r>
      </w:hyperlink>
      <w:r w:rsidRPr="30147B71">
        <w:rPr>
          <w:rFonts w:ascii="Arial" w:eastAsia="Arial" w:hAnsi="Arial" w:cs="Arial"/>
          <w:color w:val="000000" w:themeColor="text1"/>
        </w:rPr>
        <w:t xml:space="preserve"> (Accessed: 10 May 2023).</w:t>
      </w:r>
    </w:p>
    <w:p w14:paraId="755FA833" w14:textId="7810883A"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MacLellan, G. (2022) </w:t>
      </w:r>
      <w:r w:rsidRPr="30147B71">
        <w:rPr>
          <w:rFonts w:ascii="Arial" w:eastAsia="Arial" w:hAnsi="Arial" w:cs="Arial"/>
          <w:i/>
          <w:iCs/>
          <w:color w:val="000000" w:themeColor="text1"/>
        </w:rPr>
        <w:t>New duty on employers to prevent sexual harassment</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Home</w:t>
      </w:r>
      <w:r w:rsidRPr="30147B71">
        <w:rPr>
          <w:rFonts w:ascii="Arial" w:eastAsia="Arial" w:hAnsi="Arial" w:cs="Arial"/>
          <w:color w:val="000000" w:themeColor="text1"/>
        </w:rPr>
        <w:t xml:space="preserve">. Available at: </w:t>
      </w:r>
      <w:hyperlink r:id="rId25">
        <w:r w:rsidRPr="30147B71">
          <w:rPr>
            <w:rStyle w:val="Hyperlink"/>
            <w:rFonts w:ascii="Arial" w:eastAsia="Arial" w:hAnsi="Arial" w:cs="Arial"/>
          </w:rPr>
          <w:t>https://www.peoplemanagement.co.uk/article/1807441/new-duty-employers-prevent-sexual-harassment</w:t>
        </w:r>
      </w:hyperlink>
      <w:r w:rsidRPr="30147B71">
        <w:rPr>
          <w:rFonts w:ascii="Arial" w:eastAsia="Arial" w:hAnsi="Arial" w:cs="Arial"/>
          <w:color w:val="000000" w:themeColor="text1"/>
        </w:rPr>
        <w:t xml:space="preserve"> (Accessed: 08 May 2023).</w:t>
      </w:r>
    </w:p>
    <w:p w14:paraId="60594D29" w14:textId="47A34C5E"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Mansoor, J. (2023) </w:t>
      </w:r>
      <w:r w:rsidRPr="30147B71">
        <w:rPr>
          <w:rFonts w:ascii="Arial" w:eastAsia="Arial" w:hAnsi="Arial" w:cs="Arial"/>
          <w:i/>
          <w:iCs/>
          <w:color w:val="000000" w:themeColor="text1"/>
        </w:rPr>
        <w:t>Employers required to take action to prevent sexual harassment</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RSM UK</w:t>
      </w:r>
      <w:r w:rsidRPr="30147B71">
        <w:rPr>
          <w:rFonts w:ascii="Arial" w:eastAsia="Arial" w:hAnsi="Arial" w:cs="Arial"/>
          <w:color w:val="000000" w:themeColor="text1"/>
        </w:rPr>
        <w:t xml:space="preserve">. Available at: </w:t>
      </w:r>
      <w:hyperlink r:id="rId26">
        <w:r w:rsidRPr="30147B71">
          <w:rPr>
            <w:rStyle w:val="Hyperlink"/>
            <w:rFonts w:ascii="Arial" w:eastAsia="Arial" w:hAnsi="Arial" w:cs="Arial"/>
          </w:rPr>
          <w:t>https://www.rsmuk.com/insights/employment-matters/legal/employers-required-to-take-action-to-prevent-sexual-harassment</w:t>
        </w:r>
      </w:hyperlink>
      <w:r w:rsidRPr="30147B71">
        <w:rPr>
          <w:rFonts w:ascii="Arial" w:eastAsia="Arial" w:hAnsi="Arial" w:cs="Arial"/>
          <w:color w:val="000000" w:themeColor="text1"/>
        </w:rPr>
        <w:t xml:space="preserve"> (Accessed: May 4, 2023).</w:t>
      </w:r>
    </w:p>
    <w:p w14:paraId="453F62C7" w14:textId="184D9B1F"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Maynard, P. (2023) </w:t>
      </w:r>
      <w:r w:rsidRPr="30147B71">
        <w:rPr>
          <w:rFonts w:ascii="Arial" w:eastAsia="Arial" w:hAnsi="Arial" w:cs="Arial"/>
          <w:i/>
          <w:iCs/>
          <w:color w:val="000000" w:themeColor="text1"/>
        </w:rPr>
        <w:t>Vicarious liability and discrimination</w:t>
      </w:r>
      <w:r w:rsidRPr="30147B71">
        <w:rPr>
          <w:rFonts w:ascii="Arial" w:eastAsia="Arial" w:hAnsi="Arial" w:cs="Arial"/>
          <w:color w:val="000000" w:themeColor="text1"/>
        </w:rPr>
        <w:t xml:space="preserve">, </w:t>
      </w:r>
      <w:r w:rsidRPr="30147B71">
        <w:rPr>
          <w:rFonts w:ascii="Arial" w:eastAsia="Arial" w:hAnsi="Arial" w:cs="Arial"/>
          <w:i/>
          <w:iCs/>
          <w:color w:val="000000" w:themeColor="text1"/>
        </w:rPr>
        <w:t>Gaby Hardwicke Solicitors</w:t>
      </w:r>
      <w:r w:rsidRPr="30147B71">
        <w:rPr>
          <w:rFonts w:ascii="Arial" w:eastAsia="Arial" w:hAnsi="Arial" w:cs="Arial"/>
          <w:color w:val="000000" w:themeColor="text1"/>
        </w:rPr>
        <w:t xml:space="preserve">. Available at: </w:t>
      </w:r>
      <w:hyperlink r:id="rId27">
        <w:r w:rsidRPr="30147B71">
          <w:rPr>
            <w:rStyle w:val="Hyperlink"/>
            <w:rFonts w:ascii="Arial" w:eastAsia="Arial" w:hAnsi="Arial" w:cs="Arial"/>
          </w:rPr>
          <w:t>https://www.gabyhardwicke.co.uk/briefing-notes/vicarious-liability-and-discrimination/</w:t>
        </w:r>
      </w:hyperlink>
      <w:r w:rsidRPr="30147B71">
        <w:rPr>
          <w:rFonts w:ascii="Arial" w:eastAsia="Arial" w:hAnsi="Arial" w:cs="Arial"/>
          <w:color w:val="000000" w:themeColor="text1"/>
        </w:rPr>
        <w:t xml:space="preserve"> (Accessed: 10 May 2023).</w:t>
      </w:r>
    </w:p>
    <w:p w14:paraId="2673902D" w14:textId="17AA33ED"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Morris, D. (2022a) </w:t>
      </w:r>
      <w:r w:rsidRPr="30147B71">
        <w:rPr>
          <w:rFonts w:ascii="Arial" w:eastAsia="Arial" w:hAnsi="Arial" w:cs="Arial"/>
          <w:i/>
          <w:iCs/>
          <w:color w:val="000000" w:themeColor="text1"/>
        </w:rPr>
        <w:t>Constructive dismissal examples (HR help)</w:t>
      </w:r>
      <w:r w:rsidRPr="30147B71">
        <w:rPr>
          <w:rFonts w:ascii="Arial" w:eastAsia="Arial" w:hAnsi="Arial" w:cs="Arial"/>
          <w:color w:val="000000" w:themeColor="text1"/>
        </w:rPr>
        <w:t xml:space="preserve">, </w:t>
      </w:r>
      <w:proofErr w:type="spellStart"/>
      <w:r w:rsidRPr="30147B71">
        <w:rPr>
          <w:rFonts w:ascii="Arial" w:eastAsia="Arial" w:hAnsi="Arial" w:cs="Arial"/>
          <w:i/>
          <w:iCs/>
          <w:color w:val="000000" w:themeColor="text1"/>
        </w:rPr>
        <w:t>DavidsonMorris</w:t>
      </w:r>
      <w:proofErr w:type="spellEnd"/>
      <w:r w:rsidRPr="30147B71">
        <w:rPr>
          <w:rFonts w:ascii="Arial" w:eastAsia="Arial" w:hAnsi="Arial" w:cs="Arial"/>
          <w:color w:val="000000" w:themeColor="text1"/>
        </w:rPr>
        <w:t xml:space="preserve">. Available at: </w:t>
      </w:r>
      <w:hyperlink r:id="rId28">
        <w:r w:rsidRPr="30147B71">
          <w:rPr>
            <w:rStyle w:val="Hyperlink"/>
            <w:rFonts w:ascii="Arial" w:eastAsia="Arial" w:hAnsi="Arial" w:cs="Arial"/>
          </w:rPr>
          <w:t>https://www.davidsonmorris.com/constructive-dismissal-examples/</w:t>
        </w:r>
      </w:hyperlink>
      <w:r w:rsidRPr="30147B71">
        <w:rPr>
          <w:rFonts w:ascii="Arial" w:eastAsia="Arial" w:hAnsi="Arial" w:cs="Arial"/>
          <w:color w:val="000000" w:themeColor="text1"/>
        </w:rPr>
        <w:t xml:space="preserve"> (Accessed: May 8, 2023).</w:t>
      </w:r>
    </w:p>
    <w:p w14:paraId="65E866C1" w14:textId="550069A8"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Morris, D. (2022b) </w:t>
      </w:r>
      <w:r w:rsidRPr="30147B71">
        <w:rPr>
          <w:rFonts w:ascii="Arial" w:eastAsia="Arial" w:hAnsi="Arial" w:cs="Arial"/>
          <w:i/>
          <w:iCs/>
          <w:color w:val="000000" w:themeColor="text1"/>
        </w:rPr>
        <w:t>Constructive dismissal: Employers’ guide</w:t>
      </w:r>
      <w:r w:rsidRPr="30147B71">
        <w:rPr>
          <w:rFonts w:ascii="Arial" w:eastAsia="Arial" w:hAnsi="Arial" w:cs="Arial"/>
          <w:color w:val="000000" w:themeColor="text1"/>
        </w:rPr>
        <w:t xml:space="preserve">, </w:t>
      </w:r>
      <w:proofErr w:type="spellStart"/>
      <w:r w:rsidRPr="30147B71">
        <w:rPr>
          <w:rFonts w:ascii="Arial" w:eastAsia="Arial" w:hAnsi="Arial" w:cs="Arial"/>
          <w:i/>
          <w:iCs/>
          <w:color w:val="000000" w:themeColor="text1"/>
        </w:rPr>
        <w:t>DavidsonMorris</w:t>
      </w:r>
      <w:proofErr w:type="spellEnd"/>
      <w:r w:rsidRPr="30147B71">
        <w:rPr>
          <w:rFonts w:ascii="Arial" w:eastAsia="Arial" w:hAnsi="Arial" w:cs="Arial"/>
          <w:color w:val="000000" w:themeColor="text1"/>
        </w:rPr>
        <w:t xml:space="preserve">. Available at: </w:t>
      </w:r>
      <w:hyperlink r:id="rId29">
        <w:r w:rsidRPr="30147B71">
          <w:rPr>
            <w:rStyle w:val="Hyperlink"/>
            <w:rFonts w:ascii="Arial" w:eastAsia="Arial" w:hAnsi="Arial" w:cs="Arial"/>
          </w:rPr>
          <w:t>https://www.davidsonmorris.com/constructive-dismissal/</w:t>
        </w:r>
      </w:hyperlink>
      <w:r w:rsidRPr="30147B71">
        <w:rPr>
          <w:rFonts w:ascii="Arial" w:eastAsia="Arial" w:hAnsi="Arial" w:cs="Arial"/>
          <w:color w:val="000000" w:themeColor="text1"/>
        </w:rPr>
        <w:t xml:space="preserve"> (Accessed: 10 May 2023).</w:t>
      </w:r>
    </w:p>
    <w:p w14:paraId="4D3182F8" w14:textId="4A71588B"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Morris, D. (2022c) </w:t>
      </w:r>
      <w:proofErr w:type="spellStart"/>
      <w:r w:rsidRPr="30147B71">
        <w:rPr>
          <w:rFonts w:ascii="Arial" w:eastAsia="Arial" w:hAnsi="Arial" w:cs="Arial"/>
          <w:i/>
          <w:iCs/>
          <w:color w:val="000000" w:themeColor="text1"/>
        </w:rPr>
        <w:t>Eto</w:t>
      </w:r>
      <w:proofErr w:type="spellEnd"/>
      <w:r w:rsidRPr="30147B71">
        <w:rPr>
          <w:rFonts w:ascii="Arial" w:eastAsia="Arial" w:hAnsi="Arial" w:cs="Arial"/>
          <w:i/>
          <w:iCs/>
          <w:color w:val="000000" w:themeColor="text1"/>
        </w:rPr>
        <w:t xml:space="preserve"> </w:t>
      </w:r>
      <w:proofErr w:type="spellStart"/>
      <w:r w:rsidRPr="30147B71">
        <w:rPr>
          <w:rFonts w:ascii="Arial" w:eastAsia="Arial" w:hAnsi="Arial" w:cs="Arial"/>
          <w:i/>
          <w:iCs/>
          <w:color w:val="000000" w:themeColor="text1"/>
        </w:rPr>
        <w:t>Tupe</w:t>
      </w:r>
      <w:proofErr w:type="spellEnd"/>
      <w:r w:rsidRPr="30147B71">
        <w:rPr>
          <w:rFonts w:ascii="Arial" w:eastAsia="Arial" w:hAnsi="Arial" w:cs="Arial"/>
          <w:i/>
          <w:iCs/>
          <w:color w:val="000000" w:themeColor="text1"/>
        </w:rPr>
        <w:t xml:space="preserve"> &amp; Making Workforce Changes</w:t>
      </w:r>
      <w:r w:rsidRPr="30147B71">
        <w:rPr>
          <w:rFonts w:ascii="Arial" w:eastAsia="Arial" w:hAnsi="Arial" w:cs="Arial"/>
          <w:color w:val="000000" w:themeColor="text1"/>
        </w:rPr>
        <w:t xml:space="preserve">, </w:t>
      </w:r>
      <w:proofErr w:type="spellStart"/>
      <w:r w:rsidRPr="30147B71">
        <w:rPr>
          <w:rFonts w:ascii="Arial" w:eastAsia="Arial" w:hAnsi="Arial" w:cs="Arial"/>
          <w:i/>
          <w:iCs/>
          <w:color w:val="000000" w:themeColor="text1"/>
        </w:rPr>
        <w:t>DavidsonMorris</w:t>
      </w:r>
      <w:proofErr w:type="spellEnd"/>
      <w:r w:rsidRPr="30147B71">
        <w:rPr>
          <w:rFonts w:ascii="Arial" w:eastAsia="Arial" w:hAnsi="Arial" w:cs="Arial"/>
          <w:color w:val="000000" w:themeColor="text1"/>
        </w:rPr>
        <w:t xml:space="preserve">. Available at: </w:t>
      </w:r>
      <w:hyperlink r:id="rId30">
        <w:r w:rsidRPr="30147B71">
          <w:rPr>
            <w:rStyle w:val="Hyperlink"/>
            <w:rFonts w:ascii="Arial" w:eastAsia="Arial" w:hAnsi="Arial" w:cs="Arial"/>
          </w:rPr>
          <w:t>https://www.davidsonmorris.com/eto-tupe/</w:t>
        </w:r>
      </w:hyperlink>
      <w:r w:rsidRPr="30147B71">
        <w:rPr>
          <w:rFonts w:ascii="Arial" w:eastAsia="Arial" w:hAnsi="Arial" w:cs="Arial"/>
          <w:color w:val="000000" w:themeColor="text1"/>
        </w:rPr>
        <w:t xml:space="preserve"> (Accessed: 12 May 2023).</w:t>
      </w:r>
    </w:p>
    <w:p w14:paraId="7F83A780" w14:textId="1DF97A3D"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‘Munchkins Restaurant Ltd v </w:t>
      </w:r>
      <w:proofErr w:type="spellStart"/>
      <w:r w:rsidRPr="30147B71">
        <w:rPr>
          <w:rFonts w:ascii="Arial" w:eastAsia="Arial" w:hAnsi="Arial" w:cs="Arial"/>
          <w:color w:val="000000" w:themeColor="text1"/>
        </w:rPr>
        <w:t>Karmazyn</w:t>
      </w:r>
      <w:proofErr w:type="spellEnd"/>
      <w:r w:rsidRPr="30147B71">
        <w:rPr>
          <w:rFonts w:ascii="Arial" w:eastAsia="Arial" w:hAnsi="Arial" w:cs="Arial"/>
          <w:color w:val="000000" w:themeColor="text1"/>
        </w:rPr>
        <w:t>’</w:t>
      </w:r>
      <w:r w:rsidRPr="30147B71">
        <w:rPr>
          <w:rFonts w:ascii="Arial" w:eastAsia="Arial" w:hAnsi="Arial" w:cs="Arial"/>
          <w:i/>
          <w:iCs/>
          <w:color w:val="000000" w:themeColor="text1"/>
        </w:rPr>
        <w:t xml:space="preserve"> </w:t>
      </w:r>
      <w:r w:rsidRPr="30147B71">
        <w:rPr>
          <w:rFonts w:ascii="Arial" w:eastAsia="Arial" w:hAnsi="Arial" w:cs="Arial"/>
          <w:color w:val="000000" w:themeColor="text1"/>
        </w:rPr>
        <w:t xml:space="preserve">(2010) </w:t>
      </w:r>
      <w:r w:rsidRPr="30147B71">
        <w:rPr>
          <w:rFonts w:ascii="Arial" w:eastAsia="Arial" w:hAnsi="Arial" w:cs="Arial"/>
          <w:i/>
          <w:iCs/>
          <w:color w:val="000000" w:themeColor="text1"/>
        </w:rPr>
        <w:t>Croner-</w:t>
      </w:r>
      <w:proofErr w:type="spellStart"/>
      <w:r w:rsidRPr="30147B71">
        <w:rPr>
          <w:rFonts w:ascii="Arial" w:eastAsia="Arial" w:hAnsi="Arial" w:cs="Arial"/>
          <w:i/>
          <w:iCs/>
          <w:color w:val="000000" w:themeColor="text1"/>
        </w:rPr>
        <w:t>i</w:t>
      </w:r>
      <w:proofErr w:type="spellEnd"/>
      <w:r w:rsidRPr="30147B71">
        <w:rPr>
          <w:rFonts w:ascii="Arial" w:eastAsia="Arial" w:hAnsi="Arial" w:cs="Arial"/>
          <w:color w:val="000000" w:themeColor="text1"/>
        </w:rPr>
        <w:t xml:space="preserve">. Available at: </w:t>
      </w:r>
      <w:hyperlink r:id="rId31">
        <w:r w:rsidRPr="30147B71">
          <w:rPr>
            <w:rStyle w:val="Hyperlink"/>
            <w:rFonts w:ascii="Arial" w:eastAsia="Arial" w:hAnsi="Arial" w:cs="Arial"/>
          </w:rPr>
          <w:t>https://app.croneri.co.uk/law-and-guidance/case-reports/munchkins-restaurant-ltd-and-anor-v-karmazyn-2010-ukeat035909</w:t>
        </w:r>
      </w:hyperlink>
      <w:r w:rsidRPr="30147B71">
        <w:rPr>
          <w:rFonts w:ascii="Arial" w:eastAsia="Arial" w:hAnsi="Arial" w:cs="Arial"/>
          <w:color w:val="000000" w:themeColor="text1"/>
        </w:rPr>
        <w:t xml:space="preserve"> (Accessed: 10 May 2023).</w:t>
      </w:r>
    </w:p>
    <w:p w14:paraId="6DE2AFD9" w14:textId="668C25CF"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Richardson, P. (2023) </w:t>
      </w:r>
      <w:r w:rsidRPr="30147B71">
        <w:rPr>
          <w:rFonts w:ascii="Arial" w:eastAsia="Arial" w:hAnsi="Arial" w:cs="Arial"/>
          <w:i/>
          <w:iCs/>
          <w:color w:val="000000" w:themeColor="text1"/>
        </w:rPr>
        <w:t xml:space="preserve">What is a settlement </w:t>
      </w:r>
      <w:bookmarkStart w:id="5" w:name="_Int_7jTMRHJr"/>
      <w:proofErr w:type="gramStart"/>
      <w:r w:rsidRPr="30147B71">
        <w:rPr>
          <w:rFonts w:ascii="Arial" w:eastAsia="Arial" w:hAnsi="Arial" w:cs="Arial"/>
          <w:i/>
          <w:iCs/>
          <w:color w:val="000000" w:themeColor="text1"/>
        </w:rPr>
        <w:t>agreement?</w:t>
      </w:r>
      <w:r w:rsidRPr="30147B71">
        <w:rPr>
          <w:rFonts w:ascii="Arial" w:eastAsia="Arial" w:hAnsi="Arial" w:cs="Arial"/>
          <w:color w:val="000000" w:themeColor="text1"/>
        </w:rPr>
        <w:t>,</w:t>
      </w:r>
      <w:bookmarkEnd w:id="5"/>
      <w:proofErr w:type="gramEnd"/>
      <w:r w:rsidRPr="30147B71">
        <w:rPr>
          <w:rFonts w:ascii="Arial" w:eastAsia="Arial" w:hAnsi="Arial" w:cs="Arial"/>
          <w:color w:val="000000" w:themeColor="text1"/>
        </w:rPr>
        <w:t xml:space="preserve"> </w:t>
      </w:r>
      <w:r w:rsidRPr="30147B71">
        <w:rPr>
          <w:rFonts w:ascii="Arial" w:eastAsia="Arial" w:hAnsi="Arial" w:cs="Arial"/>
          <w:i/>
          <w:iCs/>
          <w:color w:val="000000" w:themeColor="text1"/>
        </w:rPr>
        <w:t>Stephen Sons</w:t>
      </w:r>
      <w:r w:rsidRPr="30147B71">
        <w:rPr>
          <w:rFonts w:ascii="Arial" w:eastAsia="Arial" w:hAnsi="Arial" w:cs="Arial"/>
          <w:color w:val="000000" w:themeColor="text1"/>
        </w:rPr>
        <w:t xml:space="preserve">. Available at: </w:t>
      </w:r>
      <w:hyperlink r:id="rId32">
        <w:r w:rsidRPr="30147B71">
          <w:rPr>
            <w:rStyle w:val="Hyperlink"/>
            <w:rFonts w:ascii="Arial" w:eastAsia="Arial" w:hAnsi="Arial" w:cs="Arial"/>
          </w:rPr>
          <w:t>https://www.stephensons.co.uk/site/individuals/employment_individuals/settlement-agreements/settlement-agreement-process/</w:t>
        </w:r>
      </w:hyperlink>
      <w:r w:rsidRPr="30147B71">
        <w:rPr>
          <w:rFonts w:ascii="Arial" w:eastAsia="Arial" w:hAnsi="Arial" w:cs="Arial"/>
          <w:color w:val="000000" w:themeColor="text1"/>
        </w:rPr>
        <w:t xml:space="preserve"> (Accessed: 12 May 2023).</w:t>
      </w:r>
    </w:p>
    <w:p w14:paraId="6DE8C470" w14:textId="30BADDE4" w:rsidR="363618A7" w:rsidRDefault="30147B71" w:rsidP="30147B71">
      <w:pPr>
        <w:ind w:left="567" w:hanging="567"/>
        <w:rPr>
          <w:rFonts w:ascii="Arial" w:eastAsia="Arial" w:hAnsi="Arial" w:cs="Arial"/>
          <w:color w:val="000000" w:themeColor="text1"/>
        </w:rPr>
      </w:pPr>
      <w:r w:rsidRPr="30147B71">
        <w:rPr>
          <w:rFonts w:ascii="Arial" w:eastAsia="Arial" w:hAnsi="Arial" w:cs="Arial"/>
          <w:color w:val="000000" w:themeColor="text1"/>
        </w:rPr>
        <w:t xml:space="preserve">‘Stannard v Overseas Courier Service’ (2021) </w:t>
      </w:r>
      <w:r w:rsidRPr="30147B71">
        <w:rPr>
          <w:rFonts w:ascii="Arial" w:eastAsia="Arial" w:hAnsi="Arial" w:cs="Arial"/>
          <w:i/>
          <w:iCs/>
          <w:color w:val="000000" w:themeColor="text1"/>
        </w:rPr>
        <w:t>HM Courts &amp; Tribunals Service.</w:t>
      </w:r>
      <w:r w:rsidRPr="30147B71">
        <w:rPr>
          <w:rFonts w:ascii="Arial" w:eastAsia="Arial" w:hAnsi="Arial" w:cs="Arial"/>
          <w:color w:val="000000" w:themeColor="text1"/>
        </w:rPr>
        <w:t xml:space="preserve"> Available at: </w:t>
      </w:r>
      <w:hyperlink r:id="rId33">
        <w:r w:rsidRPr="30147B71">
          <w:rPr>
            <w:rStyle w:val="Hyperlink"/>
            <w:rFonts w:ascii="Arial" w:eastAsia="Arial" w:hAnsi="Arial" w:cs="Arial"/>
          </w:rPr>
          <w:t>https://assets.publishing.service.gov.uk/media/6075819be90e076f5466147d/Mrs_S_Stannard_-v-_Overseas_Courier_Service__LONDON__Ltd___Others_-_3334823-2018.pdf</w:t>
        </w:r>
      </w:hyperlink>
      <w:r w:rsidRPr="30147B71">
        <w:rPr>
          <w:rFonts w:ascii="Arial" w:eastAsia="Arial" w:hAnsi="Arial" w:cs="Arial"/>
          <w:color w:val="000000" w:themeColor="text1"/>
        </w:rPr>
        <w:t xml:space="preserve"> (Accessed: 10 May 2023).</w:t>
      </w:r>
    </w:p>
    <w:p w14:paraId="2CB9AD89" w14:textId="3F4043AB" w:rsidR="363618A7" w:rsidRDefault="30147B71" w:rsidP="30147B71">
      <w:pPr>
        <w:ind w:left="567" w:hanging="567"/>
        <w:rPr>
          <w:rFonts w:ascii="Arial" w:eastAsia="Arial" w:hAnsi="Arial" w:cs="Arial"/>
          <w:color w:val="000000" w:themeColor="text1"/>
        </w:rPr>
      </w:pPr>
      <w:r w:rsidRPr="30147B71">
        <w:rPr>
          <w:rFonts w:ascii="Arial" w:eastAsia="Arial" w:hAnsi="Arial" w:cs="Arial"/>
          <w:i/>
          <w:iCs/>
          <w:color w:val="000000" w:themeColor="text1"/>
        </w:rPr>
        <w:t xml:space="preserve">The Transfer of Undertakings (Protection of Employment) Regulations “TUPE” 2006. </w:t>
      </w:r>
      <w:r w:rsidRPr="30147B71">
        <w:rPr>
          <w:rFonts w:ascii="Arial" w:eastAsia="Arial" w:hAnsi="Arial" w:cs="Arial"/>
          <w:color w:val="000000" w:themeColor="text1"/>
        </w:rPr>
        <w:t>No. 246.</w:t>
      </w:r>
      <w:r w:rsidRPr="30147B71">
        <w:rPr>
          <w:rFonts w:ascii="Arial" w:eastAsia="Arial" w:hAnsi="Arial" w:cs="Arial"/>
          <w:i/>
          <w:iCs/>
          <w:color w:val="000000" w:themeColor="text1"/>
        </w:rPr>
        <w:t xml:space="preserve"> </w:t>
      </w:r>
      <w:r w:rsidRPr="30147B71">
        <w:rPr>
          <w:rFonts w:ascii="Arial" w:eastAsia="Arial" w:hAnsi="Arial" w:cs="Arial"/>
          <w:color w:val="000000" w:themeColor="text1"/>
        </w:rPr>
        <w:t xml:space="preserve">Available at: </w:t>
      </w:r>
      <w:hyperlink r:id="rId34">
        <w:r w:rsidRPr="30147B71">
          <w:rPr>
            <w:rStyle w:val="Hyperlink"/>
            <w:rFonts w:ascii="Arial" w:eastAsia="Arial" w:hAnsi="Arial" w:cs="Arial"/>
          </w:rPr>
          <w:t>https://www.legislation.gov.uk/uksi/2006/246/contents/made</w:t>
        </w:r>
      </w:hyperlink>
      <w:r w:rsidRPr="30147B71">
        <w:rPr>
          <w:rFonts w:ascii="Arial" w:eastAsia="Arial" w:hAnsi="Arial" w:cs="Arial"/>
          <w:color w:val="000000" w:themeColor="text1"/>
        </w:rPr>
        <w:t xml:space="preserve"> (Accessed: 10 May 2023).</w:t>
      </w:r>
    </w:p>
    <w:sectPr w:rsidR="363618A7">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C3EUS+j05HFFw" int2:id="NxmOAwWd">
      <int2:state int2:value="Rejected" int2:type="AugLoop_Text_Critique"/>
    </int2:textHash>
    <int2:textHash int2:hashCode="sCg9NM80vxzYzs" int2:id="bnaKjEMH">
      <int2:state int2:value="Rejected" int2:type="AugLoop_Text_Critique"/>
    </int2:textHash>
    <int2:textHash int2:hashCode="XWDIdAIrrlMM6D" int2:id="62GWRUSJ">
      <int2:state int2:value="Rejected" int2:type="AugLoop_Text_Critique"/>
    </int2:textHash>
    <int2:textHash int2:hashCode="1/PUUlVGKOzF0B" int2:id="mwe2PUPj">
      <int2:state int2:value="Rejected" int2:type="AugLoop_Text_Critique"/>
    </int2:textHash>
    <int2:textHash int2:hashCode="wKVgQ/zsbo0p2w" int2:id="opLfSu4c">
      <int2:state int2:value="Rejected" int2:type="AugLoop_Text_Critique"/>
    </int2:textHash>
    <int2:textHash int2:hashCode="laETtQUBLF/iXq" int2:id="2lu6I7c9">
      <int2:state int2:value="Rejected" int2:type="AugLoop_Text_Critique"/>
    </int2:textHash>
    <int2:textHash int2:hashCode="25B9vAUKJ2LVNa" int2:id="RdqKpBMu">
      <int2:state int2:value="Rejected" int2:type="AugLoop_Text_Critique"/>
    </int2:textHash>
    <int2:textHash int2:hashCode="WcR4tGS16sbv+u" int2:id="LTfprMWg">
      <int2:state int2:value="Rejected" int2:type="AugLoop_Text_Critique"/>
    </int2:textHash>
    <int2:textHash int2:hashCode="Y7rxyEYEGk+h8X" int2:id="Pk4zEUK8">
      <int2:state int2:value="Rejected" int2:type="AugLoop_Text_Critique"/>
    </int2:textHash>
    <int2:textHash int2:hashCode="fAcTEm6uvI7unS" int2:id="DGy2Er6l">
      <int2:state int2:value="Rejected" int2:type="AugLoop_Text_Critique"/>
    </int2:textHash>
    <int2:bookmark int2:bookmarkName="_Int_l5ob1lKd" int2:invalidationBookmarkName="" int2:hashCode="X55YArurxx+Sdf" int2:id="beMyhG3S">
      <int2:state int2:value="Rejected" int2:type="AugLoop_Text_Critique"/>
    </int2:bookmark>
    <int2:bookmark int2:bookmarkName="_Int_7jTMRHJr" int2:invalidationBookmarkName="" int2:hashCode="DMHKU4QAeq4Jbb" int2:id="0YEoHMfA">
      <int2:state int2:value="Rejected" int2:type="AugLoop_Text_Critique"/>
    </int2:bookmark>
    <int2:bookmark int2:bookmarkName="_Int_QEJsdCnn" int2:invalidationBookmarkName="" int2:hashCode="v1ZAkZOrERonTV" int2:id="12kL8s1L">
      <int2:state int2:value="Rejected" int2:type="AugLoop_Text_Critique"/>
    </int2:bookmark>
    <int2:bookmark int2:bookmarkName="_Int_7OVd9G3C" int2:invalidationBookmarkName="" int2:hashCode="v1ZAkZOrERonTV" int2:id="7JvCbgMT">
      <int2:state int2:value="Rejected" int2:type="AugLoop_Text_Critique"/>
    </int2:bookmark>
    <int2:bookmark int2:bookmarkName="_Int_8Fg1Wpr3" int2:invalidationBookmarkName="" int2:hashCode="c7Zid8djNYbKIE" int2:id="rSz6GefL">
      <int2:state int2:value="Rejected" int2:type="AugLoop_Text_Critique"/>
    </int2:bookmark>
    <int2:bookmark int2:bookmarkName="_Int_mxMBorsR" int2:invalidationBookmarkName="" int2:hashCode="iMQT+hgnE5/BTb" int2:id="ygkwpgI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3AD44"/>
    <w:multiLevelType w:val="hybridMultilevel"/>
    <w:tmpl w:val="46D00336"/>
    <w:lvl w:ilvl="0" w:tplc="73121CCC">
      <w:start w:val="1"/>
      <w:numFmt w:val="decimal"/>
      <w:lvlText w:val="%1."/>
      <w:lvlJc w:val="left"/>
      <w:pPr>
        <w:ind w:left="720" w:hanging="360"/>
      </w:pPr>
    </w:lvl>
    <w:lvl w:ilvl="1" w:tplc="11484BB8">
      <w:start w:val="1"/>
      <w:numFmt w:val="lowerLetter"/>
      <w:lvlText w:val="%2."/>
      <w:lvlJc w:val="left"/>
      <w:pPr>
        <w:ind w:left="1440" w:hanging="360"/>
      </w:pPr>
    </w:lvl>
    <w:lvl w:ilvl="2" w:tplc="5496500E">
      <w:start w:val="1"/>
      <w:numFmt w:val="lowerRoman"/>
      <w:lvlText w:val="%3."/>
      <w:lvlJc w:val="right"/>
      <w:pPr>
        <w:ind w:left="2160" w:hanging="180"/>
      </w:pPr>
    </w:lvl>
    <w:lvl w:ilvl="3" w:tplc="BD9EFECC">
      <w:start w:val="1"/>
      <w:numFmt w:val="decimal"/>
      <w:lvlText w:val="%4."/>
      <w:lvlJc w:val="left"/>
      <w:pPr>
        <w:ind w:left="2880" w:hanging="360"/>
      </w:pPr>
    </w:lvl>
    <w:lvl w:ilvl="4" w:tplc="A2BE02B8">
      <w:start w:val="1"/>
      <w:numFmt w:val="lowerLetter"/>
      <w:lvlText w:val="%5."/>
      <w:lvlJc w:val="left"/>
      <w:pPr>
        <w:ind w:left="3600" w:hanging="360"/>
      </w:pPr>
    </w:lvl>
    <w:lvl w:ilvl="5" w:tplc="D0063198">
      <w:start w:val="1"/>
      <w:numFmt w:val="lowerRoman"/>
      <w:lvlText w:val="%6."/>
      <w:lvlJc w:val="right"/>
      <w:pPr>
        <w:ind w:left="4320" w:hanging="180"/>
      </w:pPr>
    </w:lvl>
    <w:lvl w:ilvl="6" w:tplc="0928BB9A">
      <w:start w:val="1"/>
      <w:numFmt w:val="decimal"/>
      <w:lvlText w:val="%7."/>
      <w:lvlJc w:val="left"/>
      <w:pPr>
        <w:ind w:left="5040" w:hanging="360"/>
      </w:pPr>
    </w:lvl>
    <w:lvl w:ilvl="7" w:tplc="A82AD0FC">
      <w:start w:val="1"/>
      <w:numFmt w:val="lowerLetter"/>
      <w:lvlText w:val="%8."/>
      <w:lvlJc w:val="left"/>
      <w:pPr>
        <w:ind w:left="5760" w:hanging="360"/>
      </w:pPr>
    </w:lvl>
    <w:lvl w:ilvl="8" w:tplc="F698B09E">
      <w:start w:val="1"/>
      <w:numFmt w:val="lowerRoman"/>
      <w:lvlText w:val="%9."/>
      <w:lvlJc w:val="right"/>
      <w:pPr>
        <w:ind w:left="6480" w:hanging="180"/>
      </w:pPr>
    </w:lvl>
  </w:abstractNum>
  <w:abstractNum w:abstractNumId="1" w15:restartNumberingAfterBreak="0">
    <w:nsid w:val="15330740"/>
    <w:multiLevelType w:val="hybridMultilevel"/>
    <w:tmpl w:val="8208DDA2"/>
    <w:lvl w:ilvl="0" w:tplc="34E0F816">
      <w:start w:val="1"/>
      <w:numFmt w:val="bullet"/>
      <w:lvlText w:val=""/>
      <w:lvlJc w:val="left"/>
      <w:pPr>
        <w:ind w:left="720" w:hanging="360"/>
      </w:pPr>
      <w:rPr>
        <w:rFonts w:ascii="Symbol" w:hAnsi="Symbol" w:hint="default"/>
      </w:rPr>
    </w:lvl>
    <w:lvl w:ilvl="1" w:tplc="1388934A">
      <w:start w:val="1"/>
      <w:numFmt w:val="bullet"/>
      <w:lvlText w:val="o"/>
      <w:lvlJc w:val="left"/>
      <w:pPr>
        <w:ind w:left="1440" w:hanging="360"/>
      </w:pPr>
      <w:rPr>
        <w:rFonts w:ascii="Courier New" w:hAnsi="Courier New" w:hint="default"/>
      </w:rPr>
    </w:lvl>
    <w:lvl w:ilvl="2" w:tplc="1F5C930E">
      <w:start w:val="1"/>
      <w:numFmt w:val="bullet"/>
      <w:lvlText w:val=""/>
      <w:lvlJc w:val="left"/>
      <w:pPr>
        <w:ind w:left="2160" w:hanging="360"/>
      </w:pPr>
      <w:rPr>
        <w:rFonts w:ascii="Wingdings" w:hAnsi="Wingdings" w:hint="default"/>
      </w:rPr>
    </w:lvl>
    <w:lvl w:ilvl="3" w:tplc="1D7EC5A2">
      <w:start w:val="1"/>
      <w:numFmt w:val="bullet"/>
      <w:lvlText w:val=""/>
      <w:lvlJc w:val="left"/>
      <w:pPr>
        <w:ind w:left="2880" w:hanging="360"/>
      </w:pPr>
      <w:rPr>
        <w:rFonts w:ascii="Symbol" w:hAnsi="Symbol" w:hint="default"/>
      </w:rPr>
    </w:lvl>
    <w:lvl w:ilvl="4" w:tplc="7396C5BA">
      <w:start w:val="1"/>
      <w:numFmt w:val="bullet"/>
      <w:lvlText w:val="o"/>
      <w:lvlJc w:val="left"/>
      <w:pPr>
        <w:ind w:left="3600" w:hanging="360"/>
      </w:pPr>
      <w:rPr>
        <w:rFonts w:ascii="Courier New" w:hAnsi="Courier New" w:hint="default"/>
      </w:rPr>
    </w:lvl>
    <w:lvl w:ilvl="5" w:tplc="1A4AEBB0">
      <w:start w:val="1"/>
      <w:numFmt w:val="bullet"/>
      <w:lvlText w:val=""/>
      <w:lvlJc w:val="left"/>
      <w:pPr>
        <w:ind w:left="4320" w:hanging="360"/>
      </w:pPr>
      <w:rPr>
        <w:rFonts w:ascii="Wingdings" w:hAnsi="Wingdings" w:hint="default"/>
      </w:rPr>
    </w:lvl>
    <w:lvl w:ilvl="6" w:tplc="66623A1E">
      <w:start w:val="1"/>
      <w:numFmt w:val="bullet"/>
      <w:lvlText w:val=""/>
      <w:lvlJc w:val="left"/>
      <w:pPr>
        <w:ind w:left="5040" w:hanging="360"/>
      </w:pPr>
      <w:rPr>
        <w:rFonts w:ascii="Symbol" w:hAnsi="Symbol" w:hint="default"/>
      </w:rPr>
    </w:lvl>
    <w:lvl w:ilvl="7" w:tplc="0D26AB92">
      <w:start w:val="1"/>
      <w:numFmt w:val="bullet"/>
      <w:lvlText w:val="o"/>
      <w:lvlJc w:val="left"/>
      <w:pPr>
        <w:ind w:left="5760" w:hanging="360"/>
      </w:pPr>
      <w:rPr>
        <w:rFonts w:ascii="Courier New" w:hAnsi="Courier New" w:hint="default"/>
      </w:rPr>
    </w:lvl>
    <w:lvl w:ilvl="8" w:tplc="727090E4">
      <w:start w:val="1"/>
      <w:numFmt w:val="bullet"/>
      <w:lvlText w:val=""/>
      <w:lvlJc w:val="left"/>
      <w:pPr>
        <w:ind w:left="6480" w:hanging="360"/>
      </w:pPr>
      <w:rPr>
        <w:rFonts w:ascii="Wingdings" w:hAnsi="Wingdings" w:hint="default"/>
      </w:rPr>
    </w:lvl>
  </w:abstractNum>
  <w:abstractNum w:abstractNumId="2" w15:restartNumberingAfterBreak="0">
    <w:nsid w:val="19A64625"/>
    <w:multiLevelType w:val="hybridMultilevel"/>
    <w:tmpl w:val="B39AA870"/>
    <w:lvl w:ilvl="0" w:tplc="652CCC42">
      <w:start w:val="1"/>
      <w:numFmt w:val="bullet"/>
      <w:lvlText w:val=""/>
      <w:lvlJc w:val="left"/>
      <w:pPr>
        <w:ind w:left="720" w:hanging="360"/>
      </w:pPr>
      <w:rPr>
        <w:rFonts w:ascii="Symbol" w:hAnsi="Symbol" w:hint="default"/>
      </w:rPr>
    </w:lvl>
    <w:lvl w:ilvl="1" w:tplc="9626CB28">
      <w:start w:val="1"/>
      <w:numFmt w:val="bullet"/>
      <w:lvlText w:val="o"/>
      <w:lvlJc w:val="left"/>
      <w:pPr>
        <w:ind w:left="1440" w:hanging="360"/>
      </w:pPr>
      <w:rPr>
        <w:rFonts w:ascii="Courier New" w:hAnsi="Courier New" w:hint="default"/>
      </w:rPr>
    </w:lvl>
    <w:lvl w:ilvl="2" w:tplc="71E26436">
      <w:start w:val="1"/>
      <w:numFmt w:val="bullet"/>
      <w:lvlText w:val=""/>
      <w:lvlJc w:val="left"/>
      <w:pPr>
        <w:ind w:left="2160" w:hanging="360"/>
      </w:pPr>
      <w:rPr>
        <w:rFonts w:ascii="Wingdings" w:hAnsi="Wingdings" w:hint="default"/>
      </w:rPr>
    </w:lvl>
    <w:lvl w:ilvl="3" w:tplc="D3481196">
      <w:start w:val="1"/>
      <w:numFmt w:val="bullet"/>
      <w:lvlText w:val=""/>
      <w:lvlJc w:val="left"/>
      <w:pPr>
        <w:ind w:left="2880" w:hanging="360"/>
      </w:pPr>
      <w:rPr>
        <w:rFonts w:ascii="Symbol" w:hAnsi="Symbol" w:hint="default"/>
      </w:rPr>
    </w:lvl>
    <w:lvl w:ilvl="4" w:tplc="213A212C">
      <w:start w:val="1"/>
      <w:numFmt w:val="bullet"/>
      <w:lvlText w:val="o"/>
      <w:lvlJc w:val="left"/>
      <w:pPr>
        <w:ind w:left="3600" w:hanging="360"/>
      </w:pPr>
      <w:rPr>
        <w:rFonts w:ascii="Courier New" w:hAnsi="Courier New" w:hint="default"/>
      </w:rPr>
    </w:lvl>
    <w:lvl w:ilvl="5" w:tplc="EB9EBA24">
      <w:start w:val="1"/>
      <w:numFmt w:val="bullet"/>
      <w:lvlText w:val=""/>
      <w:lvlJc w:val="left"/>
      <w:pPr>
        <w:ind w:left="4320" w:hanging="360"/>
      </w:pPr>
      <w:rPr>
        <w:rFonts w:ascii="Wingdings" w:hAnsi="Wingdings" w:hint="default"/>
      </w:rPr>
    </w:lvl>
    <w:lvl w:ilvl="6" w:tplc="66DEA934">
      <w:start w:val="1"/>
      <w:numFmt w:val="bullet"/>
      <w:lvlText w:val=""/>
      <w:lvlJc w:val="left"/>
      <w:pPr>
        <w:ind w:left="5040" w:hanging="360"/>
      </w:pPr>
      <w:rPr>
        <w:rFonts w:ascii="Symbol" w:hAnsi="Symbol" w:hint="default"/>
      </w:rPr>
    </w:lvl>
    <w:lvl w:ilvl="7" w:tplc="E34A1B08">
      <w:start w:val="1"/>
      <w:numFmt w:val="bullet"/>
      <w:lvlText w:val="o"/>
      <w:lvlJc w:val="left"/>
      <w:pPr>
        <w:ind w:left="5760" w:hanging="360"/>
      </w:pPr>
      <w:rPr>
        <w:rFonts w:ascii="Courier New" w:hAnsi="Courier New" w:hint="default"/>
      </w:rPr>
    </w:lvl>
    <w:lvl w:ilvl="8" w:tplc="56101522">
      <w:start w:val="1"/>
      <w:numFmt w:val="bullet"/>
      <w:lvlText w:val=""/>
      <w:lvlJc w:val="left"/>
      <w:pPr>
        <w:ind w:left="6480" w:hanging="360"/>
      </w:pPr>
      <w:rPr>
        <w:rFonts w:ascii="Wingdings" w:hAnsi="Wingdings" w:hint="default"/>
      </w:rPr>
    </w:lvl>
  </w:abstractNum>
  <w:abstractNum w:abstractNumId="3" w15:restartNumberingAfterBreak="0">
    <w:nsid w:val="39401B0E"/>
    <w:multiLevelType w:val="hybridMultilevel"/>
    <w:tmpl w:val="D402C894"/>
    <w:lvl w:ilvl="0" w:tplc="55FE7B48">
      <w:start w:val="1"/>
      <w:numFmt w:val="lowerRoman"/>
      <w:lvlText w:val="(%1)"/>
      <w:lvlJc w:val="left"/>
      <w:pPr>
        <w:ind w:left="720" w:hanging="360"/>
      </w:pPr>
    </w:lvl>
    <w:lvl w:ilvl="1" w:tplc="E7646CDC">
      <w:start w:val="1"/>
      <w:numFmt w:val="lowerLetter"/>
      <w:lvlText w:val="%2."/>
      <w:lvlJc w:val="left"/>
      <w:pPr>
        <w:ind w:left="1440" w:hanging="360"/>
      </w:pPr>
    </w:lvl>
    <w:lvl w:ilvl="2" w:tplc="94307F94">
      <w:start w:val="1"/>
      <w:numFmt w:val="lowerRoman"/>
      <w:lvlText w:val="%3."/>
      <w:lvlJc w:val="right"/>
      <w:pPr>
        <w:ind w:left="2160" w:hanging="180"/>
      </w:pPr>
    </w:lvl>
    <w:lvl w:ilvl="3" w:tplc="D58AB36C">
      <w:start w:val="1"/>
      <w:numFmt w:val="decimal"/>
      <w:lvlText w:val="%4."/>
      <w:lvlJc w:val="left"/>
      <w:pPr>
        <w:ind w:left="2880" w:hanging="360"/>
      </w:pPr>
    </w:lvl>
    <w:lvl w:ilvl="4" w:tplc="E7F079AA">
      <w:start w:val="1"/>
      <w:numFmt w:val="lowerLetter"/>
      <w:lvlText w:val="%5."/>
      <w:lvlJc w:val="left"/>
      <w:pPr>
        <w:ind w:left="3600" w:hanging="360"/>
      </w:pPr>
    </w:lvl>
    <w:lvl w:ilvl="5" w:tplc="14208D0E">
      <w:start w:val="1"/>
      <w:numFmt w:val="lowerRoman"/>
      <w:lvlText w:val="%6."/>
      <w:lvlJc w:val="right"/>
      <w:pPr>
        <w:ind w:left="4320" w:hanging="180"/>
      </w:pPr>
    </w:lvl>
    <w:lvl w:ilvl="6" w:tplc="CBEC961A">
      <w:start w:val="1"/>
      <w:numFmt w:val="decimal"/>
      <w:lvlText w:val="%7."/>
      <w:lvlJc w:val="left"/>
      <w:pPr>
        <w:ind w:left="5040" w:hanging="360"/>
      </w:pPr>
    </w:lvl>
    <w:lvl w:ilvl="7" w:tplc="E3FA7028">
      <w:start w:val="1"/>
      <w:numFmt w:val="lowerLetter"/>
      <w:lvlText w:val="%8."/>
      <w:lvlJc w:val="left"/>
      <w:pPr>
        <w:ind w:left="5760" w:hanging="360"/>
      </w:pPr>
    </w:lvl>
    <w:lvl w:ilvl="8" w:tplc="4B78A38A">
      <w:start w:val="1"/>
      <w:numFmt w:val="lowerRoman"/>
      <w:lvlText w:val="%9."/>
      <w:lvlJc w:val="right"/>
      <w:pPr>
        <w:ind w:left="6480" w:hanging="180"/>
      </w:pPr>
    </w:lvl>
  </w:abstractNum>
  <w:abstractNum w:abstractNumId="4" w15:restartNumberingAfterBreak="0">
    <w:nsid w:val="48392516"/>
    <w:multiLevelType w:val="hybridMultilevel"/>
    <w:tmpl w:val="F2E24966"/>
    <w:lvl w:ilvl="0" w:tplc="4E72DA0C">
      <w:start w:val="1"/>
      <w:numFmt w:val="lowerRoman"/>
      <w:lvlText w:val="(%1)"/>
      <w:lvlJc w:val="left"/>
      <w:pPr>
        <w:ind w:left="720" w:hanging="360"/>
      </w:pPr>
    </w:lvl>
    <w:lvl w:ilvl="1" w:tplc="C280641E">
      <w:start w:val="1"/>
      <w:numFmt w:val="lowerLetter"/>
      <w:lvlText w:val="%2."/>
      <w:lvlJc w:val="left"/>
      <w:pPr>
        <w:ind w:left="1440" w:hanging="360"/>
      </w:pPr>
    </w:lvl>
    <w:lvl w:ilvl="2" w:tplc="58B0CC32">
      <w:start w:val="1"/>
      <w:numFmt w:val="lowerRoman"/>
      <w:lvlText w:val="%3."/>
      <w:lvlJc w:val="right"/>
      <w:pPr>
        <w:ind w:left="2160" w:hanging="180"/>
      </w:pPr>
    </w:lvl>
    <w:lvl w:ilvl="3" w:tplc="182CD0FE">
      <w:start w:val="1"/>
      <w:numFmt w:val="decimal"/>
      <w:lvlText w:val="%4."/>
      <w:lvlJc w:val="left"/>
      <w:pPr>
        <w:ind w:left="2880" w:hanging="360"/>
      </w:pPr>
    </w:lvl>
    <w:lvl w:ilvl="4" w:tplc="48D21EE8">
      <w:start w:val="1"/>
      <w:numFmt w:val="lowerLetter"/>
      <w:lvlText w:val="%5."/>
      <w:lvlJc w:val="left"/>
      <w:pPr>
        <w:ind w:left="3600" w:hanging="360"/>
      </w:pPr>
    </w:lvl>
    <w:lvl w:ilvl="5" w:tplc="F3A6A96C">
      <w:start w:val="1"/>
      <w:numFmt w:val="lowerRoman"/>
      <w:lvlText w:val="%6."/>
      <w:lvlJc w:val="right"/>
      <w:pPr>
        <w:ind w:left="4320" w:hanging="180"/>
      </w:pPr>
    </w:lvl>
    <w:lvl w:ilvl="6" w:tplc="01D48C4E">
      <w:start w:val="1"/>
      <w:numFmt w:val="decimal"/>
      <w:lvlText w:val="%7."/>
      <w:lvlJc w:val="left"/>
      <w:pPr>
        <w:ind w:left="5040" w:hanging="360"/>
      </w:pPr>
    </w:lvl>
    <w:lvl w:ilvl="7" w:tplc="3138A86C">
      <w:start w:val="1"/>
      <w:numFmt w:val="lowerLetter"/>
      <w:lvlText w:val="%8."/>
      <w:lvlJc w:val="left"/>
      <w:pPr>
        <w:ind w:left="5760" w:hanging="360"/>
      </w:pPr>
    </w:lvl>
    <w:lvl w:ilvl="8" w:tplc="C05C3D80">
      <w:start w:val="1"/>
      <w:numFmt w:val="lowerRoman"/>
      <w:lvlText w:val="%9."/>
      <w:lvlJc w:val="right"/>
      <w:pPr>
        <w:ind w:left="6480" w:hanging="180"/>
      </w:pPr>
    </w:lvl>
  </w:abstractNum>
  <w:abstractNum w:abstractNumId="5" w15:restartNumberingAfterBreak="0">
    <w:nsid w:val="5CF79957"/>
    <w:multiLevelType w:val="hybridMultilevel"/>
    <w:tmpl w:val="7F6E2E6A"/>
    <w:lvl w:ilvl="0" w:tplc="F2B82D14">
      <w:start w:val="1"/>
      <w:numFmt w:val="bullet"/>
      <w:lvlText w:val="-"/>
      <w:lvlJc w:val="left"/>
      <w:pPr>
        <w:ind w:left="720" w:hanging="360"/>
      </w:pPr>
      <w:rPr>
        <w:rFonts w:ascii="Calibri" w:hAnsi="Calibri" w:hint="default"/>
      </w:rPr>
    </w:lvl>
    <w:lvl w:ilvl="1" w:tplc="D67A9CCA">
      <w:start w:val="1"/>
      <w:numFmt w:val="bullet"/>
      <w:lvlText w:val="o"/>
      <w:lvlJc w:val="left"/>
      <w:pPr>
        <w:ind w:left="1440" w:hanging="360"/>
      </w:pPr>
      <w:rPr>
        <w:rFonts w:ascii="Courier New" w:hAnsi="Courier New" w:hint="default"/>
      </w:rPr>
    </w:lvl>
    <w:lvl w:ilvl="2" w:tplc="61A6A234">
      <w:start w:val="1"/>
      <w:numFmt w:val="bullet"/>
      <w:lvlText w:val=""/>
      <w:lvlJc w:val="left"/>
      <w:pPr>
        <w:ind w:left="2160" w:hanging="360"/>
      </w:pPr>
      <w:rPr>
        <w:rFonts w:ascii="Wingdings" w:hAnsi="Wingdings" w:hint="default"/>
      </w:rPr>
    </w:lvl>
    <w:lvl w:ilvl="3" w:tplc="18C223D6">
      <w:start w:val="1"/>
      <w:numFmt w:val="bullet"/>
      <w:lvlText w:val=""/>
      <w:lvlJc w:val="left"/>
      <w:pPr>
        <w:ind w:left="2880" w:hanging="360"/>
      </w:pPr>
      <w:rPr>
        <w:rFonts w:ascii="Symbol" w:hAnsi="Symbol" w:hint="default"/>
      </w:rPr>
    </w:lvl>
    <w:lvl w:ilvl="4" w:tplc="401AB028">
      <w:start w:val="1"/>
      <w:numFmt w:val="bullet"/>
      <w:lvlText w:val="o"/>
      <w:lvlJc w:val="left"/>
      <w:pPr>
        <w:ind w:left="3600" w:hanging="360"/>
      </w:pPr>
      <w:rPr>
        <w:rFonts w:ascii="Courier New" w:hAnsi="Courier New" w:hint="default"/>
      </w:rPr>
    </w:lvl>
    <w:lvl w:ilvl="5" w:tplc="6F184AC0">
      <w:start w:val="1"/>
      <w:numFmt w:val="bullet"/>
      <w:lvlText w:val=""/>
      <w:lvlJc w:val="left"/>
      <w:pPr>
        <w:ind w:left="4320" w:hanging="360"/>
      </w:pPr>
      <w:rPr>
        <w:rFonts w:ascii="Wingdings" w:hAnsi="Wingdings" w:hint="default"/>
      </w:rPr>
    </w:lvl>
    <w:lvl w:ilvl="6" w:tplc="02BC2956">
      <w:start w:val="1"/>
      <w:numFmt w:val="bullet"/>
      <w:lvlText w:val=""/>
      <w:lvlJc w:val="left"/>
      <w:pPr>
        <w:ind w:left="5040" w:hanging="360"/>
      </w:pPr>
      <w:rPr>
        <w:rFonts w:ascii="Symbol" w:hAnsi="Symbol" w:hint="default"/>
      </w:rPr>
    </w:lvl>
    <w:lvl w:ilvl="7" w:tplc="433A5FEE">
      <w:start w:val="1"/>
      <w:numFmt w:val="bullet"/>
      <w:lvlText w:val="o"/>
      <w:lvlJc w:val="left"/>
      <w:pPr>
        <w:ind w:left="5760" w:hanging="360"/>
      </w:pPr>
      <w:rPr>
        <w:rFonts w:ascii="Courier New" w:hAnsi="Courier New" w:hint="default"/>
      </w:rPr>
    </w:lvl>
    <w:lvl w:ilvl="8" w:tplc="8D92B622">
      <w:start w:val="1"/>
      <w:numFmt w:val="bullet"/>
      <w:lvlText w:val=""/>
      <w:lvlJc w:val="left"/>
      <w:pPr>
        <w:ind w:left="6480" w:hanging="360"/>
      </w:pPr>
      <w:rPr>
        <w:rFonts w:ascii="Wingdings" w:hAnsi="Wingdings" w:hint="default"/>
      </w:rPr>
    </w:lvl>
  </w:abstractNum>
  <w:abstractNum w:abstractNumId="6" w15:restartNumberingAfterBreak="0">
    <w:nsid w:val="616A33DB"/>
    <w:multiLevelType w:val="hybridMultilevel"/>
    <w:tmpl w:val="A7D88A46"/>
    <w:lvl w:ilvl="0" w:tplc="4502B194">
      <w:start w:val="1"/>
      <w:numFmt w:val="bullet"/>
      <w:lvlText w:val=""/>
      <w:lvlJc w:val="left"/>
      <w:pPr>
        <w:ind w:left="720" w:hanging="360"/>
      </w:pPr>
      <w:rPr>
        <w:rFonts w:ascii="Symbol" w:hAnsi="Symbol" w:hint="default"/>
      </w:rPr>
    </w:lvl>
    <w:lvl w:ilvl="1" w:tplc="2AF41DF0">
      <w:start w:val="1"/>
      <w:numFmt w:val="bullet"/>
      <w:lvlText w:val="o"/>
      <w:lvlJc w:val="left"/>
      <w:pPr>
        <w:ind w:left="1440" w:hanging="360"/>
      </w:pPr>
      <w:rPr>
        <w:rFonts w:ascii="Courier New" w:hAnsi="Courier New" w:hint="default"/>
      </w:rPr>
    </w:lvl>
    <w:lvl w:ilvl="2" w:tplc="E6C83B14">
      <w:start w:val="1"/>
      <w:numFmt w:val="bullet"/>
      <w:lvlText w:val=""/>
      <w:lvlJc w:val="left"/>
      <w:pPr>
        <w:ind w:left="2160" w:hanging="360"/>
      </w:pPr>
      <w:rPr>
        <w:rFonts w:ascii="Wingdings" w:hAnsi="Wingdings" w:hint="default"/>
      </w:rPr>
    </w:lvl>
    <w:lvl w:ilvl="3" w:tplc="E8E4F210">
      <w:start w:val="1"/>
      <w:numFmt w:val="bullet"/>
      <w:lvlText w:val=""/>
      <w:lvlJc w:val="left"/>
      <w:pPr>
        <w:ind w:left="2880" w:hanging="360"/>
      </w:pPr>
      <w:rPr>
        <w:rFonts w:ascii="Symbol" w:hAnsi="Symbol" w:hint="default"/>
      </w:rPr>
    </w:lvl>
    <w:lvl w:ilvl="4" w:tplc="E6C80ACA">
      <w:start w:val="1"/>
      <w:numFmt w:val="bullet"/>
      <w:lvlText w:val="o"/>
      <w:lvlJc w:val="left"/>
      <w:pPr>
        <w:ind w:left="3600" w:hanging="360"/>
      </w:pPr>
      <w:rPr>
        <w:rFonts w:ascii="Courier New" w:hAnsi="Courier New" w:hint="default"/>
      </w:rPr>
    </w:lvl>
    <w:lvl w:ilvl="5" w:tplc="5664C42E">
      <w:start w:val="1"/>
      <w:numFmt w:val="bullet"/>
      <w:lvlText w:val=""/>
      <w:lvlJc w:val="left"/>
      <w:pPr>
        <w:ind w:left="4320" w:hanging="360"/>
      </w:pPr>
      <w:rPr>
        <w:rFonts w:ascii="Wingdings" w:hAnsi="Wingdings" w:hint="default"/>
      </w:rPr>
    </w:lvl>
    <w:lvl w:ilvl="6" w:tplc="A1943D66">
      <w:start w:val="1"/>
      <w:numFmt w:val="bullet"/>
      <w:lvlText w:val=""/>
      <w:lvlJc w:val="left"/>
      <w:pPr>
        <w:ind w:left="5040" w:hanging="360"/>
      </w:pPr>
      <w:rPr>
        <w:rFonts w:ascii="Symbol" w:hAnsi="Symbol" w:hint="default"/>
      </w:rPr>
    </w:lvl>
    <w:lvl w:ilvl="7" w:tplc="D52CB824">
      <w:start w:val="1"/>
      <w:numFmt w:val="bullet"/>
      <w:lvlText w:val="o"/>
      <w:lvlJc w:val="left"/>
      <w:pPr>
        <w:ind w:left="5760" w:hanging="360"/>
      </w:pPr>
      <w:rPr>
        <w:rFonts w:ascii="Courier New" w:hAnsi="Courier New" w:hint="default"/>
      </w:rPr>
    </w:lvl>
    <w:lvl w:ilvl="8" w:tplc="DA54874A">
      <w:start w:val="1"/>
      <w:numFmt w:val="bullet"/>
      <w:lvlText w:val=""/>
      <w:lvlJc w:val="left"/>
      <w:pPr>
        <w:ind w:left="6480" w:hanging="360"/>
      </w:pPr>
      <w:rPr>
        <w:rFonts w:ascii="Wingdings" w:hAnsi="Wingdings" w:hint="default"/>
      </w:rPr>
    </w:lvl>
  </w:abstractNum>
  <w:num w:numId="1" w16cid:durableId="1339886646">
    <w:abstractNumId w:val="5"/>
  </w:num>
  <w:num w:numId="2" w16cid:durableId="1302731144">
    <w:abstractNumId w:val="6"/>
  </w:num>
  <w:num w:numId="3" w16cid:durableId="2055041282">
    <w:abstractNumId w:val="1"/>
  </w:num>
  <w:num w:numId="4" w16cid:durableId="950933358">
    <w:abstractNumId w:val="2"/>
  </w:num>
  <w:num w:numId="5" w16cid:durableId="644432119">
    <w:abstractNumId w:val="3"/>
  </w:num>
  <w:num w:numId="6" w16cid:durableId="1185561141">
    <w:abstractNumId w:val="4"/>
  </w:num>
  <w:num w:numId="7" w16cid:durableId="896011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37DBC4"/>
    <w:rsid w:val="0015035E"/>
    <w:rsid w:val="00213DA1"/>
    <w:rsid w:val="042D8967"/>
    <w:rsid w:val="15ADF079"/>
    <w:rsid w:val="1C8EC627"/>
    <w:rsid w:val="30147B71"/>
    <w:rsid w:val="363618A7"/>
    <w:rsid w:val="3A9E703C"/>
    <w:rsid w:val="461DC36F"/>
    <w:rsid w:val="6E29A42F"/>
    <w:rsid w:val="75CC3165"/>
    <w:rsid w:val="7D37D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DBC4"/>
  <w15:chartTrackingRefBased/>
  <w15:docId w15:val="{911953F8-2B45-41A0-B30A-C5F03ECC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teleyplc.com/insight/in-depth/tupe-or-not-to-tupe-service-provision-changes/" TargetMode="External"/><Relationship Id="rId18" Type="http://schemas.openxmlformats.org/officeDocument/2006/relationships/hyperlink" Target="https://www.morton-fraser.com/insights/calculating-injury-feelings-compensation-awards-discrimination-claims" TargetMode="External"/><Relationship Id="rId26" Type="http://schemas.openxmlformats.org/officeDocument/2006/relationships/hyperlink" Target="https://www.rsmuk.com/insights/employment-matters/legal/employers-required-to-take-action-to-prevent-sexual-harassment" TargetMode="External"/><Relationship Id="rId21" Type="http://schemas.openxmlformats.org/officeDocument/2006/relationships/hyperlink" Target="https://landaulaw.co.uk/faqs/what-compensation-would-you-freceive-in-a-constructive-dismissal-claim/" TargetMode="External"/><Relationship Id="rId34" Type="http://schemas.openxmlformats.org/officeDocument/2006/relationships/hyperlink" Target="https://www.legislation.gov.uk/uksi/2006/246/contents/made" TargetMode="External"/><Relationship Id="rId7" Type="http://schemas.openxmlformats.org/officeDocument/2006/relationships/hyperlink" Target="https://www.gov.uk/employment-appeal-tribunal-decisions/allay-uk-ltd-v-mr-s-gehlen-ukeat-slash-0031-slash-20-slash-at" TargetMode="External"/><Relationship Id="rId12" Type="http://schemas.openxmlformats.org/officeDocument/2006/relationships/hyperlink" Target="https://www.brachers.co.uk/insights/is-it-better-to-settle-or-fight-an-employment-tribunal-claim" TargetMode="External"/><Relationship Id="rId17" Type="http://schemas.openxmlformats.org/officeDocument/2006/relationships/hyperlink" Target="https://www.casemine.com/judgement/uk/5a8ff77e60d03e7f57ead854" TargetMode="External"/><Relationship Id="rId25" Type="http://schemas.openxmlformats.org/officeDocument/2006/relationships/hyperlink" Target="https://www.peoplemanagement.co.uk/article/1807441/new-duty-employers-prevent-sexual-harassment" TargetMode="External"/><Relationship Id="rId33" Type="http://schemas.openxmlformats.org/officeDocument/2006/relationships/hyperlink" Target="https://assets.publishing.service.gov.uk/media/6075819be90e076f5466147d/Mrs_S_Stannard_-v-_Overseas_Courier_Service__LONDON__Ltd___Others_-_3334823-2018.pdf" TargetMode="External"/><Relationship Id="rId2" Type="http://schemas.openxmlformats.org/officeDocument/2006/relationships/styles" Target="styles.xml"/><Relationship Id="rId16" Type="http://schemas.openxmlformats.org/officeDocument/2006/relationships/hyperlink" Target="https://www.gov.uk/government/publications/respond-to-a-claim-made-to-an-employment-tribunal-form-et3" TargetMode="External"/><Relationship Id="rId20" Type="http://schemas.openxmlformats.org/officeDocument/2006/relationships/hyperlink" Target="https://landaulaw.co.uk/constructive-dismissal/" TargetMode="External"/><Relationship Id="rId29" Type="http://schemas.openxmlformats.org/officeDocument/2006/relationships/hyperlink" Target="https://www.davidsonmorris.com/constructive-dismissal/" TargetMode="External"/><Relationship Id="rId1" Type="http://schemas.openxmlformats.org/officeDocument/2006/relationships/numbering" Target="numbering.xml"/><Relationship Id="rId6" Type="http://schemas.openxmlformats.org/officeDocument/2006/relationships/hyperlink" Target="https://vlex.co.uk/vid/alexander-v-home-office-793779277" TargetMode="External"/><Relationship Id="rId11" Type="http://schemas.openxmlformats.org/officeDocument/2006/relationships/hyperlink" Target="https://www.citizensadvice.org.uk/work/discrimination-at-work/discrimination-at-work/taking-action/work-out-how-much-compensation-you-could-get-for-discrimination-work/" TargetMode="External"/><Relationship Id="rId24" Type="http://schemas.openxmlformats.org/officeDocument/2006/relationships/hyperlink" Target="https://www.casemine.com/judgement/uk/5a8ff78860d03e7f57eae6e2" TargetMode="External"/><Relationship Id="rId32" Type="http://schemas.openxmlformats.org/officeDocument/2006/relationships/hyperlink" Target="https://www.stephensons.co.uk/site/individuals/employment_individuals/settlement-agreements/settlement-agreement-process/" TargetMode="External"/><Relationship Id="rId37" Type="http://schemas.microsoft.com/office/2020/10/relationships/intelligence" Target="intelligence2.xml"/><Relationship Id="rId5" Type="http://schemas.openxmlformats.org/officeDocument/2006/relationships/hyperlink" Target="https://www.acas.org.uk/acas-code-of-practice-for-disciplinary-and-grievance-procedures/html" TargetMode="External"/><Relationship Id="rId15" Type="http://schemas.openxmlformats.org/officeDocument/2006/relationships/hyperlink" Target="https://www.gov.uk/dismissal/unfair-and-constructive-dismissal" TargetMode="External"/><Relationship Id="rId23" Type="http://schemas.openxmlformats.org/officeDocument/2006/relationships/hyperlink" Target="https://www.casemine.com/judgement/uk/5a8ff86660d03e7f57ebf949" TargetMode="External"/><Relationship Id="rId28" Type="http://schemas.openxmlformats.org/officeDocument/2006/relationships/hyperlink" Target="https://www.davidsonmorris.com/constructive-dismissal-examples/" TargetMode="External"/><Relationship Id="rId36" Type="http://schemas.openxmlformats.org/officeDocument/2006/relationships/theme" Target="theme/theme1.xml"/><Relationship Id="rId10" Type="http://schemas.openxmlformats.org/officeDocument/2006/relationships/hyperlink" Target="https://www.citizensadvice.org.uk/work/employment-tribunals/employment-tribunals/before-you-go-to-the-tribunal/check-what-compensation-you-can-get-for-unfair-dismissal/" TargetMode="External"/><Relationship Id="rId19" Type="http://schemas.openxmlformats.org/officeDocument/2006/relationships/hyperlink" Target="https://www.lawblacks.com/2021/03/02/the-statutory-defence-against-discrimination-claims/" TargetMode="External"/><Relationship Id="rId31" Type="http://schemas.openxmlformats.org/officeDocument/2006/relationships/hyperlink" Target="https://app.croneri.co.uk/law-and-guidance/case-reports/munchkins-restaurant-ltd-and-anor-v-karmazyn-2010-ukeat035909" TargetMode="External"/><Relationship Id="rId4" Type="http://schemas.openxmlformats.org/officeDocument/2006/relationships/webSettings" Target="webSettings.xml"/><Relationship Id="rId9" Type="http://schemas.openxmlformats.org/officeDocument/2006/relationships/hyperlink" Target="https://qlaw.co.uk/employment-law/redundancy-in-a-tupe-transfer/"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landaulaw.co.uk/sex-discrimination/" TargetMode="External"/><Relationship Id="rId27" Type="http://schemas.openxmlformats.org/officeDocument/2006/relationships/hyperlink" Target="https://www.gabyhardwicke.co.uk/briefing-notes/vicarious-liability-and-discrimination/" TargetMode="External"/><Relationship Id="rId30" Type="http://schemas.openxmlformats.org/officeDocument/2006/relationships/hyperlink" Target="https://www.davidsonmorris.com/eto-tupe/" TargetMode="External"/><Relationship Id="rId35" Type="http://schemas.openxmlformats.org/officeDocument/2006/relationships/fontTable" Target="fontTable.xml"/><Relationship Id="rId8" Type="http://schemas.openxmlformats.org/officeDocument/2006/relationships/hyperlink" Target="https://www.pureemploymentlaw.co.uk/what-are-vento-bands-and-what-will-the-new-bands-b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4589</Words>
  <Characters>26163</Characters>
  <Application>Microsoft Office Word</Application>
  <DocSecurity>0</DocSecurity>
  <Lines>218</Lines>
  <Paragraphs>61</Paragraphs>
  <ScaleCrop>false</ScaleCrop>
  <Company/>
  <LinksUpToDate>false</LinksUpToDate>
  <CharactersWithSpaces>30691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Dan Mumford</cp:lastModifiedBy>
  <cp:revision>2</cp:revision>
  <dcterms:created xsi:type="dcterms:W3CDTF">2023-05-14T23:28:00Z</dcterms:created>
  <dcterms:modified xsi:type="dcterms:W3CDTF">2023-05-14T23:28:00Z</dcterms:modified>
</cp:coreProperties>
</file>