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2FA91" w14:textId="77777777" w:rsidR="00A55F0C" w:rsidRPr="006A639F" w:rsidRDefault="00A55F0C" w:rsidP="00A55F0C">
      <w:pPr>
        <w:jc w:val="center"/>
        <w:rPr>
          <w:b/>
          <w:bCs/>
        </w:rPr>
      </w:pPr>
      <w:r w:rsidRPr="006A639F">
        <w:rPr>
          <w:b/>
          <w:bCs/>
          <w:noProof/>
        </w:rPr>
        <w:drawing>
          <wp:inline distT="0" distB="0" distL="0" distR="0" wp14:anchorId="2EED4092" wp14:editId="332DF25B">
            <wp:extent cx="5339493" cy="1854911"/>
            <wp:effectExtent l="0" t="0" r="0" b="0"/>
            <wp:docPr id="1010089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9557" name=""/>
                    <pic:cNvPicPr/>
                  </pic:nvPicPr>
                  <pic:blipFill>
                    <a:blip r:embed="rId8"/>
                    <a:stretch>
                      <a:fillRect/>
                    </a:stretch>
                  </pic:blipFill>
                  <pic:spPr>
                    <a:xfrm>
                      <a:off x="0" y="0"/>
                      <a:ext cx="5400456" cy="1876089"/>
                    </a:xfrm>
                    <a:prstGeom prst="rect">
                      <a:avLst/>
                    </a:prstGeom>
                  </pic:spPr>
                </pic:pic>
              </a:graphicData>
            </a:graphic>
          </wp:inline>
        </w:drawing>
      </w:r>
    </w:p>
    <w:p w14:paraId="09BFC511" w14:textId="77777777" w:rsidR="00A55F0C" w:rsidRDefault="00A55F0C" w:rsidP="00A55F0C">
      <w:pPr>
        <w:jc w:val="center"/>
        <w:rPr>
          <w:b/>
          <w:bCs/>
          <w:sz w:val="28"/>
        </w:rPr>
      </w:pPr>
    </w:p>
    <w:p w14:paraId="28B3507D" w14:textId="7781A7CF" w:rsidR="00A55F0C" w:rsidRPr="006A639F" w:rsidRDefault="00A55F0C" w:rsidP="00A55F0C">
      <w:pPr>
        <w:jc w:val="center"/>
        <w:rPr>
          <w:b/>
          <w:bCs/>
          <w:sz w:val="28"/>
        </w:rPr>
      </w:pPr>
      <w:r w:rsidRPr="006A639F">
        <w:rPr>
          <w:b/>
          <w:bCs/>
          <w:sz w:val="28"/>
        </w:rPr>
        <w:t>Master of Business Administration</w:t>
      </w:r>
    </w:p>
    <w:p w14:paraId="02238DA7" w14:textId="77777777" w:rsidR="00A55F0C" w:rsidRPr="006A639F" w:rsidRDefault="00A55F0C" w:rsidP="00A55F0C">
      <w:pPr>
        <w:jc w:val="center"/>
        <w:rPr>
          <w:b/>
          <w:bCs/>
          <w:sz w:val="28"/>
        </w:rPr>
      </w:pPr>
      <w:r w:rsidRPr="006A639F">
        <w:rPr>
          <w:b/>
          <w:bCs/>
          <w:sz w:val="28"/>
        </w:rPr>
        <w:t>LCMB7035 – Dissertation</w:t>
      </w:r>
    </w:p>
    <w:p w14:paraId="28FDE2A9" w14:textId="77777777" w:rsidR="00A55F0C" w:rsidRDefault="00A55F0C" w:rsidP="00A55F0C">
      <w:pPr>
        <w:jc w:val="center"/>
        <w:rPr>
          <w:b/>
          <w:bCs/>
          <w:sz w:val="28"/>
        </w:rPr>
      </w:pPr>
      <w:r w:rsidRPr="006A639F">
        <w:rPr>
          <w:b/>
          <w:bCs/>
          <w:sz w:val="28"/>
        </w:rPr>
        <w:t>Dissertation Proposal</w:t>
      </w:r>
    </w:p>
    <w:p w14:paraId="079EAB8C" w14:textId="17CBD430" w:rsidR="00A55F0C" w:rsidRPr="00A55F0C" w:rsidRDefault="00A55F0C" w:rsidP="00A55F0C">
      <w:pPr>
        <w:jc w:val="center"/>
        <w:rPr>
          <w:b/>
          <w:bCs/>
          <w:sz w:val="28"/>
          <w:lang w:val="en-IN"/>
        </w:rPr>
      </w:pPr>
      <w:r w:rsidRPr="00A55F0C">
        <w:rPr>
          <w:b/>
          <w:bCs/>
          <w:sz w:val="28"/>
          <w:lang w:val="en-IN"/>
        </w:rPr>
        <w:t xml:space="preserve">Student Name: </w:t>
      </w:r>
      <w:r>
        <w:rPr>
          <w:b/>
          <w:bCs/>
          <w:sz w:val="28"/>
          <w:lang w:val="en-IN"/>
        </w:rPr>
        <w:t xml:space="preserve">Jay Naimeshkumar </w:t>
      </w:r>
      <w:r w:rsidRPr="00A55F0C">
        <w:rPr>
          <w:b/>
          <w:bCs/>
          <w:sz w:val="28"/>
          <w:lang w:val="en-IN"/>
        </w:rPr>
        <w:t>Prajapati</w:t>
      </w:r>
    </w:p>
    <w:p w14:paraId="6D27DA12" w14:textId="4BA602FB" w:rsidR="00A55F0C" w:rsidRPr="00A55F0C" w:rsidRDefault="00A55F0C" w:rsidP="00A55F0C">
      <w:pPr>
        <w:jc w:val="center"/>
        <w:rPr>
          <w:b/>
          <w:bCs/>
          <w:sz w:val="28"/>
          <w:lang w:val="en-IN"/>
        </w:rPr>
      </w:pPr>
      <w:r w:rsidRPr="00A55F0C">
        <w:rPr>
          <w:b/>
          <w:bCs/>
          <w:sz w:val="28"/>
          <w:lang w:val="en-IN"/>
        </w:rPr>
        <w:t xml:space="preserve">Student ID: </w:t>
      </w:r>
      <w:r>
        <w:rPr>
          <w:b/>
          <w:bCs/>
          <w:sz w:val="28"/>
          <w:lang w:val="en-IN"/>
        </w:rPr>
        <w:t>2436028</w:t>
      </w:r>
    </w:p>
    <w:p w14:paraId="2CE5D7EE" w14:textId="77777777" w:rsidR="00A55F0C" w:rsidRPr="00A55F0C" w:rsidRDefault="00A55F0C" w:rsidP="00A55F0C">
      <w:pPr>
        <w:jc w:val="center"/>
        <w:rPr>
          <w:b/>
          <w:bCs/>
          <w:sz w:val="28"/>
          <w:lang w:val="en-IN"/>
        </w:rPr>
      </w:pPr>
    </w:p>
    <w:p w14:paraId="5CFFF8D8" w14:textId="77777777" w:rsidR="00A55F0C" w:rsidRPr="006A639F" w:rsidRDefault="00A55F0C" w:rsidP="00A55F0C">
      <w:pPr>
        <w:jc w:val="center"/>
        <w:rPr>
          <w:b/>
          <w:bCs/>
          <w:sz w:val="28"/>
        </w:rPr>
      </w:pPr>
    </w:p>
    <w:p w14:paraId="22BB68E1" w14:textId="77777777" w:rsidR="00296953" w:rsidRPr="00296953" w:rsidRDefault="00296953" w:rsidP="00296953">
      <w:pPr>
        <w:rPr>
          <w:rFonts w:ascii="Arial" w:eastAsia="Times New Roman" w:hAnsi="Arial" w:cs="Arial"/>
          <w:b/>
          <w:bCs/>
          <w:color w:val="000000" w:themeColor="text1"/>
          <w:sz w:val="40"/>
          <w:szCs w:val="40"/>
        </w:rPr>
      </w:pPr>
    </w:p>
    <w:p w14:paraId="783D1BE0" w14:textId="25DD3576" w:rsidR="00A86FA8" w:rsidRPr="00FF7B7E" w:rsidRDefault="005A2172" w:rsidP="00FF7B7E">
      <w:pPr>
        <w:jc w:val="center"/>
        <w:rPr>
          <w:rFonts w:ascii="Arial" w:eastAsia="Times New Roman" w:hAnsi="Arial" w:cs="Arial"/>
          <w:b/>
          <w:bCs/>
          <w:color w:val="000000" w:themeColor="text1"/>
          <w:sz w:val="38"/>
          <w:szCs w:val="38"/>
        </w:rPr>
      </w:pPr>
      <w:r w:rsidRPr="00FF7B7E">
        <w:rPr>
          <w:rFonts w:ascii="Arial" w:eastAsia="Times New Roman" w:hAnsi="Arial" w:cs="Arial"/>
          <w:b/>
          <w:bCs/>
          <w:color w:val="000000" w:themeColor="text1"/>
          <w:sz w:val="38"/>
          <w:szCs w:val="38"/>
        </w:rPr>
        <w:t>Underpricing of Private Equity-Backed and Non-Private Equity-Backed IPOs in the United Kingdom.</w:t>
      </w:r>
    </w:p>
    <w:p w14:paraId="1BC2C87C" w14:textId="77777777" w:rsidR="00296953" w:rsidRDefault="00296953">
      <w:pPr>
        <w:rPr>
          <w:rFonts w:ascii="Arial" w:eastAsia="Times New Roman" w:hAnsi="Arial" w:cs="Arial"/>
          <w:b/>
          <w:bCs/>
          <w:color w:val="000000" w:themeColor="text1"/>
          <w:sz w:val="32"/>
          <w:szCs w:val="32"/>
        </w:rPr>
      </w:pPr>
    </w:p>
    <w:p w14:paraId="6F710C0F" w14:textId="77777777" w:rsidR="00296953" w:rsidRDefault="00296953">
      <w:pPr>
        <w:rPr>
          <w:rFonts w:ascii="Arial" w:eastAsia="Times New Roman" w:hAnsi="Arial" w:cs="Arial"/>
          <w:b/>
          <w:bCs/>
          <w:color w:val="000000" w:themeColor="text1"/>
          <w:sz w:val="32"/>
          <w:szCs w:val="32"/>
        </w:rPr>
      </w:pPr>
    </w:p>
    <w:p w14:paraId="1BDC1086" w14:textId="77777777" w:rsidR="00296953" w:rsidRDefault="00296953">
      <w:pPr>
        <w:rPr>
          <w:rFonts w:ascii="Arial" w:eastAsia="Times New Roman" w:hAnsi="Arial" w:cs="Arial"/>
          <w:b/>
          <w:bCs/>
          <w:color w:val="000000" w:themeColor="text1"/>
          <w:sz w:val="32"/>
          <w:szCs w:val="32"/>
        </w:rPr>
      </w:pPr>
    </w:p>
    <w:p w14:paraId="1ECD7F78" w14:textId="77777777" w:rsidR="00296953" w:rsidRDefault="00296953">
      <w:pPr>
        <w:rPr>
          <w:rFonts w:ascii="Arial" w:eastAsia="Times New Roman" w:hAnsi="Arial" w:cs="Arial"/>
          <w:b/>
          <w:bCs/>
          <w:color w:val="000000" w:themeColor="text1"/>
          <w:sz w:val="32"/>
          <w:szCs w:val="32"/>
        </w:rPr>
      </w:pPr>
    </w:p>
    <w:p w14:paraId="3D387D1B" w14:textId="77777777" w:rsidR="005D1310" w:rsidRPr="00A86FA8" w:rsidRDefault="005D1310">
      <w:pPr>
        <w:rPr>
          <w:rFonts w:ascii="Arial" w:eastAsia="Times New Roman" w:hAnsi="Arial" w:cs="Arial"/>
          <w:b/>
          <w:bCs/>
          <w:color w:val="000000" w:themeColor="text1"/>
          <w:sz w:val="32"/>
          <w:szCs w:val="32"/>
        </w:rPr>
      </w:pPr>
    </w:p>
    <w:sdt>
      <w:sdtPr>
        <w:rPr>
          <w:rFonts w:asciiTheme="minorHAnsi" w:eastAsiaTheme="minorHAnsi" w:hAnsiTheme="minorHAnsi" w:cstheme="minorBidi"/>
          <w:color w:val="auto"/>
          <w:kern w:val="2"/>
          <w:sz w:val="24"/>
          <w:szCs w:val="24"/>
          <w14:ligatures w14:val="standardContextual"/>
        </w:rPr>
        <w:id w:val="-2039424263"/>
        <w:docPartObj>
          <w:docPartGallery w:val="Table of Contents"/>
          <w:docPartUnique/>
        </w:docPartObj>
      </w:sdtPr>
      <w:sdtEndPr>
        <w:rPr>
          <w:b/>
          <w:bCs/>
          <w:noProof/>
        </w:rPr>
      </w:sdtEndPr>
      <w:sdtContent>
        <w:p w14:paraId="0F940505" w14:textId="4CC1B73E" w:rsidR="005D1310" w:rsidRDefault="005D1310">
          <w:pPr>
            <w:pStyle w:val="TOCHeading"/>
          </w:pPr>
          <w:r>
            <w:t>Contents</w:t>
          </w:r>
        </w:p>
        <w:p w14:paraId="6C83F7BC" w14:textId="135DC6D7" w:rsidR="007949A6" w:rsidRDefault="005D131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770300" w:history="1">
            <w:r w:rsidR="007949A6" w:rsidRPr="00783402">
              <w:rPr>
                <w:rStyle w:val="Hyperlink"/>
                <w:rFonts w:cs="Arial"/>
                <w:noProof/>
              </w:rPr>
              <w:t>Introduction</w:t>
            </w:r>
            <w:r w:rsidR="007949A6">
              <w:rPr>
                <w:noProof/>
                <w:webHidden/>
              </w:rPr>
              <w:tab/>
            </w:r>
            <w:r w:rsidR="007949A6">
              <w:rPr>
                <w:noProof/>
                <w:webHidden/>
              </w:rPr>
              <w:fldChar w:fldCharType="begin"/>
            </w:r>
            <w:r w:rsidR="007949A6">
              <w:rPr>
                <w:noProof/>
                <w:webHidden/>
              </w:rPr>
              <w:instrText xml:space="preserve"> PAGEREF _Toc225770300 \h </w:instrText>
            </w:r>
            <w:r w:rsidR="007949A6">
              <w:rPr>
                <w:noProof/>
                <w:webHidden/>
              </w:rPr>
            </w:r>
            <w:r w:rsidR="007949A6">
              <w:rPr>
                <w:noProof/>
                <w:webHidden/>
              </w:rPr>
              <w:fldChar w:fldCharType="separate"/>
            </w:r>
            <w:r w:rsidR="007949A6">
              <w:rPr>
                <w:noProof/>
                <w:webHidden/>
              </w:rPr>
              <w:t>2</w:t>
            </w:r>
            <w:r w:rsidR="007949A6">
              <w:rPr>
                <w:noProof/>
                <w:webHidden/>
              </w:rPr>
              <w:fldChar w:fldCharType="end"/>
            </w:r>
          </w:hyperlink>
        </w:p>
        <w:p w14:paraId="1DC3C795" w14:textId="4D956CC7" w:rsidR="007949A6" w:rsidRDefault="007949A6">
          <w:pPr>
            <w:pStyle w:val="TOC2"/>
            <w:tabs>
              <w:tab w:val="right" w:leader="dot" w:pos="9350"/>
            </w:tabs>
            <w:rPr>
              <w:rFonts w:eastAsiaTheme="minorEastAsia"/>
              <w:noProof/>
            </w:rPr>
          </w:pPr>
          <w:hyperlink w:anchor="_Toc225770301" w:history="1">
            <w:r w:rsidRPr="00783402">
              <w:rPr>
                <w:rStyle w:val="Hyperlink"/>
                <w:rFonts w:eastAsia="Times New Roman"/>
                <w:noProof/>
              </w:rPr>
              <w:t>Problem Statement</w:t>
            </w:r>
            <w:r>
              <w:rPr>
                <w:noProof/>
                <w:webHidden/>
              </w:rPr>
              <w:tab/>
            </w:r>
            <w:r>
              <w:rPr>
                <w:noProof/>
                <w:webHidden/>
              </w:rPr>
              <w:fldChar w:fldCharType="begin"/>
            </w:r>
            <w:r>
              <w:rPr>
                <w:noProof/>
                <w:webHidden/>
              </w:rPr>
              <w:instrText xml:space="preserve"> PAGEREF _Toc225770301 \h </w:instrText>
            </w:r>
            <w:r>
              <w:rPr>
                <w:noProof/>
                <w:webHidden/>
              </w:rPr>
            </w:r>
            <w:r>
              <w:rPr>
                <w:noProof/>
                <w:webHidden/>
              </w:rPr>
              <w:fldChar w:fldCharType="separate"/>
            </w:r>
            <w:r>
              <w:rPr>
                <w:noProof/>
                <w:webHidden/>
              </w:rPr>
              <w:t>3</w:t>
            </w:r>
            <w:r>
              <w:rPr>
                <w:noProof/>
                <w:webHidden/>
              </w:rPr>
              <w:fldChar w:fldCharType="end"/>
            </w:r>
          </w:hyperlink>
        </w:p>
        <w:p w14:paraId="7ACC6256" w14:textId="1DB25754" w:rsidR="007949A6" w:rsidRDefault="007949A6">
          <w:pPr>
            <w:pStyle w:val="TOC2"/>
            <w:tabs>
              <w:tab w:val="right" w:leader="dot" w:pos="9350"/>
            </w:tabs>
            <w:rPr>
              <w:rFonts w:eastAsiaTheme="minorEastAsia"/>
              <w:noProof/>
            </w:rPr>
          </w:pPr>
          <w:hyperlink w:anchor="_Toc225770302" w:history="1">
            <w:r w:rsidRPr="00783402">
              <w:rPr>
                <w:rStyle w:val="Hyperlink"/>
                <w:noProof/>
              </w:rPr>
              <w:t>Research Objectives</w:t>
            </w:r>
            <w:r>
              <w:rPr>
                <w:noProof/>
                <w:webHidden/>
              </w:rPr>
              <w:tab/>
            </w:r>
            <w:r>
              <w:rPr>
                <w:noProof/>
                <w:webHidden/>
              </w:rPr>
              <w:fldChar w:fldCharType="begin"/>
            </w:r>
            <w:r>
              <w:rPr>
                <w:noProof/>
                <w:webHidden/>
              </w:rPr>
              <w:instrText xml:space="preserve"> PAGEREF _Toc225770302 \h </w:instrText>
            </w:r>
            <w:r>
              <w:rPr>
                <w:noProof/>
                <w:webHidden/>
              </w:rPr>
            </w:r>
            <w:r>
              <w:rPr>
                <w:noProof/>
                <w:webHidden/>
              </w:rPr>
              <w:fldChar w:fldCharType="separate"/>
            </w:r>
            <w:r>
              <w:rPr>
                <w:noProof/>
                <w:webHidden/>
              </w:rPr>
              <w:t>3</w:t>
            </w:r>
            <w:r>
              <w:rPr>
                <w:noProof/>
                <w:webHidden/>
              </w:rPr>
              <w:fldChar w:fldCharType="end"/>
            </w:r>
          </w:hyperlink>
        </w:p>
        <w:p w14:paraId="0DE57AD3" w14:textId="1ABE5BD3" w:rsidR="007949A6" w:rsidRDefault="007949A6">
          <w:pPr>
            <w:pStyle w:val="TOC2"/>
            <w:tabs>
              <w:tab w:val="right" w:leader="dot" w:pos="9350"/>
            </w:tabs>
            <w:rPr>
              <w:rFonts w:eastAsiaTheme="minorEastAsia"/>
              <w:noProof/>
            </w:rPr>
          </w:pPr>
          <w:hyperlink w:anchor="_Toc225770303" w:history="1">
            <w:r w:rsidRPr="00783402">
              <w:rPr>
                <w:rStyle w:val="Hyperlink"/>
                <w:noProof/>
              </w:rPr>
              <w:t>Research Questions</w:t>
            </w:r>
            <w:r>
              <w:rPr>
                <w:noProof/>
                <w:webHidden/>
              </w:rPr>
              <w:tab/>
            </w:r>
            <w:r>
              <w:rPr>
                <w:noProof/>
                <w:webHidden/>
              </w:rPr>
              <w:fldChar w:fldCharType="begin"/>
            </w:r>
            <w:r>
              <w:rPr>
                <w:noProof/>
                <w:webHidden/>
              </w:rPr>
              <w:instrText xml:space="preserve"> PAGEREF _Toc225770303 \h </w:instrText>
            </w:r>
            <w:r>
              <w:rPr>
                <w:noProof/>
                <w:webHidden/>
              </w:rPr>
            </w:r>
            <w:r>
              <w:rPr>
                <w:noProof/>
                <w:webHidden/>
              </w:rPr>
              <w:fldChar w:fldCharType="separate"/>
            </w:r>
            <w:r>
              <w:rPr>
                <w:noProof/>
                <w:webHidden/>
              </w:rPr>
              <w:t>4</w:t>
            </w:r>
            <w:r>
              <w:rPr>
                <w:noProof/>
                <w:webHidden/>
              </w:rPr>
              <w:fldChar w:fldCharType="end"/>
            </w:r>
          </w:hyperlink>
        </w:p>
        <w:p w14:paraId="37A5B49D" w14:textId="7DA56D84" w:rsidR="007949A6" w:rsidRDefault="007949A6">
          <w:pPr>
            <w:pStyle w:val="TOC1"/>
            <w:tabs>
              <w:tab w:val="right" w:leader="dot" w:pos="9350"/>
            </w:tabs>
            <w:rPr>
              <w:rFonts w:eastAsiaTheme="minorEastAsia"/>
              <w:noProof/>
            </w:rPr>
          </w:pPr>
          <w:hyperlink w:anchor="_Toc225770304" w:history="1">
            <w:r w:rsidRPr="00783402">
              <w:rPr>
                <w:rStyle w:val="Hyperlink"/>
                <w:rFonts w:cs="Arial"/>
                <w:noProof/>
              </w:rPr>
              <w:t>Literature Review</w:t>
            </w:r>
            <w:r>
              <w:rPr>
                <w:noProof/>
                <w:webHidden/>
              </w:rPr>
              <w:tab/>
            </w:r>
            <w:r>
              <w:rPr>
                <w:noProof/>
                <w:webHidden/>
              </w:rPr>
              <w:fldChar w:fldCharType="begin"/>
            </w:r>
            <w:r>
              <w:rPr>
                <w:noProof/>
                <w:webHidden/>
              </w:rPr>
              <w:instrText xml:space="preserve"> PAGEREF _Toc225770304 \h </w:instrText>
            </w:r>
            <w:r>
              <w:rPr>
                <w:noProof/>
                <w:webHidden/>
              </w:rPr>
            </w:r>
            <w:r>
              <w:rPr>
                <w:noProof/>
                <w:webHidden/>
              </w:rPr>
              <w:fldChar w:fldCharType="separate"/>
            </w:r>
            <w:r>
              <w:rPr>
                <w:noProof/>
                <w:webHidden/>
              </w:rPr>
              <w:t>4</w:t>
            </w:r>
            <w:r>
              <w:rPr>
                <w:noProof/>
                <w:webHidden/>
              </w:rPr>
              <w:fldChar w:fldCharType="end"/>
            </w:r>
          </w:hyperlink>
        </w:p>
        <w:p w14:paraId="6B0EBB35" w14:textId="6F8B4754" w:rsidR="007949A6" w:rsidRDefault="007949A6">
          <w:pPr>
            <w:pStyle w:val="TOC1"/>
            <w:tabs>
              <w:tab w:val="right" w:leader="dot" w:pos="9350"/>
            </w:tabs>
            <w:rPr>
              <w:rFonts w:eastAsiaTheme="minorEastAsia"/>
              <w:noProof/>
            </w:rPr>
          </w:pPr>
          <w:hyperlink w:anchor="_Toc225770305" w:history="1">
            <w:r w:rsidRPr="00783402">
              <w:rPr>
                <w:rStyle w:val="Hyperlink"/>
                <w:noProof/>
              </w:rPr>
              <w:t>Research Gap</w:t>
            </w:r>
            <w:r>
              <w:rPr>
                <w:noProof/>
                <w:webHidden/>
              </w:rPr>
              <w:tab/>
            </w:r>
            <w:r>
              <w:rPr>
                <w:noProof/>
                <w:webHidden/>
              </w:rPr>
              <w:fldChar w:fldCharType="begin"/>
            </w:r>
            <w:r>
              <w:rPr>
                <w:noProof/>
                <w:webHidden/>
              </w:rPr>
              <w:instrText xml:space="preserve"> PAGEREF _Toc225770305 \h </w:instrText>
            </w:r>
            <w:r>
              <w:rPr>
                <w:noProof/>
                <w:webHidden/>
              </w:rPr>
            </w:r>
            <w:r>
              <w:rPr>
                <w:noProof/>
                <w:webHidden/>
              </w:rPr>
              <w:fldChar w:fldCharType="separate"/>
            </w:r>
            <w:r>
              <w:rPr>
                <w:noProof/>
                <w:webHidden/>
              </w:rPr>
              <w:t>10</w:t>
            </w:r>
            <w:r>
              <w:rPr>
                <w:noProof/>
                <w:webHidden/>
              </w:rPr>
              <w:fldChar w:fldCharType="end"/>
            </w:r>
          </w:hyperlink>
        </w:p>
        <w:p w14:paraId="2F30C7BB" w14:textId="1C0E349A" w:rsidR="007949A6" w:rsidRDefault="007949A6">
          <w:pPr>
            <w:pStyle w:val="TOC1"/>
            <w:tabs>
              <w:tab w:val="right" w:leader="dot" w:pos="9350"/>
            </w:tabs>
            <w:rPr>
              <w:rFonts w:eastAsiaTheme="minorEastAsia"/>
              <w:noProof/>
            </w:rPr>
          </w:pPr>
          <w:hyperlink w:anchor="_Toc225770306" w:history="1">
            <w:r w:rsidRPr="00783402">
              <w:rPr>
                <w:rStyle w:val="Hyperlink"/>
                <w:noProof/>
              </w:rPr>
              <w:t>Methodology</w:t>
            </w:r>
            <w:r>
              <w:rPr>
                <w:noProof/>
                <w:webHidden/>
              </w:rPr>
              <w:tab/>
            </w:r>
            <w:r>
              <w:rPr>
                <w:noProof/>
                <w:webHidden/>
              </w:rPr>
              <w:fldChar w:fldCharType="begin"/>
            </w:r>
            <w:r>
              <w:rPr>
                <w:noProof/>
                <w:webHidden/>
              </w:rPr>
              <w:instrText xml:space="preserve"> PAGEREF _Toc225770306 \h </w:instrText>
            </w:r>
            <w:r>
              <w:rPr>
                <w:noProof/>
                <w:webHidden/>
              </w:rPr>
            </w:r>
            <w:r>
              <w:rPr>
                <w:noProof/>
                <w:webHidden/>
              </w:rPr>
              <w:fldChar w:fldCharType="separate"/>
            </w:r>
            <w:r>
              <w:rPr>
                <w:noProof/>
                <w:webHidden/>
              </w:rPr>
              <w:t>10</w:t>
            </w:r>
            <w:r>
              <w:rPr>
                <w:noProof/>
                <w:webHidden/>
              </w:rPr>
              <w:fldChar w:fldCharType="end"/>
            </w:r>
          </w:hyperlink>
        </w:p>
        <w:p w14:paraId="7D6B24ED" w14:textId="189B241B" w:rsidR="007949A6" w:rsidRDefault="007949A6">
          <w:pPr>
            <w:pStyle w:val="TOC2"/>
            <w:tabs>
              <w:tab w:val="right" w:leader="dot" w:pos="9350"/>
            </w:tabs>
            <w:rPr>
              <w:rFonts w:eastAsiaTheme="minorEastAsia"/>
              <w:noProof/>
            </w:rPr>
          </w:pPr>
          <w:hyperlink w:anchor="_Toc225770307" w:history="1">
            <w:r w:rsidRPr="00783402">
              <w:rPr>
                <w:rStyle w:val="Hyperlink"/>
                <w:noProof/>
              </w:rPr>
              <w:t>Research Philosophy</w:t>
            </w:r>
            <w:r>
              <w:rPr>
                <w:noProof/>
                <w:webHidden/>
              </w:rPr>
              <w:tab/>
            </w:r>
            <w:r>
              <w:rPr>
                <w:noProof/>
                <w:webHidden/>
              </w:rPr>
              <w:fldChar w:fldCharType="begin"/>
            </w:r>
            <w:r>
              <w:rPr>
                <w:noProof/>
                <w:webHidden/>
              </w:rPr>
              <w:instrText xml:space="preserve"> PAGEREF _Toc225770307 \h </w:instrText>
            </w:r>
            <w:r>
              <w:rPr>
                <w:noProof/>
                <w:webHidden/>
              </w:rPr>
            </w:r>
            <w:r>
              <w:rPr>
                <w:noProof/>
                <w:webHidden/>
              </w:rPr>
              <w:fldChar w:fldCharType="separate"/>
            </w:r>
            <w:r>
              <w:rPr>
                <w:noProof/>
                <w:webHidden/>
              </w:rPr>
              <w:t>11</w:t>
            </w:r>
            <w:r>
              <w:rPr>
                <w:noProof/>
                <w:webHidden/>
              </w:rPr>
              <w:fldChar w:fldCharType="end"/>
            </w:r>
          </w:hyperlink>
        </w:p>
        <w:p w14:paraId="127489B1" w14:textId="234C504E" w:rsidR="007949A6" w:rsidRDefault="007949A6">
          <w:pPr>
            <w:pStyle w:val="TOC2"/>
            <w:tabs>
              <w:tab w:val="right" w:leader="dot" w:pos="9350"/>
            </w:tabs>
            <w:rPr>
              <w:rFonts w:eastAsiaTheme="minorEastAsia"/>
              <w:noProof/>
            </w:rPr>
          </w:pPr>
          <w:hyperlink w:anchor="_Toc225770308" w:history="1">
            <w:r w:rsidRPr="00783402">
              <w:rPr>
                <w:rStyle w:val="Hyperlink"/>
                <w:noProof/>
              </w:rPr>
              <w:t>Research Approach</w:t>
            </w:r>
            <w:r>
              <w:rPr>
                <w:noProof/>
                <w:webHidden/>
              </w:rPr>
              <w:tab/>
            </w:r>
            <w:r>
              <w:rPr>
                <w:noProof/>
                <w:webHidden/>
              </w:rPr>
              <w:fldChar w:fldCharType="begin"/>
            </w:r>
            <w:r>
              <w:rPr>
                <w:noProof/>
                <w:webHidden/>
              </w:rPr>
              <w:instrText xml:space="preserve"> PAGEREF _Toc225770308 \h </w:instrText>
            </w:r>
            <w:r>
              <w:rPr>
                <w:noProof/>
                <w:webHidden/>
              </w:rPr>
            </w:r>
            <w:r>
              <w:rPr>
                <w:noProof/>
                <w:webHidden/>
              </w:rPr>
              <w:fldChar w:fldCharType="separate"/>
            </w:r>
            <w:r>
              <w:rPr>
                <w:noProof/>
                <w:webHidden/>
              </w:rPr>
              <w:t>11</w:t>
            </w:r>
            <w:r>
              <w:rPr>
                <w:noProof/>
                <w:webHidden/>
              </w:rPr>
              <w:fldChar w:fldCharType="end"/>
            </w:r>
          </w:hyperlink>
        </w:p>
        <w:p w14:paraId="1BD30CDE" w14:textId="54DC28DF" w:rsidR="007949A6" w:rsidRDefault="007949A6">
          <w:pPr>
            <w:pStyle w:val="TOC2"/>
            <w:tabs>
              <w:tab w:val="right" w:leader="dot" w:pos="9350"/>
            </w:tabs>
            <w:rPr>
              <w:rFonts w:eastAsiaTheme="minorEastAsia"/>
              <w:noProof/>
            </w:rPr>
          </w:pPr>
          <w:hyperlink w:anchor="_Toc225770309" w:history="1">
            <w:r w:rsidRPr="00783402">
              <w:rPr>
                <w:rStyle w:val="Hyperlink"/>
                <w:noProof/>
              </w:rPr>
              <w:t>Research Strategy</w:t>
            </w:r>
            <w:r>
              <w:rPr>
                <w:noProof/>
                <w:webHidden/>
              </w:rPr>
              <w:tab/>
            </w:r>
            <w:r>
              <w:rPr>
                <w:noProof/>
                <w:webHidden/>
              </w:rPr>
              <w:fldChar w:fldCharType="begin"/>
            </w:r>
            <w:r>
              <w:rPr>
                <w:noProof/>
                <w:webHidden/>
              </w:rPr>
              <w:instrText xml:space="preserve"> PAGEREF _Toc225770309 \h </w:instrText>
            </w:r>
            <w:r>
              <w:rPr>
                <w:noProof/>
                <w:webHidden/>
              </w:rPr>
            </w:r>
            <w:r>
              <w:rPr>
                <w:noProof/>
                <w:webHidden/>
              </w:rPr>
              <w:fldChar w:fldCharType="separate"/>
            </w:r>
            <w:r>
              <w:rPr>
                <w:noProof/>
                <w:webHidden/>
              </w:rPr>
              <w:t>11</w:t>
            </w:r>
            <w:r>
              <w:rPr>
                <w:noProof/>
                <w:webHidden/>
              </w:rPr>
              <w:fldChar w:fldCharType="end"/>
            </w:r>
          </w:hyperlink>
        </w:p>
        <w:p w14:paraId="0AA151A8" w14:textId="5F62CBBB" w:rsidR="007949A6" w:rsidRDefault="007949A6">
          <w:pPr>
            <w:pStyle w:val="TOC2"/>
            <w:tabs>
              <w:tab w:val="right" w:leader="dot" w:pos="9350"/>
            </w:tabs>
            <w:rPr>
              <w:rFonts w:eastAsiaTheme="minorEastAsia"/>
              <w:noProof/>
            </w:rPr>
          </w:pPr>
          <w:hyperlink w:anchor="_Toc225770310" w:history="1">
            <w:r w:rsidRPr="00783402">
              <w:rPr>
                <w:rStyle w:val="Hyperlink"/>
                <w:noProof/>
              </w:rPr>
              <w:t>Data Collection</w:t>
            </w:r>
            <w:r>
              <w:rPr>
                <w:noProof/>
                <w:webHidden/>
              </w:rPr>
              <w:tab/>
            </w:r>
            <w:r>
              <w:rPr>
                <w:noProof/>
                <w:webHidden/>
              </w:rPr>
              <w:fldChar w:fldCharType="begin"/>
            </w:r>
            <w:r>
              <w:rPr>
                <w:noProof/>
                <w:webHidden/>
              </w:rPr>
              <w:instrText xml:space="preserve"> PAGEREF _Toc225770310 \h </w:instrText>
            </w:r>
            <w:r>
              <w:rPr>
                <w:noProof/>
                <w:webHidden/>
              </w:rPr>
            </w:r>
            <w:r>
              <w:rPr>
                <w:noProof/>
                <w:webHidden/>
              </w:rPr>
              <w:fldChar w:fldCharType="separate"/>
            </w:r>
            <w:r>
              <w:rPr>
                <w:noProof/>
                <w:webHidden/>
              </w:rPr>
              <w:t>12</w:t>
            </w:r>
            <w:r>
              <w:rPr>
                <w:noProof/>
                <w:webHidden/>
              </w:rPr>
              <w:fldChar w:fldCharType="end"/>
            </w:r>
          </w:hyperlink>
        </w:p>
        <w:p w14:paraId="69C64590" w14:textId="566AE29F" w:rsidR="007949A6" w:rsidRDefault="007949A6">
          <w:pPr>
            <w:pStyle w:val="TOC2"/>
            <w:tabs>
              <w:tab w:val="right" w:leader="dot" w:pos="9350"/>
            </w:tabs>
            <w:rPr>
              <w:rFonts w:eastAsiaTheme="minorEastAsia"/>
              <w:noProof/>
            </w:rPr>
          </w:pPr>
          <w:hyperlink w:anchor="_Toc225770311" w:history="1">
            <w:r w:rsidRPr="00783402">
              <w:rPr>
                <w:rStyle w:val="Hyperlink"/>
                <w:noProof/>
              </w:rPr>
              <w:t>Data Analysis</w:t>
            </w:r>
            <w:r>
              <w:rPr>
                <w:noProof/>
                <w:webHidden/>
              </w:rPr>
              <w:tab/>
            </w:r>
            <w:r>
              <w:rPr>
                <w:noProof/>
                <w:webHidden/>
              </w:rPr>
              <w:fldChar w:fldCharType="begin"/>
            </w:r>
            <w:r>
              <w:rPr>
                <w:noProof/>
                <w:webHidden/>
              </w:rPr>
              <w:instrText xml:space="preserve"> PAGEREF _Toc225770311 \h </w:instrText>
            </w:r>
            <w:r>
              <w:rPr>
                <w:noProof/>
                <w:webHidden/>
              </w:rPr>
            </w:r>
            <w:r>
              <w:rPr>
                <w:noProof/>
                <w:webHidden/>
              </w:rPr>
              <w:fldChar w:fldCharType="separate"/>
            </w:r>
            <w:r>
              <w:rPr>
                <w:noProof/>
                <w:webHidden/>
              </w:rPr>
              <w:t>12</w:t>
            </w:r>
            <w:r>
              <w:rPr>
                <w:noProof/>
                <w:webHidden/>
              </w:rPr>
              <w:fldChar w:fldCharType="end"/>
            </w:r>
          </w:hyperlink>
        </w:p>
        <w:p w14:paraId="7667939B" w14:textId="4D59C90B" w:rsidR="007949A6" w:rsidRDefault="007949A6">
          <w:pPr>
            <w:pStyle w:val="TOC2"/>
            <w:tabs>
              <w:tab w:val="right" w:leader="dot" w:pos="9350"/>
            </w:tabs>
            <w:rPr>
              <w:rFonts w:eastAsiaTheme="minorEastAsia"/>
              <w:noProof/>
            </w:rPr>
          </w:pPr>
          <w:hyperlink w:anchor="_Toc225770312" w:history="1">
            <w:r w:rsidRPr="00783402">
              <w:rPr>
                <w:rStyle w:val="Hyperlink"/>
                <w:noProof/>
              </w:rPr>
              <w:t>Ethical Considerations</w:t>
            </w:r>
            <w:r>
              <w:rPr>
                <w:noProof/>
                <w:webHidden/>
              </w:rPr>
              <w:tab/>
            </w:r>
            <w:r>
              <w:rPr>
                <w:noProof/>
                <w:webHidden/>
              </w:rPr>
              <w:fldChar w:fldCharType="begin"/>
            </w:r>
            <w:r>
              <w:rPr>
                <w:noProof/>
                <w:webHidden/>
              </w:rPr>
              <w:instrText xml:space="preserve"> PAGEREF _Toc225770312 \h </w:instrText>
            </w:r>
            <w:r>
              <w:rPr>
                <w:noProof/>
                <w:webHidden/>
              </w:rPr>
            </w:r>
            <w:r>
              <w:rPr>
                <w:noProof/>
                <w:webHidden/>
              </w:rPr>
              <w:fldChar w:fldCharType="separate"/>
            </w:r>
            <w:r>
              <w:rPr>
                <w:noProof/>
                <w:webHidden/>
              </w:rPr>
              <w:t>12</w:t>
            </w:r>
            <w:r>
              <w:rPr>
                <w:noProof/>
                <w:webHidden/>
              </w:rPr>
              <w:fldChar w:fldCharType="end"/>
            </w:r>
          </w:hyperlink>
        </w:p>
        <w:p w14:paraId="7E968988" w14:textId="12DB4FA8" w:rsidR="007949A6" w:rsidRDefault="007949A6">
          <w:pPr>
            <w:pStyle w:val="TOC1"/>
            <w:tabs>
              <w:tab w:val="right" w:leader="dot" w:pos="9350"/>
            </w:tabs>
            <w:rPr>
              <w:rFonts w:eastAsiaTheme="minorEastAsia"/>
              <w:noProof/>
            </w:rPr>
          </w:pPr>
          <w:hyperlink w:anchor="_Toc225770313" w:history="1">
            <w:r w:rsidRPr="00783402">
              <w:rPr>
                <w:rStyle w:val="Hyperlink"/>
                <w:noProof/>
              </w:rPr>
              <w:t>Expected Findings</w:t>
            </w:r>
            <w:r>
              <w:rPr>
                <w:noProof/>
                <w:webHidden/>
              </w:rPr>
              <w:tab/>
            </w:r>
            <w:r>
              <w:rPr>
                <w:noProof/>
                <w:webHidden/>
              </w:rPr>
              <w:fldChar w:fldCharType="begin"/>
            </w:r>
            <w:r>
              <w:rPr>
                <w:noProof/>
                <w:webHidden/>
              </w:rPr>
              <w:instrText xml:space="preserve"> PAGEREF _Toc225770313 \h </w:instrText>
            </w:r>
            <w:r>
              <w:rPr>
                <w:noProof/>
                <w:webHidden/>
              </w:rPr>
            </w:r>
            <w:r>
              <w:rPr>
                <w:noProof/>
                <w:webHidden/>
              </w:rPr>
              <w:fldChar w:fldCharType="separate"/>
            </w:r>
            <w:r>
              <w:rPr>
                <w:noProof/>
                <w:webHidden/>
              </w:rPr>
              <w:t>12</w:t>
            </w:r>
            <w:r>
              <w:rPr>
                <w:noProof/>
                <w:webHidden/>
              </w:rPr>
              <w:fldChar w:fldCharType="end"/>
            </w:r>
          </w:hyperlink>
        </w:p>
        <w:p w14:paraId="702719B8" w14:textId="42C5CFF2" w:rsidR="007949A6" w:rsidRDefault="007949A6">
          <w:pPr>
            <w:pStyle w:val="TOC1"/>
            <w:tabs>
              <w:tab w:val="right" w:leader="dot" w:pos="9350"/>
            </w:tabs>
            <w:rPr>
              <w:rFonts w:eastAsiaTheme="minorEastAsia"/>
              <w:noProof/>
            </w:rPr>
          </w:pPr>
          <w:hyperlink w:anchor="_Toc225770314" w:history="1">
            <w:r w:rsidRPr="00783402">
              <w:rPr>
                <w:rStyle w:val="Hyperlink"/>
                <w:noProof/>
              </w:rPr>
              <w:t>Limitations</w:t>
            </w:r>
            <w:r>
              <w:rPr>
                <w:noProof/>
                <w:webHidden/>
              </w:rPr>
              <w:tab/>
            </w:r>
            <w:r>
              <w:rPr>
                <w:noProof/>
                <w:webHidden/>
              </w:rPr>
              <w:fldChar w:fldCharType="begin"/>
            </w:r>
            <w:r>
              <w:rPr>
                <w:noProof/>
                <w:webHidden/>
              </w:rPr>
              <w:instrText xml:space="preserve"> PAGEREF _Toc225770314 \h </w:instrText>
            </w:r>
            <w:r>
              <w:rPr>
                <w:noProof/>
                <w:webHidden/>
              </w:rPr>
            </w:r>
            <w:r>
              <w:rPr>
                <w:noProof/>
                <w:webHidden/>
              </w:rPr>
              <w:fldChar w:fldCharType="separate"/>
            </w:r>
            <w:r>
              <w:rPr>
                <w:noProof/>
                <w:webHidden/>
              </w:rPr>
              <w:t>13</w:t>
            </w:r>
            <w:r>
              <w:rPr>
                <w:noProof/>
                <w:webHidden/>
              </w:rPr>
              <w:fldChar w:fldCharType="end"/>
            </w:r>
          </w:hyperlink>
        </w:p>
        <w:p w14:paraId="271296AA" w14:textId="2F29DC83" w:rsidR="007949A6" w:rsidRDefault="007949A6">
          <w:pPr>
            <w:pStyle w:val="TOC1"/>
            <w:tabs>
              <w:tab w:val="right" w:leader="dot" w:pos="9350"/>
            </w:tabs>
            <w:rPr>
              <w:rFonts w:eastAsiaTheme="minorEastAsia"/>
              <w:noProof/>
            </w:rPr>
          </w:pPr>
          <w:hyperlink w:anchor="_Toc225770315" w:history="1">
            <w:r w:rsidRPr="00783402">
              <w:rPr>
                <w:rStyle w:val="Hyperlink"/>
                <w:noProof/>
              </w:rPr>
              <w:t>Timeframe</w:t>
            </w:r>
            <w:r>
              <w:rPr>
                <w:noProof/>
                <w:webHidden/>
              </w:rPr>
              <w:tab/>
            </w:r>
            <w:r>
              <w:rPr>
                <w:noProof/>
                <w:webHidden/>
              </w:rPr>
              <w:fldChar w:fldCharType="begin"/>
            </w:r>
            <w:r>
              <w:rPr>
                <w:noProof/>
                <w:webHidden/>
              </w:rPr>
              <w:instrText xml:space="preserve"> PAGEREF _Toc225770315 \h </w:instrText>
            </w:r>
            <w:r>
              <w:rPr>
                <w:noProof/>
                <w:webHidden/>
              </w:rPr>
            </w:r>
            <w:r>
              <w:rPr>
                <w:noProof/>
                <w:webHidden/>
              </w:rPr>
              <w:fldChar w:fldCharType="separate"/>
            </w:r>
            <w:r>
              <w:rPr>
                <w:noProof/>
                <w:webHidden/>
              </w:rPr>
              <w:t>14</w:t>
            </w:r>
            <w:r>
              <w:rPr>
                <w:noProof/>
                <w:webHidden/>
              </w:rPr>
              <w:fldChar w:fldCharType="end"/>
            </w:r>
          </w:hyperlink>
        </w:p>
        <w:p w14:paraId="0F2AC41D" w14:textId="5AC0A0C7" w:rsidR="007949A6" w:rsidRDefault="007949A6">
          <w:pPr>
            <w:pStyle w:val="TOC1"/>
            <w:tabs>
              <w:tab w:val="right" w:leader="dot" w:pos="9350"/>
            </w:tabs>
            <w:rPr>
              <w:rFonts w:eastAsiaTheme="minorEastAsia"/>
              <w:noProof/>
            </w:rPr>
          </w:pPr>
          <w:hyperlink w:anchor="_Toc225770316" w:history="1">
            <w:r w:rsidRPr="00783402">
              <w:rPr>
                <w:rStyle w:val="Hyperlink"/>
                <w:rFonts w:cs="Arial"/>
                <w:noProof/>
              </w:rPr>
              <w:t>Conclusion</w:t>
            </w:r>
            <w:r>
              <w:rPr>
                <w:noProof/>
                <w:webHidden/>
              </w:rPr>
              <w:tab/>
            </w:r>
            <w:r>
              <w:rPr>
                <w:noProof/>
                <w:webHidden/>
              </w:rPr>
              <w:fldChar w:fldCharType="begin"/>
            </w:r>
            <w:r>
              <w:rPr>
                <w:noProof/>
                <w:webHidden/>
              </w:rPr>
              <w:instrText xml:space="preserve"> PAGEREF _Toc225770316 \h </w:instrText>
            </w:r>
            <w:r>
              <w:rPr>
                <w:noProof/>
                <w:webHidden/>
              </w:rPr>
            </w:r>
            <w:r>
              <w:rPr>
                <w:noProof/>
                <w:webHidden/>
              </w:rPr>
              <w:fldChar w:fldCharType="separate"/>
            </w:r>
            <w:r>
              <w:rPr>
                <w:noProof/>
                <w:webHidden/>
              </w:rPr>
              <w:t>14</w:t>
            </w:r>
            <w:r>
              <w:rPr>
                <w:noProof/>
                <w:webHidden/>
              </w:rPr>
              <w:fldChar w:fldCharType="end"/>
            </w:r>
          </w:hyperlink>
        </w:p>
        <w:p w14:paraId="76B24388" w14:textId="2AD353D9" w:rsidR="007949A6" w:rsidRDefault="007949A6">
          <w:pPr>
            <w:pStyle w:val="TOC1"/>
            <w:tabs>
              <w:tab w:val="right" w:leader="dot" w:pos="9350"/>
            </w:tabs>
            <w:rPr>
              <w:rFonts w:eastAsiaTheme="minorEastAsia"/>
              <w:noProof/>
            </w:rPr>
          </w:pPr>
          <w:hyperlink w:anchor="_Toc225770317" w:history="1">
            <w:r w:rsidRPr="00783402">
              <w:rPr>
                <w:rStyle w:val="Hyperlink"/>
                <w:noProof/>
              </w:rPr>
              <w:t>References</w:t>
            </w:r>
            <w:r>
              <w:rPr>
                <w:noProof/>
                <w:webHidden/>
              </w:rPr>
              <w:tab/>
            </w:r>
            <w:r>
              <w:rPr>
                <w:noProof/>
                <w:webHidden/>
              </w:rPr>
              <w:fldChar w:fldCharType="begin"/>
            </w:r>
            <w:r>
              <w:rPr>
                <w:noProof/>
                <w:webHidden/>
              </w:rPr>
              <w:instrText xml:space="preserve"> PAGEREF _Toc225770317 \h </w:instrText>
            </w:r>
            <w:r>
              <w:rPr>
                <w:noProof/>
                <w:webHidden/>
              </w:rPr>
            </w:r>
            <w:r>
              <w:rPr>
                <w:noProof/>
                <w:webHidden/>
              </w:rPr>
              <w:fldChar w:fldCharType="separate"/>
            </w:r>
            <w:r>
              <w:rPr>
                <w:noProof/>
                <w:webHidden/>
              </w:rPr>
              <w:t>15</w:t>
            </w:r>
            <w:r>
              <w:rPr>
                <w:noProof/>
                <w:webHidden/>
              </w:rPr>
              <w:fldChar w:fldCharType="end"/>
            </w:r>
          </w:hyperlink>
        </w:p>
        <w:p w14:paraId="3C914531" w14:textId="2FD59EAF" w:rsidR="005D1310" w:rsidRDefault="005D1310">
          <w:r>
            <w:rPr>
              <w:b/>
              <w:bCs/>
              <w:noProof/>
            </w:rPr>
            <w:fldChar w:fldCharType="end"/>
          </w:r>
        </w:p>
      </w:sdtContent>
    </w:sdt>
    <w:p w14:paraId="22FFB365" w14:textId="77777777" w:rsidR="005D1310" w:rsidRDefault="005D1310">
      <w:pPr>
        <w:rPr>
          <w:rFonts w:ascii="Arial" w:eastAsia="Times New Roman" w:hAnsi="Arial" w:cs="Arial"/>
          <w:b/>
          <w:bCs/>
          <w:color w:val="000000" w:themeColor="text1"/>
          <w:sz w:val="28"/>
          <w:szCs w:val="28"/>
        </w:rPr>
      </w:pPr>
    </w:p>
    <w:p w14:paraId="68BB5FCD" w14:textId="77777777" w:rsidR="005D1310" w:rsidRDefault="005D1310">
      <w:pPr>
        <w:rPr>
          <w:rFonts w:ascii="Arial" w:eastAsia="Times New Roman" w:hAnsi="Arial" w:cs="Arial"/>
          <w:b/>
          <w:bCs/>
          <w:color w:val="000000" w:themeColor="text1"/>
          <w:sz w:val="28"/>
          <w:szCs w:val="28"/>
        </w:rPr>
      </w:pPr>
    </w:p>
    <w:p w14:paraId="068355D4" w14:textId="77777777" w:rsidR="005D1310" w:rsidRDefault="005D1310">
      <w:pPr>
        <w:rPr>
          <w:rFonts w:ascii="Arial" w:eastAsia="Times New Roman" w:hAnsi="Arial" w:cs="Arial"/>
          <w:b/>
          <w:bCs/>
          <w:color w:val="000000" w:themeColor="text1"/>
          <w:sz w:val="28"/>
          <w:szCs w:val="28"/>
        </w:rPr>
      </w:pPr>
    </w:p>
    <w:p w14:paraId="1CA2C286" w14:textId="77777777" w:rsidR="005D1310" w:rsidRDefault="005D1310">
      <w:pPr>
        <w:rPr>
          <w:rFonts w:ascii="Arial" w:eastAsia="Times New Roman" w:hAnsi="Arial" w:cs="Arial"/>
          <w:b/>
          <w:bCs/>
          <w:color w:val="000000" w:themeColor="text1"/>
          <w:sz w:val="28"/>
          <w:szCs w:val="28"/>
        </w:rPr>
      </w:pPr>
    </w:p>
    <w:p w14:paraId="5AE2F669" w14:textId="77777777" w:rsidR="00373EE7" w:rsidRPr="00C63731" w:rsidRDefault="00373EE7">
      <w:pPr>
        <w:rPr>
          <w:rFonts w:ascii="Arial" w:eastAsia="Times New Roman" w:hAnsi="Arial" w:cs="Arial"/>
          <w:b/>
          <w:bCs/>
          <w:color w:val="000000" w:themeColor="text1"/>
          <w:sz w:val="28"/>
          <w:szCs w:val="28"/>
        </w:rPr>
      </w:pPr>
    </w:p>
    <w:p w14:paraId="3AF5C1E2" w14:textId="0D6BB10D" w:rsidR="003C1E08" w:rsidRDefault="003C1E08" w:rsidP="003C1E08">
      <w:pPr>
        <w:pStyle w:val="Heading1"/>
        <w:rPr>
          <w:rFonts w:cs="Arial"/>
        </w:rPr>
      </w:pPr>
      <w:bookmarkStart w:id="0" w:name="_Toc225770300"/>
      <w:r w:rsidRPr="00C63731">
        <w:rPr>
          <w:rFonts w:cs="Arial"/>
        </w:rPr>
        <w:lastRenderedPageBreak/>
        <w:t>Introduction</w:t>
      </w:r>
      <w:bookmarkEnd w:id="0"/>
    </w:p>
    <w:p w14:paraId="1B7622A6" w14:textId="1B3133A3" w:rsidR="004D3DC8" w:rsidRPr="00C634B8" w:rsidRDefault="00863B4F" w:rsidP="00C634B8">
      <w:pPr>
        <w:spacing w:line="360" w:lineRule="auto"/>
        <w:jc w:val="both"/>
        <w:rPr>
          <w:rFonts w:ascii="Arial" w:hAnsi="Arial" w:cs="Arial"/>
        </w:rPr>
      </w:pPr>
      <w:r w:rsidRPr="00863B4F">
        <w:rPr>
          <w:rFonts w:ascii="Arial" w:hAnsi="Arial" w:cs="Arial"/>
        </w:rPr>
        <w:t>When a privately owned company offers its shares to the public for the first time, it marks a major event in corporate life. It is one of the most closely observed and financially important stages for any firm. For private equity investors, this point represents the outcome of several years of ownership. During this period, the company is typically restructured, professionally managed, and prepared for the demands of public markets.</w:t>
      </w:r>
      <w:r>
        <w:rPr>
          <w:rFonts w:ascii="Arial" w:hAnsi="Arial" w:cs="Arial"/>
        </w:rPr>
        <w:t xml:space="preserve"> </w:t>
      </w:r>
      <w:r w:rsidRPr="00863B4F">
        <w:rPr>
          <w:rFonts w:ascii="Arial" w:hAnsi="Arial" w:cs="Arial"/>
        </w:rPr>
        <w:t>However, despite the high stakes for all parties involved, pricing outcomes in IPO markets remain difficult to fully explain. These stakeholders include the firm raising capital, the private equity investors planning their exit, and both institutional and retail investors purchasing shares. A well-known phenomenon is first-day underpricing. In such cases, shares begin trading above their offer price within hours of listing. This suggests that the firm may have been priced below its market value. Whether private equity backing increases or reduces this pricing gap, and the reasons behind it, forms the central focus of this dissertation.</w:t>
      </w:r>
    </w:p>
    <w:p w14:paraId="4F88D9B5" w14:textId="5E740B25" w:rsidR="00C634B8" w:rsidRPr="00F5025A" w:rsidRDefault="00C634B8" w:rsidP="00F5025A">
      <w:pPr>
        <w:spacing w:line="360" w:lineRule="auto"/>
        <w:jc w:val="both"/>
        <w:rPr>
          <w:rFonts w:ascii="Arial" w:hAnsi="Arial" w:cs="Arial"/>
        </w:rPr>
      </w:pPr>
      <w:r w:rsidRPr="00C634B8">
        <w:rPr>
          <w:rFonts w:ascii="Arial" w:hAnsi="Arial" w:cs="Arial"/>
        </w:rPr>
        <w:t>The UK market adds further layers to this puzzle. The London Stock Exchange runs two separate venues the Main Market for larger, more established businesses operating under full regulatory oversight, and the Alternative Investment Market for smaller and growth</w:t>
      </w:r>
      <w:r w:rsidR="007B6AC2">
        <w:rPr>
          <w:rFonts w:ascii="Arial" w:hAnsi="Arial" w:cs="Arial"/>
        </w:rPr>
        <w:t>-</w:t>
      </w:r>
      <w:r w:rsidRPr="00C634B8">
        <w:rPr>
          <w:rFonts w:ascii="Arial" w:hAnsi="Arial" w:cs="Arial"/>
        </w:rPr>
        <w:t>oriented companies under a lighter</w:t>
      </w:r>
      <w:r w:rsidR="00553D8D">
        <w:rPr>
          <w:rFonts w:ascii="Arial" w:hAnsi="Arial" w:cs="Arial"/>
        </w:rPr>
        <w:t xml:space="preserve"> </w:t>
      </w:r>
      <w:r w:rsidRPr="00C634B8">
        <w:rPr>
          <w:rFonts w:ascii="Arial" w:hAnsi="Arial" w:cs="Arial"/>
        </w:rPr>
        <w:t>touch framework and PE sponsors use both when timing their exits. Beyond first</w:t>
      </w:r>
      <w:r w:rsidR="00553D8D">
        <w:rPr>
          <w:rFonts w:ascii="Arial" w:hAnsi="Arial" w:cs="Arial"/>
        </w:rPr>
        <w:t xml:space="preserve"> </w:t>
      </w:r>
      <w:r w:rsidRPr="00C634B8">
        <w:rPr>
          <w:rFonts w:ascii="Arial" w:hAnsi="Arial" w:cs="Arial"/>
        </w:rPr>
        <w:t xml:space="preserve">day pricing, the story does not end at the close of trading on listing day. Shares in newly floated companies have a </w:t>
      </w:r>
      <w:r w:rsidR="00E82D85" w:rsidRPr="00C634B8">
        <w:rPr>
          <w:rFonts w:ascii="Arial" w:hAnsi="Arial" w:cs="Arial"/>
        </w:rPr>
        <w:t>well</w:t>
      </w:r>
      <w:r w:rsidR="00E82D85">
        <w:rPr>
          <w:rFonts w:ascii="Arial" w:hAnsi="Arial" w:cs="Arial"/>
        </w:rPr>
        <w:t>-</w:t>
      </w:r>
      <w:r w:rsidR="00E82D85" w:rsidRPr="00C634B8">
        <w:rPr>
          <w:rFonts w:ascii="Arial" w:hAnsi="Arial" w:cs="Arial"/>
        </w:rPr>
        <w:t>established</w:t>
      </w:r>
      <w:r w:rsidRPr="00C634B8">
        <w:rPr>
          <w:rFonts w:ascii="Arial" w:hAnsi="Arial" w:cs="Arial"/>
        </w:rPr>
        <w:t xml:space="preserve"> tendency to deliver below</w:t>
      </w:r>
      <w:r w:rsidR="00553D8D">
        <w:rPr>
          <w:rFonts w:ascii="Arial" w:hAnsi="Arial" w:cs="Arial"/>
        </w:rPr>
        <w:t xml:space="preserve"> </w:t>
      </w:r>
      <w:r w:rsidRPr="00C634B8">
        <w:rPr>
          <w:rFonts w:ascii="Arial" w:hAnsi="Arial" w:cs="Arial"/>
        </w:rPr>
        <w:t>market returns over the following one to three years</w:t>
      </w:r>
      <w:r w:rsidR="007B6AC2">
        <w:rPr>
          <w:rFonts w:ascii="Arial" w:hAnsi="Arial" w:cs="Arial"/>
        </w:rPr>
        <w:t xml:space="preserve"> </w:t>
      </w:r>
      <w:r w:rsidR="00E82D85" w:rsidRPr="00E82D85">
        <w:rPr>
          <w:rFonts w:ascii="Arial" w:hAnsi="Arial" w:cs="Arial"/>
        </w:rPr>
        <w:t>(Ritter, 1991)</w:t>
      </w:r>
      <w:r w:rsidRPr="00C634B8">
        <w:rPr>
          <w:rFonts w:ascii="Arial" w:hAnsi="Arial" w:cs="Arial"/>
        </w:rPr>
        <w:t>, and when the PE sponsor eventually begins selling its remaining stake after the lock</w:t>
      </w:r>
      <w:r w:rsidR="00553D8D">
        <w:rPr>
          <w:rFonts w:ascii="Arial" w:hAnsi="Arial" w:cs="Arial"/>
        </w:rPr>
        <w:t xml:space="preserve"> </w:t>
      </w:r>
      <w:r w:rsidRPr="00C634B8">
        <w:rPr>
          <w:rFonts w:ascii="Arial" w:hAnsi="Arial" w:cs="Arial"/>
        </w:rPr>
        <w:t>up period ends, a large block of shares from a highly informed seller hits the market an event with its own predictable price consequences</w:t>
      </w:r>
      <w:r w:rsidR="002B6BEF">
        <w:rPr>
          <w:rFonts w:ascii="Arial" w:hAnsi="Arial" w:cs="Arial"/>
        </w:rPr>
        <w:t xml:space="preserve"> </w:t>
      </w:r>
      <w:r w:rsidR="002B6BEF" w:rsidRPr="002B6BEF">
        <w:rPr>
          <w:rFonts w:ascii="Arial" w:hAnsi="Arial" w:cs="Arial"/>
        </w:rPr>
        <w:t>(Espenlaub, Goergen and Khurshed, 2001)</w:t>
      </w:r>
      <w:r w:rsidRPr="00C634B8">
        <w:rPr>
          <w:rFonts w:ascii="Arial" w:hAnsi="Arial" w:cs="Arial"/>
        </w:rPr>
        <w:t>. All of these dynamics are connected, and this dissertation examines them together as a unified analysis of how PE backing shapes IPO outcomes in the UK from the moment of listing through to long</w:t>
      </w:r>
      <w:r w:rsidR="00553D8D">
        <w:rPr>
          <w:rFonts w:ascii="Arial" w:hAnsi="Arial" w:cs="Arial"/>
        </w:rPr>
        <w:t xml:space="preserve"> </w:t>
      </w:r>
      <w:r w:rsidRPr="00C634B8">
        <w:rPr>
          <w:rFonts w:ascii="Arial" w:hAnsi="Arial" w:cs="Arial"/>
        </w:rPr>
        <w:t>run performance.</w:t>
      </w:r>
    </w:p>
    <w:p w14:paraId="169C2BD4" w14:textId="729DA5DB" w:rsidR="00417905" w:rsidRDefault="00417905" w:rsidP="00F24D0E">
      <w:pPr>
        <w:pStyle w:val="Heading2"/>
        <w:rPr>
          <w:rFonts w:eastAsia="Times New Roman"/>
        </w:rPr>
      </w:pPr>
      <w:bookmarkStart w:id="1" w:name="_Toc225770301"/>
      <w:r w:rsidRPr="00C63731">
        <w:rPr>
          <w:rFonts w:eastAsia="Times New Roman"/>
        </w:rPr>
        <w:t>Problem Statement</w:t>
      </w:r>
      <w:bookmarkEnd w:id="1"/>
      <w:r w:rsidRPr="00C63731">
        <w:rPr>
          <w:rFonts w:eastAsia="Times New Roman"/>
        </w:rPr>
        <w:t xml:space="preserve"> </w:t>
      </w:r>
    </w:p>
    <w:p w14:paraId="76DF0921" w14:textId="2E27050E" w:rsidR="008D1153" w:rsidRPr="008D1153" w:rsidRDefault="008D1153" w:rsidP="008D1153">
      <w:pPr>
        <w:spacing w:line="360" w:lineRule="auto"/>
        <w:jc w:val="both"/>
        <w:rPr>
          <w:rFonts w:ascii="Arial" w:hAnsi="Arial" w:cs="Arial"/>
        </w:rPr>
      </w:pPr>
      <w:r w:rsidRPr="008D1153">
        <w:rPr>
          <w:rFonts w:ascii="Arial" w:hAnsi="Arial" w:cs="Arial"/>
        </w:rPr>
        <w:t xml:space="preserve">The existing evidence on private equity backed IPOs in the UK is outdated and does not capture significant changes in the market, including the aftermath of the financial crisis, a </w:t>
      </w:r>
      <w:r w:rsidRPr="008D1153">
        <w:rPr>
          <w:rFonts w:ascii="Arial" w:hAnsi="Arial" w:cs="Arial"/>
        </w:rPr>
        <w:lastRenderedPageBreak/>
        <w:t>long period of low interest rates, and recent regulatory developments</w:t>
      </w:r>
      <w:r w:rsidR="00EC65A8">
        <w:rPr>
          <w:rFonts w:ascii="Arial" w:hAnsi="Arial" w:cs="Arial"/>
        </w:rPr>
        <w:t xml:space="preserve"> </w:t>
      </w:r>
      <w:r w:rsidR="00EC65A8" w:rsidRPr="00EC65A8">
        <w:rPr>
          <w:rFonts w:ascii="Arial" w:hAnsi="Arial" w:cs="Arial"/>
        </w:rPr>
        <w:t>(Ritter, Huang and Zhang, 2023)</w:t>
      </w:r>
      <w:r w:rsidRPr="008D1153">
        <w:rPr>
          <w:rFonts w:ascii="Arial" w:hAnsi="Arial" w:cs="Arial"/>
        </w:rPr>
        <w:t xml:space="preserve">. </w:t>
      </w:r>
      <w:r w:rsidR="000225B5" w:rsidRPr="000225B5">
        <w:rPr>
          <w:rFonts w:ascii="Arial" w:hAnsi="Arial" w:cs="Arial"/>
        </w:rPr>
        <w:t>This significantly limits the relevance of earlier findings, particularly given structural changes in the UK IPO market</w:t>
      </w:r>
      <w:r w:rsidR="006F6C2B">
        <w:rPr>
          <w:rFonts w:ascii="Arial" w:hAnsi="Arial" w:cs="Arial"/>
        </w:rPr>
        <w:t>.</w:t>
      </w:r>
    </w:p>
    <w:p w14:paraId="656E3038" w14:textId="781D5EFE" w:rsidR="008D1153" w:rsidRPr="008D1153" w:rsidRDefault="008D1153" w:rsidP="008D1153">
      <w:pPr>
        <w:spacing w:line="360" w:lineRule="auto"/>
        <w:jc w:val="both"/>
        <w:rPr>
          <w:rFonts w:ascii="Arial" w:hAnsi="Arial" w:cs="Arial"/>
        </w:rPr>
      </w:pPr>
      <w:r w:rsidRPr="008D1153">
        <w:rPr>
          <w:rFonts w:ascii="Arial" w:hAnsi="Arial" w:cs="Arial"/>
        </w:rPr>
        <w:t>Consequently, it is still uncertain whether private equity backed IPOs show materially different levels of first day underpricing compared to non</w:t>
      </w:r>
      <w:r w:rsidR="00A53CDF">
        <w:rPr>
          <w:rFonts w:ascii="Arial" w:hAnsi="Arial" w:cs="Arial"/>
        </w:rPr>
        <w:t>-</w:t>
      </w:r>
      <w:r w:rsidRPr="008D1153">
        <w:rPr>
          <w:rFonts w:ascii="Arial" w:hAnsi="Arial" w:cs="Arial"/>
        </w:rPr>
        <w:t>private equity backed IPOs in today’s UK market. Previous research has also tended to treat private equity backed firms as a single group, ignoring differences such as sponsor reputation, length of ownership, and changing exit approaches</w:t>
      </w:r>
      <w:r w:rsidR="004B0264" w:rsidRPr="004B0264">
        <w:t xml:space="preserve"> </w:t>
      </w:r>
      <w:r w:rsidR="00D82E19">
        <w:t>(</w:t>
      </w:r>
      <w:r w:rsidR="004B0264" w:rsidRPr="004B0264">
        <w:rPr>
          <w:rFonts w:ascii="Arial" w:hAnsi="Arial" w:cs="Arial"/>
        </w:rPr>
        <w:t>Brav and Gompers</w:t>
      </w:r>
      <w:r w:rsidR="00D82E19">
        <w:rPr>
          <w:rFonts w:ascii="Arial" w:hAnsi="Arial" w:cs="Arial"/>
        </w:rPr>
        <w:t>, 1</w:t>
      </w:r>
      <w:r w:rsidR="004B0264" w:rsidRPr="004B0264">
        <w:rPr>
          <w:rFonts w:ascii="Arial" w:hAnsi="Arial" w:cs="Arial"/>
        </w:rPr>
        <w:t>997)</w:t>
      </w:r>
      <w:r w:rsidRPr="008D1153">
        <w:rPr>
          <w:rFonts w:ascii="Arial" w:hAnsi="Arial" w:cs="Arial"/>
        </w:rPr>
        <w:t>.</w:t>
      </w:r>
    </w:p>
    <w:p w14:paraId="6BECBC6C" w14:textId="2A89ED77" w:rsidR="00EE3095" w:rsidRPr="00C63731" w:rsidRDefault="00EE3095" w:rsidP="00F24D0E">
      <w:pPr>
        <w:pStyle w:val="Heading2"/>
      </w:pPr>
      <w:bookmarkStart w:id="2" w:name="_Toc225770302"/>
      <w:r w:rsidRPr="00C63731">
        <w:t>Research Objectives</w:t>
      </w:r>
      <w:bookmarkEnd w:id="2"/>
    </w:p>
    <w:p w14:paraId="290D232E" w14:textId="14FDCE4C" w:rsidR="00EE3095" w:rsidRDefault="00EE3095" w:rsidP="00685100">
      <w:pPr>
        <w:spacing w:after="280" w:line="360" w:lineRule="auto"/>
        <w:jc w:val="both"/>
        <w:rPr>
          <w:rFonts w:ascii="Arial" w:eastAsia="Times New Roman" w:hAnsi="Arial" w:cs="Arial"/>
        </w:rPr>
      </w:pPr>
      <w:r w:rsidRPr="00C63731">
        <w:rPr>
          <w:rFonts w:ascii="Arial" w:eastAsia="Times New Roman" w:hAnsi="Arial" w:cs="Arial"/>
        </w:rPr>
        <w:t>This dissertation is guided by three research objectives that together cover the full IPO lifecycle from how shares are priced before listing, to what determines that pricing, to how shares perform after listing and when PE firms begin to exit.</w:t>
      </w:r>
    </w:p>
    <w:p w14:paraId="0F21F015" w14:textId="7791ADEF" w:rsidR="000742C0" w:rsidRPr="00A86FA8" w:rsidRDefault="00A86FA8" w:rsidP="000742C0">
      <w:pPr>
        <w:jc w:val="both"/>
        <w:rPr>
          <w:rFonts w:ascii="Arial" w:eastAsia="Times New Roman" w:hAnsi="Arial" w:cs="Arial"/>
          <w:b/>
          <w:bCs/>
          <w:color w:val="000000" w:themeColor="text1"/>
          <w:sz w:val="28"/>
          <w:szCs w:val="28"/>
        </w:rPr>
      </w:pPr>
      <w:r w:rsidRPr="00C63731">
        <w:rPr>
          <w:rFonts w:ascii="Arial" w:eastAsia="Times New Roman" w:hAnsi="Arial" w:cs="Arial"/>
          <w:b/>
          <w:bCs/>
          <w:color w:val="000000" w:themeColor="text1"/>
          <w:sz w:val="28"/>
          <w:szCs w:val="28"/>
        </w:rPr>
        <w:t>Do Private Equity</w:t>
      </w:r>
      <w:r>
        <w:rPr>
          <w:rFonts w:ascii="Arial" w:eastAsia="Times New Roman" w:hAnsi="Arial" w:cs="Arial"/>
          <w:b/>
          <w:bCs/>
          <w:color w:val="000000" w:themeColor="text1"/>
          <w:sz w:val="28"/>
          <w:szCs w:val="28"/>
        </w:rPr>
        <w:t xml:space="preserve"> </w:t>
      </w:r>
      <w:r w:rsidRPr="00C63731">
        <w:rPr>
          <w:rFonts w:ascii="Arial" w:eastAsia="Times New Roman" w:hAnsi="Arial" w:cs="Arial"/>
          <w:b/>
          <w:bCs/>
          <w:color w:val="000000" w:themeColor="text1"/>
          <w:sz w:val="28"/>
          <w:szCs w:val="28"/>
        </w:rPr>
        <w:t>Backed IPOs Experience Significantly Different Levels of First day Underpricing Compared to Non</w:t>
      </w:r>
      <w:r>
        <w:rPr>
          <w:rFonts w:ascii="Arial" w:eastAsia="Times New Roman" w:hAnsi="Arial" w:cs="Arial"/>
          <w:b/>
          <w:bCs/>
          <w:color w:val="000000" w:themeColor="text1"/>
          <w:sz w:val="28"/>
          <w:szCs w:val="28"/>
        </w:rPr>
        <w:t>-</w:t>
      </w:r>
      <w:r w:rsidRPr="00C63731">
        <w:rPr>
          <w:rFonts w:ascii="Arial" w:eastAsia="Times New Roman" w:hAnsi="Arial" w:cs="Arial"/>
          <w:b/>
          <w:bCs/>
          <w:color w:val="000000" w:themeColor="text1"/>
          <w:sz w:val="28"/>
          <w:szCs w:val="28"/>
        </w:rPr>
        <w:t>PE</w:t>
      </w:r>
      <w:r>
        <w:rPr>
          <w:rFonts w:ascii="Arial" w:eastAsia="Times New Roman" w:hAnsi="Arial" w:cs="Arial"/>
          <w:b/>
          <w:bCs/>
          <w:color w:val="000000" w:themeColor="text1"/>
          <w:sz w:val="28"/>
          <w:szCs w:val="28"/>
        </w:rPr>
        <w:t xml:space="preserve"> </w:t>
      </w:r>
      <w:r w:rsidRPr="00C63731">
        <w:rPr>
          <w:rFonts w:ascii="Arial" w:eastAsia="Times New Roman" w:hAnsi="Arial" w:cs="Arial"/>
          <w:b/>
          <w:bCs/>
          <w:color w:val="000000" w:themeColor="text1"/>
          <w:sz w:val="28"/>
          <w:szCs w:val="28"/>
        </w:rPr>
        <w:t>Backed IPOs in the UK?</w:t>
      </w:r>
    </w:p>
    <w:p w14:paraId="193AD347" w14:textId="2C9C14BB" w:rsidR="00CA2640" w:rsidRPr="00C91094" w:rsidRDefault="00EE3095" w:rsidP="00C4374F">
      <w:pPr>
        <w:spacing w:before="80" w:after="80" w:line="360" w:lineRule="auto"/>
        <w:ind w:left="1418" w:hanging="1418"/>
        <w:jc w:val="both"/>
        <w:rPr>
          <w:rFonts w:ascii="Arial" w:eastAsia="Times New Roman" w:hAnsi="Arial" w:cs="Arial"/>
          <w:color w:val="000000" w:themeColor="text1"/>
        </w:rPr>
      </w:pPr>
      <w:r w:rsidRPr="00C63731">
        <w:rPr>
          <w:rFonts w:ascii="Arial" w:eastAsia="Times New Roman" w:hAnsi="Arial" w:cs="Arial"/>
          <w:b/>
          <w:bCs/>
          <w:color w:val="000000" w:themeColor="text1"/>
        </w:rPr>
        <w:t xml:space="preserve">Objective 1: </w:t>
      </w:r>
      <w:r w:rsidRPr="00C91094">
        <w:rPr>
          <w:rFonts w:ascii="Arial" w:eastAsia="Times New Roman" w:hAnsi="Arial" w:cs="Arial"/>
          <w:color w:val="000000" w:themeColor="text1"/>
        </w:rPr>
        <w:t>To examine the underpricing on the first day of listing for PE</w:t>
      </w:r>
      <w:r w:rsidR="00553D8D" w:rsidRPr="00C91094">
        <w:rPr>
          <w:rFonts w:ascii="Arial" w:eastAsia="Times New Roman" w:hAnsi="Arial" w:cs="Arial"/>
          <w:color w:val="000000" w:themeColor="text1"/>
        </w:rPr>
        <w:t xml:space="preserve"> </w:t>
      </w:r>
      <w:r w:rsidRPr="00C91094">
        <w:rPr>
          <w:rFonts w:ascii="Arial" w:eastAsia="Times New Roman" w:hAnsi="Arial" w:cs="Arial"/>
          <w:color w:val="000000" w:themeColor="text1"/>
        </w:rPr>
        <w:t>backed and non</w:t>
      </w:r>
      <w:r w:rsidR="005F4FCA" w:rsidRPr="00C91094">
        <w:rPr>
          <w:rFonts w:ascii="Arial" w:eastAsia="Times New Roman" w:hAnsi="Arial" w:cs="Arial"/>
          <w:color w:val="000000" w:themeColor="text1"/>
        </w:rPr>
        <w:t>-</w:t>
      </w:r>
      <w:r w:rsidRPr="00C91094">
        <w:rPr>
          <w:rFonts w:ascii="Arial" w:eastAsia="Times New Roman" w:hAnsi="Arial" w:cs="Arial"/>
          <w:color w:val="000000" w:themeColor="text1"/>
        </w:rPr>
        <w:t>PE</w:t>
      </w:r>
      <w:r w:rsidR="00553D8D" w:rsidRPr="00C91094">
        <w:rPr>
          <w:rFonts w:ascii="Arial" w:eastAsia="Times New Roman" w:hAnsi="Arial" w:cs="Arial"/>
          <w:color w:val="000000" w:themeColor="text1"/>
        </w:rPr>
        <w:t xml:space="preserve"> </w:t>
      </w:r>
      <w:r w:rsidRPr="00C91094">
        <w:rPr>
          <w:rFonts w:ascii="Arial" w:eastAsia="Times New Roman" w:hAnsi="Arial" w:cs="Arial"/>
          <w:color w:val="000000" w:themeColor="text1"/>
        </w:rPr>
        <w:t>backed IPOs in the UK</w:t>
      </w:r>
      <w:r w:rsidR="00D801B6" w:rsidRPr="00C91094">
        <w:rPr>
          <w:rFonts w:ascii="Arial" w:eastAsia="Times New Roman" w:hAnsi="Arial" w:cs="Arial"/>
          <w:color w:val="000000" w:themeColor="text1"/>
        </w:rPr>
        <w:t>.</w:t>
      </w:r>
    </w:p>
    <w:p w14:paraId="65E98A99" w14:textId="37E39743" w:rsidR="00EE3095" w:rsidRPr="00C91094" w:rsidRDefault="00EE3095" w:rsidP="00C4374F">
      <w:pPr>
        <w:spacing w:before="80" w:after="80" w:line="360" w:lineRule="auto"/>
        <w:ind w:left="1418" w:hanging="1418"/>
        <w:jc w:val="both"/>
        <w:rPr>
          <w:rFonts w:ascii="Arial" w:eastAsia="Times New Roman" w:hAnsi="Arial" w:cs="Arial"/>
          <w:color w:val="000000" w:themeColor="text1"/>
        </w:rPr>
      </w:pPr>
      <w:r w:rsidRPr="00C91094">
        <w:rPr>
          <w:rFonts w:ascii="Arial" w:eastAsia="Times New Roman" w:hAnsi="Arial" w:cs="Arial"/>
          <w:b/>
          <w:bCs/>
          <w:color w:val="000000" w:themeColor="text1"/>
        </w:rPr>
        <w:t xml:space="preserve">Objective 2: </w:t>
      </w:r>
      <w:r w:rsidRPr="00C91094">
        <w:rPr>
          <w:rFonts w:ascii="Arial" w:eastAsia="Times New Roman" w:hAnsi="Arial" w:cs="Arial"/>
          <w:color w:val="000000" w:themeColor="text1"/>
        </w:rPr>
        <w:t>To assess the factors</w:t>
      </w:r>
      <w:r w:rsidR="00BC701F">
        <w:rPr>
          <w:rFonts w:ascii="Arial" w:eastAsia="Times New Roman" w:hAnsi="Arial" w:cs="Arial"/>
          <w:color w:val="000000" w:themeColor="text1"/>
        </w:rPr>
        <w:t xml:space="preserve"> </w:t>
      </w:r>
      <w:r w:rsidRPr="00C91094">
        <w:rPr>
          <w:rFonts w:ascii="Arial" w:eastAsia="Times New Roman" w:hAnsi="Arial" w:cs="Arial"/>
          <w:color w:val="000000" w:themeColor="text1"/>
        </w:rPr>
        <w:t>affect</w:t>
      </w:r>
      <w:r w:rsidR="00C80BDF" w:rsidRPr="00C91094">
        <w:rPr>
          <w:rFonts w:ascii="Arial" w:eastAsia="Times New Roman" w:hAnsi="Arial" w:cs="Arial"/>
          <w:color w:val="000000" w:themeColor="text1"/>
        </w:rPr>
        <w:t>ing</w:t>
      </w:r>
      <w:r w:rsidRPr="00C91094">
        <w:rPr>
          <w:rFonts w:ascii="Arial" w:eastAsia="Times New Roman" w:hAnsi="Arial" w:cs="Arial"/>
          <w:color w:val="000000" w:themeColor="text1"/>
        </w:rPr>
        <w:t xml:space="preserve"> IPO pricing </w:t>
      </w:r>
      <w:r w:rsidR="00603EC2" w:rsidRPr="00C91094">
        <w:rPr>
          <w:rFonts w:ascii="Arial" w:eastAsia="Times New Roman" w:hAnsi="Arial" w:cs="Arial"/>
          <w:color w:val="000000" w:themeColor="text1"/>
        </w:rPr>
        <w:t xml:space="preserve">in PE backed versus non-PE backed IPOs </w:t>
      </w:r>
      <w:r w:rsidRPr="00C91094">
        <w:rPr>
          <w:rFonts w:ascii="Arial" w:eastAsia="Times New Roman" w:hAnsi="Arial" w:cs="Arial"/>
          <w:color w:val="000000" w:themeColor="text1"/>
        </w:rPr>
        <w:t>in the UK market</w:t>
      </w:r>
      <w:r w:rsidR="00603EC2" w:rsidRPr="00C91094">
        <w:rPr>
          <w:rFonts w:ascii="Arial" w:eastAsia="Times New Roman" w:hAnsi="Arial" w:cs="Arial"/>
          <w:color w:val="000000" w:themeColor="text1"/>
        </w:rPr>
        <w:t>.</w:t>
      </w:r>
      <w:r w:rsidR="00086BCB" w:rsidRPr="00C91094">
        <w:rPr>
          <w:rFonts w:ascii="Arial" w:eastAsia="Times New Roman" w:hAnsi="Arial" w:cs="Arial"/>
          <w:color w:val="000000" w:themeColor="text1"/>
        </w:rPr>
        <w:tab/>
      </w:r>
    </w:p>
    <w:p w14:paraId="4B76F9E8" w14:textId="7AD41515" w:rsidR="00EE3095" w:rsidRPr="00C63731" w:rsidRDefault="00EE3095" w:rsidP="00C4374F">
      <w:pPr>
        <w:spacing w:before="80" w:after="80" w:line="360" w:lineRule="auto"/>
        <w:ind w:left="1418" w:hanging="1418"/>
        <w:jc w:val="both"/>
        <w:rPr>
          <w:rFonts w:ascii="Arial" w:eastAsia="Times New Roman" w:hAnsi="Arial" w:cs="Arial"/>
          <w:b/>
          <w:bCs/>
          <w:color w:val="000000" w:themeColor="text1"/>
        </w:rPr>
      </w:pPr>
      <w:r w:rsidRPr="00C91094">
        <w:rPr>
          <w:rFonts w:ascii="Arial" w:eastAsia="Times New Roman" w:hAnsi="Arial" w:cs="Arial"/>
          <w:b/>
          <w:bCs/>
          <w:color w:val="000000" w:themeColor="text1"/>
        </w:rPr>
        <w:t xml:space="preserve">Objective 3: </w:t>
      </w:r>
      <w:r w:rsidRPr="00C91094">
        <w:rPr>
          <w:rFonts w:ascii="Arial" w:eastAsia="Times New Roman" w:hAnsi="Arial" w:cs="Arial"/>
          <w:color w:val="000000" w:themeColor="text1"/>
        </w:rPr>
        <w:t>To evaluate the long</w:t>
      </w:r>
      <w:r w:rsidR="00553D8D" w:rsidRPr="00C91094">
        <w:rPr>
          <w:rFonts w:ascii="Arial" w:eastAsia="Times New Roman" w:hAnsi="Arial" w:cs="Arial"/>
          <w:color w:val="000000" w:themeColor="text1"/>
        </w:rPr>
        <w:t xml:space="preserve"> </w:t>
      </w:r>
      <w:r w:rsidRPr="00C91094">
        <w:rPr>
          <w:rFonts w:ascii="Arial" w:eastAsia="Times New Roman" w:hAnsi="Arial" w:cs="Arial"/>
          <w:color w:val="000000" w:themeColor="text1"/>
        </w:rPr>
        <w:t>run performance of shares after listing for UK IPOs</w:t>
      </w:r>
      <w:r w:rsidR="00086BCB" w:rsidRPr="00C91094">
        <w:rPr>
          <w:rFonts w:ascii="Arial" w:eastAsia="Times New Roman" w:hAnsi="Arial" w:cs="Arial"/>
          <w:color w:val="000000" w:themeColor="text1"/>
        </w:rPr>
        <w:t>.</w:t>
      </w:r>
      <w:r w:rsidRPr="00C91094">
        <w:rPr>
          <w:rFonts w:ascii="Arial" w:eastAsia="Times New Roman" w:hAnsi="Arial" w:cs="Arial"/>
          <w:color w:val="000000" w:themeColor="text1"/>
        </w:rPr>
        <w:t xml:space="preserve"> </w:t>
      </w:r>
    </w:p>
    <w:p w14:paraId="0B90C479" w14:textId="18C4E925" w:rsidR="00EE3095" w:rsidRPr="00C63731" w:rsidRDefault="00B1192A" w:rsidP="00F24D0E">
      <w:pPr>
        <w:pStyle w:val="Heading2"/>
      </w:pPr>
      <w:bookmarkStart w:id="3" w:name="_Toc225770303"/>
      <w:r w:rsidRPr="00C63731">
        <w:t>Research Questions</w:t>
      </w:r>
      <w:bookmarkEnd w:id="3"/>
    </w:p>
    <w:p w14:paraId="6F76CAB2" w14:textId="77777777" w:rsidR="00B1192A" w:rsidRPr="00C63731" w:rsidRDefault="00B1192A" w:rsidP="00B1192A">
      <w:pPr>
        <w:spacing w:after="280" w:line="360" w:lineRule="auto"/>
        <w:jc w:val="both"/>
        <w:rPr>
          <w:rFonts w:ascii="Arial" w:hAnsi="Arial" w:cs="Arial"/>
        </w:rPr>
      </w:pPr>
      <w:r w:rsidRPr="00C63731">
        <w:rPr>
          <w:rFonts w:ascii="Arial" w:eastAsia="Times New Roman" w:hAnsi="Arial" w:cs="Arial"/>
        </w:rPr>
        <w:t>The following specific research questions flow from the three objectives above and guide the empirical analysis throughout this dissertation:</w:t>
      </w:r>
    </w:p>
    <w:p w14:paraId="3B4B09FF" w14:textId="19720B24" w:rsidR="00B1192A" w:rsidRPr="00C91094" w:rsidRDefault="00B1192A" w:rsidP="005C1EFD">
      <w:pPr>
        <w:pStyle w:val="ListParagraph"/>
        <w:numPr>
          <w:ilvl w:val="0"/>
          <w:numId w:val="1"/>
        </w:numPr>
        <w:spacing w:before="60" w:after="60" w:line="360" w:lineRule="auto"/>
        <w:contextualSpacing w:val="0"/>
        <w:jc w:val="both"/>
        <w:rPr>
          <w:rFonts w:ascii="Arial" w:hAnsi="Arial" w:cs="Arial"/>
        </w:rPr>
      </w:pPr>
      <w:r w:rsidRPr="00C63731">
        <w:rPr>
          <w:rFonts w:ascii="Arial" w:eastAsia="Times New Roman" w:hAnsi="Arial" w:cs="Arial"/>
        </w:rPr>
        <w:t>Do private equity</w:t>
      </w:r>
      <w:r w:rsidR="00553D8D">
        <w:rPr>
          <w:rFonts w:ascii="Arial" w:eastAsia="Times New Roman" w:hAnsi="Arial" w:cs="Arial"/>
        </w:rPr>
        <w:t xml:space="preserve"> </w:t>
      </w:r>
      <w:r w:rsidRPr="00C63731">
        <w:rPr>
          <w:rFonts w:ascii="Arial" w:eastAsia="Times New Roman" w:hAnsi="Arial" w:cs="Arial"/>
        </w:rPr>
        <w:t>backed IPOs experience significantly different levels of first</w:t>
      </w:r>
      <w:r w:rsidR="00553D8D">
        <w:rPr>
          <w:rFonts w:ascii="Arial" w:eastAsia="Times New Roman" w:hAnsi="Arial" w:cs="Arial"/>
        </w:rPr>
        <w:t xml:space="preserve"> </w:t>
      </w:r>
      <w:r w:rsidRPr="00C63731">
        <w:rPr>
          <w:rFonts w:ascii="Arial" w:eastAsia="Times New Roman" w:hAnsi="Arial" w:cs="Arial"/>
        </w:rPr>
        <w:t xml:space="preserve">day </w:t>
      </w:r>
      <w:r w:rsidRPr="00C91094">
        <w:rPr>
          <w:rFonts w:ascii="Arial" w:eastAsia="Times New Roman" w:hAnsi="Arial" w:cs="Arial"/>
        </w:rPr>
        <w:t xml:space="preserve">underpricing compared to </w:t>
      </w:r>
      <w:r w:rsidR="00732AA7" w:rsidRPr="00C91094">
        <w:rPr>
          <w:rFonts w:ascii="Arial" w:eastAsia="Times New Roman" w:hAnsi="Arial" w:cs="Arial"/>
        </w:rPr>
        <w:t>non-PE</w:t>
      </w:r>
      <w:r w:rsidR="00553D8D" w:rsidRPr="00C91094">
        <w:rPr>
          <w:rFonts w:ascii="Arial" w:eastAsia="Times New Roman" w:hAnsi="Arial" w:cs="Arial"/>
        </w:rPr>
        <w:t xml:space="preserve"> </w:t>
      </w:r>
      <w:r w:rsidRPr="00C91094">
        <w:rPr>
          <w:rFonts w:ascii="Arial" w:eastAsia="Times New Roman" w:hAnsi="Arial" w:cs="Arial"/>
        </w:rPr>
        <w:t>backed IPOs in the UK?</w:t>
      </w:r>
    </w:p>
    <w:p w14:paraId="548C02DB" w14:textId="0B6E3B10" w:rsidR="00652701" w:rsidRPr="00C91094" w:rsidRDefault="00CD225B" w:rsidP="005C1EFD">
      <w:pPr>
        <w:pStyle w:val="ListParagraph"/>
        <w:numPr>
          <w:ilvl w:val="0"/>
          <w:numId w:val="1"/>
        </w:numPr>
        <w:spacing w:before="60" w:after="60" w:line="360" w:lineRule="auto"/>
        <w:contextualSpacing w:val="0"/>
        <w:jc w:val="both"/>
        <w:rPr>
          <w:rFonts w:ascii="Arial" w:hAnsi="Arial" w:cs="Arial"/>
        </w:rPr>
      </w:pPr>
      <w:r w:rsidRPr="00C91094">
        <w:rPr>
          <w:rFonts w:ascii="Arial" w:hAnsi="Arial" w:cs="Arial"/>
        </w:rPr>
        <w:t>How do firm-specific characteristics, PE firm reputation, and underwriter prestige shape IPO underpricing in PE-backed versus non-PE-backed firms in the UK?</w:t>
      </w:r>
    </w:p>
    <w:p w14:paraId="1C9BABD5" w14:textId="6869A79E" w:rsidR="005F5189" w:rsidRPr="00C91094" w:rsidRDefault="00652701" w:rsidP="005C1EFD">
      <w:pPr>
        <w:pStyle w:val="ListParagraph"/>
        <w:numPr>
          <w:ilvl w:val="0"/>
          <w:numId w:val="1"/>
        </w:numPr>
        <w:spacing w:before="60" w:after="60" w:line="360" w:lineRule="auto"/>
        <w:contextualSpacing w:val="0"/>
        <w:jc w:val="both"/>
        <w:rPr>
          <w:rFonts w:ascii="Arial" w:hAnsi="Arial" w:cs="Arial"/>
        </w:rPr>
      </w:pPr>
      <w:r w:rsidRPr="00C91094">
        <w:rPr>
          <w:rFonts w:ascii="Arial" w:hAnsi="Arial" w:cs="Arial"/>
        </w:rPr>
        <w:lastRenderedPageBreak/>
        <w:t>How does PE</w:t>
      </w:r>
      <w:r w:rsidR="005D345D">
        <w:rPr>
          <w:rFonts w:ascii="Arial" w:hAnsi="Arial" w:cs="Arial"/>
        </w:rPr>
        <w:t>-</w:t>
      </w:r>
      <w:r w:rsidRPr="00C91094">
        <w:rPr>
          <w:rFonts w:ascii="Arial" w:hAnsi="Arial" w:cs="Arial"/>
        </w:rPr>
        <w:t>backing influence long-run abnormal returns and share price performance around the lock-up expiry period in the UK?</w:t>
      </w:r>
    </w:p>
    <w:p w14:paraId="13B0DC54" w14:textId="0D61052F" w:rsidR="005F5189" w:rsidRDefault="005F5189" w:rsidP="005F5189">
      <w:pPr>
        <w:pStyle w:val="Heading1"/>
        <w:rPr>
          <w:rFonts w:cs="Arial"/>
        </w:rPr>
      </w:pPr>
      <w:bookmarkStart w:id="4" w:name="_Toc225770304"/>
      <w:r w:rsidRPr="00C63731">
        <w:rPr>
          <w:rFonts w:cs="Arial"/>
        </w:rPr>
        <w:t>Literature Review</w:t>
      </w:r>
      <w:bookmarkEnd w:id="4"/>
    </w:p>
    <w:p w14:paraId="0E6373D1" w14:textId="6007090D" w:rsidR="00C63731" w:rsidRDefault="0064717F" w:rsidP="0064717F">
      <w:pPr>
        <w:spacing w:line="360" w:lineRule="auto"/>
        <w:jc w:val="both"/>
        <w:rPr>
          <w:rFonts w:ascii="Arial" w:hAnsi="Arial" w:cs="Arial"/>
        </w:rPr>
      </w:pPr>
      <w:r w:rsidRPr="0064717F">
        <w:rPr>
          <w:rFonts w:ascii="Arial" w:hAnsi="Arial" w:cs="Arial"/>
        </w:rPr>
        <w:t>This literature review examines ten academic articles that form the foundation of this dissertation. Each article is reviewed individually, starting with the author's name, followed by their key argument, methodology, and findings.</w:t>
      </w:r>
    </w:p>
    <w:p w14:paraId="408B5363" w14:textId="185BD1ED" w:rsidR="0064717F" w:rsidRPr="00110E17" w:rsidRDefault="00110E17" w:rsidP="0064717F">
      <w:pPr>
        <w:spacing w:line="360" w:lineRule="auto"/>
        <w:jc w:val="both"/>
        <w:rPr>
          <w:rFonts w:ascii="Arial" w:hAnsi="Arial" w:cs="Arial"/>
        </w:rPr>
      </w:pPr>
      <w:r w:rsidRPr="00110E17">
        <w:rPr>
          <w:rFonts w:ascii="Arial" w:hAnsi="Arial" w:cs="Arial"/>
          <w:b/>
          <w:bCs/>
        </w:rPr>
        <w:t>Levis (2011)</w:t>
      </w:r>
      <w:r w:rsidRPr="00110E17">
        <w:rPr>
          <w:rFonts w:ascii="Arial" w:hAnsi="Arial" w:cs="Arial"/>
        </w:rPr>
        <w:t xml:space="preserve">, publishing in </w:t>
      </w:r>
      <w:r w:rsidRPr="00110E17">
        <w:rPr>
          <w:rFonts w:ascii="Arial" w:hAnsi="Arial" w:cs="Arial"/>
          <w:i/>
          <w:iCs/>
        </w:rPr>
        <w:t>Financial Management</w:t>
      </w:r>
      <w:r w:rsidRPr="00110E17">
        <w:rPr>
          <w:rFonts w:ascii="Arial" w:hAnsi="Arial" w:cs="Arial"/>
        </w:rPr>
        <w:t>, examined whether PE-backed companies perform differently from non-PE-backed ones when going public on the London Stock Exchange and AIM between 1992 and 2005. Working with a sample of 1,546 UK IPOs</w:t>
      </w:r>
      <w:r>
        <w:rPr>
          <w:rFonts w:ascii="Arial" w:hAnsi="Arial" w:cs="Arial"/>
        </w:rPr>
        <w:t xml:space="preserve">, </w:t>
      </w:r>
      <w:r w:rsidRPr="00110E17">
        <w:rPr>
          <w:rFonts w:ascii="Arial" w:hAnsi="Arial" w:cs="Arial"/>
        </w:rPr>
        <w:t>468 PE-backed and 1,078 non-PE-backed</w:t>
      </w:r>
      <w:r>
        <w:rPr>
          <w:rFonts w:ascii="Arial" w:hAnsi="Arial" w:cs="Arial"/>
        </w:rPr>
        <w:t xml:space="preserve"> </w:t>
      </w:r>
      <w:r w:rsidRPr="00110E17">
        <w:rPr>
          <w:rFonts w:ascii="Arial" w:hAnsi="Arial" w:cs="Arial"/>
        </w:rPr>
        <w:t xml:space="preserve">he used OLS cross-sectional regression to identify underpricing determinants, Buy-and-Hold Abnormal Returns for post-listing performance, and the Fama-French three-factor calendar-time method benchmarked against the FTSE </w:t>
      </w:r>
      <w:r w:rsidR="00C13AD4">
        <w:rPr>
          <w:rFonts w:ascii="Arial" w:hAnsi="Arial" w:cs="Arial"/>
        </w:rPr>
        <w:t>a</w:t>
      </w:r>
      <w:r w:rsidRPr="00110E17">
        <w:rPr>
          <w:rFonts w:ascii="Arial" w:hAnsi="Arial" w:cs="Arial"/>
        </w:rPr>
        <w:t>ll</w:t>
      </w:r>
      <w:r w:rsidR="00C13AD4">
        <w:rPr>
          <w:rFonts w:ascii="Arial" w:hAnsi="Arial" w:cs="Arial"/>
        </w:rPr>
        <w:t xml:space="preserve"> </w:t>
      </w:r>
      <w:r w:rsidRPr="00110E17">
        <w:rPr>
          <w:rFonts w:ascii="Arial" w:hAnsi="Arial" w:cs="Arial"/>
        </w:rPr>
        <w:t>Share for long-run analysis. The study is grounded in the certification effect (Megginson and Weiss, 1991), which argues that PE sponsor involvement reduces investor uncertainty and allows a higher offer price to be set. His results confirmed that PE-backed IPOs experienced average first-day underpricing of 9</w:t>
      </w:r>
      <w:r w:rsidR="004F40B1">
        <w:rPr>
          <w:rFonts w:ascii="Arial" w:hAnsi="Arial" w:cs="Arial"/>
        </w:rPr>
        <w:t>-</w:t>
      </w:r>
      <w:r w:rsidRPr="00110E17">
        <w:rPr>
          <w:rFonts w:ascii="Arial" w:hAnsi="Arial" w:cs="Arial"/>
        </w:rPr>
        <w:t>11 percent compared to 15</w:t>
      </w:r>
      <w:r w:rsidR="004F40B1">
        <w:rPr>
          <w:rFonts w:ascii="Arial" w:hAnsi="Arial" w:cs="Arial"/>
        </w:rPr>
        <w:t>-</w:t>
      </w:r>
      <w:r w:rsidRPr="00110E17">
        <w:rPr>
          <w:rFonts w:ascii="Arial" w:hAnsi="Arial" w:cs="Arial"/>
        </w:rPr>
        <w:t>20 percent for non-PE-backed listings. Over one year, PE-backed firms outperformed, but this advantage faded by the three-year mark as sponsors reduced their involvement. While this study serves as the primary UK benchmark for this dissertation, its data ends in 2005, leaving nearly two decades of market activity unexamined.</w:t>
      </w:r>
    </w:p>
    <w:p w14:paraId="18647EA2" w14:textId="29E8BF65" w:rsidR="00A3082B" w:rsidRPr="00A3082B" w:rsidRDefault="00A3082B" w:rsidP="005127FF">
      <w:pPr>
        <w:spacing w:line="360" w:lineRule="auto"/>
        <w:jc w:val="both"/>
        <w:rPr>
          <w:rFonts w:ascii="Arial" w:hAnsi="Arial" w:cs="Arial"/>
        </w:rPr>
      </w:pPr>
      <w:r w:rsidRPr="00A3082B">
        <w:rPr>
          <w:rFonts w:ascii="Arial" w:hAnsi="Arial" w:cs="Arial"/>
          <w:b/>
          <w:bCs/>
        </w:rPr>
        <w:t>Michala (2019),</w:t>
      </w:r>
      <w:r w:rsidR="00702464">
        <w:rPr>
          <w:rFonts w:ascii="Arial" w:hAnsi="Arial" w:cs="Arial"/>
          <w:b/>
          <w:bCs/>
        </w:rPr>
        <w:t xml:space="preserve"> </w:t>
      </w:r>
      <w:r w:rsidRPr="00A3082B">
        <w:rPr>
          <w:rFonts w:ascii="Arial" w:hAnsi="Arial" w:cs="Arial"/>
        </w:rPr>
        <w:t xml:space="preserve">examined PE-backed IPOs through the lens of timing, information asymmetry, and post-listing survival using an international dataset that includes UK listings. To ensure a fair comparison between PE-backed and non-PE-backed firms, she applied propensity score matching, pairing each PE-backed company with a comparable non-PE-backed firm on size, age, and sector. Her theoretical framework draws on information asymmetry theory and market timing theory, and she supplemented her primary method with logistic regression and survival analysis to identify which factors predicted post-IPO failure. She found that PE-backed firms list at a more mature stage, </w:t>
      </w:r>
      <w:r w:rsidRPr="00A3082B">
        <w:rPr>
          <w:rFonts w:ascii="Arial" w:hAnsi="Arial" w:cs="Arial"/>
        </w:rPr>
        <w:lastRenderedPageBreak/>
        <w:t>experience lower post-listing failure rates, and show lower underpricing when the PE holding period is longer suggesting ownership duration itself signals quality to investors. PE sponsors also demonstrated clear market-timing behavior, clustering listings</w:t>
      </w:r>
      <w:r w:rsidR="008B2FB7">
        <w:rPr>
          <w:rFonts w:ascii="Arial" w:hAnsi="Arial" w:cs="Arial"/>
        </w:rPr>
        <w:t xml:space="preserve"> </w:t>
      </w:r>
      <w:r w:rsidRPr="00A3082B">
        <w:rPr>
          <w:rFonts w:ascii="Arial" w:hAnsi="Arial" w:cs="Arial"/>
        </w:rPr>
        <w:t>during periods of stronger investor sentiment. Michala concluded that PE backing adds genuine quality beyond what observable firm characteristics alone can explain, and her use of propensity score matching provides a useful methodological reference for this dissertation.</w:t>
      </w:r>
    </w:p>
    <w:p w14:paraId="27725D78" w14:textId="4BDF70FE" w:rsidR="00AA6720" w:rsidRPr="00AA6720" w:rsidRDefault="008179D7" w:rsidP="008179D7">
      <w:pPr>
        <w:spacing w:line="360" w:lineRule="auto"/>
        <w:jc w:val="both"/>
        <w:rPr>
          <w:rFonts w:ascii="Arial" w:hAnsi="Arial" w:cs="Arial"/>
        </w:rPr>
      </w:pPr>
      <w:r w:rsidRPr="005127FF">
        <w:rPr>
          <w:rFonts w:ascii="Arial" w:hAnsi="Arial" w:cs="Arial"/>
          <w:b/>
          <w:bCs/>
        </w:rPr>
        <w:t>Ritter, Huang and Zhang (2023)</w:t>
      </w:r>
      <w:r w:rsidRPr="005127FF">
        <w:rPr>
          <w:rFonts w:ascii="Arial" w:hAnsi="Arial" w:cs="Arial"/>
        </w:rPr>
        <w:t xml:space="preserve">, </w:t>
      </w:r>
      <w:r w:rsidR="00ED1026" w:rsidRPr="00ED1026">
        <w:rPr>
          <w:rFonts w:ascii="Arial" w:hAnsi="Arial" w:cs="Arial"/>
        </w:rPr>
        <w:t xml:space="preserve">reviewed IPO market developments across the 2010s and early 2020s using US IPO data spanning 1980 to 2022 from the SDC Platinum database and Ritter's own data archive. The study employs a narrative and statistical review approach, drawing on information asymmetry theory, investor sentiment theory, and bookbuilding theory to explain how underpricing fluctuates across market cycles. Their central finding is that average first-day underpricing reached a significantly elevated 65 percent during the dot-com bubble of 1999 to 2000 driven by speculative investor excitement around technology stocks before moderating to a more measured 18 percent across the 2010s as markets became more institutionally disciplined and the typical IPO firm became older and more profitable. The average age of firms at listing rose from seven years in the 1980s to eleven years in the 2010s, as growing private capital availability allowed companies to stay private for longer. Firm-level characteristics including age, size, and profitability remained consistent predictors of underpricing across all periods, and PE and VC-backed IPOs were confirmed to exhibit systematically different pricing dynamics from unsponsored issuers providing the most current empirical benchmarks for </w:t>
      </w:r>
      <w:r w:rsidR="00E16E9C" w:rsidRPr="00ED1026">
        <w:rPr>
          <w:rFonts w:ascii="Arial" w:hAnsi="Arial" w:cs="Arial"/>
        </w:rPr>
        <w:t>contextualizing</w:t>
      </w:r>
      <w:r w:rsidR="00ED1026" w:rsidRPr="00ED1026">
        <w:rPr>
          <w:rFonts w:ascii="Arial" w:hAnsi="Arial" w:cs="Arial"/>
        </w:rPr>
        <w:t xml:space="preserve"> the UK underpricing levels examined in this dissertation.</w:t>
      </w:r>
    </w:p>
    <w:p w14:paraId="25348EF7" w14:textId="7EC5E7EB" w:rsidR="00AA6720" w:rsidRPr="007A4DFD" w:rsidRDefault="00AA6720" w:rsidP="00FF70E0">
      <w:pPr>
        <w:spacing w:line="360" w:lineRule="auto"/>
        <w:jc w:val="both"/>
        <w:rPr>
          <w:rFonts w:ascii="Arial" w:hAnsi="Arial" w:cs="Arial"/>
        </w:rPr>
      </w:pPr>
      <w:proofErr w:type="spellStart"/>
      <w:r w:rsidRPr="00AA6720">
        <w:rPr>
          <w:rFonts w:ascii="Arial" w:hAnsi="Arial" w:cs="Arial"/>
          <w:b/>
          <w:bCs/>
        </w:rPr>
        <w:t>Aghamolla</w:t>
      </w:r>
      <w:proofErr w:type="spellEnd"/>
      <w:r w:rsidRPr="00AA6720">
        <w:rPr>
          <w:rFonts w:ascii="Arial" w:hAnsi="Arial" w:cs="Arial"/>
          <w:b/>
          <w:bCs/>
        </w:rPr>
        <w:t xml:space="preserve"> and Thakor (2022),</w:t>
      </w:r>
      <w:r w:rsidRPr="00AA6720">
        <w:rPr>
          <w:rFonts w:ascii="Arial" w:hAnsi="Arial" w:cs="Arial"/>
        </w:rPr>
        <w:t xml:space="preserve"> in the </w:t>
      </w:r>
      <w:r w:rsidRPr="00AA6720">
        <w:rPr>
          <w:rFonts w:ascii="Arial" w:hAnsi="Arial" w:cs="Arial"/>
          <w:i/>
          <w:iCs/>
        </w:rPr>
        <w:t>Journal of Financial Economics</w:t>
      </w:r>
      <w:r w:rsidRPr="00AA6720">
        <w:rPr>
          <w:rFonts w:ascii="Arial" w:hAnsi="Arial" w:cs="Arial"/>
        </w:rPr>
        <w:t xml:space="preserve">, examined whether a private firm's IPO decision is shaped by the recent listing of a direct competitor a concept they term IPO peer effects. The study is based exclusively on the biopharmaceutical industry, using project-level data from the Informa BioMed Tracker database, supplemented by </w:t>
      </w:r>
      <w:proofErr w:type="spellStart"/>
      <w:r w:rsidRPr="00AA6720">
        <w:rPr>
          <w:rFonts w:ascii="Arial" w:hAnsi="Arial" w:cs="Arial"/>
        </w:rPr>
        <w:t>Compustat</w:t>
      </w:r>
      <w:proofErr w:type="spellEnd"/>
      <w:r w:rsidRPr="00AA6720">
        <w:rPr>
          <w:rFonts w:ascii="Arial" w:hAnsi="Arial" w:cs="Arial"/>
        </w:rPr>
        <w:t xml:space="preserve">, SDC Platinum, Bloomberg, and </w:t>
      </w:r>
      <w:proofErr w:type="spellStart"/>
      <w:r w:rsidRPr="00AA6720">
        <w:rPr>
          <w:rFonts w:ascii="Arial" w:hAnsi="Arial" w:cs="Arial"/>
        </w:rPr>
        <w:t>VentureXpert</w:t>
      </w:r>
      <w:proofErr w:type="spellEnd"/>
      <w:r w:rsidRPr="00AA6720">
        <w:rPr>
          <w:rFonts w:ascii="Arial" w:hAnsi="Arial" w:cs="Arial"/>
        </w:rPr>
        <w:t xml:space="preserve">, covering 2,570 private firms across 74,992 firm-quarter observations and 237 IPOs from 2001 to 2016. Competitors are identified through 669 specific therapeutic indication </w:t>
      </w:r>
      <w:r w:rsidRPr="00AA6720">
        <w:rPr>
          <w:rFonts w:ascii="Arial" w:hAnsi="Arial" w:cs="Arial"/>
        </w:rPr>
        <w:lastRenderedPageBreak/>
        <w:t xml:space="preserve">categories rather than broad industry codes, which resolves the standard reflection problem in peer effects research by generating firm-specific, partially overlapping peer groups. The primary method is a dynamic OLS regression with firm and time fixed effects, robustness-tested using instrumental variables approach that exploits the IPO decisions of a peer's peer as an instrument. The study tests a competitive channel </w:t>
      </w:r>
      <w:r w:rsidR="007A4DFD" w:rsidRPr="00AA6720">
        <w:rPr>
          <w:rFonts w:ascii="Arial" w:hAnsi="Arial" w:cs="Arial"/>
        </w:rPr>
        <w:t>were</w:t>
      </w:r>
      <w:r w:rsidRPr="00AA6720">
        <w:rPr>
          <w:rFonts w:ascii="Arial" w:hAnsi="Arial" w:cs="Arial"/>
        </w:rPr>
        <w:t xml:space="preserve"> going public confers advantages that pressure rivals to follow and an informational spillover channel, finding strong support for the former and little evidence of the latter. Observing a peer IPO in the prior twelve months raises a firm's quarterly listing probability from 0.31 to 0.44 percent, a 40 percent increase, and from 1.22 to 2.04 percent annually. This is relevant to the dissertation as it provides a theoretical rationale for controlling industry-level IPO activity in underpricing regressions and explains competitive clustering in listing </w:t>
      </w:r>
      <w:r w:rsidR="007A4DFD" w:rsidRPr="00AA6720">
        <w:rPr>
          <w:rFonts w:ascii="Arial" w:hAnsi="Arial" w:cs="Arial"/>
        </w:rPr>
        <w:t>behavior</w:t>
      </w:r>
      <w:r w:rsidRPr="00AA6720">
        <w:rPr>
          <w:rFonts w:ascii="Arial" w:hAnsi="Arial" w:cs="Arial"/>
        </w:rPr>
        <w:t xml:space="preserve"> across sectors.</w:t>
      </w:r>
    </w:p>
    <w:p w14:paraId="2B30843B" w14:textId="14104C97" w:rsidR="00FF70E0" w:rsidRPr="00315D98" w:rsidRDefault="00FF70E0" w:rsidP="00FF70E0">
      <w:pPr>
        <w:spacing w:line="360" w:lineRule="auto"/>
        <w:jc w:val="both"/>
        <w:rPr>
          <w:rFonts w:ascii="Arial" w:hAnsi="Arial" w:cs="Arial"/>
        </w:rPr>
      </w:pPr>
      <w:r w:rsidRPr="00FF70E0">
        <w:rPr>
          <w:rFonts w:ascii="Arial" w:hAnsi="Arial" w:cs="Arial"/>
          <w:b/>
          <w:bCs/>
        </w:rPr>
        <w:t>Baker, Boulton, Braga</w:t>
      </w:r>
      <w:r w:rsidR="00553D8D">
        <w:rPr>
          <w:rFonts w:ascii="Arial" w:hAnsi="Arial" w:cs="Arial"/>
          <w:b/>
          <w:bCs/>
        </w:rPr>
        <w:t xml:space="preserve"> </w:t>
      </w:r>
      <w:r w:rsidRPr="00FF70E0">
        <w:rPr>
          <w:rFonts w:ascii="Arial" w:hAnsi="Arial" w:cs="Arial"/>
          <w:b/>
          <w:bCs/>
        </w:rPr>
        <w:t>Alves and Morey (2021),</w:t>
      </w:r>
      <w:r w:rsidRPr="00315D98">
        <w:rPr>
          <w:rFonts w:ascii="Arial" w:hAnsi="Arial" w:cs="Arial"/>
        </w:rPr>
        <w:t xml:space="preserve"> </w:t>
      </w:r>
      <w:r w:rsidR="00315D98" w:rsidRPr="00315D98">
        <w:rPr>
          <w:rFonts w:ascii="Arial" w:hAnsi="Arial" w:cs="Arial"/>
        </w:rPr>
        <w:t xml:space="preserve">in the </w:t>
      </w:r>
      <w:r w:rsidR="00315D98" w:rsidRPr="00315D98">
        <w:rPr>
          <w:rFonts w:ascii="Arial" w:hAnsi="Arial" w:cs="Arial"/>
          <w:i/>
          <w:iCs/>
        </w:rPr>
        <w:t>Journal of Corporate Finance</w:t>
      </w:r>
      <w:r w:rsidR="00315D98" w:rsidRPr="00315D98">
        <w:rPr>
          <w:rFonts w:ascii="Arial" w:hAnsi="Arial" w:cs="Arial"/>
        </w:rPr>
        <w:t xml:space="preserve">, investigated the relationship between country-level ESG governance risk and firm-level IPO underpricing across international markets. The study examines 7,446 IPOs issued across 36 countries between 2008 and 2018, using MSCI ESG Government Ratings as the primary measure of country-level governance </w:t>
      </w:r>
      <w:r w:rsidR="00AA4D48" w:rsidRPr="00315D98">
        <w:rPr>
          <w:rFonts w:ascii="Arial" w:hAnsi="Arial" w:cs="Arial"/>
        </w:rPr>
        <w:t>quality covering</w:t>
      </w:r>
      <w:r w:rsidR="00315D98" w:rsidRPr="00315D98">
        <w:rPr>
          <w:rFonts w:ascii="Arial" w:hAnsi="Arial" w:cs="Arial"/>
        </w:rPr>
        <w:t xml:space="preserve"> environmental, social, and governance dimensions both as a composite score and as three separate pillars. The theoretical framework tests two competing hypotheses: an information asymmetry hypothesis, which predicts that stronger ESG governance reduces investor uncertainty and therefore lowers underpricing, and an investor attention hypothesis, which predicts the opposite. The authors use multivariate regression analysis with hierarchical linear modelling to account for the nested structure of IPOs within countries, controlling for firm-level characteristics including financial disclosures, liability standards, and shareholder protections. The results support the information asymmetry hypothesis</w:t>
      </w:r>
      <w:r w:rsidR="00315D98">
        <w:rPr>
          <w:rFonts w:ascii="Arial" w:hAnsi="Arial" w:cs="Arial"/>
        </w:rPr>
        <w:t xml:space="preserve"> </w:t>
      </w:r>
      <w:r w:rsidR="00315D98" w:rsidRPr="00315D98">
        <w:rPr>
          <w:rFonts w:ascii="Arial" w:hAnsi="Arial" w:cs="Arial"/>
        </w:rPr>
        <w:t>countries with higher ESG Government Ratings show significantly lower IPO underpricing, with the negative effect holding across all three individual pillars of environmental, social, and governance risk. The effect is more pronounced in countries with greater financial transparency, stronger liability standards, and more robust shareholder protections. For this dissertation, the study establishes that the broader institutional and governance environment independently shapes IPO pricing</w:t>
      </w:r>
      <w:r w:rsidR="00315D98">
        <w:rPr>
          <w:rFonts w:ascii="Arial" w:hAnsi="Arial" w:cs="Arial"/>
        </w:rPr>
        <w:t xml:space="preserve"> </w:t>
      </w:r>
      <w:r w:rsidR="00315D98" w:rsidRPr="00315D98">
        <w:rPr>
          <w:rFonts w:ascii="Arial" w:hAnsi="Arial" w:cs="Arial"/>
        </w:rPr>
        <w:t>confirming that the UK, as a high-</w:t>
      </w:r>
      <w:r w:rsidR="00315D98" w:rsidRPr="00315D98">
        <w:rPr>
          <w:rFonts w:ascii="Arial" w:hAnsi="Arial" w:cs="Arial"/>
        </w:rPr>
        <w:lastRenderedPageBreak/>
        <w:t>governance jurisdiction, provides a setting where PE sponsor certification should be particularly visible to investors.</w:t>
      </w:r>
    </w:p>
    <w:p w14:paraId="0DA085E6" w14:textId="4EEBB1C6" w:rsidR="00FF4BC7" w:rsidRPr="00D27F0F" w:rsidRDefault="00FF4BC7" w:rsidP="00FF4BC7">
      <w:pPr>
        <w:spacing w:line="360" w:lineRule="auto"/>
        <w:jc w:val="both"/>
        <w:rPr>
          <w:rFonts w:ascii="Arial" w:hAnsi="Arial" w:cs="Arial"/>
        </w:rPr>
      </w:pPr>
      <w:r w:rsidRPr="00FF4BC7">
        <w:rPr>
          <w:rFonts w:ascii="Arial" w:hAnsi="Arial" w:cs="Arial"/>
          <w:b/>
          <w:bCs/>
        </w:rPr>
        <w:t>Fama and French (2015</w:t>
      </w:r>
      <w:r w:rsidR="00D27F0F">
        <w:rPr>
          <w:rFonts w:ascii="Arial" w:hAnsi="Arial" w:cs="Arial"/>
          <w:b/>
          <w:bCs/>
        </w:rPr>
        <w:t xml:space="preserve">), </w:t>
      </w:r>
      <w:r w:rsidR="00D27F0F" w:rsidRPr="00D27F0F">
        <w:rPr>
          <w:rFonts w:ascii="Arial" w:hAnsi="Arial" w:cs="Arial"/>
        </w:rPr>
        <w:t xml:space="preserve">in the </w:t>
      </w:r>
      <w:r w:rsidR="00D27F0F" w:rsidRPr="00D27F0F">
        <w:rPr>
          <w:rFonts w:ascii="Arial" w:hAnsi="Arial" w:cs="Arial"/>
          <w:i/>
          <w:iCs/>
        </w:rPr>
        <w:t>Journal of Financial Economics</w:t>
      </w:r>
      <w:r w:rsidR="00D27F0F" w:rsidRPr="00D27F0F">
        <w:rPr>
          <w:rFonts w:ascii="Arial" w:hAnsi="Arial" w:cs="Arial"/>
        </w:rPr>
        <w:t>, introduced the five-factor asset pricing model as a significant improvement on their own 1993 three-factor framework. The study uses monthly return data for all stocks listed on the NYSE, AMEX, and NASDAQ from July 1963 to December 2013 covering 606 months. The methodology involves constructing value-weighted factor portfolios using independent size and characteristic sorts, and comparing the explanatory power of the three-factor and five-factor models using time-series regressions and GRS statistical tests that assess whether unexplained return anomalies remain. The theoretical foundation draws on the dividend discount model, which predicts that expected returns are related to expected profitability and investment providing the rationale for adding the RMW profitability factor and the CMA investment factor to the original market, size, and value factors. The results show that the five-factor model explains a significantly larger portion of cross-sectional return variation than the three-factor model, with the value factor becoming largely redundant once profitability and investment are included. The model is particularly relevant to PE-backed IPO research because PE-sponsored firms characteristically exhibit above-average profitability and conservative investment profiles before listing, mapping directly onto the RMW and CMA factors. Applying this model as the benchmark for measuring long-run abnormal returns in Objective 3 provides a more precise risk adjustment than the three-factor model used in prior UK IPO studies.</w:t>
      </w:r>
    </w:p>
    <w:p w14:paraId="26F98D7A" w14:textId="22A3B1F1" w:rsidR="00833421" w:rsidRPr="00E74DD2" w:rsidRDefault="00833421" w:rsidP="00FF4BC7">
      <w:pPr>
        <w:spacing w:line="360" w:lineRule="auto"/>
        <w:jc w:val="both"/>
        <w:rPr>
          <w:rFonts w:ascii="Arial" w:hAnsi="Arial" w:cs="Arial"/>
        </w:rPr>
      </w:pPr>
      <w:r w:rsidRPr="00833421">
        <w:rPr>
          <w:rFonts w:ascii="Arial" w:hAnsi="Arial" w:cs="Arial"/>
          <w:b/>
          <w:bCs/>
        </w:rPr>
        <w:t xml:space="preserve">Shuwaikh, </w:t>
      </w:r>
      <w:proofErr w:type="spellStart"/>
      <w:r w:rsidRPr="00833421">
        <w:rPr>
          <w:rFonts w:ascii="Arial" w:hAnsi="Arial" w:cs="Arial"/>
          <w:b/>
          <w:bCs/>
        </w:rPr>
        <w:t>Dubocage</w:t>
      </w:r>
      <w:proofErr w:type="spellEnd"/>
      <w:r w:rsidRPr="00833421">
        <w:rPr>
          <w:rFonts w:ascii="Arial" w:hAnsi="Arial" w:cs="Arial"/>
          <w:b/>
          <w:bCs/>
        </w:rPr>
        <w:t xml:space="preserve"> and Murer (2023)</w:t>
      </w:r>
      <w:r w:rsidRPr="00833421">
        <w:rPr>
          <w:rFonts w:ascii="Arial" w:hAnsi="Arial" w:cs="Arial"/>
        </w:rPr>
        <w:t xml:space="preserve">, </w:t>
      </w:r>
      <w:r w:rsidR="00E74DD2" w:rsidRPr="00E74DD2">
        <w:rPr>
          <w:rFonts w:ascii="Arial" w:hAnsi="Arial" w:cs="Arial"/>
        </w:rPr>
        <w:t xml:space="preserve">in the </w:t>
      </w:r>
      <w:r w:rsidR="00E74DD2" w:rsidRPr="00E74DD2">
        <w:rPr>
          <w:rFonts w:ascii="Arial" w:hAnsi="Arial" w:cs="Arial"/>
          <w:i/>
          <w:iCs/>
        </w:rPr>
        <w:t>Review of Quantitative Finance and Accounting</w:t>
      </w:r>
      <w:r w:rsidR="00E74DD2" w:rsidRPr="00E74DD2">
        <w:rPr>
          <w:rFonts w:ascii="Arial" w:hAnsi="Arial" w:cs="Arial"/>
        </w:rPr>
        <w:t xml:space="preserve">, challenged the widespread assumption that all institutionally sponsored IPOs behave as a single homogeneous group. Drawing on the resource-based view as their theoretical framework, they argue that IVC and CVC firms have different resources, motivations, and interests that produce systematically different underpricing outcomes. The study uses a sample of 612 VC-backed IPOs from 2000 to 2020, applying both the matching method of Megginson and Weiss (1991) and propensity score matching to compare underpricing levels between CVC-backed and IVC-backed IPOs. Their findings show a significant difference in underpricing between the two </w:t>
      </w:r>
      <w:r w:rsidR="006C400D" w:rsidRPr="00E74DD2">
        <w:rPr>
          <w:rFonts w:ascii="Arial" w:hAnsi="Arial" w:cs="Arial"/>
        </w:rPr>
        <w:t>groups but</w:t>
      </w:r>
      <w:r w:rsidR="00E74DD2" w:rsidRPr="00E74DD2">
        <w:rPr>
          <w:rFonts w:ascii="Arial" w:hAnsi="Arial" w:cs="Arial"/>
        </w:rPr>
        <w:t xml:space="preserve"> importantly, this </w:t>
      </w:r>
      <w:r w:rsidR="00E74DD2" w:rsidRPr="00E74DD2">
        <w:rPr>
          <w:rFonts w:ascii="Arial" w:hAnsi="Arial" w:cs="Arial"/>
        </w:rPr>
        <w:lastRenderedPageBreak/>
        <w:t>difference was present in the 2000 to 2009 period and was no longer statistically significant in the 2010 to 2020 period, suggesting that the gap between CVC and IVC-backed IPO pricing has narrowed in recent years. This finding has direct relevance for Objective 1 of this dissertation: just as Shuwaikh et al. show that sponsor type moderates underpricing within the sponsored IPO category, the present study tests whether PE firm reputation moderates underpricing within the UK PE-backed sub-group and the time-period variation in their results further reinforces why examining post</w:t>
      </w:r>
      <w:r w:rsidR="006C400D">
        <w:rPr>
          <w:rFonts w:ascii="Arial" w:hAnsi="Arial" w:cs="Arial"/>
        </w:rPr>
        <w:t xml:space="preserve"> </w:t>
      </w:r>
      <w:r w:rsidR="00E74DD2" w:rsidRPr="00E74DD2">
        <w:rPr>
          <w:rFonts w:ascii="Arial" w:hAnsi="Arial" w:cs="Arial"/>
        </w:rPr>
        <w:t>2010 UK data specifically is important.</w:t>
      </w:r>
    </w:p>
    <w:p w14:paraId="4B0DBC1D" w14:textId="4AD80E6D" w:rsidR="00752DC9" w:rsidRPr="00752DC9" w:rsidRDefault="00AF5540" w:rsidP="007C2605">
      <w:pPr>
        <w:spacing w:line="360" w:lineRule="auto"/>
        <w:jc w:val="both"/>
        <w:rPr>
          <w:rFonts w:ascii="Arial" w:hAnsi="Arial" w:cs="Arial"/>
        </w:rPr>
      </w:pPr>
      <w:r w:rsidRPr="00AF5540">
        <w:rPr>
          <w:rFonts w:ascii="Arial" w:hAnsi="Arial" w:cs="Arial"/>
          <w:b/>
          <w:bCs/>
        </w:rPr>
        <w:t>Hoque and Doukas (2024),</w:t>
      </w:r>
      <w:r w:rsidRPr="00AF5540">
        <w:rPr>
          <w:rFonts w:ascii="Arial" w:hAnsi="Arial" w:cs="Arial"/>
        </w:rPr>
        <w:t xml:space="preserve"> </w:t>
      </w:r>
      <w:r w:rsidR="0073228B" w:rsidRPr="0073228B">
        <w:rPr>
          <w:rFonts w:ascii="Arial" w:hAnsi="Arial" w:cs="Arial"/>
        </w:rPr>
        <w:t>in the International Journal of Finance and Economics, examined whether companies listing on AIM rather than the London Stock Exchange Main Market pay significantly more to their underwriters, and whether this cost difference comes from the listing choice itself or from the different characteristics of companies that self-select into each market. Using UK IPO data from 1995 to 2021</w:t>
      </w:r>
      <w:r w:rsidR="0073228B">
        <w:rPr>
          <w:rFonts w:ascii="Arial" w:hAnsi="Arial" w:cs="Arial"/>
        </w:rPr>
        <w:t xml:space="preserve"> </w:t>
      </w:r>
      <w:r w:rsidR="0073228B" w:rsidRPr="0073228B">
        <w:rPr>
          <w:rFonts w:ascii="Arial" w:hAnsi="Arial" w:cs="Arial"/>
        </w:rPr>
        <w:t>one of the longest UK time series available and applying propensity score matching alongside endogenous switching regressions to account for the non-random nature of market selection, the authors found that underwriter spread is 1.33 percent higher on AIM than the Main Market, and that after matching, AIM-eligible firms pay a spread 0.921 percent higher than equivalent Main Market issuers. Across all such companies in the sample, this cost difference totals more than £100 million in additional underwriting fees. The study concludes that listing market choice and UK regulation have a direct and material financial impact on the cost of going public a finding highly relevant to this dissertation because PE sponsors frequently choose AIM for mid-market exits and this choice carries a measurable pricing cost that varies with regulatory structure.</w:t>
      </w:r>
    </w:p>
    <w:p w14:paraId="78351ACA" w14:textId="0DDF9B32" w:rsidR="007C2605" w:rsidRDefault="007C2605" w:rsidP="007C2605">
      <w:pPr>
        <w:spacing w:line="360" w:lineRule="auto"/>
        <w:jc w:val="both"/>
        <w:rPr>
          <w:rFonts w:ascii="Arial" w:hAnsi="Arial" w:cs="Arial"/>
        </w:rPr>
      </w:pPr>
      <w:r w:rsidRPr="007C2605">
        <w:rPr>
          <w:rFonts w:ascii="Arial" w:hAnsi="Arial" w:cs="Arial"/>
          <w:b/>
          <w:bCs/>
        </w:rPr>
        <w:t>Hwang (2023)</w:t>
      </w:r>
      <w:r w:rsidRPr="007C2605">
        <w:rPr>
          <w:rFonts w:ascii="Arial" w:hAnsi="Arial" w:cs="Arial"/>
        </w:rPr>
        <w:t xml:space="preserve">, </w:t>
      </w:r>
      <w:r w:rsidR="006E615A" w:rsidRPr="006E615A">
        <w:rPr>
          <w:rFonts w:ascii="Arial" w:hAnsi="Arial" w:cs="Arial"/>
        </w:rPr>
        <w:t xml:space="preserve">in the </w:t>
      </w:r>
      <w:r w:rsidR="006E615A" w:rsidRPr="004A6FA1">
        <w:rPr>
          <w:rFonts w:ascii="Arial" w:hAnsi="Arial" w:cs="Arial"/>
          <w:i/>
          <w:iCs/>
        </w:rPr>
        <w:t>International Journal of Finance and Accounting</w:t>
      </w:r>
      <w:r w:rsidR="006E615A" w:rsidRPr="004A6FA1">
        <w:rPr>
          <w:rFonts w:ascii="Arial" w:hAnsi="Arial" w:cs="Arial"/>
        </w:rPr>
        <w:t>, examined the factors influencing IPOs in the UK market. The study employs mixed methodologies, combining qualitative interviews with quantitative analysis making it unusual among IPO studies which are typically purely quantitative. The qualitative</w:t>
      </w:r>
      <w:r w:rsidR="006E615A" w:rsidRPr="006E615A">
        <w:rPr>
          <w:rFonts w:ascii="Arial" w:hAnsi="Arial" w:cs="Arial"/>
        </w:rPr>
        <w:t xml:space="preserve"> component gathered perspectives from market practitioners on the role of governance and regulation, while the quantitative component analyzed UK IPO data from the London Stock Exchange and AIM covering the post-financial crisis period. The study confirms that standard pricing </w:t>
      </w:r>
      <w:r w:rsidR="006E615A" w:rsidRPr="006E615A">
        <w:rPr>
          <w:rFonts w:ascii="Arial" w:hAnsi="Arial" w:cs="Arial"/>
        </w:rPr>
        <w:lastRenderedPageBreak/>
        <w:t>predictors including offer size, underwriter prestige, and pre-IPO profitability are significant in the UK context, and identifies that corporate governance quality at listing exerts an independent negative effect on underpricing. Changes to the FCA's listing rules and governance code during the sample period are also associated with lower aggregate underpricing. For this dissertation, Hwang's work is valuable as both empirical evidence on UK pricing determinants and as a methodological reminder that regressions spanning multiple regulatory periods must control for rule changes</w:t>
      </w:r>
      <w:r w:rsidR="006E615A">
        <w:rPr>
          <w:rFonts w:ascii="Arial" w:hAnsi="Arial" w:cs="Arial"/>
        </w:rPr>
        <w:t xml:space="preserve"> </w:t>
      </w:r>
      <w:r w:rsidR="006E615A" w:rsidRPr="006E615A">
        <w:rPr>
          <w:rFonts w:ascii="Arial" w:hAnsi="Arial" w:cs="Arial"/>
        </w:rPr>
        <w:t>a consideration directly incorporated into the empirical design of Objectives 1 and 2.</w:t>
      </w:r>
    </w:p>
    <w:p w14:paraId="68945FBF" w14:textId="18028034" w:rsidR="000A2C95" w:rsidRPr="000A2C95" w:rsidRDefault="000A2C95" w:rsidP="007C2605">
      <w:pPr>
        <w:spacing w:line="360" w:lineRule="auto"/>
        <w:jc w:val="both"/>
        <w:rPr>
          <w:rFonts w:ascii="Arial" w:hAnsi="Arial" w:cs="Arial"/>
        </w:rPr>
      </w:pPr>
      <w:r w:rsidRPr="000A2C95">
        <w:rPr>
          <w:rFonts w:ascii="Arial" w:hAnsi="Arial" w:cs="Arial"/>
          <w:b/>
          <w:bCs/>
        </w:rPr>
        <w:t>Rossovski, Lucey and Helbing (2025)</w:t>
      </w:r>
      <w:r w:rsidRPr="000A2C95">
        <w:rPr>
          <w:rFonts w:ascii="Arial" w:hAnsi="Arial" w:cs="Arial"/>
        </w:rPr>
        <w:t xml:space="preserve">, in the </w:t>
      </w:r>
      <w:r w:rsidRPr="000A2C95">
        <w:rPr>
          <w:rFonts w:ascii="Arial" w:hAnsi="Arial" w:cs="Arial"/>
          <w:i/>
          <w:iCs/>
        </w:rPr>
        <w:t>British Journal of Management</w:t>
      </w:r>
      <w:r w:rsidRPr="000A2C95">
        <w:rPr>
          <w:rFonts w:ascii="Arial" w:hAnsi="Arial" w:cs="Arial"/>
        </w:rPr>
        <w:t>, examined the phenomenon of IPO overpricing</w:t>
      </w:r>
      <w:r>
        <w:rPr>
          <w:rFonts w:ascii="Arial" w:hAnsi="Arial" w:cs="Arial"/>
        </w:rPr>
        <w:t xml:space="preserve"> </w:t>
      </w:r>
      <w:r w:rsidRPr="000A2C95">
        <w:rPr>
          <w:rFonts w:ascii="Arial" w:hAnsi="Arial" w:cs="Arial"/>
        </w:rPr>
        <w:t>where shares close below the offer price on the first day of trading. Using a comprehensive sample of US IPOs between 2000 and 2020, the authors find that 21.61 percent of IPOs exhibit negative first-day returns, making overpricing a far more common feature of IPO markets than generally acknowledged. The study defines first-day IPO returns as the difference between the offer price and the closing price on the first trading day. Key findings show that a larger deal size and a higher proportion of over-allotment shares reduce the probability of overpricing, while downward offer price adjustments increase the likelihood of negative first-day returns. Neither market timing nor agency issues are found to significantly affect IPO overpricing. The study provides nuanced evidence that underpricing and overpricing share some common characteristics, offering insights into how IPO pricing mechanisms operate and where they fail.</w:t>
      </w:r>
    </w:p>
    <w:p w14:paraId="58CDFDEA" w14:textId="7192DC50" w:rsidR="004A67CE" w:rsidRPr="004A67CE" w:rsidRDefault="00935F35" w:rsidP="004A67CE">
      <w:pPr>
        <w:pStyle w:val="Heading1"/>
      </w:pPr>
      <w:bookmarkStart w:id="5" w:name="_Toc225770305"/>
      <w:r>
        <w:t>Research Gap</w:t>
      </w:r>
      <w:bookmarkEnd w:id="5"/>
      <w:r>
        <w:t xml:space="preserve"> </w:t>
      </w:r>
    </w:p>
    <w:p w14:paraId="1C8B27FD" w14:textId="584E9F2C" w:rsidR="004A67CE" w:rsidRPr="004A67CE" w:rsidRDefault="004A67CE" w:rsidP="004A67CE">
      <w:pPr>
        <w:spacing w:line="360" w:lineRule="auto"/>
        <w:jc w:val="both"/>
        <w:rPr>
          <w:rFonts w:ascii="Arial" w:hAnsi="Arial" w:cs="Arial"/>
        </w:rPr>
      </w:pPr>
      <w:r w:rsidRPr="004A67CE">
        <w:rPr>
          <w:rFonts w:ascii="Arial" w:hAnsi="Arial" w:cs="Arial"/>
        </w:rPr>
        <w:t>The existing literature offers a solid base but leaves three important gaps that this dissertation seeks to address. The most relevant UK</w:t>
      </w:r>
      <w:r w:rsidR="00553D8D">
        <w:rPr>
          <w:rFonts w:ascii="Arial" w:hAnsi="Arial" w:cs="Arial"/>
        </w:rPr>
        <w:t xml:space="preserve"> </w:t>
      </w:r>
      <w:r w:rsidRPr="004A67CE">
        <w:rPr>
          <w:rFonts w:ascii="Arial" w:hAnsi="Arial" w:cs="Arial"/>
        </w:rPr>
        <w:t>focused study, Levis (2011), relies on data only up to 2005. As a result, it does not capture nearly two decades of significant market developments, including the global financial crisis, an extended period of low interest rates, and substantial regulatory changes introduced by the FCA. Therefore, its findings may not accurately reflect the current UK IPO landscape.</w:t>
      </w:r>
    </w:p>
    <w:p w14:paraId="2189D49A" w14:textId="6B4B5C6A" w:rsidR="004A67CE" w:rsidRPr="004A67CE" w:rsidRDefault="004A67CE" w:rsidP="004A67CE">
      <w:pPr>
        <w:spacing w:line="360" w:lineRule="auto"/>
        <w:jc w:val="both"/>
        <w:rPr>
          <w:rFonts w:ascii="Arial" w:hAnsi="Arial" w:cs="Arial"/>
        </w:rPr>
      </w:pPr>
      <w:r w:rsidRPr="004A67CE">
        <w:rPr>
          <w:rFonts w:ascii="Arial" w:hAnsi="Arial" w:cs="Arial"/>
        </w:rPr>
        <w:lastRenderedPageBreak/>
        <w:t>Additionally, prior research has not explored whether the reputation of individual private equity sponsors influences first</w:t>
      </w:r>
      <w:r w:rsidR="00553D8D">
        <w:rPr>
          <w:rFonts w:ascii="Arial" w:hAnsi="Arial" w:cs="Arial"/>
        </w:rPr>
        <w:t xml:space="preserve"> </w:t>
      </w:r>
      <w:r w:rsidRPr="004A67CE">
        <w:rPr>
          <w:rFonts w:ascii="Arial" w:hAnsi="Arial" w:cs="Arial"/>
        </w:rPr>
        <w:t>day underpricing within the UK context. While studies such as Hwang (2023) and Hoque and Doukas (2024) contribute valuable UK</w:t>
      </w:r>
      <w:r w:rsidR="00553D8D">
        <w:rPr>
          <w:rFonts w:ascii="Arial" w:hAnsi="Arial" w:cs="Arial"/>
        </w:rPr>
        <w:t xml:space="preserve"> </w:t>
      </w:r>
      <w:r w:rsidRPr="004A67CE">
        <w:rPr>
          <w:rFonts w:ascii="Arial" w:hAnsi="Arial" w:cs="Arial"/>
        </w:rPr>
        <w:t>based insights into IPO pricing, they do not distinguish between PE</w:t>
      </w:r>
      <w:r w:rsidR="00553D8D">
        <w:rPr>
          <w:rFonts w:ascii="Arial" w:hAnsi="Arial" w:cs="Arial"/>
        </w:rPr>
        <w:t xml:space="preserve"> </w:t>
      </w:r>
      <w:r w:rsidRPr="004A67CE">
        <w:rPr>
          <w:rFonts w:ascii="Arial" w:hAnsi="Arial" w:cs="Arial"/>
        </w:rPr>
        <w:t xml:space="preserve">backed and </w:t>
      </w:r>
      <w:r w:rsidR="00732AA7">
        <w:rPr>
          <w:rFonts w:ascii="Arial" w:hAnsi="Arial" w:cs="Arial"/>
        </w:rPr>
        <w:t>non-PE</w:t>
      </w:r>
      <w:r w:rsidR="00553D8D">
        <w:rPr>
          <w:rFonts w:ascii="Arial" w:hAnsi="Arial" w:cs="Arial"/>
        </w:rPr>
        <w:t xml:space="preserve"> </w:t>
      </w:r>
      <w:r w:rsidRPr="004A67CE">
        <w:rPr>
          <w:rFonts w:ascii="Arial" w:hAnsi="Arial" w:cs="Arial"/>
        </w:rPr>
        <w:t>backed firms. Nor do they examine how private equity involvement interacts with factors like underwriter quality and choice of listing venue within a single, integrated framework.</w:t>
      </w:r>
    </w:p>
    <w:p w14:paraId="3FADE60F" w14:textId="7EC99FA7" w:rsidR="004A67CE" w:rsidRPr="004A67CE" w:rsidRDefault="004A67CE" w:rsidP="004A67CE">
      <w:pPr>
        <w:spacing w:line="360" w:lineRule="auto"/>
        <w:jc w:val="both"/>
        <w:rPr>
          <w:rFonts w:ascii="Arial" w:hAnsi="Arial" w:cs="Arial"/>
        </w:rPr>
      </w:pPr>
      <w:r w:rsidRPr="004A67CE">
        <w:rPr>
          <w:rFonts w:ascii="Arial" w:hAnsi="Arial" w:cs="Arial"/>
        </w:rPr>
        <w:t xml:space="preserve">In terms of </w:t>
      </w:r>
      <w:r w:rsidR="0011293E" w:rsidRPr="004A67CE">
        <w:rPr>
          <w:rFonts w:ascii="Arial" w:hAnsi="Arial" w:cs="Arial"/>
        </w:rPr>
        <w:t>long</w:t>
      </w:r>
      <w:r w:rsidR="0011293E">
        <w:rPr>
          <w:rFonts w:ascii="Arial" w:hAnsi="Arial" w:cs="Arial"/>
        </w:rPr>
        <w:t>-term</w:t>
      </w:r>
      <w:r w:rsidRPr="004A67CE">
        <w:rPr>
          <w:rFonts w:ascii="Arial" w:hAnsi="Arial" w:cs="Arial"/>
        </w:rPr>
        <w:t xml:space="preserve"> performance, there is a lack of research applying the Fama</w:t>
      </w:r>
      <w:r w:rsidR="00553D8D">
        <w:rPr>
          <w:rFonts w:ascii="Arial" w:hAnsi="Arial" w:cs="Arial"/>
        </w:rPr>
        <w:t xml:space="preserve"> </w:t>
      </w:r>
      <w:r w:rsidRPr="004A67CE">
        <w:rPr>
          <w:rFonts w:ascii="Arial" w:hAnsi="Arial" w:cs="Arial"/>
        </w:rPr>
        <w:t>French five</w:t>
      </w:r>
      <w:r w:rsidR="00553D8D">
        <w:rPr>
          <w:rFonts w:ascii="Arial" w:hAnsi="Arial" w:cs="Arial"/>
        </w:rPr>
        <w:t xml:space="preserve"> </w:t>
      </w:r>
      <w:r w:rsidRPr="004A67CE">
        <w:rPr>
          <w:rFonts w:ascii="Arial" w:hAnsi="Arial" w:cs="Arial"/>
        </w:rPr>
        <w:t>factor model, which is widely regarded as a benchmark in asset pricing, to UK PE</w:t>
      </w:r>
      <w:r w:rsidR="00553D8D">
        <w:rPr>
          <w:rFonts w:ascii="Arial" w:hAnsi="Arial" w:cs="Arial"/>
        </w:rPr>
        <w:t xml:space="preserve"> </w:t>
      </w:r>
      <w:r w:rsidRPr="004A67CE">
        <w:rPr>
          <w:rFonts w:ascii="Arial" w:hAnsi="Arial" w:cs="Arial"/>
        </w:rPr>
        <w:t>backed IPOs. Furthermore, the only UK</w:t>
      </w:r>
      <w:r w:rsidR="00553D8D">
        <w:rPr>
          <w:rFonts w:ascii="Arial" w:hAnsi="Arial" w:cs="Arial"/>
        </w:rPr>
        <w:t xml:space="preserve"> </w:t>
      </w:r>
      <w:r w:rsidRPr="004A67CE">
        <w:rPr>
          <w:rFonts w:ascii="Arial" w:hAnsi="Arial" w:cs="Arial"/>
        </w:rPr>
        <w:t>specific study on lock</w:t>
      </w:r>
      <w:r w:rsidR="0011293E">
        <w:rPr>
          <w:rFonts w:ascii="Arial" w:hAnsi="Arial" w:cs="Arial"/>
        </w:rPr>
        <w:t>-</w:t>
      </w:r>
      <w:r w:rsidRPr="004A67CE">
        <w:rPr>
          <w:rFonts w:ascii="Arial" w:hAnsi="Arial" w:cs="Arial"/>
        </w:rPr>
        <w:t>up periods, conducted by Espenlaub, Goergen and Khurshed (2001), is now outdated and does not reflect modern private equity exit strategies.</w:t>
      </w:r>
    </w:p>
    <w:p w14:paraId="0D5FA1EF" w14:textId="17E17CE3" w:rsidR="004A67CE" w:rsidRPr="004A67CE" w:rsidRDefault="004A67CE" w:rsidP="004A67CE">
      <w:pPr>
        <w:spacing w:line="360" w:lineRule="auto"/>
        <w:jc w:val="both"/>
        <w:rPr>
          <w:rFonts w:ascii="Arial" w:hAnsi="Arial" w:cs="Arial"/>
        </w:rPr>
      </w:pPr>
      <w:r w:rsidRPr="004A67CE">
        <w:rPr>
          <w:rFonts w:ascii="Arial" w:hAnsi="Arial" w:cs="Arial"/>
        </w:rPr>
        <w:t xml:space="preserve">Overall, no study has comprehensively </w:t>
      </w:r>
      <w:r w:rsidR="00E22AF4" w:rsidRPr="004A67CE">
        <w:rPr>
          <w:rFonts w:ascii="Arial" w:hAnsi="Arial" w:cs="Arial"/>
        </w:rPr>
        <w:t>analyzed</w:t>
      </w:r>
      <w:r w:rsidRPr="004A67CE">
        <w:rPr>
          <w:rFonts w:ascii="Arial" w:hAnsi="Arial" w:cs="Arial"/>
        </w:rPr>
        <w:t xml:space="preserve"> these three aspects together using a UK</w:t>
      </w:r>
      <w:r w:rsidR="00553D8D">
        <w:rPr>
          <w:rFonts w:ascii="Arial" w:hAnsi="Arial" w:cs="Arial"/>
        </w:rPr>
        <w:t xml:space="preserve"> </w:t>
      </w:r>
      <w:r w:rsidRPr="004A67CE">
        <w:rPr>
          <w:rFonts w:ascii="Arial" w:hAnsi="Arial" w:cs="Arial"/>
        </w:rPr>
        <w:t>focused dataset from the post</w:t>
      </w:r>
      <w:r w:rsidR="00553D8D">
        <w:rPr>
          <w:rFonts w:ascii="Arial" w:hAnsi="Arial" w:cs="Arial"/>
        </w:rPr>
        <w:t xml:space="preserve"> </w:t>
      </w:r>
      <w:r w:rsidRPr="004A67CE">
        <w:rPr>
          <w:rFonts w:ascii="Arial" w:hAnsi="Arial" w:cs="Arial"/>
        </w:rPr>
        <w:t xml:space="preserve">2010 period. </w:t>
      </w:r>
      <w:r w:rsidR="00D27E8D" w:rsidRPr="00D27E8D">
        <w:rPr>
          <w:rFonts w:ascii="Arial" w:hAnsi="Arial" w:cs="Arial"/>
        </w:rPr>
        <w:t>This represents a significant gap in the literature. Treating a 2005 endpoint as an adequate proxy for today's market is, frankly, indefensible. Market conditions, regulatory frameworks, and investor behavior have changed substantially. Addressing this gap is essential for understanding modern IPO behavior in the UK. The present study therefore makes a timely contribution by updating the evidence base and examining previously unexplored factors such as PE firm reputation.</w:t>
      </w:r>
    </w:p>
    <w:p w14:paraId="47E8A093" w14:textId="476319C0" w:rsidR="002B01CD" w:rsidRPr="002B01CD" w:rsidRDefault="002B01CD" w:rsidP="002B01CD">
      <w:pPr>
        <w:pStyle w:val="Heading1"/>
        <w:spacing w:line="360" w:lineRule="auto"/>
      </w:pPr>
      <w:bookmarkStart w:id="6" w:name="_Toc225770306"/>
      <w:r w:rsidRPr="002B01CD">
        <w:t>Methodology</w:t>
      </w:r>
      <w:bookmarkEnd w:id="6"/>
    </w:p>
    <w:p w14:paraId="538AB3B1" w14:textId="36A00833" w:rsidR="002B01CD" w:rsidRDefault="002B01CD" w:rsidP="002B01CD">
      <w:pPr>
        <w:spacing w:line="360" w:lineRule="auto"/>
        <w:jc w:val="both"/>
        <w:rPr>
          <w:rFonts w:ascii="Arial" w:hAnsi="Arial" w:cs="Arial"/>
        </w:rPr>
      </w:pPr>
      <w:r w:rsidRPr="002B01CD">
        <w:rPr>
          <w:rFonts w:ascii="Arial" w:hAnsi="Arial" w:cs="Arial"/>
        </w:rPr>
        <w:t>The research design is structured around the Research Onion framework developed by Saunders, Lewis and Thornhill (2019) to ensure the study is carried out with methodological rigor.</w:t>
      </w:r>
    </w:p>
    <w:p w14:paraId="15588D9D" w14:textId="77777777" w:rsidR="008F1DEA" w:rsidRDefault="008F1DEA" w:rsidP="00DB59A3">
      <w:pPr>
        <w:keepNext/>
        <w:spacing w:line="360" w:lineRule="auto"/>
        <w:ind w:left="2268"/>
        <w:jc w:val="both"/>
      </w:pPr>
      <w:r w:rsidRPr="006A639F">
        <w:rPr>
          <w:noProof/>
        </w:rPr>
        <w:lastRenderedPageBreak/>
        <w:drawing>
          <wp:inline distT="0" distB="0" distL="0" distR="0" wp14:anchorId="1E31A787" wp14:editId="74F425C1">
            <wp:extent cx="3412066" cy="2439117"/>
            <wp:effectExtent l="0" t="0" r="0" b="0"/>
            <wp:docPr id="91378732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Guide to Understanding the Research Onion | 15 Wri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2558" cy="2446617"/>
                    </a:xfrm>
                    <a:prstGeom prst="rect">
                      <a:avLst/>
                    </a:prstGeom>
                    <a:noFill/>
                    <a:ln>
                      <a:noFill/>
                    </a:ln>
                  </pic:spPr>
                </pic:pic>
              </a:graphicData>
            </a:graphic>
          </wp:inline>
        </w:drawing>
      </w:r>
    </w:p>
    <w:p w14:paraId="49C58789" w14:textId="5630FEB6" w:rsidR="008F1DEA" w:rsidRDefault="008F1DEA" w:rsidP="008F1DEA">
      <w:pPr>
        <w:pStyle w:val="Caption"/>
        <w:ind w:left="2127" w:firstLine="283"/>
        <w:jc w:val="both"/>
        <w:rPr>
          <w:rFonts w:ascii="Arial" w:hAnsi="Arial" w:cs="Arial"/>
        </w:rPr>
      </w:pPr>
      <w:r w:rsidRPr="008F1DEA">
        <w:rPr>
          <w:rFonts w:ascii="Arial" w:hAnsi="Arial" w:cs="Arial"/>
        </w:rPr>
        <w:t xml:space="preserve">Figure </w:t>
      </w:r>
      <w:r w:rsidRPr="008F1DEA">
        <w:rPr>
          <w:rFonts w:ascii="Arial" w:hAnsi="Arial" w:cs="Arial"/>
        </w:rPr>
        <w:fldChar w:fldCharType="begin"/>
      </w:r>
      <w:r w:rsidRPr="008F1DEA">
        <w:rPr>
          <w:rFonts w:ascii="Arial" w:hAnsi="Arial" w:cs="Arial"/>
        </w:rPr>
        <w:instrText xml:space="preserve"> SEQ Figure \* ARABIC </w:instrText>
      </w:r>
      <w:r w:rsidRPr="008F1DEA">
        <w:rPr>
          <w:rFonts w:ascii="Arial" w:hAnsi="Arial" w:cs="Arial"/>
        </w:rPr>
        <w:fldChar w:fldCharType="separate"/>
      </w:r>
      <w:r w:rsidRPr="008F1DEA">
        <w:rPr>
          <w:rFonts w:ascii="Arial" w:hAnsi="Arial" w:cs="Arial"/>
          <w:noProof/>
        </w:rPr>
        <w:t>1</w:t>
      </w:r>
      <w:r w:rsidRPr="008F1DEA">
        <w:rPr>
          <w:rFonts w:ascii="Arial" w:hAnsi="Arial" w:cs="Arial"/>
        </w:rPr>
        <w:fldChar w:fldCharType="end"/>
      </w:r>
      <w:r>
        <w:rPr>
          <w:rFonts w:ascii="Arial" w:hAnsi="Arial" w:cs="Arial"/>
        </w:rPr>
        <w:t xml:space="preserve"> </w:t>
      </w:r>
      <w:r w:rsidRPr="008F1DEA">
        <w:rPr>
          <w:rFonts w:ascii="Arial" w:hAnsi="Arial" w:cs="Arial"/>
        </w:rPr>
        <w:t>Research Onion by Saunders, Lewis and Thornhill (2019)</w:t>
      </w:r>
    </w:p>
    <w:p w14:paraId="04B54909" w14:textId="77777777" w:rsidR="00F2793D" w:rsidRPr="002B01CD" w:rsidRDefault="00F2793D" w:rsidP="00F2793D"/>
    <w:p w14:paraId="4F603FC2" w14:textId="3A7AC7E6" w:rsidR="002B01CD" w:rsidRPr="002B01CD" w:rsidRDefault="002B01CD" w:rsidP="002B01CD">
      <w:pPr>
        <w:pStyle w:val="Heading2"/>
        <w:spacing w:line="360" w:lineRule="auto"/>
      </w:pPr>
      <w:bookmarkStart w:id="7" w:name="_Toc225770307"/>
      <w:r w:rsidRPr="002B01CD">
        <w:t>Research Philosophy</w:t>
      </w:r>
      <w:bookmarkEnd w:id="7"/>
    </w:p>
    <w:p w14:paraId="5F95F4BE" w14:textId="77777777" w:rsidR="002B01CD" w:rsidRPr="002B01CD" w:rsidRDefault="002B01CD" w:rsidP="002B01CD">
      <w:pPr>
        <w:spacing w:line="360" w:lineRule="auto"/>
        <w:jc w:val="both"/>
        <w:rPr>
          <w:rFonts w:ascii="Arial" w:hAnsi="Arial" w:cs="Arial"/>
        </w:rPr>
      </w:pPr>
      <w:r w:rsidRPr="002B01CD">
        <w:rPr>
          <w:rFonts w:ascii="Arial" w:hAnsi="Arial" w:cs="Arial"/>
        </w:rPr>
        <w:t>A positivist research philosophy forms the foundation of this dissertation. Positivism treats financial phenomena as objective and measurable, making it possible to test theory-driven hypotheses through statistical analysis (Saunders, Lewis and Thornhill, 2019). Given that the study sets out to examine IPO underpricing, pricing determinants, and long-run share performance for PE-backed and non-PE-backed UK companies, this philosophical stance is the most appropriate choice.</w:t>
      </w:r>
    </w:p>
    <w:p w14:paraId="16DB0E18" w14:textId="06D90B93" w:rsidR="002B01CD" w:rsidRPr="002B01CD" w:rsidRDefault="002B01CD" w:rsidP="002B01CD">
      <w:pPr>
        <w:pStyle w:val="Heading2"/>
        <w:spacing w:line="360" w:lineRule="auto"/>
      </w:pPr>
      <w:bookmarkStart w:id="8" w:name="_Toc225770308"/>
      <w:r w:rsidRPr="002B01CD">
        <w:t>Research Approach</w:t>
      </w:r>
      <w:bookmarkEnd w:id="8"/>
    </w:p>
    <w:p w14:paraId="6CB865DD" w14:textId="5A264279" w:rsidR="002B01CD" w:rsidRPr="002B01CD" w:rsidRDefault="002B01CD" w:rsidP="002B01CD">
      <w:pPr>
        <w:spacing w:line="360" w:lineRule="auto"/>
        <w:jc w:val="both"/>
        <w:rPr>
          <w:rFonts w:ascii="Arial" w:hAnsi="Arial" w:cs="Arial"/>
        </w:rPr>
      </w:pPr>
      <w:r w:rsidRPr="002B01CD">
        <w:rPr>
          <w:rFonts w:ascii="Arial" w:hAnsi="Arial" w:cs="Arial"/>
        </w:rPr>
        <w:t>The study takes a deductive approach, beginning with well-established theoretical frameworks</w:t>
      </w:r>
      <w:r>
        <w:rPr>
          <w:rFonts w:ascii="Arial" w:hAnsi="Arial" w:cs="Arial"/>
        </w:rPr>
        <w:t xml:space="preserve"> </w:t>
      </w:r>
      <w:r w:rsidRPr="002B01CD">
        <w:rPr>
          <w:rFonts w:ascii="Arial" w:hAnsi="Arial" w:cs="Arial"/>
        </w:rPr>
        <w:t>the certification effect, information asymmetry theory, and market timing theory</w:t>
      </w:r>
      <w:r>
        <w:rPr>
          <w:rFonts w:ascii="Arial" w:hAnsi="Arial" w:cs="Arial"/>
        </w:rPr>
        <w:t xml:space="preserve"> </w:t>
      </w:r>
      <w:r w:rsidRPr="002B01CD">
        <w:rPr>
          <w:rFonts w:ascii="Arial" w:hAnsi="Arial" w:cs="Arial"/>
        </w:rPr>
        <w:t>and converting them into testable hypotheses that are then evaluated against real market data (Saunders, Lewis and Thornhill, 2019; Levis, 2011; Ritter, Huang and Zhang, 2023). Rather than generating new theory from observations, the aim is to determine whether existing theoretical predictions hold in the post-2010 UK IPO environment.</w:t>
      </w:r>
    </w:p>
    <w:p w14:paraId="7928C37F" w14:textId="0E2F0E62" w:rsidR="002B01CD" w:rsidRPr="002B01CD" w:rsidRDefault="002B01CD" w:rsidP="002B01CD">
      <w:pPr>
        <w:pStyle w:val="Heading2"/>
        <w:spacing w:line="360" w:lineRule="auto"/>
      </w:pPr>
      <w:bookmarkStart w:id="9" w:name="_Toc225770309"/>
      <w:r w:rsidRPr="002B01CD">
        <w:t>Research Strategy</w:t>
      </w:r>
      <w:bookmarkEnd w:id="9"/>
    </w:p>
    <w:p w14:paraId="2BE0D4DA" w14:textId="77777777" w:rsidR="002B01CD" w:rsidRPr="002B01CD" w:rsidRDefault="002B01CD" w:rsidP="002B01CD">
      <w:pPr>
        <w:spacing w:line="360" w:lineRule="auto"/>
        <w:jc w:val="both"/>
        <w:rPr>
          <w:rFonts w:ascii="Arial" w:hAnsi="Arial" w:cs="Arial"/>
        </w:rPr>
      </w:pPr>
      <w:r w:rsidRPr="002B01CD">
        <w:rPr>
          <w:rFonts w:ascii="Arial" w:hAnsi="Arial" w:cs="Arial"/>
        </w:rPr>
        <w:t xml:space="preserve">The research strategy is a quantitative empirical analysis of secondary archival data, employing econometric modelling and event study techniques. Cross-sectional </w:t>
      </w:r>
      <w:r w:rsidRPr="002B01CD">
        <w:rPr>
          <w:rFonts w:ascii="Arial" w:hAnsi="Arial" w:cs="Arial"/>
        </w:rPr>
        <w:lastRenderedPageBreak/>
        <w:t>regressions and long-run performance tests are applied to address each of the three objectives, with propensity score matching used to control for self-selection bias in the classification of PE-backed and non-PE-backed firms, following the approach of Michala (2019).</w:t>
      </w:r>
    </w:p>
    <w:p w14:paraId="6B527075" w14:textId="45D68D78" w:rsidR="002B01CD" w:rsidRDefault="002B01CD" w:rsidP="002B01CD">
      <w:pPr>
        <w:pStyle w:val="Heading2"/>
        <w:spacing w:line="360" w:lineRule="auto"/>
      </w:pPr>
      <w:bookmarkStart w:id="10" w:name="_Toc225770310"/>
      <w:r w:rsidRPr="002B01CD">
        <w:t>Data Collection</w:t>
      </w:r>
      <w:bookmarkEnd w:id="10"/>
    </w:p>
    <w:p w14:paraId="77D7170C" w14:textId="3F44E1AC" w:rsidR="004E1823" w:rsidRPr="004E1823" w:rsidRDefault="004E1823" w:rsidP="004E1823">
      <w:pPr>
        <w:spacing w:line="360" w:lineRule="auto"/>
        <w:jc w:val="both"/>
        <w:rPr>
          <w:rFonts w:ascii="Arial" w:hAnsi="Arial" w:cs="Arial"/>
        </w:rPr>
      </w:pPr>
      <w:r w:rsidRPr="004E1823">
        <w:rPr>
          <w:rFonts w:ascii="Arial" w:hAnsi="Arial" w:cs="Arial"/>
        </w:rPr>
        <w:t xml:space="preserve">This study relies on publicly available data, using the London Stock Exchange, the Financial Conduct Authority National Storage Mechanism, Companies House, and GlobalData to construct the IPO sample and classify firms as private equity-backed or non-private equity-backed. Daily share prices are obtained from Investing.com, </w:t>
      </w:r>
      <w:proofErr w:type="spellStart"/>
      <w:r w:rsidRPr="004E1823">
        <w:rPr>
          <w:rFonts w:ascii="Arial" w:hAnsi="Arial" w:cs="Arial"/>
        </w:rPr>
        <w:t>Stooq</w:t>
      </w:r>
      <w:proofErr w:type="spellEnd"/>
      <w:r w:rsidRPr="004E1823">
        <w:rPr>
          <w:rFonts w:ascii="Arial" w:hAnsi="Arial" w:cs="Arial"/>
        </w:rPr>
        <w:t>, and Alpha Vantage</w:t>
      </w:r>
      <w:r>
        <w:rPr>
          <w:rFonts w:ascii="Arial" w:hAnsi="Arial" w:cs="Arial"/>
        </w:rPr>
        <w:t>.</w:t>
      </w:r>
    </w:p>
    <w:p w14:paraId="6CFB2C8A" w14:textId="7AE89B1F" w:rsidR="002B01CD" w:rsidRDefault="002B01CD" w:rsidP="002B01CD">
      <w:pPr>
        <w:pStyle w:val="Heading2"/>
        <w:spacing w:line="360" w:lineRule="auto"/>
      </w:pPr>
      <w:bookmarkStart w:id="11" w:name="_Toc225770311"/>
      <w:r w:rsidRPr="002B01CD">
        <w:t>Data Analysis</w:t>
      </w:r>
      <w:bookmarkEnd w:id="11"/>
    </w:p>
    <w:p w14:paraId="6E97D0AA" w14:textId="17FF42C1" w:rsidR="002B01CD" w:rsidRPr="002B01CD" w:rsidRDefault="002B01CD" w:rsidP="002B01CD">
      <w:pPr>
        <w:spacing w:line="360" w:lineRule="auto"/>
        <w:jc w:val="both"/>
        <w:rPr>
          <w:rFonts w:ascii="Arial" w:hAnsi="Arial" w:cs="Arial"/>
        </w:rPr>
      </w:pPr>
      <w:r w:rsidRPr="002B01CD">
        <w:rPr>
          <w:rFonts w:ascii="Arial" w:hAnsi="Arial" w:cs="Arial"/>
        </w:rPr>
        <w:t>The data is analyzed using quantitative econometric methods including OLS cross-sectional regression, Buy-and-Hold Abnormal Returns, calendar-time portfolio regressions applying the Fama-French five-factor model (Fama and French, 2015), and event study analysis around the lock-up expiry date (Espenlaub, Goergen and Khurshed, 2001). These techniques are applied to examine first-day underpricing, pricing determinants, and long-run post-listing performance of PE-backed versus non-PE-backed UK IPOs.</w:t>
      </w:r>
    </w:p>
    <w:p w14:paraId="7A36292D" w14:textId="49481284" w:rsidR="002B01CD" w:rsidRPr="002B01CD" w:rsidRDefault="002B01CD" w:rsidP="002B01CD">
      <w:pPr>
        <w:pStyle w:val="Heading2"/>
        <w:spacing w:line="360" w:lineRule="auto"/>
      </w:pPr>
      <w:bookmarkStart w:id="12" w:name="_Toc225770312"/>
      <w:r w:rsidRPr="002B01CD">
        <w:t>Ethical Considerations</w:t>
      </w:r>
      <w:bookmarkEnd w:id="12"/>
    </w:p>
    <w:p w14:paraId="0AD69DDC" w14:textId="02864AE7" w:rsidR="002B01CD" w:rsidRPr="002B01CD" w:rsidRDefault="002B01CD" w:rsidP="002B01CD">
      <w:pPr>
        <w:spacing w:line="360" w:lineRule="auto"/>
        <w:jc w:val="both"/>
      </w:pPr>
      <w:r w:rsidRPr="002B01CD">
        <w:rPr>
          <w:rFonts w:ascii="Arial" w:hAnsi="Arial" w:cs="Arial"/>
        </w:rPr>
        <w:t>The study relies entirely on publicly available secondary data and does not involve any human participants. All sources are cited in full in accordance with academic integrity requirements and Harvard referencing conventions</w:t>
      </w:r>
      <w:r w:rsidR="00632B2C">
        <w:rPr>
          <w:rFonts w:ascii="Arial" w:hAnsi="Arial" w:cs="Arial"/>
        </w:rPr>
        <w:t>.</w:t>
      </w:r>
    </w:p>
    <w:p w14:paraId="5BBB2C54" w14:textId="36A07473" w:rsidR="00366B44" w:rsidRPr="00366B44" w:rsidRDefault="00366B44" w:rsidP="00366B44">
      <w:pPr>
        <w:pStyle w:val="Heading1"/>
        <w:spacing w:line="360" w:lineRule="auto"/>
      </w:pPr>
      <w:bookmarkStart w:id="13" w:name="_Toc225770313"/>
      <w:r w:rsidRPr="00366B44">
        <w:t>Expected Findings</w:t>
      </w:r>
      <w:bookmarkEnd w:id="13"/>
    </w:p>
    <w:p w14:paraId="53CC4BDA" w14:textId="337317F6" w:rsidR="00366B44" w:rsidRDefault="00366B44" w:rsidP="00366B44">
      <w:pPr>
        <w:spacing w:line="360" w:lineRule="auto"/>
        <w:jc w:val="both"/>
        <w:rPr>
          <w:rFonts w:ascii="Arial" w:hAnsi="Arial" w:cs="Arial"/>
        </w:rPr>
      </w:pPr>
      <w:r w:rsidRPr="00366B44">
        <w:rPr>
          <w:rFonts w:ascii="Arial" w:hAnsi="Arial" w:cs="Arial"/>
        </w:rPr>
        <w:t xml:space="preserve">This dissertation expects to find that PE-backed IPOs experience significantly lower first-day underpricing than non-PE-backed IPOs in the UK, consistent with the certification effect, and that higher-reputation PE sponsors produce lower underpricing than less established ones. Underwriter prestige, offer size, pre-IPO profitability, and listing venue </w:t>
      </w:r>
      <w:r w:rsidRPr="00366B44">
        <w:rPr>
          <w:rFonts w:ascii="Arial" w:hAnsi="Arial" w:cs="Arial"/>
        </w:rPr>
        <w:lastRenderedPageBreak/>
        <w:t>are expected to independently shape pricing outcomes, with AIM-listed companies facing higher underwriting costs than equivalent Main Market issuers. On long-run performance, PE-backed IPOs are expected to outperform in the short term but this advantage is anticipated to fade over three years as sponsors reduce their holdings. Around the lock-up expiry date, negative abnormal returns are expected for PE-backed companies, though potentially smaller in magnitude than earlier studies suggest given the increasing prevalence of partial sell-downs at the point of flotation.</w:t>
      </w:r>
    </w:p>
    <w:p w14:paraId="5E233D16" w14:textId="3B5055B7" w:rsidR="00D50456" w:rsidRDefault="00D50456" w:rsidP="00D50456">
      <w:pPr>
        <w:pStyle w:val="Heading1"/>
        <w:spacing w:line="360" w:lineRule="auto"/>
        <w:jc w:val="both"/>
      </w:pPr>
      <w:bookmarkStart w:id="14" w:name="_Toc225770314"/>
      <w:r>
        <w:t>Limitations</w:t>
      </w:r>
      <w:bookmarkEnd w:id="14"/>
    </w:p>
    <w:p w14:paraId="3F682129" w14:textId="7C5B9D9C" w:rsidR="00D50456" w:rsidRDefault="00D50456" w:rsidP="00D50456">
      <w:pPr>
        <w:spacing w:line="360" w:lineRule="auto"/>
        <w:jc w:val="both"/>
        <w:rPr>
          <w:rFonts w:ascii="Arial" w:hAnsi="Arial" w:cs="Arial"/>
        </w:rPr>
      </w:pPr>
      <w:r w:rsidRPr="00D50456">
        <w:rPr>
          <w:rFonts w:ascii="Arial" w:hAnsi="Arial" w:cs="Arial"/>
        </w:rPr>
        <w:t>This research has several limitations. First, the study is based entirely on secondary data sourced from publicly available financial databases and regulatory filings, meaning it does not incorporate primary data from PE practitioners, underwriters, or market participants. Consequently, the findings depend on the availability and completeness of existing market records. Second, the analysis is focused exclusively on the UK IPO market between 2010</w:t>
      </w:r>
      <w:r w:rsidR="004F2226">
        <w:rPr>
          <w:rFonts w:ascii="Arial" w:hAnsi="Arial" w:cs="Arial"/>
        </w:rPr>
        <w:t xml:space="preserve"> </w:t>
      </w:r>
      <w:r w:rsidR="00675BEC">
        <w:rPr>
          <w:rFonts w:ascii="Arial" w:hAnsi="Arial" w:cs="Arial"/>
        </w:rPr>
        <w:t>to</w:t>
      </w:r>
      <w:r w:rsidR="004F2226">
        <w:rPr>
          <w:rFonts w:ascii="Arial" w:hAnsi="Arial" w:cs="Arial"/>
        </w:rPr>
        <w:t xml:space="preserve"> </w:t>
      </w:r>
      <w:r w:rsidRPr="00D50456">
        <w:rPr>
          <w:rFonts w:ascii="Arial" w:hAnsi="Arial" w:cs="Arial"/>
        </w:rPr>
        <w:t>2023, and the results may not be directly applicable to other markets or time periods where regulatory frameworks and PE exit practices differ. Finally, detailed pre-IPO financial and ownership data for smaller AIM-listed companies is not always fully disclosed in public filings, which may limit the ability to fully capture the pricing dynamics of mid-market PE-backed listings within the sample.</w:t>
      </w:r>
    </w:p>
    <w:p w14:paraId="1249867E" w14:textId="272E703F" w:rsidR="001C0048" w:rsidRDefault="001C0048" w:rsidP="001C0048">
      <w:pPr>
        <w:pStyle w:val="Heading1"/>
        <w:spacing w:line="360" w:lineRule="auto"/>
        <w:jc w:val="both"/>
      </w:pPr>
      <w:bookmarkStart w:id="15" w:name="_Toc225770315"/>
      <w:r>
        <w:lastRenderedPageBreak/>
        <w:t>Timeframe</w:t>
      </w:r>
      <w:bookmarkEnd w:id="15"/>
    </w:p>
    <w:p w14:paraId="5BA3176A" w14:textId="33CE8A6A" w:rsidR="001C0048" w:rsidRDefault="001C0048" w:rsidP="001C0048">
      <w:pPr>
        <w:spacing w:line="360" w:lineRule="auto"/>
        <w:jc w:val="both"/>
        <w:rPr>
          <w:rFonts w:ascii="Arial" w:hAnsi="Arial" w:cs="Arial"/>
        </w:rPr>
      </w:pPr>
      <w:r w:rsidRPr="001C0048">
        <w:rPr>
          <w:rFonts w:ascii="Arial" w:hAnsi="Arial" w:cs="Arial"/>
          <w:noProof/>
        </w:rPr>
        <w:drawing>
          <wp:inline distT="0" distB="0" distL="0" distR="0" wp14:anchorId="15A0C579" wp14:editId="5B726476">
            <wp:extent cx="5943600" cy="2445385"/>
            <wp:effectExtent l="0" t="0" r="0" b="0"/>
            <wp:docPr id="575492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92853" name=""/>
                    <pic:cNvPicPr/>
                  </pic:nvPicPr>
                  <pic:blipFill>
                    <a:blip r:embed="rId10"/>
                    <a:stretch>
                      <a:fillRect/>
                    </a:stretch>
                  </pic:blipFill>
                  <pic:spPr>
                    <a:xfrm>
                      <a:off x="0" y="0"/>
                      <a:ext cx="5943600" cy="2445385"/>
                    </a:xfrm>
                    <a:prstGeom prst="rect">
                      <a:avLst/>
                    </a:prstGeom>
                  </pic:spPr>
                </pic:pic>
              </a:graphicData>
            </a:graphic>
          </wp:inline>
        </w:drawing>
      </w:r>
    </w:p>
    <w:p w14:paraId="1AEB8F6F" w14:textId="265E930D" w:rsidR="00A80550" w:rsidRPr="00681E51" w:rsidRDefault="00A80550" w:rsidP="00681E51">
      <w:pPr>
        <w:pStyle w:val="Heading1"/>
        <w:spacing w:line="360" w:lineRule="auto"/>
        <w:jc w:val="both"/>
        <w:rPr>
          <w:rFonts w:cs="Arial"/>
        </w:rPr>
      </w:pPr>
      <w:bookmarkStart w:id="16" w:name="_Toc225770316"/>
      <w:r w:rsidRPr="00681E51">
        <w:rPr>
          <w:rFonts w:cs="Arial"/>
        </w:rPr>
        <w:t>Conclusion</w:t>
      </w:r>
      <w:bookmarkEnd w:id="16"/>
    </w:p>
    <w:p w14:paraId="458EDC91" w14:textId="77777777" w:rsidR="00681E51" w:rsidRPr="00681E51" w:rsidRDefault="00681E51" w:rsidP="00681E51">
      <w:pPr>
        <w:spacing w:line="360" w:lineRule="auto"/>
        <w:jc w:val="both"/>
        <w:rPr>
          <w:rFonts w:ascii="Arial" w:hAnsi="Arial" w:cs="Arial"/>
        </w:rPr>
      </w:pPr>
      <w:r w:rsidRPr="00681E51">
        <w:rPr>
          <w:rFonts w:ascii="Arial" w:hAnsi="Arial" w:cs="Arial"/>
        </w:rPr>
        <w:t>This research proposal seeks to examine whether private equity-backed IPOs experience significantly different levels of first-day underpricing compared to non-PE-backed IPOs in the United Kingdom. Despite the UK having one of the most active private equity markets in the world, the most relevant academic evidence on this question is nearly two decades old, and significant changes in market conditions and the regulatory environment mean that earlier conclusions may no longer reflect the current IPO landscape.</w:t>
      </w:r>
    </w:p>
    <w:p w14:paraId="14B07CC5" w14:textId="250A9875" w:rsidR="00681E51" w:rsidRPr="00681E51" w:rsidRDefault="00681E51" w:rsidP="00681E51">
      <w:pPr>
        <w:spacing w:line="360" w:lineRule="auto"/>
        <w:jc w:val="both"/>
        <w:rPr>
          <w:rFonts w:ascii="Arial" w:hAnsi="Arial" w:cs="Arial"/>
        </w:rPr>
      </w:pPr>
      <w:r w:rsidRPr="00681E51">
        <w:rPr>
          <w:rFonts w:ascii="Arial" w:hAnsi="Arial" w:cs="Arial"/>
        </w:rPr>
        <w:t>The proposed study addresses this gap by constructing an original empirical dataset and applying updated quantitative methods across three objectives</w:t>
      </w:r>
      <w:r>
        <w:rPr>
          <w:rFonts w:ascii="Arial" w:hAnsi="Arial" w:cs="Arial"/>
        </w:rPr>
        <w:t xml:space="preserve"> </w:t>
      </w:r>
      <w:r w:rsidRPr="00681E51">
        <w:rPr>
          <w:rFonts w:ascii="Arial" w:hAnsi="Arial" w:cs="Arial"/>
        </w:rPr>
        <w:t>first-day underpricing, pricing determinants, and long-run post-listing performance</w:t>
      </w:r>
      <w:r>
        <w:rPr>
          <w:rFonts w:ascii="Arial" w:hAnsi="Arial" w:cs="Arial"/>
        </w:rPr>
        <w:t xml:space="preserve"> </w:t>
      </w:r>
      <w:r w:rsidRPr="00681E51">
        <w:rPr>
          <w:rFonts w:ascii="Arial" w:hAnsi="Arial" w:cs="Arial"/>
        </w:rPr>
        <w:t>while also investigating the untested role of PE firm reputation and post-lockup exit dynamics in the UK context.</w:t>
      </w:r>
    </w:p>
    <w:p w14:paraId="51AF6017" w14:textId="09703E68" w:rsidR="00681E51" w:rsidRPr="00681E51" w:rsidRDefault="00681E51" w:rsidP="00681E51">
      <w:pPr>
        <w:spacing w:line="360" w:lineRule="auto"/>
        <w:jc w:val="both"/>
        <w:rPr>
          <w:rFonts w:ascii="Arial" w:hAnsi="Arial" w:cs="Arial"/>
        </w:rPr>
      </w:pPr>
      <w:r w:rsidRPr="00681E51">
        <w:rPr>
          <w:rFonts w:ascii="Arial" w:hAnsi="Arial" w:cs="Arial"/>
        </w:rPr>
        <w:t>The findings are expected to advance academic knowledge on PE-backed IPO performance and offer practical insights for institutional investors, PE sponsors, retail investors, and regulators. By addressing a clear and well-justified research gap using transparent and freely accessible data, this disserta</w:t>
      </w:r>
      <w:r>
        <w:rPr>
          <w:rFonts w:ascii="Arial" w:hAnsi="Arial" w:cs="Arial"/>
        </w:rPr>
        <w:t>tion.</w:t>
      </w:r>
    </w:p>
    <w:p w14:paraId="3F5406DA" w14:textId="77777777" w:rsidR="00A80550" w:rsidRPr="00A80550" w:rsidRDefault="00A80550" w:rsidP="00A80550">
      <w:pPr>
        <w:rPr>
          <w:rFonts w:ascii="Arial" w:hAnsi="Arial" w:cs="Arial"/>
        </w:rPr>
      </w:pPr>
    </w:p>
    <w:p w14:paraId="1F77A10F" w14:textId="77777777" w:rsidR="00747157" w:rsidRDefault="00747157" w:rsidP="004A67CE"/>
    <w:p w14:paraId="0069A336" w14:textId="0874F2C6" w:rsidR="005562E3" w:rsidRDefault="005562E3" w:rsidP="005562E3">
      <w:pPr>
        <w:pStyle w:val="Heading1"/>
      </w:pPr>
      <w:bookmarkStart w:id="17" w:name="_Toc225770317"/>
      <w:r>
        <w:lastRenderedPageBreak/>
        <w:t>References</w:t>
      </w:r>
      <w:bookmarkEnd w:id="17"/>
    </w:p>
    <w:p w14:paraId="282D1E27" w14:textId="183526AA" w:rsidR="00FA794B" w:rsidRPr="00FA794B" w:rsidRDefault="00FA794B" w:rsidP="00FA794B">
      <w:pPr>
        <w:jc w:val="both"/>
        <w:rPr>
          <w:rFonts w:ascii="Arial" w:hAnsi="Arial" w:cs="Arial"/>
        </w:rPr>
      </w:pPr>
      <w:proofErr w:type="spellStart"/>
      <w:r w:rsidRPr="00FA794B">
        <w:rPr>
          <w:rFonts w:ascii="Arial" w:hAnsi="Arial" w:cs="Arial"/>
        </w:rPr>
        <w:t>Aghamolla</w:t>
      </w:r>
      <w:proofErr w:type="spellEnd"/>
      <w:r w:rsidRPr="00FA794B">
        <w:rPr>
          <w:rFonts w:ascii="Arial" w:hAnsi="Arial" w:cs="Arial"/>
        </w:rPr>
        <w:t xml:space="preserve">, C. and Thakor, A.V. (2022) ‘Do firms learn from other firms’ IPOs? Peer effects in IPO decisions’, </w:t>
      </w:r>
      <w:r w:rsidRPr="00FA794B">
        <w:rPr>
          <w:rFonts w:ascii="Arial" w:hAnsi="Arial" w:cs="Arial"/>
          <w:i/>
          <w:iCs/>
        </w:rPr>
        <w:t>Journal of Financial Economics</w:t>
      </w:r>
      <w:r w:rsidRPr="00FA794B">
        <w:rPr>
          <w:rFonts w:ascii="Arial" w:hAnsi="Arial" w:cs="Arial"/>
        </w:rPr>
        <w:t>, 144(2), pp. 471–499.</w:t>
      </w:r>
      <w:r w:rsidRPr="00FA794B">
        <w:rPr>
          <w:rFonts w:ascii="Arial" w:hAnsi="Arial" w:cs="Arial"/>
        </w:rPr>
        <w:br/>
        <w:t xml:space="preserve">Available at: </w:t>
      </w:r>
      <w:hyperlink r:id="rId11" w:history="1">
        <w:r w:rsidR="00ED371B" w:rsidRPr="00ED371B">
          <w:rPr>
            <w:rStyle w:val="Hyperlink"/>
            <w:rFonts w:ascii="Arial" w:hAnsi="Arial" w:cs="Arial"/>
          </w:rPr>
          <w:t>https://doi.org/10.1016/j.jfineco.2021.05.055</w:t>
        </w:r>
      </w:hyperlink>
      <w:r w:rsidR="00ED371B" w:rsidRPr="00ED371B">
        <w:rPr>
          <w:rFonts w:ascii="Arial" w:hAnsi="Arial" w:cs="Arial"/>
        </w:rPr>
        <w:t xml:space="preserve"> </w:t>
      </w:r>
    </w:p>
    <w:p w14:paraId="65EA8965" w14:textId="1E75BEA9" w:rsidR="00FA794B" w:rsidRPr="00FA794B" w:rsidRDefault="00FA794B" w:rsidP="00FA794B">
      <w:pPr>
        <w:jc w:val="both"/>
        <w:rPr>
          <w:rFonts w:ascii="Arial" w:hAnsi="Arial" w:cs="Arial"/>
        </w:rPr>
      </w:pPr>
      <w:r w:rsidRPr="00FA794B">
        <w:rPr>
          <w:rFonts w:ascii="Arial" w:hAnsi="Arial" w:cs="Arial"/>
        </w:rPr>
        <w:t>Baker, H.K., Boulton, T.J., Braga</w:t>
      </w:r>
      <w:r w:rsidR="00553D8D">
        <w:rPr>
          <w:rFonts w:ascii="Arial" w:hAnsi="Arial" w:cs="Arial"/>
        </w:rPr>
        <w:t xml:space="preserve"> </w:t>
      </w:r>
      <w:r w:rsidRPr="00FA794B">
        <w:rPr>
          <w:rFonts w:ascii="Arial" w:hAnsi="Arial" w:cs="Arial"/>
        </w:rPr>
        <w:t xml:space="preserve">Alves, M.V. and Morey, M.R. (2021) ‘ESG government risk and IPO underpricing’, </w:t>
      </w:r>
      <w:r w:rsidRPr="00FA794B">
        <w:rPr>
          <w:rFonts w:ascii="Arial" w:hAnsi="Arial" w:cs="Arial"/>
          <w:i/>
          <w:iCs/>
        </w:rPr>
        <w:t>Journal of Corporate Finance</w:t>
      </w:r>
      <w:r w:rsidRPr="00FA794B">
        <w:rPr>
          <w:rFonts w:ascii="Arial" w:hAnsi="Arial" w:cs="Arial"/>
        </w:rPr>
        <w:t>, 67, 101874.</w:t>
      </w:r>
      <w:r w:rsidRPr="00FA794B">
        <w:rPr>
          <w:rFonts w:ascii="Arial" w:hAnsi="Arial" w:cs="Arial"/>
        </w:rPr>
        <w:br/>
        <w:t xml:space="preserve">Available at: </w:t>
      </w:r>
      <w:hyperlink r:id="rId12" w:history="1">
        <w:r w:rsidRPr="00FA794B">
          <w:rPr>
            <w:rStyle w:val="Hyperlink"/>
            <w:rFonts w:ascii="Arial" w:hAnsi="Arial" w:cs="Arial"/>
          </w:rPr>
          <w:t>https://doi.org/10.1016/j.jcorpfin.2020.101874</w:t>
        </w:r>
      </w:hyperlink>
      <w:r w:rsidRPr="00455B93">
        <w:rPr>
          <w:rFonts w:ascii="Arial" w:hAnsi="Arial" w:cs="Arial"/>
        </w:rPr>
        <w:t xml:space="preserve"> </w:t>
      </w:r>
    </w:p>
    <w:p w14:paraId="71A5CF9D" w14:textId="79E3B0B5" w:rsidR="00FA794B" w:rsidRPr="00FA794B" w:rsidRDefault="00FA794B" w:rsidP="00FA794B">
      <w:pPr>
        <w:jc w:val="both"/>
        <w:rPr>
          <w:rFonts w:ascii="Arial" w:hAnsi="Arial" w:cs="Arial"/>
        </w:rPr>
      </w:pPr>
      <w:r w:rsidRPr="00FA794B">
        <w:rPr>
          <w:rFonts w:ascii="Arial" w:hAnsi="Arial" w:cs="Arial"/>
        </w:rPr>
        <w:t>Espenlaub, S., Goergen, M. and Khurshed, A. (2001) ‘IPO lock</w:t>
      </w:r>
      <w:r w:rsidR="00553D8D">
        <w:rPr>
          <w:rFonts w:ascii="Arial" w:hAnsi="Arial" w:cs="Arial"/>
        </w:rPr>
        <w:t xml:space="preserve"> </w:t>
      </w:r>
      <w:r w:rsidRPr="00FA794B">
        <w:rPr>
          <w:rFonts w:ascii="Arial" w:hAnsi="Arial" w:cs="Arial"/>
        </w:rPr>
        <w:t xml:space="preserve">in agreements in the UK’, </w:t>
      </w:r>
      <w:r w:rsidRPr="00FA794B">
        <w:rPr>
          <w:rFonts w:ascii="Arial" w:hAnsi="Arial" w:cs="Arial"/>
          <w:i/>
          <w:iCs/>
        </w:rPr>
        <w:t>Journal of Business Finance &amp; Accounting</w:t>
      </w:r>
      <w:r w:rsidRPr="00FA794B">
        <w:rPr>
          <w:rFonts w:ascii="Arial" w:hAnsi="Arial" w:cs="Arial"/>
        </w:rPr>
        <w:t>, 28(9–10), pp. 1235–1278.</w:t>
      </w:r>
      <w:r w:rsidRPr="00FA794B">
        <w:rPr>
          <w:rFonts w:ascii="Arial" w:hAnsi="Arial" w:cs="Arial"/>
        </w:rPr>
        <w:br/>
        <w:t xml:space="preserve">Available at: </w:t>
      </w:r>
      <w:hyperlink r:id="rId13" w:history="1">
        <w:r w:rsidRPr="00FA794B">
          <w:rPr>
            <w:rStyle w:val="Hyperlink"/>
            <w:rFonts w:ascii="Arial" w:hAnsi="Arial" w:cs="Arial"/>
          </w:rPr>
          <w:t>https://doi.org/10.1111/1468</w:t>
        </w:r>
        <w:r w:rsidR="00553D8D">
          <w:rPr>
            <w:rStyle w:val="Hyperlink"/>
            <w:rFonts w:ascii="Arial" w:hAnsi="Arial" w:cs="Arial"/>
          </w:rPr>
          <w:t xml:space="preserve"> </w:t>
        </w:r>
        <w:r w:rsidRPr="00FA794B">
          <w:rPr>
            <w:rStyle w:val="Hyperlink"/>
            <w:rFonts w:ascii="Arial" w:hAnsi="Arial" w:cs="Arial"/>
          </w:rPr>
          <w:t>5957.00414</w:t>
        </w:r>
      </w:hyperlink>
      <w:r w:rsidRPr="00455B93">
        <w:rPr>
          <w:rFonts w:ascii="Arial" w:hAnsi="Arial" w:cs="Arial"/>
        </w:rPr>
        <w:t xml:space="preserve"> </w:t>
      </w:r>
    </w:p>
    <w:p w14:paraId="011AB7C5" w14:textId="0AA97508" w:rsidR="00FA794B" w:rsidRPr="00FA794B" w:rsidRDefault="00FA794B" w:rsidP="00FA794B">
      <w:pPr>
        <w:jc w:val="both"/>
        <w:rPr>
          <w:rFonts w:ascii="Arial" w:hAnsi="Arial" w:cs="Arial"/>
        </w:rPr>
      </w:pPr>
      <w:r w:rsidRPr="00FA794B">
        <w:rPr>
          <w:rFonts w:ascii="Arial" w:hAnsi="Arial" w:cs="Arial"/>
        </w:rPr>
        <w:t>Fama, E.F. and French, K.R. (2015) ‘A five</w:t>
      </w:r>
      <w:r w:rsidR="00553D8D">
        <w:rPr>
          <w:rFonts w:ascii="Arial" w:hAnsi="Arial" w:cs="Arial"/>
        </w:rPr>
        <w:t xml:space="preserve"> </w:t>
      </w:r>
      <w:r w:rsidRPr="00FA794B">
        <w:rPr>
          <w:rFonts w:ascii="Arial" w:hAnsi="Arial" w:cs="Arial"/>
        </w:rPr>
        <w:t xml:space="preserve">factor asset pricing model’, </w:t>
      </w:r>
      <w:r w:rsidRPr="00FA794B">
        <w:rPr>
          <w:rFonts w:ascii="Arial" w:hAnsi="Arial" w:cs="Arial"/>
          <w:i/>
          <w:iCs/>
        </w:rPr>
        <w:t>Journal of Financial Economics</w:t>
      </w:r>
      <w:r w:rsidRPr="00FA794B">
        <w:rPr>
          <w:rFonts w:ascii="Arial" w:hAnsi="Arial" w:cs="Arial"/>
        </w:rPr>
        <w:t>, 116(1), pp. 1–22.</w:t>
      </w:r>
      <w:r w:rsidRPr="00FA794B">
        <w:rPr>
          <w:rFonts w:ascii="Arial" w:hAnsi="Arial" w:cs="Arial"/>
        </w:rPr>
        <w:br/>
        <w:t xml:space="preserve">Available at: </w:t>
      </w:r>
      <w:hyperlink r:id="rId14" w:tgtFrame="_new" w:history="1">
        <w:r w:rsidRPr="00FA794B">
          <w:rPr>
            <w:rStyle w:val="Hyperlink"/>
            <w:rFonts w:ascii="Arial" w:hAnsi="Arial" w:cs="Arial"/>
          </w:rPr>
          <w:t>https://doi.org/10.1016/j.jfineco.2014.10.010</w:t>
        </w:r>
      </w:hyperlink>
    </w:p>
    <w:p w14:paraId="7908AC3F" w14:textId="31B73C38" w:rsidR="00FA794B" w:rsidRPr="00FA794B" w:rsidRDefault="00FA794B" w:rsidP="00FA794B">
      <w:pPr>
        <w:jc w:val="both"/>
        <w:rPr>
          <w:rFonts w:ascii="Arial" w:hAnsi="Arial" w:cs="Arial"/>
        </w:rPr>
      </w:pPr>
      <w:r w:rsidRPr="00FA794B">
        <w:rPr>
          <w:rFonts w:ascii="Arial" w:hAnsi="Arial" w:cs="Arial"/>
        </w:rPr>
        <w:t xml:space="preserve">Hoque, H. and Doukas, J.A. (2024) ‘Listing choice and underwriting costs: Evidence from AIM and Main Market’, </w:t>
      </w:r>
      <w:r w:rsidRPr="00FA794B">
        <w:rPr>
          <w:rFonts w:ascii="Arial" w:hAnsi="Arial" w:cs="Arial"/>
          <w:i/>
          <w:iCs/>
        </w:rPr>
        <w:t>International Journal of Finance &amp; Economics</w:t>
      </w:r>
      <w:r w:rsidRPr="00FA794B">
        <w:rPr>
          <w:rFonts w:ascii="Arial" w:hAnsi="Arial" w:cs="Arial"/>
        </w:rPr>
        <w:t>.</w:t>
      </w:r>
      <w:r w:rsidRPr="00FA794B">
        <w:rPr>
          <w:rFonts w:ascii="Arial" w:hAnsi="Arial" w:cs="Arial"/>
        </w:rPr>
        <w:br/>
        <w:t xml:space="preserve">Available at: </w:t>
      </w:r>
      <w:r w:rsidR="006727BF" w:rsidRPr="00455B93">
        <w:rPr>
          <w:rFonts w:ascii="Arial" w:hAnsi="Arial" w:cs="Arial"/>
        </w:rPr>
        <w:t>DOI:</w:t>
      </w:r>
      <w:hyperlink r:id="rId15" w:tgtFrame="_blank" w:history="1">
        <w:r w:rsidR="006727BF" w:rsidRPr="00455B93">
          <w:rPr>
            <w:rStyle w:val="Hyperlink"/>
            <w:rFonts w:ascii="Arial" w:hAnsi="Arial" w:cs="Arial"/>
          </w:rPr>
          <w:t>10.1002/ijfe.2783</w:t>
        </w:r>
      </w:hyperlink>
    </w:p>
    <w:p w14:paraId="5CC4E91E" w14:textId="383A4E57" w:rsidR="00FA794B" w:rsidRPr="00FA794B" w:rsidRDefault="00FA794B" w:rsidP="00FA794B">
      <w:pPr>
        <w:jc w:val="both"/>
        <w:rPr>
          <w:rFonts w:ascii="Arial" w:hAnsi="Arial" w:cs="Arial"/>
        </w:rPr>
      </w:pPr>
      <w:r w:rsidRPr="00FA794B">
        <w:rPr>
          <w:rFonts w:ascii="Arial" w:hAnsi="Arial" w:cs="Arial"/>
        </w:rPr>
        <w:t xml:space="preserve">Hwang, S. (2023) ‘Determinants of IPO underpricing in the UK’, </w:t>
      </w:r>
      <w:r w:rsidRPr="00FA794B">
        <w:rPr>
          <w:rFonts w:ascii="Arial" w:hAnsi="Arial" w:cs="Arial"/>
          <w:i/>
          <w:iCs/>
        </w:rPr>
        <w:t>International Journal of Finance and Accounting</w:t>
      </w:r>
      <w:r w:rsidRPr="00FA794B">
        <w:rPr>
          <w:rFonts w:ascii="Arial" w:hAnsi="Arial" w:cs="Arial"/>
        </w:rPr>
        <w:t>.</w:t>
      </w:r>
      <w:r w:rsidRPr="00FA794B">
        <w:rPr>
          <w:rFonts w:ascii="Arial" w:hAnsi="Arial" w:cs="Arial"/>
        </w:rPr>
        <w:br/>
        <w:t xml:space="preserve">Available at: </w:t>
      </w:r>
      <w:hyperlink r:id="rId16" w:history="1">
        <w:r w:rsidRPr="00FA794B">
          <w:rPr>
            <w:rStyle w:val="Hyperlink"/>
            <w:rFonts w:ascii="Arial" w:hAnsi="Arial" w:cs="Arial"/>
          </w:rPr>
          <w:t>https://doi.org/10.5923/j.ijfa.2023</w:t>
        </w:r>
      </w:hyperlink>
      <w:r w:rsidRPr="00455B93">
        <w:rPr>
          <w:rFonts w:ascii="Arial" w:hAnsi="Arial" w:cs="Arial"/>
        </w:rPr>
        <w:t xml:space="preserve"> </w:t>
      </w:r>
    </w:p>
    <w:p w14:paraId="09300F6D" w14:textId="78221552" w:rsidR="00FA794B" w:rsidRPr="00FA794B" w:rsidRDefault="00FA794B" w:rsidP="00FA794B">
      <w:pPr>
        <w:jc w:val="both"/>
        <w:rPr>
          <w:rFonts w:ascii="Arial" w:hAnsi="Arial" w:cs="Arial"/>
        </w:rPr>
      </w:pPr>
      <w:r w:rsidRPr="00FA794B">
        <w:rPr>
          <w:rFonts w:ascii="Arial" w:hAnsi="Arial" w:cs="Arial"/>
        </w:rPr>
        <w:t>Levis, M. (2011) ‘The performance of private equity</w:t>
      </w:r>
      <w:r w:rsidR="00553D8D">
        <w:rPr>
          <w:rFonts w:ascii="Arial" w:hAnsi="Arial" w:cs="Arial"/>
        </w:rPr>
        <w:t xml:space="preserve"> </w:t>
      </w:r>
      <w:r w:rsidRPr="00FA794B">
        <w:rPr>
          <w:rFonts w:ascii="Arial" w:hAnsi="Arial" w:cs="Arial"/>
        </w:rPr>
        <w:t xml:space="preserve">backed IPOs’, </w:t>
      </w:r>
      <w:r w:rsidRPr="00FA794B">
        <w:rPr>
          <w:rFonts w:ascii="Arial" w:hAnsi="Arial" w:cs="Arial"/>
          <w:i/>
          <w:iCs/>
        </w:rPr>
        <w:t>Financial Management</w:t>
      </w:r>
      <w:r w:rsidRPr="00FA794B">
        <w:rPr>
          <w:rFonts w:ascii="Arial" w:hAnsi="Arial" w:cs="Arial"/>
        </w:rPr>
        <w:t>, 40(1), pp. 253–277.</w:t>
      </w:r>
      <w:r w:rsidRPr="00FA794B">
        <w:rPr>
          <w:rFonts w:ascii="Arial" w:hAnsi="Arial" w:cs="Arial"/>
        </w:rPr>
        <w:br/>
        <w:t xml:space="preserve">Available at: </w:t>
      </w:r>
      <w:hyperlink r:id="rId17" w:history="1">
        <w:r w:rsidRPr="00FA794B">
          <w:rPr>
            <w:rStyle w:val="Hyperlink"/>
            <w:rFonts w:ascii="Arial" w:hAnsi="Arial" w:cs="Arial"/>
          </w:rPr>
          <w:t>https://doi.org/10.1111/j.1755</w:t>
        </w:r>
        <w:r w:rsidR="00553D8D">
          <w:rPr>
            <w:rStyle w:val="Hyperlink"/>
            <w:rFonts w:ascii="Arial" w:hAnsi="Arial" w:cs="Arial"/>
          </w:rPr>
          <w:t xml:space="preserve"> </w:t>
        </w:r>
        <w:r w:rsidRPr="00FA794B">
          <w:rPr>
            <w:rStyle w:val="Hyperlink"/>
            <w:rFonts w:ascii="Arial" w:hAnsi="Arial" w:cs="Arial"/>
          </w:rPr>
          <w:t>053X.2010.01127.x</w:t>
        </w:r>
      </w:hyperlink>
      <w:r w:rsidRPr="00455B93">
        <w:rPr>
          <w:rFonts w:ascii="Arial" w:hAnsi="Arial" w:cs="Arial"/>
        </w:rPr>
        <w:t xml:space="preserve"> </w:t>
      </w:r>
    </w:p>
    <w:p w14:paraId="13CC6ED0" w14:textId="0B74428D" w:rsidR="00FA794B" w:rsidRPr="00FA794B" w:rsidRDefault="00FA794B" w:rsidP="00FA794B">
      <w:pPr>
        <w:jc w:val="both"/>
        <w:rPr>
          <w:rFonts w:ascii="Arial" w:hAnsi="Arial" w:cs="Arial"/>
        </w:rPr>
      </w:pPr>
      <w:r w:rsidRPr="00FA794B">
        <w:rPr>
          <w:rFonts w:ascii="Arial" w:hAnsi="Arial" w:cs="Arial"/>
        </w:rPr>
        <w:t xml:space="preserve">Michala, D. (2019) ‘Private equity backed IPOs: Timing, information asymmetry and survival’, </w:t>
      </w:r>
      <w:r w:rsidRPr="00FA794B">
        <w:rPr>
          <w:rFonts w:ascii="Arial" w:hAnsi="Arial" w:cs="Arial"/>
          <w:i/>
          <w:iCs/>
        </w:rPr>
        <w:t>Journal of Corporate Finance</w:t>
      </w:r>
      <w:r w:rsidRPr="00FA794B">
        <w:rPr>
          <w:rFonts w:ascii="Arial" w:hAnsi="Arial" w:cs="Arial"/>
        </w:rPr>
        <w:t>, 59, pp. 99–120.</w:t>
      </w:r>
      <w:r w:rsidRPr="00FA794B">
        <w:rPr>
          <w:rFonts w:ascii="Arial" w:hAnsi="Arial" w:cs="Arial"/>
        </w:rPr>
        <w:br/>
        <w:t xml:space="preserve">Available at: </w:t>
      </w:r>
      <w:hyperlink r:id="rId18" w:history="1">
        <w:r w:rsidRPr="00FA794B">
          <w:rPr>
            <w:rStyle w:val="Hyperlink"/>
            <w:rFonts w:ascii="Arial" w:hAnsi="Arial" w:cs="Arial"/>
          </w:rPr>
          <w:t>https://doi.org/10.1016/j.jcorpfin.2019.07.001</w:t>
        </w:r>
      </w:hyperlink>
      <w:r w:rsidRPr="00455B93">
        <w:rPr>
          <w:rFonts w:ascii="Arial" w:hAnsi="Arial" w:cs="Arial"/>
        </w:rPr>
        <w:t xml:space="preserve"> </w:t>
      </w:r>
    </w:p>
    <w:p w14:paraId="24C3ED78" w14:textId="511DF88A" w:rsidR="00FA794B" w:rsidRPr="00FA794B" w:rsidRDefault="00FA794B" w:rsidP="00FA794B">
      <w:pPr>
        <w:jc w:val="both"/>
        <w:rPr>
          <w:rFonts w:ascii="Arial" w:hAnsi="Arial" w:cs="Arial"/>
        </w:rPr>
      </w:pPr>
      <w:r w:rsidRPr="00FA794B">
        <w:rPr>
          <w:rFonts w:ascii="Arial" w:hAnsi="Arial" w:cs="Arial"/>
        </w:rPr>
        <w:t xml:space="preserve">Ritter, J.R., Huang, R. and Zhang, D. (2023) ‘Initial public offerings: A survey of the literature’, </w:t>
      </w:r>
      <w:r w:rsidRPr="00FA794B">
        <w:rPr>
          <w:rFonts w:ascii="Arial" w:hAnsi="Arial" w:cs="Arial"/>
          <w:i/>
          <w:iCs/>
        </w:rPr>
        <w:t>Annual Review of Financial Economics</w:t>
      </w:r>
      <w:r w:rsidRPr="00FA794B">
        <w:rPr>
          <w:rFonts w:ascii="Arial" w:hAnsi="Arial" w:cs="Arial"/>
        </w:rPr>
        <w:t>, 15, pp. 1–30.</w:t>
      </w:r>
      <w:r w:rsidRPr="00FA794B">
        <w:rPr>
          <w:rFonts w:ascii="Arial" w:hAnsi="Arial" w:cs="Arial"/>
        </w:rPr>
        <w:br/>
        <w:t xml:space="preserve">Available at: </w:t>
      </w:r>
      <w:hyperlink r:id="rId19" w:history="1">
        <w:r w:rsidRPr="00FA794B">
          <w:rPr>
            <w:rStyle w:val="Hyperlink"/>
            <w:rFonts w:ascii="Arial" w:hAnsi="Arial" w:cs="Arial"/>
          </w:rPr>
          <w:t>https://doi.org/10.1146/annurev</w:t>
        </w:r>
        <w:r w:rsidR="00553D8D">
          <w:rPr>
            <w:rStyle w:val="Hyperlink"/>
            <w:rFonts w:ascii="Arial" w:hAnsi="Arial" w:cs="Arial"/>
          </w:rPr>
          <w:t xml:space="preserve"> </w:t>
        </w:r>
        <w:r w:rsidRPr="00FA794B">
          <w:rPr>
            <w:rStyle w:val="Hyperlink"/>
            <w:rFonts w:ascii="Arial" w:hAnsi="Arial" w:cs="Arial"/>
          </w:rPr>
          <w:t>financial</w:t>
        </w:r>
        <w:r w:rsidR="00553D8D">
          <w:rPr>
            <w:rStyle w:val="Hyperlink"/>
            <w:rFonts w:ascii="Arial" w:hAnsi="Arial" w:cs="Arial"/>
          </w:rPr>
          <w:t xml:space="preserve"> </w:t>
        </w:r>
        <w:r w:rsidRPr="00FA794B">
          <w:rPr>
            <w:rStyle w:val="Hyperlink"/>
            <w:rFonts w:ascii="Arial" w:hAnsi="Arial" w:cs="Arial"/>
          </w:rPr>
          <w:t>110921</w:t>
        </w:r>
        <w:r w:rsidR="00553D8D">
          <w:rPr>
            <w:rStyle w:val="Hyperlink"/>
            <w:rFonts w:ascii="Arial" w:hAnsi="Arial" w:cs="Arial"/>
          </w:rPr>
          <w:t xml:space="preserve"> </w:t>
        </w:r>
        <w:r w:rsidRPr="00FA794B">
          <w:rPr>
            <w:rStyle w:val="Hyperlink"/>
            <w:rFonts w:ascii="Arial" w:hAnsi="Arial" w:cs="Arial"/>
          </w:rPr>
          <w:t>105054</w:t>
        </w:r>
      </w:hyperlink>
      <w:r w:rsidRPr="00455B93">
        <w:rPr>
          <w:rFonts w:ascii="Arial" w:hAnsi="Arial" w:cs="Arial"/>
        </w:rPr>
        <w:t xml:space="preserve"> </w:t>
      </w:r>
    </w:p>
    <w:p w14:paraId="3C2EB8F6" w14:textId="34DA11A8" w:rsidR="00E02E7F" w:rsidRDefault="00E02E7F" w:rsidP="00FA794B">
      <w:pPr>
        <w:jc w:val="both"/>
        <w:rPr>
          <w:rFonts w:ascii="Arial" w:hAnsi="Arial" w:cs="Arial"/>
        </w:rPr>
      </w:pPr>
      <w:r w:rsidRPr="00E02E7F">
        <w:rPr>
          <w:rFonts w:ascii="Arial" w:hAnsi="Arial" w:cs="Arial"/>
        </w:rPr>
        <w:t xml:space="preserve">Rossovski, J., Lucey, B. and Helbing, P. (2025) 'Determinants of IPO overpricing', </w:t>
      </w:r>
      <w:r w:rsidRPr="00E02E7F">
        <w:rPr>
          <w:rFonts w:ascii="Arial" w:hAnsi="Arial" w:cs="Arial"/>
          <w:i/>
          <w:iCs/>
        </w:rPr>
        <w:t>British Journal of Management</w:t>
      </w:r>
      <w:r>
        <w:rPr>
          <w:rFonts w:ascii="Arial" w:hAnsi="Arial" w:cs="Arial"/>
        </w:rPr>
        <w:t xml:space="preserve">. </w:t>
      </w:r>
      <w:r w:rsidRPr="00E02E7F">
        <w:rPr>
          <w:rFonts w:ascii="Arial" w:hAnsi="Arial" w:cs="Arial"/>
        </w:rPr>
        <w:t xml:space="preserve">Available at: </w:t>
      </w:r>
      <w:hyperlink r:id="rId20" w:history="1">
        <w:r w:rsidRPr="00E02E7F">
          <w:rPr>
            <w:rStyle w:val="Hyperlink"/>
            <w:rFonts w:ascii="Arial" w:hAnsi="Arial" w:cs="Arial"/>
          </w:rPr>
          <w:t>https://doi.org/10.1111/1467-8551.12858</w:t>
        </w:r>
      </w:hyperlink>
    </w:p>
    <w:p w14:paraId="5A000C15" w14:textId="31A8448A" w:rsidR="00FA794B" w:rsidRPr="00FA794B" w:rsidRDefault="00FA794B" w:rsidP="00FA794B">
      <w:pPr>
        <w:jc w:val="both"/>
        <w:rPr>
          <w:rFonts w:ascii="Arial" w:hAnsi="Arial" w:cs="Arial"/>
        </w:rPr>
      </w:pPr>
      <w:r w:rsidRPr="00FA794B">
        <w:rPr>
          <w:rFonts w:ascii="Arial" w:hAnsi="Arial" w:cs="Arial"/>
        </w:rPr>
        <w:t xml:space="preserve">Shuwaikh, F., </w:t>
      </w:r>
      <w:proofErr w:type="spellStart"/>
      <w:r w:rsidRPr="00FA794B">
        <w:rPr>
          <w:rFonts w:ascii="Arial" w:hAnsi="Arial" w:cs="Arial"/>
        </w:rPr>
        <w:t>Dubocage</w:t>
      </w:r>
      <w:proofErr w:type="spellEnd"/>
      <w:r w:rsidRPr="00FA794B">
        <w:rPr>
          <w:rFonts w:ascii="Arial" w:hAnsi="Arial" w:cs="Arial"/>
        </w:rPr>
        <w:t xml:space="preserve">, E. and Murer, H. (2023) ‘Institutional sponsorship and IPO underpricing: Evidence from VC types’, </w:t>
      </w:r>
      <w:r w:rsidRPr="00FA794B">
        <w:rPr>
          <w:rFonts w:ascii="Arial" w:hAnsi="Arial" w:cs="Arial"/>
          <w:i/>
          <w:iCs/>
        </w:rPr>
        <w:t>Review of Quantitative Finance and Accounting</w:t>
      </w:r>
      <w:r w:rsidRPr="00FA794B">
        <w:rPr>
          <w:rFonts w:ascii="Arial" w:hAnsi="Arial" w:cs="Arial"/>
        </w:rPr>
        <w:t>, 60.</w:t>
      </w:r>
      <w:r w:rsidR="00ED371B">
        <w:rPr>
          <w:rFonts w:ascii="Arial" w:hAnsi="Arial" w:cs="Arial"/>
        </w:rPr>
        <w:t xml:space="preserve"> </w:t>
      </w:r>
      <w:r w:rsidRPr="00FA794B">
        <w:rPr>
          <w:rFonts w:ascii="Arial" w:hAnsi="Arial" w:cs="Arial"/>
        </w:rPr>
        <w:t xml:space="preserve">Available at: </w:t>
      </w:r>
      <w:r w:rsidR="00861931" w:rsidRPr="00455B93">
        <w:rPr>
          <w:rFonts w:ascii="Arial" w:hAnsi="Arial" w:cs="Arial"/>
        </w:rPr>
        <w:t>DOI:</w:t>
      </w:r>
      <w:hyperlink r:id="rId21" w:tgtFrame="_blank" w:history="1">
        <w:r w:rsidR="00861931" w:rsidRPr="00455B93">
          <w:rPr>
            <w:rStyle w:val="Hyperlink"/>
            <w:rFonts w:ascii="Arial" w:hAnsi="Arial" w:cs="Arial"/>
          </w:rPr>
          <w:t>10.1007/s11156</w:t>
        </w:r>
        <w:r w:rsidR="00553D8D">
          <w:rPr>
            <w:rStyle w:val="Hyperlink"/>
            <w:rFonts w:ascii="Arial" w:hAnsi="Arial" w:cs="Arial"/>
          </w:rPr>
          <w:t xml:space="preserve"> </w:t>
        </w:r>
        <w:r w:rsidR="00861931" w:rsidRPr="00455B93">
          <w:rPr>
            <w:rStyle w:val="Hyperlink"/>
            <w:rFonts w:ascii="Arial" w:hAnsi="Arial" w:cs="Arial"/>
          </w:rPr>
          <w:t>023</w:t>
        </w:r>
        <w:r w:rsidR="00553D8D">
          <w:rPr>
            <w:rStyle w:val="Hyperlink"/>
            <w:rFonts w:ascii="Arial" w:hAnsi="Arial" w:cs="Arial"/>
          </w:rPr>
          <w:t xml:space="preserve"> </w:t>
        </w:r>
        <w:r w:rsidR="00861931" w:rsidRPr="00455B93">
          <w:rPr>
            <w:rStyle w:val="Hyperlink"/>
            <w:rFonts w:ascii="Arial" w:hAnsi="Arial" w:cs="Arial"/>
          </w:rPr>
          <w:t>01144</w:t>
        </w:r>
        <w:r w:rsidR="00553D8D">
          <w:rPr>
            <w:rStyle w:val="Hyperlink"/>
            <w:rFonts w:ascii="Arial" w:hAnsi="Arial" w:cs="Arial"/>
          </w:rPr>
          <w:t xml:space="preserve"> </w:t>
        </w:r>
        <w:r w:rsidR="00861931" w:rsidRPr="00455B93">
          <w:rPr>
            <w:rStyle w:val="Hyperlink"/>
            <w:rFonts w:ascii="Arial" w:hAnsi="Arial" w:cs="Arial"/>
          </w:rPr>
          <w:t>5</w:t>
        </w:r>
      </w:hyperlink>
      <w:r w:rsidR="00861931">
        <w:rPr>
          <w:rFonts w:ascii="Arial" w:hAnsi="Arial" w:cs="Arial"/>
        </w:rPr>
        <w:t xml:space="preserve"> </w:t>
      </w:r>
    </w:p>
    <w:p w14:paraId="4A761F34" w14:textId="4EE049BA" w:rsidR="005562E3" w:rsidRPr="00C973B9" w:rsidRDefault="00C973B9" w:rsidP="00C973B9">
      <w:pPr>
        <w:jc w:val="both"/>
        <w:rPr>
          <w:rFonts w:ascii="Arial" w:hAnsi="Arial" w:cs="Arial"/>
        </w:rPr>
      </w:pPr>
      <w:r w:rsidRPr="00C973B9">
        <w:rPr>
          <w:rFonts w:ascii="Arial" w:hAnsi="Arial" w:cs="Arial"/>
        </w:rPr>
        <w:lastRenderedPageBreak/>
        <w:t xml:space="preserve">Ritter, J.R. (1991) 'The long-run performance of initial public offerings', </w:t>
      </w:r>
      <w:r w:rsidRPr="00C973B9">
        <w:rPr>
          <w:rFonts w:ascii="Arial" w:hAnsi="Arial" w:cs="Arial"/>
          <w:i/>
          <w:iCs/>
        </w:rPr>
        <w:t>Journal of Finance</w:t>
      </w:r>
      <w:r w:rsidRPr="00C973B9">
        <w:rPr>
          <w:rFonts w:ascii="Arial" w:hAnsi="Arial" w:cs="Arial"/>
        </w:rPr>
        <w:t xml:space="preserve">, 46(1), pp. 3–27. Available at: </w:t>
      </w:r>
      <w:hyperlink r:id="rId22" w:history="1">
        <w:r w:rsidRPr="00C973B9">
          <w:rPr>
            <w:rStyle w:val="Hyperlink"/>
            <w:rFonts w:ascii="Arial" w:hAnsi="Arial" w:cs="Arial"/>
          </w:rPr>
          <w:t>https://doi.org/10.1111/j.1540-6261.1991.tb03743.x</w:t>
        </w:r>
      </w:hyperlink>
    </w:p>
    <w:p w14:paraId="44C1B412" w14:textId="742E5B7E" w:rsidR="00C973B9" w:rsidRDefault="00C973B9" w:rsidP="00C973B9">
      <w:pPr>
        <w:jc w:val="both"/>
        <w:rPr>
          <w:rFonts w:ascii="Arial" w:hAnsi="Arial" w:cs="Arial"/>
        </w:rPr>
      </w:pPr>
      <w:r w:rsidRPr="00C973B9">
        <w:rPr>
          <w:rFonts w:ascii="Arial" w:hAnsi="Arial" w:cs="Arial"/>
        </w:rPr>
        <w:t xml:space="preserve">Espenlaub, S., Goergen, M. and Khurshed, A. (2001) 'IPO lock-in agreements in the UK', </w:t>
      </w:r>
      <w:r w:rsidRPr="00C973B9">
        <w:rPr>
          <w:rFonts w:ascii="Arial" w:hAnsi="Arial" w:cs="Arial"/>
          <w:i/>
          <w:iCs/>
        </w:rPr>
        <w:t>Journal of Business Finance and Accounting</w:t>
      </w:r>
      <w:r w:rsidRPr="00C973B9">
        <w:rPr>
          <w:rFonts w:ascii="Arial" w:hAnsi="Arial" w:cs="Arial"/>
        </w:rPr>
        <w:t xml:space="preserve">, 28(9–10), pp. 1235–1278. Available at: </w:t>
      </w:r>
      <w:hyperlink r:id="rId23" w:history="1">
        <w:r w:rsidRPr="00C973B9">
          <w:rPr>
            <w:rStyle w:val="Hyperlink"/>
            <w:rFonts w:ascii="Arial" w:hAnsi="Arial" w:cs="Arial"/>
          </w:rPr>
          <w:t>https://doi.org/10.1111/1468-5957.00381</w:t>
        </w:r>
      </w:hyperlink>
    </w:p>
    <w:p w14:paraId="5337044B" w14:textId="59C2C8EC" w:rsidR="001647D2" w:rsidRDefault="001647D2" w:rsidP="00C973B9">
      <w:pPr>
        <w:jc w:val="both"/>
        <w:rPr>
          <w:rFonts w:ascii="Arial" w:hAnsi="Arial" w:cs="Arial"/>
        </w:rPr>
      </w:pPr>
      <w:r w:rsidRPr="001647D2">
        <w:rPr>
          <w:rFonts w:ascii="Arial" w:hAnsi="Arial" w:cs="Arial"/>
        </w:rPr>
        <w:t>Brav, A. and Gompers, P.A. (1997) 'Myth or reality? The long-run underperformance of initial public offerings: Evidence from venture and non</w:t>
      </w:r>
      <w:r w:rsidR="0006633F">
        <w:rPr>
          <w:rFonts w:ascii="Arial" w:hAnsi="Arial" w:cs="Arial"/>
        </w:rPr>
        <w:t>-</w:t>
      </w:r>
      <w:r w:rsidRPr="001647D2">
        <w:rPr>
          <w:rFonts w:ascii="Arial" w:hAnsi="Arial" w:cs="Arial"/>
        </w:rPr>
        <w:t xml:space="preserve">venture capital-backed companies', </w:t>
      </w:r>
      <w:r w:rsidRPr="001647D2">
        <w:rPr>
          <w:rFonts w:ascii="Arial" w:hAnsi="Arial" w:cs="Arial"/>
          <w:i/>
          <w:iCs/>
        </w:rPr>
        <w:t>Journal of Finance</w:t>
      </w:r>
      <w:r w:rsidRPr="001647D2">
        <w:rPr>
          <w:rFonts w:ascii="Arial" w:hAnsi="Arial" w:cs="Arial"/>
        </w:rPr>
        <w:t xml:space="preserve">, 52(5), pp. 1791–1821. Available at: </w:t>
      </w:r>
      <w:hyperlink r:id="rId24" w:history="1">
        <w:r w:rsidR="0006633F" w:rsidRPr="008920A5">
          <w:rPr>
            <w:rStyle w:val="Hyperlink"/>
            <w:rFonts w:ascii="Arial" w:hAnsi="Arial" w:cs="Arial"/>
          </w:rPr>
          <w:t>https://doi.org/10. 1111/j.1540-6261.1997.tb02742.x</w:t>
        </w:r>
      </w:hyperlink>
    </w:p>
    <w:p w14:paraId="4F3CC890" w14:textId="4EAD1E55" w:rsidR="00C92360" w:rsidRDefault="00C92360" w:rsidP="00C973B9">
      <w:pPr>
        <w:jc w:val="both"/>
      </w:pPr>
      <w:r w:rsidRPr="00C92360">
        <w:rPr>
          <w:rFonts w:ascii="Arial" w:hAnsi="Arial" w:cs="Arial"/>
        </w:rPr>
        <w:t xml:space="preserve">Megginson, W.L. and Weiss, K.A. (1991) 'Venture capitalist certification in initial public offerings', </w:t>
      </w:r>
      <w:r w:rsidRPr="00C92360">
        <w:rPr>
          <w:rFonts w:ascii="Arial" w:hAnsi="Arial" w:cs="Arial"/>
          <w:i/>
          <w:iCs/>
        </w:rPr>
        <w:t>Journal of Finance</w:t>
      </w:r>
      <w:r w:rsidRPr="00C92360">
        <w:rPr>
          <w:rFonts w:ascii="Arial" w:hAnsi="Arial" w:cs="Arial"/>
        </w:rPr>
        <w:t xml:space="preserve">, 46(3), pp. 879–903. Available at: </w:t>
      </w:r>
      <w:hyperlink r:id="rId25" w:history="1">
        <w:r w:rsidRPr="00C92360">
          <w:rPr>
            <w:rStyle w:val="Hyperlink"/>
            <w:rFonts w:ascii="Arial" w:hAnsi="Arial" w:cs="Arial"/>
          </w:rPr>
          <w:t>https://doi.org/10.1111/j.1540-6261.1991.tb03770.x</w:t>
        </w:r>
      </w:hyperlink>
    </w:p>
    <w:p w14:paraId="13F73990" w14:textId="1CBC2B3C" w:rsidR="008F1DEA" w:rsidRDefault="008F1DEA" w:rsidP="00C973B9">
      <w:pPr>
        <w:jc w:val="both"/>
        <w:rPr>
          <w:rFonts w:ascii="Arial" w:hAnsi="Arial" w:cs="Arial"/>
        </w:rPr>
      </w:pPr>
      <w:r w:rsidRPr="008F1DEA">
        <w:rPr>
          <w:rFonts w:ascii="Arial" w:hAnsi="Arial" w:cs="Arial"/>
        </w:rPr>
        <w:t xml:space="preserve">Saunders, M., Lewis, P. and Thornhill, A., 2019. </w:t>
      </w:r>
      <w:r w:rsidRPr="008F1DEA">
        <w:rPr>
          <w:rFonts w:ascii="Arial" w:hAnsi="Arial" w:cs="Arial"/>
          <w:i/>
          <w:iCs/>
        </w:rPr>
        <w:t>Research methods for business students</w:t>
      </w:r>
      <w:r w:rsidRPr="008F1DEA">
        <w:rPr>
          <w:rFonts w:ascii="Arial" w:hAnsi="Arial" w:cs="Arial"/>
        </w:rPr>
        <w:t>. 8th ed. Harlow: Pearson Education.</w:t>
      </w:r>
    </w:p>
    <w:p w14:paraId="03ACE29C" w14:textId="63133C11" w:rsidR="003F2C8E" w:rsidRPr="003F2C8E" w:rsidRDefault="003F2C8E" w:rsidP="003F2C8E">
      <w:pPr>
        <w:jc w:val="both"/>
        <w:rPr>
          <w:rFonts w:ascii="Arial" w:hAnsi="Arial" w:cs="Arial"/>
        </w:rPr>
      </w:pPr>
      <w:r w:rsidRPr="003F2C8E">
        <w:rPr>
          <w:rFonts w:ascii="Arial" w:hAnsi="Arial" w:cs="Arial"/>
        </w:rPr>
        <w:t xml:space="preserve">Rock, K. (1986) 'Why new issues are underpriced', Journal of Financial Economics, 15(1–2), pp. 187–212. Available at: </w:t>
      </w:r>
      <w:hyperlink r:id="rId26" w:history="1">
        <w:r w:rsidRPr="00FB0422">
          <w:rPr>
            <w:rStyle w:val="Hyperlink"/>
            <w:rFonts w:ascii="Arial" w:hAnsi="Arial" w:cs="Arial"/>
          </w:rPr>
          <w:t>https://doi.org/10.1016/0304-405X(86)90054-1</w:t>
        </w:r>
      </w:hyperlink>
      <w:r>
        <w:rPr>
          <w:rFonts w:ascii="Arial" w:hAnsi="Arial" w:cs="Arial"/>
        </w:rPr>
        <w:t xml:space="preserve"> </w:t>
      </w:r>
    </w:p>
    <w:p w14:paraId="5474DF72" w14:textId="77777777" w:rsidR="003F2C8E" w:rsidRPr="00C973B9" w:rsidRDefault="003F2C8E" w:rsidP="00C973B9">
      <w:pPr>
        <w:jc w:val="both"/>
        <w:rPr>
          <w:rFonts w:ascii="Arial" w:hAnsi="Arial" w:cs="Arial"/>
        </w:rPr>
      </w:pPr>
    </w:p>
    <w:sectPr w:rsidR="003F2C8E" w:rsidRPr="00C973B9">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4BCA9" w14:textId="77777777" w:rsidR="00A92FC3" w:rsidRDefault="00A92FC3" w:rsidP="00E0045D">
      <w:pPr>
        <w:spacing w:after="0" w:line="240" w:lineRule="auto"/>
      </w:pPr>
      <w:r>
        <w:separator/>
      </w:r>
    </w:p>
  </w:endnote>
  <w:endnote w:type="continuationSeparator" w:id="0">
    <w:p w14:paraId="794F4C48" w14:textId="77777777" w:rsidR="00A92FC3" w:rsidRDefault="00A92FC3" w:rsidP="00E00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37070"/>
      <w:docPartObj>
        <w:docPartGallery w:val="Page Numbers (Bottom of Page)"/>
        <w:docPartUnique/>
      </w:docPartObj>
    </w:sdtPr>
    <w:sdtEndPr>
      <w:rPr>
        <w:noProof/>
      </w:rPr>
    </w:sdtEndPr>
    <w:sdtContent>
      <w:p w14:paraId="5EDF3C2C" w14:textId="0CBE78E0" w:rsidR="00E0045D" w:rsidRDefault="00E004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69B39E" w14:textId="77777777" w:rsidR="00E0045D" w:rsidRDefault="00E00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E4B14" w14:textId="77777777" w:rsidR="00A92FC3" w:rsidRDefault="00A92FC3" w:rsidP="00E0045D">
      <w:pPr>
        <w:spacing w:after="0" w:line="240" w:lineRule="auto"/>
      </w:pPr>
      <w:r>
        <w:separator/>
      </w:r>
    </w:p>
  </w:footnote>
  <w:footnote w:type="continuationSeparator" w:id="0">
    <w:p w14:paraId="4C4CDDF6" w14:textId="77777777" w:rsidR="00A92FC3" w:rsidRDefault="00A92FC3" w:rsidP="00E004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5259"/>
    <w:multiLevelType w:val="hybridMultilevel"/>
    <w:tmpl w:val="F2DC6A4C"/>
    <w:lvl w:ilvl="0" w:tplc="3C807716">
      <w:start w:val="1"/>
      <w:numFmt w:val="bullet"/>
      <w:lvlText w:val="●"/>
      <w:lvlJc w:val="left"/>
      <w:pPr>
        <w:ind w:left="720" w:hanging="360"/>
      </w:pPr>
    </w:lvl>
    <w:lvl w:ilvl="1" w:tplc="0BB8F152">
      <w:start w:val="1"/>
      <w:numFmt w:val="bullet"/>
      <w:lvlText w:val="○"/>
      <w:lvlJc w:val="left"/>
      <w:pPr>
        <w:ind w:left="1440" w:hanging="360"/>
      </w:pPr>
    </w:lvl>
    <w:lvl w:ilvl="2" w:tplc="5AC6B000">
      <w:start w:val="1"/>
      <w:numFmt w:val="bullet"/>
      <w:lvlText w:val="■"/>
      <w:lvlJc w:val="left"/>
      <w:pPr>
        <w:ind w:left="2160" w:hanging="360"/>
      </w:pPr>
    </w:lvl>
    <w:lvl w:ilvl="3" w:tplc="75A0EB94">
      <w:start w:val="1"/>
      <w:numFmt w:val="bullet"/>
      <w:lvlText w:val="●"/>
      <w:lvlJc w:val="left"/>
      <w:pPr>
        <w:ind w:left="2880" w:hanging="360"/>
      </w:pPr>
    </w:lvl>
    <w:lvl w:ilvl="4" w:tplc="1108A12A">
      <w:start w:val="1"/>
      <w:numFmt w:val="bullet"/>
      <w:lvlText w:val="○"/>
      <w:lvlJc w:val="left"/>
      <w:pPr>
        <w:ind w:left="3600" w:hanging="360"/>
      </w:pPr>
    </w:lvl>
    <w:lvl w:ilvl="5" w:tplc="56DED778">
      <w:start w:val="1"/>
      <w:numFmt w:val="bullet"/>
      <w:lvlText w:val="■"/>
      <w:lvlJc w:val="left"/>
      <w:pPr>
        <w:ind w:left="4320" w:hanging="360"/>
      </w:pPr>
    </w:lvl>
    <w:lvl w:ilvl="6" w:tplc="AC443724">
      <w:start w:val="1"/>
      <w:numFmt w:val="bullet"/>
      <w:lvlText w:val="●"/>
      <w:lvlJc w:val="left"/>
      <w:pPr>
        <w:ind w:left="5040" w:hanging="360"/>
      </w:pPr>
    </w:lvl>
    <w:lvl w:ilvl="7" w:tplc="BBC2B600">
      <w:start w:val="1"/>
      <w:numFmt w:val="bullet"/>
      <w:lvlText w:val="●"/>
      <w:lvlJc w:val="left"/>
      <w:pPr>
        <w:ind w:left="5760" w:hanging="360"/>
      </w:pPr>
    </w:lvl>
    <w:lvl w:ilvl="8" w:tplc="BC28CAB8">
      <w:start w:val="1"/>
      <w:numFmt w:val="bullet"/>
      <w:lvlText w:val="●"/>
      <w:lvlJc w:val="left"/>
      <w:pPr>
        <w:ind w:left="6480" w:hanging="360"/>
      </w:pPr>
    </w:lvl>
  </w:abstractNum>
  <w:abstractNum w:abstractNumId="1" w15:restartNumberingAfterBreak="0">
    <w:nsid w:val="6A952965"/>
    <w:multiLevelType w:val="multilevel"/>
    <w:tmpl w:val="7F2C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553478">
    <w:abstractNumId w:val="0"/>
    <w:lvlOverride w:ilvl="0">
      <w:startOverride w:val="1"/>
    </w:lvlOverride>
  </w:num>
  <w:num w:numId="2" w16cid:durableId="1152866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A1"/>
    <w:rsid w:val="00012B27"/>
    <w:rsid w:val="000225B5"/>
    <w:rsid w:val="00025246"/>
    <w:rsid w:val="00035E50"/>
    <w:rsid w:val="0006633F"/>
    <w:rsid w:val="000742C0"/>
    <w:rsid w:val="00086BCB"/>
    <w:rsid w:val="000A2C95"/>
    <w:rsid w:val="000B4C69"/>
    <w:rsid w:val="000E391E"/>
    <w:rsid w:val="000E78C2"/>
    <w:rsid w:val="00110E17"/>
    <w:rsid w:val="0011293E"/>
    <w:rsid w:val="001311F3"/>
    <w:rsid w:val="001647D2"/>
    <w:rsid w:val="00183DEC"/>
    <w:rsid w:val="001B467D"/>
    <w:rsid w:val="001C0048"/>
    <w:rsid w:val="001C5638"/>
    <w:rsid w:val="001F434A"/>
    <w:rsid w:val="00241881"/>
    <w:rsid w:val="00245984"/>
    <w:rsid w:val="002947E3"/>
    <w:rsid w:val="00296953"/>
    <w:rsid w:val="002B01CD"/>
    <w:rsid w:val="002B6BEF"/>
    <w:rsid w:val="002D35C8"/>
    <w:rsid w:val="002F1B5B"/>
    <w:rsid w:val="002F3ECB"/>
    <w:rsid w:val="00315D98"/>
    <w:rsid w:val="00321CFA"/>
    <w:rsid w:val="00355B5A"/>
    <w:rsid w:val="00366B44"/>
    <w:rsid w:val="00371C3F"/>
    <w:rsid w:val="00373AEE"/>
    <w:rsid w:val="00373EE7"/>
    <w:rsid w:val="00384562"/>
    <w:rsid w:val="003A0530"/>
    <w:rsid w:val="003C1E08"/>
    <w:rsid w:val="003D5126"/>
    <w:rsid w:val="003E4657"/>
    <w:rsid w:val="003F2C8E"/>
    <w:rsid w:val="003F7C41"/>
    <w:rsid w:val="00417905"/>
    <w:rsid w:val="00437758"/>
    <w:rsid w:val="00455B93"/>
    <w:rsid w:val="00464C12"/>
    <w:rsid w:val="004A67CE"/>
    <w:rsid w:val="004A6FA1"/>
    <w:rsid w:val="004B0264"/>
    <w:rsid w:val="004B2081"/>
    <w:rsid w:val="004D11B9"/>
    <w:rsid w:val="004D3DC8"/>
    <w:rsid w:val="004E1823"/>
    <w:rsid w:val="004E53CE"/>
    <w:rsid w:val="004F2226"/>
    <w:rsid w:val="004F40B1"/>
    <w:rsid w:val="005127FF"/>
    <w:rsid w:val="0052017A"/>
    <w:rsid w:val="005450F4"/>
    <w:rsid w:val="00553D8D"/>
    <w:rsid w:val="005562E3"/>
    <w:rsid w:val="005638F1"/>
    <w:rsid w:val="0056784F"/>
    <w:rsid w:val="00583FA0"/>
    <w:rsid w:val="005A2172"/>
    <w:rsid w:val="005A5C75"/>
    <w:rsid w:val="005C1EFD"/>
    <w:rsid w:val="005D1310"/>
    <w:rsid w:val="005D345D"/>
    <w:rsid w:val="005D608D"/>
    <w:rsid w:val="005F4FCA"/>
    <w:rsid w:val="005F5189"/>
    <w:rsid w:val="005F5B97"/>
    <w:rsid w:val="00603EC2"/>
    <w:rsid w:val="006116D4"/>
    <w:rsid w:val="0061348C"/>
    <w:rsid w:val="00632B2C"/>
    <w:rsid w:val="00640BF2"/>
    <w:rsid w:val="0064717F"/>
    <w:rsid w:val="00652701"/>
    <w:rsid w:val="006633F8"/>
    <w:rsid w:val="006725D3"/>
    <w:rsid w:val="006727BF"/>
    <w:rsid w:val="00675BEC"/>
    <w:rsid w:val="00680CE2"/>
    <w:rsid w:val="00681E51"/>
    <w:rsid w:val="00685100"/>
    <w:rsid w:val="006B00D7"/>
    <w:rsid w:val="006C400D"/>
    <w:rsid w:val="006E615A"/>
    <w:rsid w:val="006F6C2B"/>
    <w:rsid w:val="007012D5"/>
    <w:rsid w:val="00702464"/>
    <w:rsid w:val="00723838"/>
    <w:rsid w:val="0073228B"/>
    <w:rsid w:val="00732AA7"/>
    <w:rsid w:val="00747157"/>
    <w:rsid w:val="00752DC9"/>
    <w:rsid w:val="007560BE"/>
    <w:rsid w:val="00767D5A"/>
    <w:rsid w:val="00772331"/>
    <w:rsid w:val="00784225"/>
    <w:rsid w:val="007849CD"/>
    <w:rsid w:val="00793CE3"/>
    <w:rsid w:val="007949A6"/>
    <w:rsid w:val="007A3DAD"/>
    <w:rsid w:val="007A4DFD"/>
    <w:rsid w:val="007B6AC2"/>
    <w:rsid w:val="007C2605"/>
    <w:rsid w:val="007D2BA3"/>
    <w:rsid w:val="00804A37"/>
    <w:rsid w:val="008179D7"/>
    <w:rsid w:val="00833421"/>
    <w:rsid w:val="00861931"/>
    <w:rsid w:val="00863B4F"/>
    <w:rsid w:val="008B2FB7"/>
    <w:rsid w:val="008B5B7D"/>
    <w:rsid w:val="008C6DB5"/>
    <w:rsid w:val="008D1153"/>
    <w:rsid w:val="008D3239"/>
    <w:rsid w:val="008F1DEA"/>
    <w:rsid w:val="00935F35"/>
    <w:rsid w:val="00960435"/>
    <w:rsid w:val="0098430F"/>
    <w:rsid w:val="00986B09"/>
    <w:rsid w:val="009F15F6"/>
    <w:rsid w:val="00A06AFB"/>
    <w:rsid w:val="00A20C6E"/>
    <w:rsid w:val="00A24B6F"/>
    <w:rsid w:val="00A26EF7"/>
    <w:rsid w:val="00A3082B"/>
    <w:rsid w:val="00A45436"/>
    <w:rsid w:val="00A53CDF"/>
    <w:rsid w:val="00A55F0C"/>
    <w:rsid w:val="00A72684"/>
    <w:rsid w:val="00A76EE7"/>
    <w:rsid w:val="00A80550"/>
    <w:rsid w:val="00A86FA8"/>
    <w:rsid w:val="00A92FC3"/>
    <w:rsid w:val="00AA4D48"/>
    <w:rsid w:val="00AA6720"/>
    <w:rsid w:val="00AD5591"/>
    <w:rsid w:val="00AE4275"/>
    <w:rsid w:val="00AF5540"/>
    <w:rsid w:val="00B1192A"/>
    <w:rsid w:val="00B14362"/>
    <w:rsid w:val="00B62509"/>
    <w:rsid w:val="00B628F6"/>
    <w:rsid w:val="00BC701F"/>
    <w:rsid w:val="00C13AD4"/>
    <w:rsid w:val="00C217B9"/>
    <w:rsid w:val="00C36168"/>
    <w:rsid w:val="00C4374F"/>
    <w:rsid w:val="00C510B0"/>
    <w:rsid w:val="00C61CEC"/>
    <w:rsid w:val="00C634B8"/>
    <w:rsid w:val="00C63731"/>
    <w:rsid w:val="00C80BDF"/>
    <w:rsid w:val="00C91094"/>
    <w:rsid w:val="00C92360"/>
    <w:rsid w:val="00C973B9"/>
    <w:rsid w:val="00CA0250"/>
    <w:rsid w:val="00CA2640"/>
    <w:rsid w:val="00CD225B"/>
    <w:rsid w:val="00CD2625"/>
    <w:rsid w:val="00CE54BB"/>
    <w:rsid w:val="00D14E06"/>
    <w:rsid w:val="00D22742"/>
    <w:rsid w:val="00D27E8D"/>
    <w:rsid w:val="00D27F0F"/>
    <w:rsid w:val="00D50456"/>
    <w:rsid w:val="00D74E6C"/>
    <w:rsid w:val="00D801B6"/>
    <w:rsid w:val="00D82E19"/>
    <w:rsid w:val="00DB3C06"/>
    <w:rsid w:val="00DB59A3"/>
    <w:rsid w:val="00DD2CDF"/>
    <w:rsid w:val="00DD7E1B"/>
    <w:rsid w:val="00E0045D"/>
    <w:rsid w:val="00E02E7F"/>
    <w:rsid w:val="00E10833"/>
    <w:rsid w:val="00E16E9C"/>
    <w:rsid w:val="00E22AF4"/>
    <w:rsid w:val="00E40B51"/>
    <w:rsid w:val="00E74DD2"/>
    <w:rsid w:val="00E75E86"/>
    <w:rsid w:val="00E82D85"/>
    <w:rsid w:val="00EB1E49"/>
    <w:rsid w:val="00EB2D64"/>
    <w:rsid w:val="00EC0BF2"/>
    <w:rsid w:val="00EC65A8"/>
    <w:rsid w:val="00EC7A07"/>
    <w:rsid w:val="00ED1026"/>
    <w:rsid w:val="00ED371B"/>
    <w:rsid w:val="00EE3095"/>
    <w:rsid w:val="00F06CA1"/>
    <w:rsid w:val="00F11C14"/>
    <w:rsid w:val="00F24D0E"/>
    <w:rsid w:val="00F2793D"/>
    <w:rsid w:val="00F5025A"/>
    <w:rsid w:val="00F63771"/>
    <w:rsid w:val="00F66B6B"/>
    <w:rsid w:val="00FA794B"/>
    <w:rsid w:val="00FF4BC7"/>
    <w:rsid w:val="00FF70E0"/>
    <w:rsid w:val="00FF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CC41"/>
  <w15:chartTrackingRefBased/>
  <w15:docId w15:val="{F4DC504F-7C96-4931-8D69-9F60D820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F35"/>
    <w:pPr>
      <w:keepNext/>
      <w:keepLines/>
      <w:spacing w:before="360" w:after="80"/>
      <w:outlineLvl w:val="0"/>
    </w:pPr>
    <w:rPr>
      <w:rFonts w:ascii="Arial" w:eastAsiaTheme="majorEastAsia" w:hAnsi="Arial" w:cstheme="majorBidi"/>
      <w:b/>
      <w:color w:val="000000" w:themeColor="text1"/>
      <w:sz w:val="40"/>
      <w:szCs w:val="40"/>
    </w:rPr>
  </w:style>
  <w:style w:type="paragraph" w:styleId="Heading2">
    <w:name w:val="heading 2"/>
    <w:basedOn w:val="Normal"/>
    <w:next w:val="Normal"/>
    <w:link w:val="Heading2Char"/>
    <w:uiPriority w:val="9"/>
    <w:unhideWhenUsed/>
    <w:qFormat/>
    <w:rsid w:val="002B01CD"/>
    <w:pPr>
      <w:keepNext/>
      <w:keepLines/>
      <w:spacing w:before="160" w:after="80"/>
      <w:outlineLvl w:val="1"/>
    </w:pPr>
    <w:rPr>
      <w:rFonts w:ascii="Arial" w:eastAsiaTheme="majorEastAsia" w:hAnsi="Arial" w:cstheme="majorBidi"/>
      <w:b/>
      <w:color w:val="000000" w:themeColor="text1"/>
      <w:sz w:val="32"/>
      <w:szCs w:val="32"/>
    </w:rPr>
  </w:style>
  <w:style w:type="paragraph" w:styleId="Heading3">
    <w:name w:val="heading 3"/>
    <w:basedOn w:val="Normal"/>
    <w:next w:val="Normal"/>
    <w:link w:val="Heading3Char"/>
    <w:uiPriority w:val="9"/>
    <w:semiHidden/>
    <w:unhideWhenUsed/>
    <w:qFormat/>
    <w:rsid w:val="00F06C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6C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6C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6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F35"/>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2B01CD"/>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semiHidden/>
    <w:rsid w:val="00F06C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6C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6C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6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CA1"/>
    <w:rPr>
      <w:rFonts w:eastAsiaTheme="majorEastAsia" w:cstheme="majorBidi"/>
      <w:color w:val="272727" w:themeColor="text1" w:themeTint="D8"/>
    </w:rPr>
  </w:style>
  <w:style w:type="paragraph" w:styleId="Title">
    <w:name w:val="Title"/>
    <w:basedOn w:val="Normal"/>
    <w:next w:val="Normal"/>
    <w:link w:val="TitleChar"/>
    <w:uiPriority w:val="10"/>
    <w:qFormat/>
    <w:rsid w:val="00F06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CA1"/>
    <w:pPr>
      <w:spacing w:before="160"/>
      <w:jc w:val="center"/>
    </w:pPr>
    <w:rPr>
      <w:i/>
      <w:iCs/>
      <w:color w:val="404040" w:themeColor="text1" w:themeTint="BF"/>
    </w:rPr>
  </w:style>
  <w:style w:type="character" w:customStyle="1" w:styleId="QuoteChar">
    <w:name w:val="Quote Char"/>
    <w:basedOn w:val="DefaultParagraphFont"/>
    <w:link w:val="Quote"/>
    <w:uiPriority w:val="29"/>
    <w:rsid w:val="00F06CA1"/>
    <w:rPr>
      <w:i/>
      <w:iCs/>
      <w:color w:val="404040" w:themeColor="text1" w:themeTint="BF"/>
    </w:rPr>
  </w:style>
  <w:style w:type="paragraph" w:styleId="ListParagraph">
    <w:name w:val="List Paragraph"/>
    <w:basedOn w:val="Normal"/>
    <w:qFormat/>
    <w:rsid w:val="00F06CA1"/>
    <w:pPr>
      <w:ind w:left="720"/>
      <w:contextualSpacing/>
    </w:pPr>
  </w:style>
  <w:style w:type="character" w:styleId="IntenseEmphasis">
    <w:name w:val="Intense Emphasis"/>
    <w:basedOn w:val="DefaultParagraphFont"/>
    <w:uiPriority w:val="21"/>
    <w:qFormat/>
    <w:rsid w:val="00F06CA1"/>
    <w:rPr>
      <w:i/>
      <w:iCs/>
      <w:color w:val="2F5496" w:themeColor="accent1" w:themeShade="BF"/>
    </w:rPr>
  </w:style>
  <w:style w:type="paragraph" w:styleId="IntenseQuote">
    <w:name w:val="Intense Quote"/>
    <w:basedOn w:val="Normal"/>
    <w:next w:val="Normal"/>
    <w:link w:val="IntenseQuoteChar"/>
    <w:uiPriority w:val="30"/>
    <w:qFormat/>
    <w:rsid w:val="00F06C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6CA1"/>
    <w:rPr>
      <w:i/>
      <w:iCs/>
      <w:color w:val="2F5496" w:themeColor="accent1" w:themeShade="BF"/>
    </w:rPr>
  </w:style>
  <w:style w:type="character" w:styleId="IntenseReference">
    <w:name w:val="Intense Reference"/>
    <w:basedOn w:val="DefaultParagraphFont"/>
    <w:uiPriority w:val="32"/>
    <w:qFormat/>
    <w:rsid w:val="00F06CA1"/>
    <w:rPr>
      <w:b/>
      <w:bCs/>
      <w:smallCaps/>
      <w:color w:val="2F5496" w:themeColor="accent1" w:themeShade="BF"/>
      <w:spacing w:val="5"/>
    </w:rPr>
  </w:style>
  <w:style w:type="character" w:styleId="Hyperlink">
    <w:name w:val="Hyperlink"/>
    <w:basedOn w:val="DefaultParagraphFont"/>
    <w:uiPriority w:val="99"/>
    <w:unhideWhenUsed/>
    <w:rsid w:val="00FA794B"/>
    <w:rPr>
      <w:color w:val="0563C1" w:themeColor="hyperlink"/>
      <w:u w:val="single"/>
    </w:rPr>
  </w:style>
  <w:style w:type="character" w:styleId="UnresolvedMention">
    <w:name w:val="Unresolved Mention"/>
    <w:basedOn w:val="DefaultParagraphFont"/>
    <w:uiPriority w:val="99"/>
    <w:semiHidden/>
    <w:unhideWhenUsed/>
    <w:rsid w:val="00FA794B"/>
    <w:rPr>
      <w:color w:val="605E5C"/>
      <w:shd w:val="clear" w:color="auto" w:fill="E1DFDD"/>
    </w:rPr>
  </w:style>
  <w:style w:type="character" w:styleId="FollowedHyperlink">
    <w:name w:val="FollowedHyperlink"/>
    <w:basedOn w:val="DefaultParagraphFont"/>
    <w:uiPriority w:val="99"/>
    <w:semiHidden/>
    <w:unhideWhenUsed/>
    <w:rsid w:val="00FA794B"/>
    <w:rPr>
      <w:color w:val="954F72" w:themeColor="followedHyperlink"/>
      <w:u w:val="single"/>
    </w:rPr>
  </w:style>
  <w:style w:type="paragraph" w:styleId="TOCHeading">
    <w:name w:val="TOC Heading"/>
    <w:basedOn w:val="Heading1"/>
    <w:next w:val="Normal"/>
    <w:uiPriority w:val="39"/>
    <w:unhideWhenUsed/>
    <w:qFormat/>
    <w:rsid w:val="005D1310"/>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D1310"/>
    <w:pPr>
      <w:spacing w:after="100"/>
    </w:pPr>
  </w:style>
  <w:style w:type="paragraph" w:styleId="Caption">
    <w:name w:val="caption"/>
    <w:basedOn w:val="Normal"/>
    <w:next w:val="Normal"/>
    <w:uiPriority w:val="35"/>
    <w:unhideWhenUsed/>
    <w:qFormat/>
    <w:rsid w:val="008F1DEA"/>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F24D0E"/>
    <w:pPr>
      <w:spacing w:after="100"/>
      <w:ind w:left="240"/>
    </w:pPr>
  </w:style>
  <w:style w:type="paragraph" w:styleId="Header">
    <w:name w:val="header"/>
    <w:basedOn w:val="Normal"/>
    <w:link w:val="HeaderChar"/>
    <w:uiPriority w:val="99"/>
    <w:unhideWhenUsed/>
    <w:rsid w:val="00E00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45D"/>
  </w:style>
  <w:style w:type="paragraph" w:styleId="Footer">
    <w:name w:val="footer"/>
    <w:basedOn w:val="Normal"/>
    <w:link w:val="FooterChar"/>
    <w:uiPriority w:val="99"/>
    <w:unhideWhenUsed/>
    <w:rsid w:val="00E00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1468-5957.00414" TargetMode="External"/><Relationship Id="rId18" Type="http://schemas.openxmlformats.org/officeDocument/2006/relationships/hyperlink" Target="https://doi.org/10.1016/j.jcorpfin.2019.07.001" TargetMode="External"/><Relationship Id="rId26" Type="http://schemas.openxmlformats.org/officeDocument/2006/relationships/hyperlink" Target="https://doi.org/10.1016/0304-405X(86)90054-1" TargetMode="External"/><Relationship Id="rId3" Type="http://schemas.openxmlformats.org/officeDocument/2006/relationships/styles" Target="styles.xml"/><Relationship Id="rId21" Type="http://schemas.openxmlformats.org/officeDocument/2006/relationships/hyperlink" Target="https://doi.org/10.1007/s11156-023-01144-5?urlappend=%3Futm_source%3Dresearchgate.net%26utm_medium%3Darticle" TargetMode="External"/><Relationship Id="rId7" Type="http://schemas.openxmlformats.org/officeDocument/2006/relationships/endnotes" Target="endnotes.xml"/><Relationship Id="rId12" Type="http://schemas.openxmlformats.org/officeDocument/2006/relationships/hyperlink" Target="https://doi.org/10.1016/j.jcorpfin.2020.101874" TargetMode="External"/><Relationship Id="rId17" Type="http://schemas.openxmlformats.org/officeDocument/2006/relationships/hyperlink" Target="https://doi.org/10.1111/j.1755-053X.2010.01127.x" TargetMode="External"/><Relationship Id="rId25" Type="http://schemas.openxmlformats.org/officeDocument/2006/relationships/hyperlink" Target="https://doi.org/10.1111/j.1540-6261.1991.tb03770.x" TargetMode="External"/><Relationship Id="rId2" Type="http://schemas.openxmlformats.org/officeDocument/2006/relationships/numbering" Target="numbering.xml"/><Relationship Id="rId16" Type="http://schemas.openxmlformats.org/officeDocument/2006/relationships/hyperlink" Target="https://doi.org/10.5923/j.ijfa.2023" TargetMode="External"/><Relationship Id="rId20" Type="http://schemas.openxmlformats.org/officeDocument/2006/relationships/hyperlink" Target="https://doi.org/10.1111/1467-8551.1285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fineco.2021.05.055" TargetMode="External"/><Relationship Id="rId24" Type="http://schemas.openxmlformats.org/officeDocument/2006/relationships/hyperlink" Target="https://doi.org/10.%201111/j.1540-6261.1997.tb02742.x" TargetMode="External"/><Relationship Id="rId5" Type="http://schemas.openxmlformats.org/officeDocument/2006/relationships/webSettings" Target="webSettings.xml"/><Relationship Id="rId15" Type="http://schemas.openxmlformats.org/officeDocument/2006/relationships/hyperlink" Target="https://doi.org/10.1002/ijfe.2783?urlappend=%3Futm_source%3Dresearchgate.net%26utm_medium%3Darticle" TargetMode="External"/><Relationship Id="rId23" Type="http://schemas.openxmlformats.org/officeDocument/2006/relationships/hyperlink" Target="https://doi.org/10.1111/1468-5957.00381"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46/annurev-financial-110921-10505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jfineco.2014.10.010" TargetMode="External"/><Relationship Id="rId22" Type="http://schemas.openxmlformats.org/officeDocument/2006/relationships/hyperlink" Target="https://doi.org/10.1111/j.1540-6261.1991.tb03743.x"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07EF7-3036-4039-821A-173576E77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17</Pages>
  <Words>4831</Words>
  <Characters>27541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Prajapati</dc:creator>
  <cp:keywords/>
  <dc:description/>
  <cp:lastModifiedBy>Jay Prajapati</cp:lastModifiedBy>
  <cp:revision>192</cp:revision>
  <dcterms:created xsi:type="dcterms:W3CDTF">2026-03-16T12:54:00Z</dcterms:created>
  <dcterms:modified xsi:type="dcterms:W3CDTF">2026-04-01T09:00:00Z</dcterms:modified>
</cp:coreProperties>
</file>