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1ED80" w14:textId="48D9B02B" w:rsidR="009868BD" w:rsidRPr="00A425B4" w:rsidRDefault="009868BD" w:rsidP="009868BD">
      <w:pPr>
        <w:rPr>
          <w:rFonts w:ascii="Arial" w:hAnsi="Arial" w:cs="Arial"/>
          <w:color w:val="000000" w:themeColor="text1"/>
          <w:sz w:val="24"/>
          <w:szCs w:val="24"/>
        </w:rPr>
      </w:pPr>
      <w:r w:rsidRPr="00A425B4">
        <w:rPr>
          <w:rFonts w:ascii="Arial" w:hAnsi="Arial" w:cs="Arial"/>
          <w:color w:val="000000" w:themeColor="text1"/>
          <w:sz w:val="24"/>
          <w:szCs w:val="24"/>
        </w:rPr>
        <w:t xml:space="preserve">The case of Amira, an eight-year-old child in her third year of primary school, illustrates the profound and multidimensional impact that Adverse Childhood Experiences (ACEs) and chronic neglect can have on child development. Amira has experienced prolonged periods of being left alone without food, alongside pervasive domestic neglect and her mother’s alcohol misuse. </w:t>
      </w:r>
      <w:r w:rsidR="00CB2E31" w:rsidRPr="00A425B4">
        <w:rPr>
          <w:rFonts w:ascii="Arial" w:hAnsi="Arial" w:cs="Arial"/>
          <w:color w:val="000000" w:themeColor="text1"/>
          <w:sz w:val="24"/>
          <w:szCs w:val="24"/>
        </w:rPr>
        <w:t xml:space="preserve">According to Bhutta et al. (2023) and Brewer-Smyth (2022), </w:t>
      </w:r>
      <w:r w:rsidR="005B554D" w:rsidRPr="00A425B4">
        <w:rPr>
          <w:rFonts w:ascii="Arial" w:hAnsi="Arial" w:cs="Arial"/>
          <w:color w:val="000000" w:themeColor="text1"/>
          <w:sz w:val="24"/>
          <w:szCs w:val="24"/>
        </w:rPr>
        <w:t xml:space="preserve">these </w:t>
      </w:r>
      <w:r w:rsidRPr="00A425B4">
        <w:rPr>
          <w:rFonts w:ascii="Arial" w:hAnsi="Arial" w:cs="Arial"/>
          <w:color w:val="000000" w:themeColor="text1"/>
          <w:sz w:val="24"/>
          <w:szCs w:val="24"/>
        </w:rPr>
        <w:t>conditions pose significant risks to her physical, cognitive, social, and emotional development.</w:t>
      </w:r>
      <w:r w:rsidR="001B5FF4" w:rsidRPr="00A425B4">
        <w:rPr>
          <w:rFonts w:ascii="Arial" w:hAnsi="Arial" w:cs="Arial"/>
          <w:color w:val="000000" w:themeColor="text1"/>
          <w:sz w:val="24"/>
          <w:szCs w:val="24"/>
        </w:rPr>
        <w:t xml:space="preserve"> </w:t>
      </w:r>
    </w:p>
    <w:p w14:paraId="5F314334" w14:textId="22A968B5" w:rsidR="009868BD" w:rsidRPr="00A425B4" w:rsidRDefault="009868BD" w:rsidP="009868BD">
      <w:pPr>
        <w:rPr>
          <w:rFonts w:ascii="Arial" w:hAnsi="Arial" w:cs="Arial"/>
          <w:color w:val="000000" w:themeColor="text1"/>
          <w:sz w:val="24"/>
          <w:szCs w:val="24"/>
        </w:rPr>
      </w:pPr>
      <w:r w:rsidRPr="00A425B4">
        <w:rPr>
          <w:rFonts w:ascii="Arial" w:hAnsi="Arial" w:cs="Arial"/>
          <w:color w:val="000000" w:themeColor="text1"/>
          <w:sz w:val="24"/>
          <w:szCs w:val="24"/>
        </w:rPr>
        <w:t xml:space="preserve">Following escalating professional concerns, Amira was recently removed from her mother’s care, resulting in an abrupt and highly stressful transition to living with her grandparents. Within the school environment, she </w:t>
      </w:r>
      <w:r w:rsidR="00BC51AA">
        <w:rPr>
          <w:rFonts w:ascii="Arial" w:hAnsi="Arial" w:cs="Arial"/>
          <w:color w:val="000000" w:themeColor="text1"/>
          <w:sz w:val="24"/>
          <w:szCs w:val="24"/>
        </w:rPr>
        <w:t>appears to be</w:t>
      </w:r>
      <w:r w:rsidRPr="00A425B4">
        <w:rPr>
          <w:rFonts w:ascii="Arial" w:hAnsi="Arial" w:cs="Arial"/>
          <w:color w:val="000000" w:themeColor="text1"/>
          <w:sz w:val="24"/>
          <w:szCs w:val="24"/>
        </w:rPr>
        <w:t xml:space="preserve"> withdrawn, disengaged from peers</w:t>
      </w:r>
      <w:r w:rsidR="00BC51AA">
        <w:rPr>
          <w:rFonts w:ascii="Arial" w:hAnsi="Arial" w:cs="Arial"/>
          <w:color w:val="000000" w:themeColor="text1"/>
          <w:sz w:val="24"/>
          <w:szCs w:val="24"/>
        </w:rPr>
        <w:t xml:space="preserve"> </w:t>
      </w:r>
      <w:r w:rsidRPr="00A425B4">
        <w:rPr>
          <w:rFonts w:ascii="Arial" w:hAnsi="Arial" w:cs="Arial"/>
          <w:color w:val="000000" w:themeColor="text1"/>
          <w:sz w:val="24"/>
          <w:szCs w:val="24"/>
        </w:rPr>
        <w:t>and reluctant to participate socially</w:t>
      </w:r>
      <w:r w:rsidR="00CC16F2" w:rsidRPr="00A425B4">
        <w:rPr>
          <w:rFonts w:ascii="Arial" w:hAnsi="Arial" w:cs="Arial"/>
          <w:color w:val="000000" w:themeColor="text1"/>
          <w:sz w:val="24"/>
          <w:szCs w:val="24"/>
        </w:rPr>
        <w:t xml:space="preserve">. These </w:t>
      </w:r>
      <w:r w:rsidRPr="00A425B4">
        <w:rPr>
          <w:rFonts w:ascii="Arial" w:hAnsi="Arial" w:cs="Arial"/>
          <w:color w:val="000000" w:themeColor="text1"/>
          <w:sz w:val="24"/>
          <w:szCs w:val="24"/>
        </w:rPr>
        <w:t>behaviours align with known indicators of trauma and attachment disruption</w:t>
      </w:r>
      <w:r w:rsidR="00A14002" w:rsidRPr="00A425B4">
        <w:rPr>
          <w:rFonts w:ascii="Arial" w:hAnsi="Arial" w:cs="Arial"/>
          <w:color w:val="000000" w:themeColor="text1"/>
          <w:sz w:val="24"/>
          <w:szCs w:val="24"/>
        </w:rPr>
        <w:t xml:space="preserve"> (Brooks, 2019). </w:t>
      </w:r>
    </w:p>
    <w:p w14:paraId="7FEC1DD2" w14:textId="4D385137" w:rsidR="009868BD" w:rsidRPr="00A425B4" w:rsidRDefault="009868BD" w:rsidP="009868BD">
      <w:pPr>
        <w:rPr>
          <w:rFonts w:ascii="Arial" w:hAnsi="Arial" w:cs="Arial"/>
          <w:color w:val="000000" w:themeColor="text1"/>
          <w:sz w:val="24"/>
          <w:szCs w:val="24"/>
        </w:rPr>
      </w:pPr>
      <w:r w:rsidRPr="00A425B4">
        <w:rPr>
          <w:rFonts w:ascii="Arial" w:hAnsi="Arial" w:cs="Arial"/>
          <w:color w:val="000000" w:themeColor="text1"/>
          <w:sz w:val="24"/>
          <w:szCs w:val="24"/>
        </w:rPr>
        <w:t>This essay will critically analyse how the traumatic conditions of Amira’s early life may have affected key areas of brain development and functioning and will consider how these neurological impacts relate to her current and future social, emotional, and behavioural wellbeing. It will also evaluate trauma-informed interventions that may support her adjustment to her new home environment and help mitigate potential long-term developmental harm.</w:t>
      </w:r>
      <w:r w:rsidR="00D2445E" w:rsidRPr="00A425B4">
        <w:rPr>
          <w:rFonts w:ascii="Arial" w:hAnsi="Arial" w:cs="Arial"/>
          <w:color w:val="000000" w:themeColor="text1"/>
          <w:sz w:val="24"/>
          <w:szCs w:val="24"/>
        </w:rPr>
        <w:t xml:space="preserve"> This essay will also link to the NSPCC, UNCRC and relevant theorists. </w:t>
      </w:r>
    </w:p>
    <w:p w14:paraId="2040EBC4" w14:textId="77777777" w:rsidR="009868BD" w:rsidRPr="00A425B4" w:rsidRDefault="009868BD" w:rsidP="009868BD">
      <w:pPr>
        <w:rPr>
          <w:rFonts w:ascii="Arial" w:hAnsi="Arial" w:cs="Arial"/>
          <w:color w:val="000000" w:themeColor="text1"/>
          <w:sz w:val="24"/>
          <w:szCs w:val="24"/>
        </w:rPr>
      </w:pPr>
      <w:r w:rsidRPr="00A425B4">
        <w:rPr>
          <w:rFonts w:ascii="Arial" w:hAnsi="Arial" w:cs="Arial"/>
          <w:color w:val="000000" w:themeColor="text1"/>
          <w:sz w:val="24"/>
          <w:szCs w:val="24"/>
        </w:rPr>
        <w:t>Part 2 will reflect on the significance of practitioner resilience and self-care, examining how professionals can effectively support children like Amira while safeguarding their own wellbeing and reducing the risk of burnout. Together, these perspectives underscore the need for trauma-informed, relational, and ethically sustainable practice.</w:t>
      </w:r>
    </w:p>
    <w:p w14:paraId="0CB3EEED" w14:textId="77777777" w:rsidR="00F27712" w:rsidRPr="00A425B4" w:rsidRDefault="00F27712" w:rsidP="009868BD">
      <w:pPr>
        <w:rPr>
          <w:rFonts w:ascii="Arial" w:hAnsi="Arial" w:cs="Arial"/>
          <w:color w:val="000000" w:themeColor="text1"/>
          <w:sz w:val="24"/>
          <w:szCs w:val="24"/>
        </w:rPr>
      </w:pPr>
    </w:p>
    <w:p w14:paraId="04FADB85" w14:textId="77777777" w:rsidR="00F27712" w:rsidRPr="00A425B4" w:rsidRDefault="00F27712" w:rsidP="009868BD">
      <w:pPr>
        <w:rPr>
          <w:rFonts w:ascii="Arial" w:hAnsi="Arial" w:cs="Arial"/>
          <w:color w:val="000000" w:themeColor="text1"/>
          <w:sz w:val="24"/>
          <w:szCs w:val="24"/>
        </w:rPr>
      </w:pPr>
    </w:p>
    <w:p w14:paraId="4E99788A" w14:textId="77777777" w:rsidR="00F27712" w:rsidRPr="00A425B4" w:rsidRDefault="00F27712" w:rsidP="009868BD">
      <w:pPr>
        <w:rPr>
          <w:rFonts w:ascii="Arial" w:hAnsi="Arial" w:cs="Arial"/>
          <w:color w:val="000000" w:themeColor="text1"/>
          <w:sz w:val="24"/>
          <w:szCs w:val="24"/>
        </w:rPr>
      </w:pPr>
    </w:p>
    <w:p w14:paraId="7DCED620" w14:textId="77777777" w:rsidR="00F27712" w:rsidRPr="00A425B4" w:rsidRDefault="00F27712" w:rsidP="009868BD">
      <w:pPr>
        <w:rPr>
          <w:rFonts w:ascii="Arial" w:hAnsi="Arial" w:cs="Arial"/>
          <w:color w:val="000000" w:themeColor="text1"/>
          <w:sz w:val="24"/>
          <w:szCs w:val="24"/>
        </w:rPr>
      </w:pPr>
    </w:p>
    <w:p w14:paraId="37777ACD" w14:textId="77777777" w:rsidR="00F27712" w:rsidRPr="00A425B4" w:rsidRDefault="00F27712" w:rsidP="009868BD">
      <w:pPr>
        <w:rPr>
          <w:rFonts w:ascii="Arial" w:hAnsi="Arial" w:cs="Arial"/>
          <w:color w:val="000000" w:themeColor="text1"/>
          <w:sz w:val="24"/>
          <w:szCs w:val="24"/>
        </w:rPr>
      </w:pPr>
    </w:p>
    <w:p w14:paraId="3931DCF9" w14:textId="77777777" w:rsidR="00F27712" w:rsidRPr="00A425B4" w:rsidRDefault="00F27712" w:rsidP="009868BD">
      <w:pPr>
        <w:rPr>
          <w:rFonts w:ascii="Arial" w:hAnsi="Arial" w:cs="Arial"/>
          <w:color w:val="000000" w:themeColor="text1"/>
          <w:sz w:val="24"/>
          <w:szCs w:val="24"/>
        </w:rPr>
      </w:pPr>
    </w:p>
    <w:p w14:paraId="46E35887" w14:textId="77777777" w:rsidR="00F27712" w:rsidRPr="00A425B4" w:rsidRDefault="00F27712" w:rsidP="009868BD">
      <w:pPr>
        <w:rPr>
          <w:rFonts w:ascii="Arial" w:hAnsi="Arial" w:cs="Arial"/>
          <w:color w:val="000000" w:themeColor="text1"/>
          <w:sz w:val="24"/>
          <w:szCs w:val="24"/>
        </w:rPr>
      </w:pPr>
    </w:p>
    <w:p w14:paraId="0735D0B1" w14:textId="77777777" w:rsidR="00F27712" w:rsidRPr="00A425B4" w:rsidRDefault="00F27712" w:rsidP="009868BD">
      <w:pPr>
        <w:rPr>
          <w:rFonts w:ascii="Arial" w:hAnsi="Arial" w:cs="Arial"/>
          <w:color w:val="000000" w:themeColor="text1"/>
          <w:sz w:val="24"/>
          <w:szCs w:val="24"/>
        </w:rPr>
      </w:pPr>
    </w:p>
    <w:p w14:paraId="5F18244F" w14:textId="77777777" w:rsidR="00F27712" w:rsidRPr="00A425B4" w:rsidRDefault="00F27712" w:rsidP="009868BD">
      <w:pPr>
        <w:rPr>
          <w:rFonts w:ascii="Arial" w:hAnsi="Arial" w:cs="Arial"/>
          <w:color w:val="000000" w:themeColor="text1"/>
          <w:sz w:val="24"/>
          <w:szCs w:val="24"/>
        </w:rPr>
      </w:pPr>
    </w:p>
    <w:p w14:paraId="7673EBC9" w14:textId="77777777" w:rsidR="00F27712" w:rsidRPr="00A425B4" w:rsidRDefault="00F27712" w:rsidP="009868BD">
      <w:pPr>
        <w:rPr>
          <w:rFonts w:ascii="Arial" w:hAnsi="Arial" w:cs="Arial"/>
          <w:color w:val="000000" w:themeColor="text1"/>
          <w:sz w:val="24"/>
          <w:szCs w:val="24"/>
        </w:rPr>
      </w:pPr>
    </w:p>
    <w:p w14:paraId="46FF4EF1" w14:textId="77777777" w:rsidR="00F27712" w:rsidRPr="00A425B4" w:rsidRDefault="00F27712" w:rsidP="009868BD">
      <w:pPr>
        <w:rPr>
          <w:rFonts w:ascii="Arial" w:hAnsi="Arial" w:cs="Arial"/>
          <w:color w:val="000000" w:themeColor="text1"/>
          <w:sz w:val="24"/>
          <w:szCs w:val="24"/>
        </w:rPr>
      </w:pPr>
    </w:p>
    <w:p w14:paraId="2E4EDEDB" w14:textId="77777777" w:rsidR="00F27712" w:rsidRPr="00A425B4" w:rsidRDefault="00F27712" w:rsidP="009868BD">
      <w:pPr>
        <w:rPr>
          <w:rFonts w:ascii="Arial" w:hAnsi="Arial" w:cs="Arial"/>
          <w:color w:val="000000" w:themeColor="text1"/>
          <w:sz w:val="24"/>
          <w:szCs w:val="24"/>
        </w:rPr>
      </w:pPr>
    </w:p>
    <w:p w14:paraId="09138C6D" w14:textId="6D906AA5" w:rsidR="00F27712" w:rsidRPr="00A425B4" w:rsidRDefault="00F27712" w:rsidP="00F27712">
      <w:pPr>
        <w:rPr>
          <w:rFonts w:ascii="Arial" w:hAnsi="Arial" w:cs="Arial"/>
          <w:color w:val="000000" w:themeColor="text1"/>
          <w:sz w:val="24"/>
          <w:szCs w:val="24"/>
        </w:rPr>
      </w:pPr>
      <w:r w:rsidRPr="00A425B4">
        <w:rPr>
          <w:rFonts w:ascii="Arial" w:hAnsi="Arial" w:cs="Arial"/>
          <w:color w:val="000000" w:themeColor="text1"/>
          <w:sz w:val="24"/>
          <w:szCs w:val="24"/>
        </w:rPr>
        <w:t xml:space="preserve">NSPCC (2024) states that when a parent or carer misuses alcohol it can seriously undermine their ability to provide stable and consistent care.  As a result, children </w:t>
      </w:r>
      <w:r w:rsidR="00BC51AA">
        <w:rPr>
          <w:rFonts w:ascii="Arial" w:hAnsi="Arial" w:cs="Arial"/>
          <w:color w:val="000000" w:themeColor="text1"/>
          <w:sz w:val="24"/>
          <w:szCs w:val="24"/>
        </w:rPr>
        <w:t xml:space="preserve">in </w:t>
      </w:r>
      <w:r w:rsidRPr="00A425B4">
        <w:rPr>
          <w:rFonts w:ascii="Arial" w:hAnsi="Arial" w:cs="Arial"/>
          <w:color w:val="000000" w:themeColor="text1"/>
          <w:sz w:val="24"/>
          <w:szCs w:val="24"/>
        </w:rPr>
        <w:lastRenderedPageBreak/>
        <w:t>these environments may receive inadequate supervision, fail to have their basic needs met, such as, food, cleanliness, and emotional support, or</w:t>
      </w:r>
      <w:r w:rsidR="00BC51AA">
        <w:rPr>
          <w:rFonts w:ascii="Arial" w:hAnsi="Arial" w:cs="Arial"/>
          <w:color w:val="000000" w:themeColor="text1"/>
          <w:sz w:val="24"/>
          <w:szCs w:val="24"/>
        </w:rPr>
        <w:t xml:space="preserve"> may</w:t>
      </w:r>
      <w:r w:rsidRPr="00A425B4">
        <w:rPr>
          <w:rFonts w:ascii="Arial" w:hAnsi="Arial" w:cs="Arial"/>
          <w:color w:val="000000" w:themeColor="text1"/>
          <w:sz w:val="24"/>
          <w:szCs w:val="24"/>
        </w:rPr>
        <w:t xml:space="preserve"> be left to look after themselves or younger siblings.</w:t>
      </w:r>
    </w:p>
    <w:p w14:paraId="3CAF9B83" w14:textId="31FF96A8" w:rsidR="00F27712" w:rsidRPr="00A425B4" w:rsidRDefault="00F27712" w:rsidP="00F27712">
      <w:pPr>
        <w:rPr>
          <w:rFonts w:ascii="Arial" w:hAnsi="Arial" w:cs="Arial"/>
          <w:color w:val="000000" w:themeColor="text1"/>
          <w:sz w:val="24"/>
          <w:szCs w:val="24"/>
        </w:rPr>
      </w:pPr>
      <w:r w:rsidRPr="00A425B4">
        <w:rPr>
          <w:rFonts w:ascii="Arial" w:hAnsi="Arial" w:cs="Arial"/>
          <w:color w:val="000000" w:themeColor="text1"/>
          <w:sz w:val="24"/>
          <w:szCs w:val="24"/>
        </w:rPr>
        <w:t xml:space="preserve">Therefore, children living with parents who misuse alcohol are at a higher risk of harm, both physically and emotionally, as they may experience inconsistent routines, lack of guidance, and emotional neglect (NSPCC, 2024). </w:t>
      </w:r>
      <w:r w:rsidR="00D2445E" w:rsidRPr="00A425B4">
        <w:rPr>
          <w:rFonts w:ascii="Arial" w:hAnsi="Arial" w:cs="Arial"/>
          <w:color w:val="000000" w:themeColor="text1"/>
          <w:sz w:val="24"/>
          <w:szCs w:val="24"/>
        </w:rPr>
        <w:t xml:space="preserve"> </w:t>
      </w:r>
      <w:r w:rsidRPr="00A425B4">
        <w:rPr>
          <w:rFonts w:ascii="Arial" w:hAnsi="Arial" w:cs="Arial"/>
          <w:color w:val="000000" w:themeColor="text1"/>
          <w:sz w:val="24"/>
          <w:szCs w:val="24"/>
        </w:rPr>
        <w:t xml:space="preserve">This environment can have lasting effects on their development, school performance, and mental health and may violate their right under Article 19 of the UN Convention on the Rights of the Child to be protected from all forms of abuse and neglect, making it crucial for professionals, families, and communities to recognise the signs of neglect and provide timely support to safeguard their wellbeing (UNICEF, no date). </w:t>
      </w:r>
    </w:p>
    <w:p w14:paraId="5F07E397" w14:textId="246B534A" w:rsidR="00A904E7" w:rsidRPr="00A425B4" w:rsidRDefault="00137C90" w:rsidP="00A904E7">
      <w:pPr>
        <w:rPr>
          <w:rFonts w:ascii="Arial" w:hAnsi="Arial" w:cs="Arial"/>
          <w:color w:val="000000" w:themeColor="text1"/>
          <w:sz w:val="24"/>
          <w:szCs w:val="24"/>
        </w:rPr>
      </w:pPr>
      <w:r w:rsidRPr="00A425B4">
        <w:rPr>
          <w:rFonts w:ascii="Arial" w:hAnsi="Arial" w:cs="Arial"/>
          <w:color w:val="000000" w:themeColor="text1"/>
          <w:sz w:val="24"/>
          <w:szCs w:val="24"/>
        </w:rPr>
        <w:t xml:space="preserve">Amira’s early experiences of chronic neglect and parental substance misuse occurred during a period of significant neurodevelopmental sensitivity. </w:t>
      </w:r>
      <w:r w:rsidR="00A14002" w:rsidRPr="00A425B4">
        <w:rPr>
          <w:rFonts w:ascii="Arial" w:hAnsi="Arial" w:cs="Arial"/>
          <w:color w:val="000000" w:themeColor="text1"/>
          <w:sz w:val="24"/>
          <w:szCs w:val="24"/>
        </w:rPr>
        <w:t>Childhood brain development involves a rapid increase in neural connections followed by synaptic pruning, a process that strengthens frequently used pathways and eliminates those that are rarely activated (Sakai, 2020).</w:t>
      </w:r>
      <w:r w:rsidR="00A904E7" w:rsidRPr="00A425B4">
        <w:rPr>
          <w:rFonts w:ascii="Arial" w:hAnsi="Arial" w:cs="Arial"/>
          <w:color w:val="000000" w:themeColor="text1"/>
          <w:sz w:val="24"/>
          <w:szCs w:val="24"/>
        </w:rPr>
        <w:t xml:space="preserve"> Because brain development is highly shaped by experience as well as biology, the quality and stability of a child’s environment strongly influence which neural circuits become strengthened (Miguel et al., 2019).</w:t>
      </w:r>
    </w:p>
    <w:p w14:paraId="38E38400" w14:textId="77777777" w:rsidR="00436F2F" w:rsidRPr="00A425B4" w:rsidRDefault="00436F2F" w:rsidP="00436F2F">
      <w:pPr>
        <w:rPr>
          <w:rFonts w:ascii="Arial" w:hAnsi="Arial" w:cs="Arial"/>
          <w:color w:val="000000" w:themeColor="text1"/>
          <w:sz w:val="24"/>
          <w:szCs w:val="24"/>
        </w:rPr>
      </w:pPr>
      <w:r w:rsidRPr="00A425B4">
        <w:rPr>
          <w:rFonts w:ascii="Arial" w:hAnsi="Arial" w:cs="Arial"/>
          <w:color w:val="000000" w:themeColor="text1"/>
          <w:sz w:val="24"/>
          <w:szCs w:val="24"/>
        </w:rPr>
        <w:t>Experiences such as reciprocal communication, sensory stimulation, and emotionally responsive caregiving supply the crucial input the brain needs to form its structure and to support social, cognitive, and emotional development (Scott, 2024). In Amira’s case, long periods of social isolation, limited stimulation, and inconsistent parental presence would have deprived her brain of the regular and predictable interactions needed for healthy neural circuit development (Callaghan &amp; Tottenham, 2016; Xiong et al., 2023).</w:t>
      </w:r>
    </w:p>
    <w:p w14:paraId="0B4BB471" w14:textId="77777777" w:rsidR="00436F2F" w:rsidRPr="00A425B4" w:rsidRDefault="00436F2F" w:rsidP="00436F2F">
      <w:pPr>
        <w:rPr>
          <w:rFonts w:ascii="Arial" w:hAnsi="Arial" w:cs="Arial"/>
          <w:color w:val="000000" w:themeColor="text1"/>
          <w:sz w:val="24"/>
          <w:szCs w:val="24"/>
        </w:rPr>
      </w:pPr>
      <w:r w:rsidRPr="00A425B4">
        <w:rPr>
          <w:rFonts w:ascii="Arial" w:hAnsi="Arial" w:cs="Arial"/>
          <w:color w:val="000000" w:themeColor="text1"/>
          <w:sz w:val="24"/>
          <w:szCs w:val="24"/>
        </w:rPr>
        <w:t>Without consistent ‘serve-and-return’ interactions, the neural pathways involved in social understanding, emotional regulation, and executive functioning may be used less often, making them more likely to weaken or be eliminated (Yogman et al., 2018). Such deprivation can lead to atypical synapse loss and reduced efficiency in the neural networks underlying social and emotional development (Xiong et al., 2023). Developmental neuroscience research shows that when children do not receive responsive care, significant parts of their brains can develop differently in both structure and function (Miguel et al., 2019).</w:t>
      </w:r>
    </w:p>
    <w:p w14:paraId="72560E9E" w14:textId="77777777" w:rsidR="00436F2F" w:rsidRPr="00A425B4" w:rsidRDefault="00436F2F" w:rsidP="00436F2F">
      <w:pPr>
        <w:rPr>
          <w:rFonts w:ascii="Arial" w:hAnsi="Arial" w:cs="Arial"/>
          <w:color w:val="000000" w:themeColor="text1"/>
        </w:rPr>
      </w:pPr>
      <w:r w:rsidRPr="00A425B4">
        <w:rPr>
          <w:rFonts w:ascii="Arial" w:hAnsi="Arial" w:cs="Arial"/>
          <w:color w:val="000000" w:themeColor="text1"/>
          <w:sz w:val="24"/>
          <w:szCs w:val="24"/>
        </w:rPr>
        <w:t>These changes include reduced cortical thickness, altered white-matter connectivity, and atypical prefrontal cortex development, which can impair executive functions such as planning, attention, and emotional regulation (Barrasso</w:t>
      </w:r>
      <w:r w:rsidRPr="00A425B4">
        <w:rPr>
          <w:rFonts w:ascii="Cambria Math" w:hAnsi="Cambria Math" w:cs="Cambria Math"/>
          <w:color w:val="000000" w:themeColor="text1"/>
          <w:sz w:val="24"/>
          <w:szCs w:val="24"/>
        </w:rPr>
        <w:t>‐</w:t>
      </w:r>
      <w:r w:rsidRPr="00A425B4">
        <w:rPr>
          <w:rFonts w:ascii="Arial" w:hAnsi="Arial" w:cs="Arial"/>
          <w:color w:val="000000" w:themeColor="text1"/>
          <w:sz w:val="24"/>
          <w:szCs w:val="24"/>
        </w:rPr>
        <w:t>Catanzaro and Eslinger, 2016).</w:t>
      </w:r>
      <w:r w:rsidRPr="00A425B4">
        <w:rPr>
          <w:rFonts w:ascii="Arial" w:hAnsi="Arial" w:cs="Arial"/>
          <w:color w:val="000000" w:themeColor="text1"/>
        </w:rPr>
        <w:t xml:space="preserve"> </w:t>
      </w:r>
      <w:r w:rsidRPr="00A425B4">
        <w:rPr>
          <w:rFonts w:ascii="Arial" w:hAnsi="Arial" w:cs="Arial"/>
          <w:color w:val="000000" w:themeColor="text1"/>
          <w:sz w:val="24"/>
          <w:szCs w:val="24"/>
        </w:rPr>
        <w:t>Studies have shown that neglected children often have reduced hippocampal volume and altered amygdala prefrontal connectivity, which are important for stress regulation and socio-emotional functioning (</w:t>
      </w:r>
      <w:proofErr w:type="spellStart"/>
      <w:r w:rsidRPr="00A425B4">
        <w:rPr>
          <w:rFonts w:ascii="Arial" w:hAnsi="Arial" w:cs="Arial"/>
          <w:color w:val="000000" w:themeColor="text1"/>
          <w:sz w:val="24"/>
          <w:szCs w:val="24"/>
        </w:rPr>
        <w:t>VanTieghem</w:t>
      </w:r>
      <w:proofErr w:type="spellEnd"/>
      <w:r w:rsidRPr="00A425B4">
        <w:rPr>
          <w:rFonts w:ascii="Arial" w:hAnsi="Arial" w:cs="Arial"/>
          <w:color w:val="000000" w:themeColor="text1"/>
          <w:sz w:val="24"/>
          <w:szCs w:val="24"/>
        </w:rPr>
        <w:t xml:space="preserve"> and Tottenham, 2017).</w:t>
      </w:r>
      <w:r w:rsidRPr="00A425B4">
        <w:rPr>
          <w:rFonts w:ascii="Arial" w:hAnsi="Arial" w:cs="Arial"/>
          <w:color w:val="000000" w:themeColor="text1"/>
        </w:rPr>
        <w:t xml:space="preserve"> </w:t>
      </w:r>
      <w:r w:rsidRPr="00A425B4">
        <w:rPr>
          <w:rFonts w:ascii="Arial" w:hAnsi="Arial" w:cs="Arial"/>
          <w:color w:val="000000" w:themeColor="text1"/>
          <w:sz w:val="24"/>
          <w:szCs w:val="24"/>
        </w:rPr>
        <w:t>From a stress-physiology perspective, chronic neglect acts as persistent adversity that repeatedly activates the hypothalamic pituitary adrenal (HPA) axis (Reilly and Gunnar, 2019).</w:t>
      </w:r>
    </w:p>
    <w:p w14:paraId="6A7BACBF" w14:textId="77777777" w:rsidR="00436F2F" w:rsidRPr="00A425B4" w:rsidRDefault="00436F2F" w:rsidP="00436F2F">
      <w:pPr>
        <w:rPr>
          <w:rFonts w:ascii="Arial" w:hAnsi="Arial" w:cs="Arial"/>
          <w:color w:val="000000" w:themeColor="text1"/>
          <w:sz w:val="24"/>
          <w:szCs w:val="24"/>
        </w:rPr>
      </w:pPr>
      <w:r w:rsidRPr="00A425B4">
        <w:rPr>
          <w:rFonts w:ascii="Arial" w:hAnsi="Arial" w:cs="Arial"/>
          <w:color w:val="000000" w:themeColor="text1"/>
          <w:sz w:val="24"/>
          <w:szCs w:val="24"/>
        </w:rPr>
        <w:lastRenderedPageBreak/>
        <w:t>Prolonged activation can lead to elevated cortisol levels, often referred to as toxic stress when exposure is long lasting and unmanaged (Rosenzweig and Sundborg, 2022). Prolonged high levels of cortisol can harm the brain by reducing the formation of synapses, interfering with neuroplasticity and damaging areas rich in glucocorticoid receptors especially the hippocampus and prefrontal cortex (Gulyaeva, 2021).</w:t>
      </w:r>
    </w:p>
    <w:p w14:paraId="7BFBA91A" w14:textId="30C8D6E6" w:rsidR="00977239" w:rsidRPr="00A425B4" w:rsidRDefault="00436F2F" w:rsidP="00977239">
      <w:pPr>
        <w:rPr>
          <w:rFonts w:ascii="Arial" w:hAnsi="Arial" w:cs="Arial"/>
          <w:color w:val="000000" w:themeColor="text1"/>
          <w:sz w:val="24"/>
          <w:szCs w:val="24"/>
        </w:rPr>
      </w:pPr>
      <w:r w:rsidRPr="00A425B4">
        <w:rPr>
          <w:rFonts w:ascii="Arial" w:hAnsi="Arial" w:cs="Arial"/>
          <w:color w:val="000000" w:themeColor="text1"/>
          <w:sz w:val="24"/>
          <w:szCs w:val="24"/>
        </w:rPr>
        <w:t>These changes can make it harder for children to remember information, control impulses, learn new skills, and manage emotions. As a result, children like Amira may become hypervigilant, emotionally reactive, and struggle to cope with stress (Perkel, 2022; Parker, 2024). Chronic early stress is also linked to overactivity in the amygdala, which can make even neutral or mildly challenging social situations feel threatening (</w:t>
      </w:r>
      <w:proofErr w:type="spellStart"/>
      <w:r w:rsidRPr="00A425B4">
        <w:rPr>
          <w:rFonts w:ascii="Arial" w:hAnsi="Arial" w:cs="Arial"/>
          <w:color w:val="000000" w:themeColor="text1"/>
          <w:sz w:val="24"/>
          <w:szCs w:val="24"/>
        </w:rPr>
        <w:t>VanTieghem</w:t>
      </w:r>
      <w:proofErr w:type="spellEnd"/>
      <w:r w:rsidRPr="00A425B4">
        <w:rPr>
          <w:rFonts w:ascii="Arial" w:hAnsi="Arial" w:cs="Arial"/>
          <w:color w:val="000000" w:themeColor="text1"/>
          <w:sz w:val="24"/>
          <w:szCs w:val="24"/>
        </w:rPr>
        <w:t xml:space="preserve"> and Tottenham, 2017). This may cause children to avoid peers, withdraw socially, or find it difficult to build relationships, not because they are naturally shy or defiant, but because their brain has adapted to expect danger (Howe, 2017). From this perspective, Amira’s hesitation to engage with peers can be seen as a protective, adaptive response shaped by early experiences of unpredictability and relational deprivation, rather than a matter of choice (Nelson et al., 2019). </w:t>
      </w:r>
    </w:p>
    <w:p w14:paraId="00934209" w14:textId="77777777" w:rsidR="00977239" w:rsidRPr="00A425B4" w:rsidRDefault="00977239" w:rsidP="00977239">
      <w:pPr>
        <w:rPr>
          <w:rFonts w:ascii="Arial" w:hAnsi="Arial" w:cs="Arial"/>
          <w:color w:val="000000" w:themeColor="text1"/>
          <w:sz w:val="24"/>
          <w:szCs w:val="24"/>
        </w:rPr>
      </w:pPr>
      <w:r w:rsidRPr="00A425B4">
        <w:rPr>
          <w:rFonts w:ascii="Arial" w:hAnsi="Arial" w:cs="Arial"/>
          <w:color w:val="000000" w:themeColor="text1"/>
          <w:sz w:val="24"/>
          <w:szCs w:val="24"/>
        </w:rPr>
        <w:t>Attachment theory, particularly as developed by John Bowlby, provides an important framework for understanding Amira’s patterns in relationships and emotional functioning (Tariq, 2023). Bowlby proposed that children are naturally driven to stay close to caregivers for survival, and that the quality of early caregiving shapes their internal working models, mental frameworks for understanding themselves, others, and relationships (Barnett et al., 2022; NSPCC, 2021).</w:t>
      </w:r>
    </w:p>
    <w:p w14:paraId="2C5902DA" w14:textId="77777777" w:rsidR="00977239" w:rsidRPr="00A425B4" w:rsidRDefault="00977239" w:rsidP="00977239">
      <w:pPr>
        <w:rPr>
          <w:rFonts w:ascii="Arial" w:hAnsi="Arial" w:cs="Arial"/>
          <w:color w:val="000000" w:themeColor="text1"/>
          <w:sz w:val="24"/>
          <w:szCs w:val="24"/>
        </w:rPr>
      </w:pPr>
      <w:r w:rsidRPr="00A425B4">
        <w:rPr>
          <w:rFonts w:ascii="Arial" w:hAnsi="Arial" w:cs="Arial"/>
          <w:color w:val="000000" w:themeColor="text1"/>
          <w:sz w:val="24"/>
          <w:szCs w:val="24"/>
        </w:rPr>
        <w:t>A secure attachment develops when caregivers consistently respond to a child’s needs with sensitivity, helping the child view relationships as safe, reliable, and comforting (Woodhouse et al., 2020). In contrast, Amira’s experiences with maternal alcohol misuse, emotional unavailability, and neglect likely interfered with the formation of a secure attachment. Bowlby emphasised that inconsistent or frightening caregiving increases the risk of children developing insecure or disorganised attachment patterns (Petters and Beaudoin, 2017).</w:t>
      </w:r>
    </w:p>
    <w:p w14:paraId="6DCF25C8" w14:textId="77777777" w:rsidR="00977239" w:rsidRPr="00A425B4" w:rsidRDefault="00977239" w:rsidP="00977239">
      <w:pPr>
        <w:rPr>
          <w:rFonts w:ascii="Arial" w:hAnsi="Arial" w:cs="Arial"/>
          <w:color w:val="000000" w:themeColor="text1"/>
          <w:sz w:val="24"/>
          <w:szCs w:val="24"/>
        </w:rPr>
      </w:pPr>
      <w:r w:rsidRPr="00A425B4">
        <w:rPr>
          <w:rFonts w:ascii="Arial" w:hAnsi="Arial" w:cs="Arial"/>
          <w:color w:val="000000" w:themeColor="text1"/>
          <w:sz w:val="24"/>
          <w:szCs w:val="24"/>
        </w:rPr>
        <w:t>Disorganised attachment often develops when caregivers are both a source of comfort and a source of fear (</w:t>
      </w:r>
      <w:proofErr w:type="spellStart"/>
      <w:r w:rsidRPr="00A425B4">
        <w:rPr>
          <w:rFonts w:ascii="Arial" w:hAnsi="Arial" w:cs="Arial"/>
          <w:color w:val="000000" w:themeColor="text1"/>
          <w:sz w:val="24"/>
          <w:szCs w:val="24"/>
        </w:rPr>
        <w:t>Reijman</w:t>
      </w:r>
      <w:proofErr w:type="spellEnd"/>
      <w:r w:rsidRPr="00A425B4">
        <w:rPr>
          <w:rFonts w:ascii="Arial" w:hAnsi="Arial" w:cs="Arial"/>
          <w:color w:val="000000" w:themeColor="text1"/>
          <w:sz w:val="24"/>
          <w:szCs w:val="24"/>
        </w:rPr>
        <w:t xml:space="preserve"> et al., 2018). This is common in households affected by substance misuse, where a caregiver’s behaviour is unpredictable and emotional responsiveness is impaired (NSPCC, 2023).</w:t>
      </w:r>
    </w:p>
    <w:p w14:paraId="3EE96507" w14:textId="77777777" w:rsidR="00977239" w:rsidRPr="00A425B4" w:rsidRDefault="00977239" w:rsidP="00977239">
      <w:pPr>
        <w:rPr>
          <w:rFonts w:ascii="Arial" w:hAnsi="Arial" w:cs="Arial"/>
          <w:color w:val="000000" w:themeColor="text1"/>
          <w:sz w:val="24"/>
          <w:szCs w:val="24"/>
        </w:rPr>
      </w:pPr>
      <w:r w:rsidRPr="00A425B4">
        <w:rPr>
          <w:rFonts w:ascii="Arial" w:hAnsi="Arial" w:cs="Arial"/>
          <w:color w:val="000000" w:themeColor="text1"/>
          <w:sz w:val="24"/>
          <w:szCs w:val="24"/>
        </w:rPr>
        <w:t>Amira’s behaviour at school, such as withdrawing, avoiding peers, and being reluctant to engage, can be understood through this lens of attachment disruption. Children with disorganised attachment often struggle to manage emotions, have difficulty trusting adults, and may fear forming close relationships (Blake, 2025). They can also respond inconsistently in social situations, alternating between clinging and avoiding others (Ayre and Krishnamoorthy, 2020).</w:t>
      </w:r>
    </w:p>
    <w:p w14:paraId="1AD5870D" w14:textId="77777777" w:rsidR="00977239" w:rsidRPr="00A425B4" w:rsidRDefault="00977239" w:rsidP="00977239">
      <w:pPr>
        <w:rPr>
          <w:rFonts w:ascii="Arial" w:hAnsi="Arial" w:cs="Arial"/>
          <w:color w:val="000000" w:themeColor="text1"/>
          <w:sz w:val="24"/>
          <w:szCs w:val="24"/>
        </w:rPr>
      </w:pPr>
      <w:r w:rsidRPr="00A425B4">
        <w:rPr>
          <w:rFonts w:ascii="Arial" w:hAnsi="Arial" w:cs="Arial"/>
          <w:color w:val="000000" w:themeColor="text1"/>
          <w:sz w:val="24"/>
          <w:szCs w:val="24"/>
        </w:rPr>
        <w:t xml:space="preserve">Trauma can further complicate this by disrupting oxytocin pathways, which are important for bonding, trust, and social connection (Bosch and Young, 2017). As a </w:t>
      </w:r>
      <w:r w:rsidRPr="00A425B4">
        <w:rPr>
          <w:rFonts w:ascii="Arial" w:hAnsi="Arial" w:cs="Arial"/>
          <w:color w:val="000000" w:themeColor="text1"/>
          <w:sz w:val="24"/>
          <w:szCs w:val="24"/>
        </w:rPr>
        <w:lastRenderedPageBreak/>
        <w:t>result, Amira may find it hard to read social cues, form friendships, or feel safe with new caregivers, including her grandparents (Cummings and Swindell, 2019).</w:t>
      </w:r>
    </w:p>
    <w:p w14:paraId="0CAAB878" w14:textId="585826CA" w:rsidR="00977239" w:rsidRPr="00A425B4" w:rsidRDefault="00977239" w:rsidP="00977239">
      <w:pPr>
        <w:rPr>
          <w:rFonts w:ascii="Arial" w:hAnsi="Arial" w:cs="Arial"/>
          <w:color w:val="000000" w:themeColor="text1"/>
          <w:sz w:val="24"/>
          <w:szCs w:val="24"/>
        </w:rPr>
      </w:pPr>
      <w:r w:rsidRPr="00A425B4">
        <w:rPr>
          <w:rFonts w:ascii="Arial" w:hAnsi="Arial" w:cs="Arial"/>
          <w:color w:val="000000" w:themeColor="text1"/>
          <w:sz w:val="24"/>
          <w:szCs w:val="24"/>
        </w:rPr>
        <w:t>Although her removal from her mother was necessary for her safety, it may have intensified her attachment insecurity. Bowlby emphasised that separation and loss can strongly affect a child’s emotional development, especially when these occur without stable, sensitive alternative care (O'Connor, 2017). For Amira, these disruptions may increase feelings of abandonment and unpredictability, reinforce insecure mental models of relationships and make it harder for her to trust and connect with others (Gillis, 2025). </w:t>
      </w:r>
    </w:p>
    <w:p w14:paraId="52F68C2E" w14:textId="77777777" w:rsidR="00075E96" w:rsidRPr="00A425B4" w:rsidRDefault="00075E96" w:rsidP="00075E96">
      <w:pPr>
        <w:rPr>
          <w:rFonts w:ascii="Arial" w:hAnsi="Arial" w:cs="Arial"/>
          <w:color w:val="000000" w:themeColor="text1"/>
          <w:sz w:val="24"/>
          <w:szCs w:val="24"/>
        </w:rPr>
      </w:pPr>
      <w:r w:rsidRPr="00A425B4">
        <w:rPr>
          <w:rFonts w:ascii="Arial" w:hAnsi="Arial" w:cs="Arial"/>
          <w:color w:val="000000" w:themeColor="text1"/>
          <w:sz w:val="24"/>
          <w:szCs w:val="24"/>
        </w:rPr>
        <w:t xml:space="preserve">The neurological and relational disruptions outlined above are likely to impact Amira’s social, emotional, and behavioural development. </w:t>
      </w:r>
    </w:p>
    <w:p w14:paraId="576C9EF8" w14:textId="77777777" w:rsidR="00075E96" w:rsidRPr="00A425B4" w:rsidRDefault="00075E96" w:rsidP="00075E96">
      <w:pPr>
        <w:rPr>
          <w:rFonts w:ascii="Arial" w:hAnsi="Arial" w:cs="Arial"/>
          <w:color w:val="000000" w:themeColor="text1"/>
          <w:sz w:val="24"/>
          <w:szCs w:val="24"/>
        </w:rPr>
      </w:pPr>
      <w:r w:rsidRPr="00A425B4">
        <w:rPr>
          <w:rFonts w:ascii="Arial" w:hAnsi="Arial" w:cs="Arial"/>
          <w:color w:val="000000" w:themeColor="text1"/>
          <w:sz w:val="24"/>
          <w:szCs w:val="24"/>
        </w:rPr>
        <w:t xml:space="preserve">Socially, she may have missed critical opportunities to learn communication, cooperation, and conflict-resolution skills due to inconsistent caregiving and limited peer interaction. Children who experience neglect often show difficulties in social interactions, struggle to interpret facial expressions, and demonstrate increased mistrust (Neil et al., 2023). These challenges can contribute to peer isolation, which Amira is already exhibiting, and if unaddressed, may result in long-term social maladjustment (Rezaei Dehnavi et al. 2020). Emotionally, Amira’s early experiences may have hindered the development of skills necessary to recognise, understand, and regulate her emotions. </w:t>
      </w:r>
    </w:p>
    <w:p w14:paraId="7D1B7D43" w14:textId="77777777" w:rsidR="00075E96" w:rsidRPr="00A425B4" w:rsidRDefault="00075E96" w:rsidP="00075E96">
      <w:pPr>
        <w:rPr>
          <w:rFonts w:ascii="Arial" w:hAnsi="Arial" w:cs="Arial"/>
          <w:color w:val="000000" w:themeColor="text1"/>
          <w:sz w:val="24"/>
          <w:szCs w:val="24"/>
        </w:rPr>
      </w:pPr>
      <w:r w:rsidRPr="00A425B4">
        <w:rPr>
          <w:rFonts w:ascii="Arial" w:hAnsi="Arial" w:cs="Arial"/>
          <w:color w:val="000000" w:themeColor="text1"/>
          <w:sz w:val="24"/>
          <w:szCs w:val="24"/>
        </w:rPr>
        <w:t>Emotional regulation is fostered through caregiver co-regulation, where adults help children manage distress and make sense of their feelings (</w:t>
      </w:r>
      <w:proofErr w:type="spellStart"/>
      <w:r w:rsidRPr="00A425B4">
        <w:rPr>
          <w:rFonts w:ascii="Arial" w:hAnsi="Arial" w:cs="Arial"/>
          <w:color w:val="000000" w:themeColor="text1"/>
          <w:sz w:val="24"/>
          <w:szCs w:val="24"/>
        </w:rPr>
        <w:t>Silkenbeumer</w:t>
      </w:r>
      <w:proofErr w:type="spellEnd"/>
      <w:r w:rsidRPr="00A425B4">
        <w:rPr>
          <w:rFonts w:ascii="Arial" w:hAnsi="Arial" w:cs="Arial"/>
          <w:color w:val="000000" w:themeColor="text1"/>
          <w:sz w:val="24"/>
          <w:szCs w:val="24"/>
        </w:rPr>
        <w:t xml:space="preserve"> et al., 2016). In the absence of support, Amira may rely on coping strategies such as emotional numbing or dissociation (Schimmenti and Caretti, 2016). Her withdrawn behaviour may reflect an attempt to manage overwhelming emotions rather than passive disengagement. </w:t>
      </w:r>
    </w:p>
    <w:p w14:paraId="22A16622" w14:textId="77777777" w:rsidR="00075E96" w:rsidRPr="00A425B4" w:rsidRDefault="00075E96" w:rsidP="00075E96">
      <w:pPr>
        <w:rPr>
          <w:rFonts w:ascii="Arial" w:hAnsi="Arial" w:cs="Arial"/>
          <w:color w:val="000000" w:themeColor="text1"/>
          <w:sz w:val="24"/>
          <w:szCs w:val="24"/>
        </w:rPr>
      </w:pPr>
      <w:r w:rsidRPr="00A425B4">
        <w:rPr>
          <w:rFonts w:ascii="Arial" w:hAnsi="Arial" w:cs="Arial"/>
          <w:color w:val="000000" w:themeColor="text1"/>
          <w:sz w:val="24"/>
          <w:szCs w:val="24"/>
        </w:rPr>
        <w:t>Research consistently links early trauma and neglect to higher risks of anxiety, depression, and low self-esteem, which may emerge if her emotional needs continue to be unmet (Kealy et al., 2023). Behaviourally, Amira’s withdrawal could evolve into more overt externalising behaviours as she matures. Neglected children often fluctuate between internalising behaviours, such as anxiety and social withdrawal, and externalising behaviours, including aggression and defiance, depending on environmental triggers (Maguire et al., 2015). Impairments in executive function associated with neglect can also result in impulsivity, inattention, and poor emotional control (Herrero-Roldán and Martín-Rodríguez, 2025). Without intervention, Amira may face academic challenges due to difficulties with concentration, working memory, and motivation (Forkey, 2017).</w:t>
      </w:r>
    </w:p>
    <w:p w14:paraId="24D7E452" w14:textId="77777777" w:rsidR="00075E96" w:rsidRPr="00A425B4" w:rsidRDefault="00075E96" w:rsidP="00075E96">
      <w:pPr>
        <w:rPr>
          <w:rFonts w:ascii="Arial" w:hAnsi="Arial" w:cs="Arial"/>
          <w:color w:val="000000" w:themeColor="text1"/>
          <w:sz w:val="24"/>
          <w:szCs w:val="24"/>
        </w:rPr>
      </w:pPr>
      <w:r w:rsidRPr="00A425B4">
        <w:rPr>
          <w:rFonts w:ascii="Arial" w:hAnsi="Arial" w:cs="Arial"/>
          <w:color w:val="000000" w:themeColor="text1"/>
          <w:sz w:val="24"/>
          <w:szCs w:val="24"/>
        </w:rPr>
        <w:t>Furthermore, research on adverse childhood experiences (ACEs) shows that cumulative early trauma significantly increases the risk of later risk-taking behaviours, substance misuse, and mental health difficulties in adolescence and adulthood (Hoffmann and Hoffmann, 2025).</w:t>
      </w:r>
    </w:p>
    <w:p w14:paraId="13BFC092" w14:textId="77777777" w:rsidR="008E4050" w:rsidRPr="00A425B4" w:rsidRDefault="008E4050" w:rsidP="008E4050">
      <w:pPr>
        <w:rPr>
          <w:rFonts w:ascii="Arial" w:hAnsi="Arial" w:cs="Arial"/>
          <w:color w:val="000000" w:themeColor="text1"/>
          <w:sz w:val="24"/>
          <w:szCs w:val="24"/>
        </w:rPr>
      </w:pPr>
      <w:r w:rsidRPr="00A425B4">
        <w:rPr>
          <w:rFonts w:ascii="Arial" w:hAnsi="Arial" w:cs="Arial"/>
          <w:color w:val="000000" w:themeColor="text1"/>
          <w:sz w:val="24"/>
          <w:szCs w:val="24"/>
        </w:rPr>
        <w:t>If Amira’s trauma is not addressed, she is at risk for a range of long-term developmental challenges.</w:t>
      </w:r>
    </w:p>
    <w:p w14:paraId="3E4B6EBD" w14:textId="77777777" w:rsidR="008E4050" w:rsidRPr="00A425B4" w:rsidRDefault="008E4050" w:rsidP="008E4050">
      <w:pPr>
        <w:rPr>
          <w:rFonts w:ascii="Arial" w:hAnsi="Arial" w:cs="Arial"/>
          <w:color w:val="000000" w:themeColor="text1"/>
          <w:sz w:val="24"/>
          <w:szCs w:val="24"/>
        </w:rPr>
      </w:pPr>
      <w:r w:rsidRPr="00A425B4">
        <w:rPr>
          <w:rFonts w:ascii="Arial" w:hAnsi="Arial" w:cs="Arial"/>
          <w:color w:val="000000" w:themeColor="text1"/>
          <w:sz w:val="24"/>
          <w:szCs w:val="24"/>
        </w:rPr>
        <w:lastRenderedPageBreak/>
        <w:t>Longitudinal studies on adverse childhood experiences (ACEs) indicate that children exposed to multiple early adversities are significantly more likely to experience chronic physical illness, depression, anxiety disorders, suicidal behaviour, unstable relationships, and unemployment later in life (Lippard and Nemeroff, 2023).</w:t>
      </w:r>
    </w:p>
    <w:p w14:paraId="6EE4305C" w14:textId="77777777" w:rsidR="008E4050" w:rsidRPr="00A425B4" w:rsidRDefault="008E4050" w:rsidP="008E4050">
      <w:pPr>
        <w:rPr>
          <w:rFonts w:ascii="Arial" w:hAnsi="Arial" w:cs="Arial"/>
          <w:color w:val="000000" w:themeColor="text1"/>
          <w:sz w:val="24"/>
          <w:szCs w:val="24"/>
        </w:rPr>
      </w:pPr>
      <w:r w:rsidRPr="00A425B4">
        <w:rPr>
          <w:rFonts w:ascii="Arial" w:hAnsi="Arial" w:cs="Arial"/>
          <w:color w:val="000000" w:themeColor="text1"/>
          <w:sz w:val="24"/>
          <w:szCs w:val="24"/>
        </w:rPr>
        <w:t>The intergenerational transmission of trauma is also a key concern. Children raised in neglectful environments are at higher risk of encountering difficulties in adult relationships and may face challenges in parenting (Hughes and Cossar, 2016).</w:t>
      </w:r>
    </w:p>
    <w:p w14:paraId="4320223F" w14:textId="77777777" w:rsidR="008E4050" w:rsidRPr="00A425B4" w:rsidRDefault="008E4050" w:rsidP="008E4050">
      <w:pPr>
        <w:rPr>
          <w:rFonts w:ascii="Arial" w:hAnsi="Arial" w:cs="Arial"/>
          <w:color w:val="000000" w:themeColor="text1"/>
          <w:sz w:val="24"/>
          <w:szCs w:val="24"/>
        </w:rPr>
      </w:pPr>
      <w:r w:rsidRPr="00A425B4">
        <w:rPr>
          <w:rFonts w:ascii="Arial" w:hAnsi="Arial" w:cs="Arial"/>
          <w:color w:val="000000" w:themeColor="text1"/>
          <w:sz w:val="24"/>
          <w:szCs w:val="24"/>
        </w:rPr>
        <w:t xml:space="preserve">Amira’s early internal working models of relationships shaped by unpredictability, fear, and emotional deprivation could influence her adult attachment style, affecting her ability to trust, form intimate connections, and maintain a sense of self-worth (Gillis, 2025).  </w:t>
      </w:r>
    </w:p>
    <w:p w14:paraId="42CEA939" w14:textId="77777777" w:rsidR="008E4050" w:rsidRPr="00A425B4" w:rsidRDefault="008E4050" w:rsidP="008E4050">
      <w:pPr>
        <w:rPr>
          <w:rFonts w:ascii="Arial" w:hAnsi="Arial" w:cs="Arial"/>
          <w:color w:val="000000" w:themeColor="text1"/>
          <w:sz w:val="24"/>
          <w:szCs w:val="24"/>
        </w:rPr>
      </w:pPr>
      <w:r w:rsidRPr="00A425B4">
        <w:rPr>
          <w:rFonts w:ascii="Arial" w:hAnsi="Arial" w:cs="Arial"/>
          <w:color w:val="000000" w:themeColor="text1"/>
          <w:sz w:val="24"/>
          <w:szCs w:val="24"/>
        </w:rPr>
        <w:t>Despite these risks, developmental plasticity offers a hopeful outlook. Early intervention, consistent caregiving, and trauma-informed support can substantially mitigate the long-term negative impacts of ACEs (Fredrickson, 2019).</w:t>
      </w:r>
    </w:p>
    <w:p w14:paraId="5A5BBDAF" w14:textId="77777777" w:rsidR="00D82169" w:rsidRPr="00A425B4" w:rsidRDefault="00D82169" w:rsidP="00D82169">
      <w:pPr>
        <w:rPr>
          <w:rFonts w:ascii="Arial" w:hAnsi="Arial" w:cs="Arial"/>
          <w:color w:val="000000" w:themeColor="text1"/>
          <w:sz w:val="24"/>
          <w:szCs w:val="24"/>
        </w:rPr>
      </w:pPr>
      <w:r w:rsidRPr="00A425B4">
        <w:rPr>
          <w:rFonts w:ascii="Arial" w:hAnsi="Arial" w:cs="Arial"/>
          <w:color w:val="000000" w:themeColor="text1"/>
          <w:sz w:val="24"/>
          <w:szCs w:val="24"/>
        </w:rPr>
        <w:t>Effective support for Amira must be grounded in trauma-informed principles, including physical and emotional safety, trustworthiness, empowerment, collaboration, and cultural sensitivity (Isobel, 2021). A holistic, multi-agency approach involving her grandparents, school staff, and therapeutic professionals is essential (Walker, 2018). </w:t>
      </w:r>
    </w:p>
    <w:p w14:paraId="709D9D12" w14:textId="67CD8E59" w:rsidR="005F74B2" w:rsidRPr="00A425B4" w:rsidRDefault="005F74B2" w:rsidP="005F74B2">
      <w:pPr>
        <w:rPr>
          <w:rFonts w:ascii="Arial" w:hAnsi="Arial" w:cs="Arial"/>
          <w:color w:val="000000" w:themeColor="text1"/>
          <w:sz w:val="24"/>
          <w:szCs w:val="24"/>
        </w:rPr>
      </w:pPr>
      <w:r w:rsidRPr="00A425B4">
        <w:rPr>
          <w:rFonts w:ascii="Arial" w:hAnsi="Arial" w:cs="Arial"/>
          <w:color w:val="000000" w:themeColor="text1"/>
          <w:sz w:val="24"/>
          <w:szCs w:val="24"/>
        </w:rPr>
        <w:t>Dyadic Developmental Psychotherapy (DDP) is a relationship-based therapy rooted in attachment theory and developmental neuroscience. It aims to create safe, connected caregiver and child relationships by using the PACE approach: Playfulness, Acceptance, Curiosity, and Empathy (Phillips, 2024). For Amira, DDP is particularly appropriate because her relationship with her grandparents now represents a crucial opportunity to rebuild attachment security.</w:t>
      </w:r>
    </w:p>
    <w:p w14:paraId="699FC135" w14:textId="77777777" w:rsidR="005F74B2" w:rsidRPr="00A425B4" w:rsidRDefault="005F74B2" w:rsidP="005F74B2">
      <w:pPr>
        <w:rPr>
          <w:rFonts w:ascii="Arial" w:hAnsi="Arial" w:cs="Arial"/>
          <w:color w:val="000000" w:themeColor="text1"/>
          <w:sz w:val="24"/>
          <w:szCs w:val="24"/>
        </w:rPr>
      </w:pPr>
      <w:r w:rsidRPr="00A425B4">
        <w:rPr>
          <w:rFonts w:ascii="Arial" w:hAnsi="Arial" w:cs="Arial"/>
          <w:color w:val="000000" w:themeColor="text1"/>
          <w:sz w:val="24"/>
          <w:szCs w:val="24"/>
        </w:rPr>
        <w:t>DDP helps caregivers comprehend how trauma influences behaviours, changing their perspective from viewing withdrawal or fear as difficult behaviour, to recognising it as a trauma response (Christopher, 2024). Through emotionally attuned interactions, DDP works to lower feelings of shame, help build a sense of safety and help children make sense of and heal from traumatic experiences (Phillips, 2024).</w:t>
      </w:r>
    </w:p>
    <w:p w14:paraId="30C41041" w14:textId="77777777" w:rsidR="005F74B2" w:rsidRPr="00A425B4" w:rsidRDefault="005F74B2" w:rsidP="005F74B2">
      <w:pPr>
        <w:rPr>
          <w:rFonts w:ascii="Arial" w:hAnsi="Arial" w:cs="Arial"/>
          <w:color w:val="000000" w:themeColor="text1"/>
          <w:sz w:val="24"/>
          <w:szCs w:val="24"/>
        </w:rPr>
      </w:pPr>
      <w:r w:rsidRPr="00A425B4">
        <w:rPr>
          <w:rFonts w:ascii="Arial" w:hAnsi="Arial" w:cs="Arial"/>
          <w:color w:val="000000" w:themeColor="text1"/>
          <w:sz w:val="24"/>
          <w:szCs w:val="24"/>
        </w:rPr>
        <w:t>Research on DDP demonstrates improvements in attachment security, emotional regulation, and behavioural outcomes in children with histories of neglect or abuse (Hughes et al., 2015). By engaging both Amira and her grandparents, DDP can help create a relational environment where she feels safe enough to express emotions, rebuild trust, and form more positive internal working models of care.</w:t>
      </w:r>
    </w:p>
    <w:p w14:paraId="4FF87F6B" w14:textId="2333ED3E" w:rsidR="00F36DC8" w:rsidRPr="00A425B4" w:rsidRDefault="00F36DC8" w:rsidP="00F36DC8">
      <w:pPr>
        <w:rPr>
          <w:rFonts w:ascii="Arial" w:hAnsi="Arial" w:cs="Arial"/>
          <w:color w:val="000000" w:themeColor="text1"/>
          <w:sz w:val="24"/>
          <w:szCs w:val="24"/>
        </w:rPr>
      </w:pPr>
      <w:r w:rsidRPr="00A425B4">
        <w:rPr>
          <w:rFonts w:ascii="Arial" w:hAnsi="Arial" w:cs="Arial"/>
          <w:color w:val="000000" w:themeColor="text1"/>
          <w:sz w:val="24"/>
          <w:szCs w:val="24"/>
        </w:rPr>
        <w:t>Child–Parent Psychotherapy (CPP) is also an effective approach. CPP is a therapeutic approach for children aged 0–10 who have experienced trauma or disruptions in attachment. It uses shared play, emotional expression, and guided conversations between the caregiver and child to help the child understand their experiences (Chu et al., 2021). The relationship between caregiver and child is central, as CPP recognises that healing comes from safe, consistent relationships, not just from thinking or talking about events (</w:t>
      </w:r>
      <w:proofErr w:type="spellStart"/>
      <w:r w:rsidRPr="00A425B4">
        <w:rPr>
          <w:rFonts w:ascii="Arial" w:hAnsi="Arial" w:cs="Arial"/>
          <w:color w:val="000000" w:themeColor="text1"/>
          <w:sz w:val="24"/>
          <w:szCs w:val="24"/>
        </w:rPr>
        <w:t>Norlén</w:t>
      </w:r>
      <w:proofErr w:type="spellEnd"/>
      <w:r w:rsidRPr="00A425B4">
        <w:rPr>
          <w:rFonts w:ascii="Arial" w:hAnsi="Arial" w:cs="Arial"/>
          <w:color w:val="000000" w:themeColor="text1"/>
          <w:sz w:val="24"/>
          <w:szCs w:val="24"/>
        </w:rPr>
        <w:t xml:space="preserve"> et al., 2021).</w:t>
      </w:r>
    </w:p>
    <w:p w14:paraId="0B3D0B8F" w14:textId="77777777" w:rsidR="00F36DC8" w:rsidRPr="00A425B4" w:rsidRDefault="00F36DC8" w:rsidP="00F36DC8">
      <w:pPr>
        <w:rPr>
          <w:rFonts w:ascii="Arial" w:hAnsi="Arial" w:cs="Arial"/>
          <w:color w:val="000000" w:themeColor="text1"/>
          <w:sz w:val="24"/>
          <w:szCs w:val="24"/>
        </w:rPr>
      </w:pPr>
      <w:r w:rsidRPr="00A425B4">
        <w:rPr>
          <w:rFonts w:ascii="Arial" w:hAnsi="Arial" w:cs="Arial"/>
          <w:color w:val="000000" w:themeColor="text1"/>
          <w:sz w:val="24"/>
          <w:szCs w:val="24"/>
        </w:rPr>
        <w:lastRenderedPageBreak/>
        <w:t>For Amira, CPP provides a developmentally suitable way to work through the confusion, fear, and loss linked to both her early experiences and her recent separation from her mother (</w:t>
      </w:r>
      <w:proofErr w:type="spellStart"/>
      <w:r w:rsidRPr="00A425B4">
        <w:rPr>
          <w:rFonts w:ascii="Arial" w:hAnsi="Arial" w:cs="Arial"/>
          <w:color w:val="000000" w:themeColor="text1"/>
          <w:sz w:val="24"/>
          <w:szCs w:val="24"/>
        </w:rPr>
        <w:t>Norlén</w:t>
      </w:r>
      <w:proofErr w:type="spellEnd"/>
      <w:r w:rsidRPr="00A425B4">
        <w:rPr>
          <w:rFonts w:ascii="Arial" w:hAnsi="Arial" w:cs="Arial"/>
          <w:color w:val="000000" w:themeColor="text1"/>
          <w:sz w:val="24"/>
          <w:szCs w:val="24"/>
        </w:rPr>
        <w:t xml:space="preserve"> et al., 2021). By attending sessions with her grandparents, she can explore her feelings about home, safety, and change within a supportive, nurturing relationship.</w:t>
      </w:r>
    </w:p>
    <w:p w14:paraId="3FF11EB4" w14:textId="77777777" w:rsidR="00F36DC8" w:rsidRPr="00A425B4" w:rsidRDefault="00F36DC8" w:rsidP="00F36DC8">
      <w:pPr>
        <w:rPr>
          <w:rFonts w:ascii="Arial" w:hAnsi="Arial" w:cs="Arial"/>
          <w:color w:val="000000" w:themeColor="text1"/>
          <w:sz w:val="24"/>
          <w:szCs w:val="24"/>
        </w:rPr>
      </w:pPr>
      <w:r w:rsidRPr="00A425B4">
        <w:rPr>
          <w:rFonts w:ascii="Arial" w:hAnsi="Arial" w:cs="Arial"/>
          <w:color w:val="000000" w:themeColor="text1"/>
          <w:sz w:val="24"/>
          <w:szCs w:val="24"/>
        </w:rPr>
        <w:t>Research shows that CPP effectively reduces trauma symptoms, improves emotional regulation, and strengthens attachment (</w:t>
      </w:r>
      <w:proofErr w:type="spellStart"/>
      <w:r w:rsidRPr="00A425B4">
        <w:rPr>
          <w:rFonts w:ascii="Arial" w:hAnsi="Arial" w:cs="Arial"/>
          <w:color w:val="000000" w:themeColor="text1"/>
          <w:sz w:val="24"/>
          <w:szCs w:val="24"/>
        </w:rPr>
        <w:t>Norlén</w:t>
      </w:r>
      <w:proofErr w:type="spellEnd"/>
      <w:r w:rsidRPr="00A425B4">
        <w:rPr>
          <w:rFonts w:ascii="Arial" w:hAnsi="Arial" w:cs="Arial"/>
          <w:color w:val="000000" w:themeColor="text1"/>
          <w:sz w:val="24"/>
          <w:szCs w:val="24"/>
        </w:rPr>
        <w:t xml:space="preserve"> et al., 2021). Because of this strong evidence, CPP is a well-matched intervention to help Amira settle into her new home while addressing the deeper emotional wounds caused by neglect.</w:t>
      </w:r>
    </w:p>
    <w:p w14:paraId="491B9883" w14:textId="0E8AB3DC" w:rsidR="00807B81" w:rsidRPr="00A425B4" w:rsidRDefault="00807B81" w:rsidP="00807B81">
      <w:pPr>
        <w:rPr>
          <w:rFonts w:ascii="Arial" w:hAnsi="Arial" w:cs="Arial"/>
          <w:color w:val="000000" w:themeColor="text1"/>
          <w:sz w:val="24"/>
          <w:szCs w:val="24"/>
        </w:rPr>
      </w:pPr>
      <w:r w:rsidRPr="00A425B4">
        <w:rPr>
          <w:rFonts w:ascii="Arial" w:hAnsi="Arial" w:cs="Arial"/>
          <w:color w:val="000000" w:themeColor="text1"/>
          <w:sz w:val="24"/>
          <w:szCs w:val="24"/>
        </w:rPr>
        <w:t>School provides a stable and structured environment that can significantly support Amira’s recovery. However, this requires the adoption of a trauma-informed approach to prevent trauma-related behaviours from being misinterpreted as disciplinary issues, such as, withdrawal, heightened anxiety, or hypervigilance (Culshaw, 2025). Assigning a designated and trusted adult, such as her former nursery teacher, with whom she already has an established and secure relationship, would provide Amira with consistent emotional support. According to Bowlby’s attachment theory,</w:t>
      </w:r>
      <w:r w:rsidRPr="00A425B4">
        <w:rPr>
          <w:rFonts w:ascii="Arial" w:hAnsi="Arial" w:cs="Arial"/>
          <w:b/>
          <w:bCs/>
          <w:color w:val="000000" w:themeColor="text1"/>
          <w:sz w:val="24"/>
          <w:szCs w:val="24"/>
        </w:rPr>
        <w:t xml:space="preserve"> </w:t>
      </w:r>
      <w:r w:rsidRPr="00A425B4">
        <w:rPr>
          <w:rFonts w:ascii="Arial" w:hAnsi="Arial" w:cs="Arial"/>
          <w:color w:val="000000" w:themeColor="text1"/>
          <w:sz w:val="24"/>
          <w:szCs w:val="24"/>
        </w:rPr>
        <w:t>the presence of a reliable and emotionally available adult is crucial for developing secure attachment and can significantly mitigate the long-term effects of trauma (Page, 2015). Through this relationship, the adult can help Amira regulate her emotions, cope with transitions, and gradually rebuild trust in the adults around her</w:t>
      </w:r>
    </w:p>
    <w:p w14:paraId="770E291F" w14:textId="7A22C9D9" w:rsidR="00807B81" w:rsidRPr="00A425B4" w:rsidRDefault="00807B81" w:rsidP="00807B81">
      <w:pPr>
        <w:rPr>
          <w:rFonts w:ascii="Arial" w:hAnsi="Arial" w:cs="Arial"/>
          <w:color w:val="000000" w:themeColor="text1"/>
          <w:sz w:val="24"/>
          <w:szCs w:val="24"/>
        </w:rPr>
      </w:pPr>
      <w:r w:rsidRPr="00A425B4">
        <w:rPr>
          <w:rFonts w:ascii="Arial" w:hAnsi="Arial" w:cs="Arial"/>
          <w:color w:val="000000" w:themeColor="text1"/>
          <w:sz w:val="24"/>
          <w:szCs w:val="24"/>
        </w:rPr>
        <w:t xml:space="preserve">Nurture groups are a school-based support for children with attachment and social-emotional difficulties (Sloan et al., 2020). By using predictable routines and activities that develop emotional understanding, and supportive relationships, these groups help children strengthen their social skills and re-establish the early emotional connections that may have been disrupted (Cunningham et al., 2019). Furthermore, a Family Support Worker can help enhance communication between home and school, promoting continuity and stability across settings (Bhagat, 2023). The Family Support Worker may also assist Amira’s grandparents in establishing routines related to hygiene, nutrition, and school attendance, factors that are foundational to both emotional wellbeing and academic engagement (Yang et al., 2025). </w:t>
      </w:r>
    </w:p>
    <w:p w14:paraId="473B336F" w14:textId="77777777" w:rsidR="00FA2F34" w:rsidRPr="00A425B4" w:rsidRDefault="00FA2F34" w:rsidP="00FA2F34">
      <w:pPr>
        <w:rPr>
          <w:rFonts w:ascii="Arial" w:hAnsi="Arial" w:cs="Arial"/>
          <w:color w:val="000000" w:themeColor="text1"/>
          <w:sz w:val="24"/>
          <w:szCs w:val="24"/>
        </w:rPr>
      </w:pPr>
      <w:r w:rsidRPr="00A425B4">
        <w:rPr>
          <w:rFonts w:ascii="Arial" w:hAnsi="Arial" w:cs="Arial"/>
          <w:color w:val="000000" w:themeColor="text1"/>
          <w:sz w:val="24"/>
          <w:szCs w:val="24"/>
        </w:rPr>
        <w:t>If Amira begins to show signs of trauma, such as, nightmares, distressing memories, intense anxiety, or heightened reactions to everyday situations, Eye Movement Desensitisation and Reprocessing (EMDR) may be considered as a supportive therapy. EMDR is a structured approach that helps children process traumatic experiences in a safe and controlled way (Beckley-Forest, 2020). One of its key advantages is that children do not need to fully describe or relive the traumatic event verbally, which can reduce stress and make therapy more accessible for younger or withdrawn children (Little, 2023). </w:t>
      </w:r>
    </w:p>
    <w:p w14:paraId="4530FE38" w14:textId="77777777" w:rsidR="00FA2F34" w:rsidRPr="00A425B4" w:rsidRDefault="00FA2F34" w:rsidP="00FA2F34">
      <w:pPr>
        <w:rPr>
          <w:rFonts w:ascii="Arial" w:hAnsi="Arial" w:cs="Arial"/>
          <w:color w:val="000000" w:themeColor="text1"/>
          <w:sz w:val="24"/>
          <w:szCs w:val="24"/>
        </w:rPr>
      </w:pPr>
      <w:r w:rsidRPr="00A425B4">
        <w:rPr>
          <w:rFonts w:ascii="Arial" w:hAnsi="Arial" w:cs="Arial"/>
          <w:color w:val="000000" w:themeColor="text1"/>
          <w:sz w:val="24"/>
          <w:szCs w:val="24"/>
        </w:rPr>
        <w:t xml:space="preserve">During EMDR sessions, the child is guided to focus on a traumatic memory while simultaneously engaging in a form of stimulation, often through eye movements or tapping (Shapiro and Solomon, 2017). This process can help the brain reprocess the memory, reducing its emotional intensity and the distress it causes in daily life (Shapiro and Solomon, 2017). Research indicates that EMDR is effective for treating trauma in children and adolescents, helping to decrease symptoms such as intrusive </w:t>
      </w:r>
      <w:r w:rsidRPr="00A425B4">
        <w:rPr>
          <w:rFonts w:ascii="Arial" w:hAnsi="Arial" w:cs="Arial"/>
          <w:color w:val="000000" w:themeColor="text1"/>
          <w:sz w:val="24"/>
          <w:szCs w:val="24"/>
        </w:rPr>
        <w:lastRenderedPageBreak/>
        <w:t>thoughts, nightmares, avoidance, and hyperarousal (Verardo and Cioccolanti, 2017). However, it should only be introduced if a trained clinician determines it is appropriate and it is typically part of a broader, individualised therapeutic plan (Hase, 2021).</w:t>
      </w:r>
    </w:p>
    <w:p w14:paraId="1E4DE48C" w14:textId="77777777" w:rsidR="008E4050" w:rsidRPr="00A425B4" w:rsidRDefault="008E4050" w:rsidP="009868BD">
      <w:pPr>
        <w:rPr>
          <w:rFonts w:ascii="Arial" w:hAnsi="Arial" w:cs="Arial"/>
          <w:color w:val="000000" w:themeColor="text1"/>
          <w:sz w:val="24"/>
          <w:szCs w:val="24"/>
        </w:rPr>
      </w:pPr>
    </w:p>
    <w:p w14:paraId="60049F22" w14:textId="72A30FF7" w:rsidR="008E4050" w:rsidRPr="00A425B4" w:rsidRDefault="00315A10" w:rsidP="009868BD">
      <w:pPr>
        <w:rPr>
          <w:rFonts w:ascii="Arial" w:hAnsi="Arial" w:cs="Arial"/>
          <w:color w:val="000000" w:themeColor="text1"/>
          <w:sz w:val="24"/>
          <w:szCs w:val="24"/>
          <w:u w:val="single"/>
        </w:rPr>
      </w:pPr>
      <w:r w:rsidRPr="00A425B4">
        <w:rPr>
          <w:rFonts w:ascii="Arial" w:hAnsi="Arial" w:cs="Arial"/>
          <w:color w:val="000000" w:themeColor="text1"/>
          <w:sz w:val="24"/>
          <w:szCs w:val="24"/>
          <w:u w:val="single"/>
        </w:rPr>
        <w:t>Part 2</w:t>
      </w:r>
    </w:p>
    <w:p w14:paraId="7687E334" w14:textId="77777777" w:rsidR="00C24FF5" w:rsidRPr="00A425B4" w:rsidRDefault="00C24FF5" w:rsidP="00C24FF5">
      <w:pPr>
        <w:rPr>
          <w:rFonts w:ascii="Arial" w:hAnsi="Arial" w:cs="Arial"/>
          <w:b/>
          <w:bCs/>
          <w:color w:val="000000" w:themeColor="text1"/>
          <w:sz w:val="24"/>
          <w:szCs w:val="24"/>
        </w:rPr>
      </w:pPr>
    </w:p>
    <w:p w14:paraId="5624379A" w14:textId="77777777" w:rsidR="00C24FF5" w:rsidRPr="00A425B4" w:rsidRDefault="00C24FF5" w:rsidP="00C24FF5">
      <w:pPr>
        <w:rPr>
          <w:rFonts w:ascii="Arial" w:hAnsi="Arial" w:cs="Arial"/>
          <w:color w:val="000000" w:themeColor="text1"/>
          <w:sz w:val="24"/>
          <w:szCs w:val="24"/>
        </w:rPr>
      </w:pPr>
      <w:r w:rsidRPr="00A425B4">
        <w:rPr>
          <w:rFonts w:ascii="Arial" w:hAnsi="Arial" w:cs="Arial"/>
          <w:color w:val="000000" w:themeColor="text1"/>
          <w:sz w:val="24"/>
          <w:szCs w:val="24"/>
        </w:rPr>
        <w:t>Supporting Amira can be emotionally demanding and requires a high level of professional resilience. Practitioners who work closely with traumatised children are routinely exposed to distressing narratives and behaviours, making them vulnerable to vicarious trauma, secondary traumatic stress, burnout, and compassion fatigue (Ireland and Huxley, 2018). These risks are well-documented within social care, education, and therapeutic professions, highlighting the need for practitioners to prioritise self-care not only for their personal wellbeing but also to safeguard the consistency, quality, and sustainability of the support they provide (Lemon, 2025). Effective practitioner wellbeing is therefore central to trauma-informed practice.</w:t>
      </w:r>
    </w:p>
    <w:p w14:paraId="4675F692" w14:textId="77777777" w:rsidR="00C24FF5" w:rsidRPr="004E485C" w:rsidRDefault="00C24FF5" w:rsidP="00C24FF5">
      <w:pPr>
        <w:rPr>
          <w:rFonts w:ascii="Arial" w:hAnsi="Arial" w:cs="Arial"/>
          <w:color w:val="000000" w:themeColor="text1"/>
          <w:sz w:val="24"/>
          <w:szCs w:val="24"/>
        </w:rPr>
      </w:pPr>
      <w:r w:rsidRPr="004E485C">
        <w:rPr>
          <w:rFonts w:ascii="Arial" w:hAnsi="Arial" w:cs="Arial"/>
          <w:color w:val="000000" w:themeColor="text1"/>
          <w:sz w:val="24"/>
          <w:szCs w:val="24"/>
        </w:rPr>
        <w:t>Safeguarding work requires ongoing emotional effort, which can gradually deplete practitioners’ psychological resources. Regular exposure to accounts of abuse, neglect, and trauma</w:t>
      </w:r>
      <w:r w:rsidRPr="00A425B4">
        <w:rPr>
          <w:rFonts w:ascii="Arial" w:hAnsi="Arial" w:cs="Arial"/>
          <w:color w:val="000000" w:themeColor="text1"/>
          <w:sz w:val="24"/>
          <w:szCs w:val="24"/>
        </w:rPr>
        <w:t xml:space="preserve"> </w:t>
      </w:r>
      <w:r w:rsidRPr="004E485C">
        <w:rPr>
          <w:rFonts w:ascii="Arial" w:hAnsi="Arial" w:cs="Arial"/>
          <w:color w:val="000000" w:themeColor="text1"/>
          <w:sz w:val="24"/>
          <w:szCs w:val="24"/>
        </w:rPr>
        <w:t>combined with the responsibility to respond ethically and effectively</w:t>
      </w:r>
      <w:r w:rsidRPr="00A425B4">
        <w:rPr>
          <w:rFonts w:ascii="Arial" w:hAnsi="Arial" w:cs="Arial"/>
          <w:color w:val="000000" w:themeColor="text1"/>
          <w:sz w:val="24"/>
          <w:szCs w:val="24"/>
        </w:rPr>
        <w:t xml:space="preserve"> </w:t>
      </w:r>
      <w:r w:rsidRPr="004E485C">
        <w:rPr>
          <w:rFonts w:ascii="Arial" w:hAnsi="Arial" w:cs="Arial"/>
          <w:color w:val="000000" w:themeColor="text1"/>
          <w:sz w:val="24"/>
          <w:szCs w:val="24"/>
        </w:rPr>
        <w:t xml:space="preserve">can be demanding even for highly skilled professionals </w:t>
      </w:r>
      <w:r w:rsidRPr="00A425B4">
        <w:rPr>
          <w:rFonts w:ascii="Arial" w:hAnsi="Arial" w:cs="Arial"/>
          <w:color w:val="000000" w:themeColor="text1"/>
          <w:sz w:val="24"/>
          <w:szCs w:val="24"/>
        </w:rPr>
        <w:t xml:space="preserve">(Cook et al., 2019). </w:t>
      </w:r>
      <w:r w:rsidRPr="004E485C">
        <w:rPr>
          <w:rFonts w:ascii="Arial" w:hAnsi="Arial" w:cs="Arial"/>
          <w:color w:val="000000" w:themeColor="text1"/>
          <w:sz w:val="24"/>
          <w:szCs w:val="24"/>
        </w:rPr>
        <w:t>When practitioners do not engage in adequate self-care, they may find it harder to stay emotionally regulated, empathetic, and reflective. This can negatively affect their decision-making and the quality of their therapeutic practice (Figley, 2002).</w:t>
      </w:r>
    </w:p>
    <w:p w14:paraId="368120E5" w14:textId="77777777" w:rsidR="00C24FF5" w:rsidRPr="00A425B4" w:rsidRDefault="00C24FF5" w:rsidP="00C24FF5">
      <w:pPr>
        <w:rPr>
          <w:rFonts w:ascii="Arial" w:hAnsi="Arial" w:cs="Arial"/>
          <w:color w:val="000000" w:themeColor="text1"/>
          <w:sz w:val="24"/>
          <w:szCs w:val="24"/>
        </w:rPr>
      </w:pPr>
      <w:r w:rsidRPr="004E485C">
        <w:rPr>
          <w:rFonts w:ascii="Arial" w:hAnsi="Arial" w:cs="Arial"/>
          <w:color w:val="000000" w:themeColor="text1"/>
          <w:sz w:val="24"/>
          <w:szCs w:val="24"/>
        </w:rPr>
        <w:t xml:space="preserve">Burnout can develop gradually and may appear through chronic tiredness, reduced concentration, irritability, emotional numbing, or a declining sense of professional competence </w:t>
      </w:r>
      <w:r w:rsidRPr="00A425B4">
        <w:rPr>
          <w:rFonts w:ascii="Arial" w:hAnsi="Arial" w:cs="Arial"/>
          <w:color w:val="000000" w:themeColor="text1"/>
          <w:sz w:val="24"/>
          <w:szCs w:val="24"/>
        </w:rPr>
        <w:t xml:space="preserve">(Maslach and Leiter, 2016). </w:t>
      </w:r>
      <w:r w:rsidRPr="004E485C">
        <w:rPr>
          <w:rFonts w:ascii="Arial" w:hAnsi="Arial" w:cs="Arial"/>
          <w:color w:val="000000" w:themeColor="text1"/>
          <w:sz w:val="24"/>
          <w:szCs w:val="24"/>
        </w:rPr>
        <w:t>Over time, these symptoms can create emotional distance, limiting a practitioner’s capacity to build trusting relationships with vulnerable children</w:t>
      </w:r>
      <w:r w:rsidRPr="00A425B4">
        <w:rPr>
          <w:rFonts w:ascii="Arial" w:hAnsi="Arial" w:cs="Arial"/>
          <w:color w:val="000000" w:themeColor="text1"/>
          <w:sz w:val="24"/>
          <w:szCs w:val="24"/>
        </w:rPr>
        <w:t xml:space="preserve"> (Maslach and Leiter, 2016). For Amira, who needs stable and emotionally consistent adults to support her recovery, a practitioner’s burnout can directly weaken the therapeutic relationship.</w:t>
      </w:r>
    </w:p>
    <w:p w14:paraId="12D7D393" w14:textId="77777777" w:rsidR="00C24FF5" w:rsidRPr="00A425B4" w:rsidRDefault="00C24FF5" w:rsidP="00C24FF5">
      <w:pPr>
        <w:rPr>
          <w:rFonts w:ascii="Arial" w:hAnsi="Arial" w:cs="Arial"/>
          <w:color w:val="000000" w:themeColor="text1"/>
          <w:sz w:val="24"/>
          <w:szCs w:val="24"/>
        </w:rPr>
      </w:pPr>
      <w:r w:rsidRPr="00C87297">
        <w:rPr>
          <w:rFonts w:ascii="Arial" w:hAnsi="Arial" w:cs="Arial"/>
          <w:color w:val="000000" w:themeColor="text1"/>
          <w:sz w:val="24"/>
          <w:szCs w:val="24"/>
        </w:rPr>
        <w:t>In Wales, professional codes of conduct emphasise that practitioners have a responsibility to maintain their fitness to practise. Social Care Wales, through the Code of Professional Practice for Social Care and the fitness-to-practise requirements set out under the Regulation and Inspection of Social Care (Wales) Act 2016, highlights the expectation that workers manage their own health and wellbeing to ensure they can practise safely and effectively (Social Care Wales, 2017; Regulation and Inspection of Social Care (Wales) Act 2016).</w:t>
      </w:r>
    </w:p>
    <w:p w14:paraId="7CDC74D5" w14:textId="7DF9DA50" w:rsidR="00C24FF5" w:rsidRPr="00A425B4" w:rsidRDefault="00C24FF5" w:rsidP="00C24FF5">
      <w:pPr>
        <w:rPr>
          <w:rFonts w:ascii="Arial" w:hAnsi="Arial" w:cs="Arial"/>
          <w:color w:val="000000" w:themeColor="text1"/>
          <w:sz w:val="24"/>
          <w:szCs w:val="24"/>
        </w:rPr>
      </w:pPr>
      <w:r w:rsidRPr="00C87297">
        <w:rPr>
          <w:rFonts w:ascii="Arial" w:hAnsi="Arial" w:cs="Arial"/>
          <w:color w:val="000000" w:themeColor="text1"/>
          <w:sz w:val="24"/>
          <w:szCs w:val="24"/>
        </w:rPr>
        <w:t xml:space="preserve">Similarly, the Education Workforce Council’s Code of Professional Conduct and Practice </w:t>
      </w:r>
      <w:r w:rsidRPr="00A425B4">
        <w:rPr>
          <w:rFonts w:ascii="Arial" w:hAnsi="Arial" w:cs="Arial"/>
          <w:color w:val="000000" w:themeColor="text1"/>
          <w:sz w:val="24"/>
          <w:szCs w:val="24"/>
        </w:rPr>
        <w:t>require</w:t>
      </w:r>
      <w:r w:rsidR="00BC51AA">
        <w:rPr>
          <w:rFonts w:ascii="Arial" w:hAnsi="Arial" w:cs="Arial"/>
          <w:color w:val="000000" w:themeColor="text1"/>
          <w:sz w:val="24"/>
          <w:szCs w:val="24"/>
        </w:rPr>
        <w:t xml:space="preserve">s </w:t>
      </w:r>
      <w:r w:rsidRPr="00C87297">
        <w:rPr>
          <w:rFonts w:ascii="Arial" w:hAnsi="Arial" w:cs="Arial"/>
          <w:color w:val="000000" w:themeColor="text1"/>
          <w:sz w:val="24"/>
          <w:szCs w:val="24"/>
        </w:rPr>
        <w:t xml:space="preserve">registered practitioners to take responsibility for their personal wellbeing as part of maintaining professional standards (Education Workforce </w:t>
      </w:r>
      <w:r w:rsidRPr="00C87297">
        <w:rPr>
          <w:rFonts w:ascii="Arial" w:hAnsi="Arial" w:cs="Arial"/>
          <w:color w:val="000000" w:themeColor="text1"/>
          <w:sz w:val="24"/>
          <w:szCs w:val="24"/>
        </w:rPr>
        <w:lastRenderedPageBreak/>
        <w:t>Council, 2021). Self</w:t>
      </w:r>
      <w:r w:rsidRPr="00A425B4">
        <w:rPr>
          <w:rFonts w:ascii="Arial" w:hAnsi="Arial" w:cs="Arial"/>
          <w:color w:val="000000" w:themeColor="text1"/>
          <w:sz w:val="24"/>
          <w:szCs w:val="24"/>
        </w:rPr>
        <w:t>-</w:t>
      </w:r>
      <w:r w:rsidRPr="00C87297">
        <w:rPr>
          <w:rFonts w:ascii="Arial" w:hAnsi="Arial" w:cs="Arial"/>
          <w:color w:val="000000" w:themeColor="text1"/>
          <w:sz w:val="24"/>
          <w:szCs w:val="24"/>
        </w:rPr>
        <w:t>care is therefore not a luxury but an essential component of ethical and accountable professional practice in Wales.</w:t>
      </w:r>
    </w:p>
    <w:p w14:paraId="2BCA593A" w14:textId="77777777" w:rsidR="00A73A03" w:rsidRPr="00A425B4" w:rsidRDefault="00A73A03" w:rsidP="00A73A03">
      <w:pPr>
        <w:tabs>
          <w:tab w:val="left" w:pos="3907"/>
        </w:tabs>
        <w:rPr>
          <w:rFonts w:ascii="Arial" w:hAnsi="Arial" w:cs="Arial"/>
          <w:color w:val="000000" w:themeColor="text1"/>
          <w:sz w:val="24"/>
          <w:szCs w:val="24"/>
        </w:rPr>
      </w:pPr>
      <w:r w:rsidRPr="00C87297">
        <w:rPr>
          <w:rFonts w:ascii="Arial" w:hAnsi="Arial" w:cs="Arial"/>
          <w:color w:val="000000" w:themeColor="text1"/>
          <w:sz w:val="24"/>
          <w:szCs w:val="24"/>
        </w:rPr>
        <w:t>Although most people agree that self-care is important, it is often overlooked in caring professions</w:t>
      </w:r>
      <w:r w:rsidRPr="00A425B4">
        <w:rPr>
          <w:rFonts w:ascii="Arial" w:hAnsi="Arial" w:cs="Arial"/>
          <w:color w:val="000000" w:themeColor="text1"/>
          <w:sz w:val="24"/>
          <w:szCs w:val="24"/>
        </w:rPr>
        <w:t xml:space="preserve"> (Collins, 2021). </w:t>
      </w:r>
      <w:r w:rsidRPr="00C87297">
        <w:rPr>
          <w:rFonts w:ascii="Arial" w:hAnsi="Arial" w:cs="Arial"/>
          <w:color w:val="000000" w:themeColor="text1"/>
          <w:sz w:val="24"/>
          <w:szCs w:val="24"/>
        </w:rPr>
        <w:t>Heavy workloads, staff shortages, paperwork, and organisational demands leave practitioners with little time or energy to look after their own wellbeing</w:t>
      </w:r>
      <w:r w:rsidRPr="00A425B4">
        <w:rPr>
          <w:rFonts w:ascii="Arial" w:hAnsi="Arial" w:cs="Arial"/>
          <w:color w:val="000000" w:themeColor="text1"/>
          <w:sz w:val="24"/>
          <w:szCs w:val="24"/>
        </w:rPr>
        <w:t xml:space="preserve"> (Dominic et al., 2021). </w:t>
      </w:r>
      <w:r w:rsidRPr="00C87297">
        <w:rPr>
          <w:rFonts w:ascii="Arial" w:hAnsi="Arial" w:cs="Arial"/>
          <w:color w:val="000000" w:themeColor="text1"/>
          <w:sz w:val="24"/>
          <w:szCs w:val="24"/>
        </w:rPr>
        <w:t>Many also feel pressure to be endlessly resilient, believing they must keep going even when they are emotionally exhausted</w:t>
      </w:r>
      <w:r w:rsidRPr="00A425B4">
        <w:rPr>
          <w:rFonts w:ascii="Arial" w:hAnsi="Arial" w:cs="Arial"/>
          <w:color w:val="000000" w:themeColor="text1"/>
          <w:sz w:val="24"/>
          <w:szCs w:val="24"/>
        </w:rPr>
        <w:t xml:space="preserve"> (Eva, 2022). </w:t>
      </w:r>
      <w:r w:rsidRPr="00C87297">
        <w:rPr>
          <w:rFonts w:ascii="Arial" w:hAnsi="Arial" w:cs="Arial"/>
          <w:color w:val="000000" w:themeColor="text1"/>
          <w:sz w:val="24"/>
          <w:szCs w:val="24"/>
        </w:rPr>
        <w:t>Workplace culture plays a role too. In many safeguarding environments</w:t>
      </w:r>
      <w:r w:rsidRPr="00A425B4">
        <w:rPr>
          <w:rFonts w:ascii="Arial" w:hAnsi="Arial" w:cs="Arial"/>
          <w:color w:val="000000" w:themeColor="text1"/>
          <w:sz w:val="24"/>
          <w:szCs w:val="24"/>
        </w:rPr>
        <w:t xml:space="preserve"> </w:t>
      </w:r>
      <w:r w:rsidRPr="00C87297">
        <w:rPr>
          <w:rFonts w:ascii="Arial" w:hAnsi="Arial" w:cs="Arial"/>
          <w:color w:val="000000" w:themeColor="text1"/>
          <w:sz w:val="24"/>
          <w:szCs w:val="24"/>
        </w:rPr>
        <w:t>there is an unspoken expectation to stay strong and composed</w:t>
      </w:r>
      <w:r w:rsidRPr="00A425B4">
        <w:rPr>
          <w:rFonts w:ascii="Arial" w:hAnsi="Arial" w:cs="Arial"/>
          <w:color w:val="000000" w:themeColor="text1"/>
          <w:sz w:val="24"/>
          <w:szCs w:val="24"/>
        </w:rPr>
        <w:t xml:space="preserve"> </w:t>
      </w:r>
      <w:r w:rsidRPr="00C87297">
        <w:rPr>
          <w:rFonts w:ascii="Arial" w:hAnsi="Arial" w:cs="Arial"/>
          <w:color w:val="000000" w:themeColor="text1"/>
          <w:sz w:val="24"/>
          <w:szCs w:val="24"/>
        </w:rPr>
        <w:t>which can stop practitioners from showing vulnerability</w:t>
      </w:r>
      <w:r w:rsidRPr="00A425B4">
        <w:rPr>
          <w:rFonts w:ascii="Arial" w:hAnsi="Arial" w:cs="Arial"/>
          <w:color w:val="000000" w:themeColor="text1"/>
          <w:sz w:val="24"/>
          <w:szCs w:val="24"/>
        </w:rPr>
        <w:t xml:space="preserve"> (Russell, 2023). </w:t>
      </w:r>
    </w:p>
    <w:p w14:paraId="0CCDC83C" w14:textId="77777777" w:rsidR="00A73A03" w:rsidRPr="00C87297" w:rsidRDefault="00A73A03" w:rsidP="00A73A03">
      <w:pPr>
        <w:tabs>
          <w:tab w:val="left" w:pos="3907"/>
        </w:tabs>
        <w:rPr>
          <w:rFonts w:ascii="Arial" w:hAnsi="Arial" w:cs="Arial"/>
          <w:color w:val="000000" w:themeColor="text1"/>
          <w:sz w:val="24"/>
          <w:szCs w:val="24"/>
        </w:rPr>
      </w:pPr>
      <w:r w:rsidRPr="00C87297">
        <w:rPr>
          <w:rFonts w:ascii="Arial" w:hAnsi="Arial" w:cs="Arial"/>
          <w:color w:val="000000" w:themeColor="text1"/>
          <w:sz w:val="24"/>
          <w:szCs w:val="24"/>
        </w:rPr>
        <w:t>Admitting emotional strain can be wrongly viewed as a sign of weakness or poor competence. Practitioners may also feel guilty about putting their own needs first when they work with children and families who are experiencing significant hardship</w:t>
      </w:r>
      <w:r w:rsidRPr="00A425B4">
        <w:rPr>
          <w:rFonts w:ascii="Arial" w:hAnsi="Arial" w:cs="Arial"/>
          <w:color w:val="000000" w:themeColor="text1"/>
          <w:sz w:val="24"/>
          <w:szCs w:val="24"/>
        </w:rPr>
        <w:t xml:space="preserve"> (Dore et al., 2024). </w:t>
      </w:r>
      <w:r w:rsidRPr="00C87297">
        <w:rPr>
          <w:rFonts w:ascii="Arial" w:hAnsi="Arial" w:cs="Arial"/>
          <w:color w:val="000000" w:themeColor="text1"/>
          <w:sz w:val="24"/>
          <w:szCs w:val="24"/>
        </w:rPr>
        <w:t>Together, these pressures create a culture where emotions are pushed aside or seen as part of the job.</w:t>
      </w:r>
      <w:r w:rsidRPr="00A425B4">
        <w:rPr>
          <w:rFonts w:ascii="Arial" w:hAnsi="Arial" w:cs="Arial"/>
          <w:color w:val="000000" w:themeColor="text1"/>
          <w:sz w:val="24"/>
          <w:szCs w:val="24"/>
        </w:rPr>
        <w:t xml:space="preserve"> T</w:t>
      </w:r>
      <w:r w:rsidRPr="00C87297">
        <w:rPr>
          <w:rFonts w:ascii="Arial" w:hAnsi="Arial" w:cs="Arial"/>
          <w:color w:val="000000" w:themeColor="text1"/>
          <w:sz w:val="24"/>
          <w:szCs w:val="24"/>
        </w:rPr>
        <w:t>his can worsen</w:t>
      </w:r>
      <w:r w:rsidRPr="00A425B4">
        <w:rPr>
          <w:rFonts w:ascii="Arial" w:hAnsi="Arial" w:cs="Arial"/>
          <w:color w:val="000000" w:themeColor="text1"/>
          <w:sz w:val="24"/>
          <w:szCs w:val="24"/>
        </w:rPr>
        <w:t xml:space="preserve"> over time because</w:t>
      </w:r>
      <w:r w:rsidRPr="00C87297">
        <w:rPr>
          <w:rFonts w:ascii="Arial" w:hAnsi="Arial" w:cs="Arial"/>
          <w:color w:val="000000" w:themeColor="text1"/>
          <w:sz w:val="24"/>
          <w:szCs w:val="24"/>
        </w:rPr>
        <w:t xml:space="preserve"> of vicarious trauma</w:t>
      </w:r>
      <w:r w:rsidRPr="00A425B4">
        <w:rPr>
          <w:rFonts w:ascii="Arial" w:hAnsi="Arial" w:cs="Arial"/>
          <w:color w:val="000000" w:themeColor="text1"/>
          <w:sz w:val="24"/>
          <w:szCs w:val="24"/>
        </w:rPr>
        <w:t xml:space="preserve">, </w:t>
      </w:r>
      <w:r w:rsidRPr="00C87297">
        <w:rPr>
          <w:rFonts w:ascii="Arial" w:hAnsi="Arial" w:cs="Arial"/>
          <w:color w:val="000000" w:themeColor="text1"/>
          <w:sz w:val="24"/>
          <w:szCs w:val="24"/>
        </w:rPr>
        <w:t>increase staff turnover and weaken the effectiveness of trauma-informed practice</w:t>
      </w:r>
      <w:r w:rsidRPr="00A425B4">
        <w:rPr>
          <w:rFonts w:ascii="Arial" w:hAnsi="Arial" w:cs="Arial"/>
          <w:color w:val="000000" w:themeColor="text1"/>
          <w:sz w:val="24"/>
          <w:szCs w:val="24"/>
        </w:rPr>
        <w:t xml:space="preserve"> (Dore et al., 2024).</w:t>
      </w:r>
    </w:p>
    <w:p w14:paraId="3C0972E4" w14:textId="77777777" w:rsidR="00B6064C" w:rsidRPr="00BA0252" w:rsidRDefault="00B6064C" w:rsidP="00B6064C">
      <w:pPr>
        <w:rPr>
          <w:rFonts w:ascii="Arial" w:hAnsi="Arial" w:cs="Arial"/>
          <w:color w:val="000000" w:themeColor="text1"/>
          <w:sz w:val="24"/>
          <w:szCs w:val="24"/>
        </w:rPr>
      </w:pPr>
      <w:r w:rsidRPr="00BA0252">
        <w:rPr>
          <w:rFonts w:ascii="Arial" w:hAnsi="Arial" w:cs="Arial"/>
          <w:color w:val="000000" w:themeColor="text1"/>
          <w:sz w:val="24"/>
          <w:szCs w:val="24"/>
        </w:rPr>
        <w:t xml:space="preserve">Reflective models, such as Gibbs’ Reflective Cycle (1988), provide a structured framework for practitioners to process emotionally challenging events including being the first person to whom a child discloses neglect. </w:t>
      </w:r>
      <w:r w:rsidRPr="00A425B4">
        <w:rPr>
          <w:rFonts w:ascii="Arial" w:hAnsi="Arial" w:cs="Arial"/>
          <w:color w:val="000000" w:themeColor="text1"/>
          <w:sz w:val="24"/>
          <w:szCs w:val="24"/>
        </w:rPr>
        <w:t xml:space="preserve">These </w:t>
      </w:r>
      <w:r w:rsidRPr="00BA0252">
        <w:rPr>
          <w:rFonts w:ascii="Arial" w:hAnsi="Arial" w:cs="Arial"/>
          <w:color w:val="000000" w:themeColor="text1"/>
          <w:sz w:val="24"/>
          <w:szCs w:val="24"/>
        </w:rPr>
        <w:t>frameworks are particularly valuable in safeguarding practice</w:t>
      </w:r>
      <w:r w:rsidRPr="00A425B4">
        <w:rPr>
          <w:rFonts w:ascii="Arial" w:hAnsi="Arial" w:cs="Arial"/>
          <w:color w:val="000000" w:themeColor="text1"/>
          <w:sz w:val="24"/>
          <w:szCs w:val="24"/>
        </w:rPr>
        <w:t xml:space="preserve"> </w:t>
      </w:r>
      <w:r w:rsidRPr="00BA0252">
        <w:rPr>
          <w:rFonts w:ascii="Arial" w:hAnsi="Arial" w:cs="Arial"/>
          <w:color w:val="000000" w:themeColor="text1"/>
          <w:sz w:val="24"/>
          <w:szCs w:val="24"/>
        </w:rPr>
        <w:t>where professionals frequently encounter emotionally charged situations that require both immediate response and reflective learning</w:t>
      </w:r>
      <w:r w:rsidRPr="00A425B4">
        <w:rPr>
          <w:rFonts w:ascii="Arial" w:hAnsi="Arial" w:cs="Arial"/>
          <w:color w:val="000000" w:themeColor="text1"/>
          <w:sz w:val="24"/>
          <w:szCs w:val="24"/>
        </w:rPr>
        <w:t xml:space="preserve"> (Dhaliwal et al., 2018). </w:t>
      </w:r>
      <w:r w:rsidRPr="00BA0252">
        <w:rPr>
          <w:rFonts w:ascii="Arial" w:hAnsi="Arial" w:cs="Arial"/>
          <w:color w:val="000000" w:themeColor="text1"/>
          <w:sz w:val="24"/>
          <w:szCs w:val="24"/>
        </w:rPr>
        <w:t>Gibbs’ model encourages practitioners to systematically explore experiences, feelings, evaluations, analyses, and action plans, promoting both personal and professional development</w:t>
      </w:r>
      <w:r w:rsidRPr="00A425B4">
        <w:rPr>
          <w:rFonts w:ascii="Arial" w:hAnsi="Arial" w:cs="Arial"/>
          <w:color w:val="000000" w:themeColor="text1"/>
          <w:sz w:val="24"/>
          <w:szCs w:val="24"/>
        </w:rPr>
        <w:t xml:space="preserve"> (</w:t>
      </w:r>
      <w:proofErr w:type="spellStart"/>
      <w:r w:rsidRPr="00A425B4">
        <w:rPr>
          <w:rFonts w:ascii="Arial" w:hAnsi="Arial" w:cs="Arial"/>
          <w:color w:val="000000" w:themeColor="text1"/>
          <w:sz w:val="24"/>
          <w:szCs w:val="24"/>
        </w:rPr>
        <w:t>Masharipova</w:t>
      </w:r>
      <w:proofErr w:type="spellEnd"/>
      <w:r w:rsidRPr="00A425B4">
        <w:rPr>
          <w:rFonts w:ascii="Arial" w:hAnsi="Arial" w:cs="Arial"/>
          <w:color w:val="000000" w:themeColor="text1"/>
          <w:sz w:val="24"/>
          <w:szCs w:val="24"/>
        </w:rPr>
        <w:t>, 2025).</w:t>
      </w:r>
    </w:p>
    <w:p w14:paraId="518964C7" w14:textId="77777777" w:rsidR="00B6064C" w:rsidRPr="00BA0252" w:rsidRDefault="00B6064C" w:rsidP="00B6064C">
      <w:pPr>
        <w:rPr>
          <w:rFonts w:ascii="Arial" w:hAnsi="Arial" w:cs="Arial"/>
          <w:color w:val="000000" w:themeColor="text1"/>
          <w:sz w:val="24"/>
          <w:szCs w:val="24"/>
        </w:rPr>
      </w:pPr>
      <w:r w:rsidRPr="00BA0252">
        <w:rPr>
          <w:rFonts w:ascii="Arial" w:hAnsi="Arial" w:cs="Arial"/>
          <w:color w:val="000000" w:themeColor="text1"/>
          <w:sz w:val="24"/>
          <w:szCs w:val="24"/>
        </w:rPr>
        <w:t>The first stage of Gibbs’ cycle, Description and Feelings, involves acknowledging emotional reactions upon receiving a disclosure. Practitioners may experience shock, sadness, anger, guilt, or protectiveness</w:t>
      </w:r>
      <w:r w:rsidRPr="00A425B4">
        <w:rPr>
          <w:rFonts w:ascii="Arial" w:hAnsi="Arial" w:cs="Arial"/>
          <w:color w:val="000000" w:themeColor="text1"/>
          <w:sz w:val="24"/>
          <w:szCs w:val="24"/>
        </w:rPr>
        <w:t xml:space="preserve"> </w:t>
      </w:r>
      <w:r w:rsidRPr="00BA0252">
        <w:rPr>
          <w:rFonts w:ascii="Arial" w:hAnsi="Arial" w:cs="Arial"/>
          <w:color w:val="000000" w:themeColor="text1"/>
          <w:sz w:val="24"/>
          <w:szCs w:val="24"/>
        </w:rPr>
        <w:t>reactions that are natural and underscore the human aspect of safeguarding work</w:t>
      </w:r>
      <w:r w:rsidRPr="00A425B4">
        <w:rPr>
          <w:rFonts w:ascii="Arial" w:hAnsi="Arial" w:cs="Arial"/>
          <w:color w:val="000000" w:themeColor="text1"/>
          <w:sz w:val="24"/>
          <w:szCs w:val="24"/>
        </w:rPr>
        <w:t xml:space="preserve"> (Sicora, 2025). </w:t>
      </w:r>
      <w:r w:rsidRPr="00BA0252">
        <w:rPr>
          <w:rFonts w:ascii="Arial" w:hAnsi="Arial" w:cs="Arial"/>
          <w:color w:val="000000" w:themeColor="text1"/>
          <w:sz w:val="24"/>
          <w:szCs w:val="24"/>
        </w:rPr>
        <w:t>Recognising and naming these emotions is critical, as unmanaged emotional responses can impact the practitioner’s ability to respond appropriately and empathetically to the child</w:t>
      </w:r>
      <w:r w:rsidRPr="00A425B4">
        <w:rPr>
          <w:rFonts w:ascii="Arial" w:hAnsi="Arial" w:cs="Arial"/>
          <w:color w:val="000000" w:themeColor="text1"/>
          <w:sz w:val="24"/>
          <w:szCs w:val="24"/>
        </w:rPr>
        <w:t xml:space="preserve"> (Hodgkins, 2025). </w:t>
      </w:r>
    </w:p>
    <w:p w14:paraId="1EEBF8DE" w14:textId="77777777" w:rsidR="00B6064C" w:rsidRPr="00BA0252" w:rsidRDefault="00B6064C" w:rsidP="00B6064C">
      <w:pPr>
        <w:rPr>
          <w:rFonts w:ascii="Arial" w:hAnsi="Arial" w:cs="Arial"/>
          <w:color w:val="000000" w:themeColor="text1"/>
          <w:sz w:val="24"/>
          <w:szCs w:val="24"/>
        </w:rPr>
      </w:pPr>
      <w:r w:rsidRPr="00BA0252">
        <w:rPr>
          <w:rFonts w:ascii="Arial" w:hAnsi="Arial" w:cs="Arial"/>
          <w:color w:val="000000" w:themeColor="text1"/>
          <w:sz w:val="24"/>
          <w:szCs w:val="24"/>
        </w:rPr>
        <w:t>The Evaluation stage allows practitioners to assess both strengths and areas for growth. Strengths might include remaining calm, validating the child’s experiences, and following safeguarding procedures</w:t>
      </w:r>
      <w:r w:rsidRPr="00A425B4">
        <w:rPr>
          <w:rFonts w:ascii="Arial" w:hAnsi="Arial" w:cs="Arial"/>
          <w:color w:val="000000" w:themeColor="text1"/>
          <w:sz w:val="24"/>
          <w:szCs w:val="24"/>
        </w:rPr>
        <w:t xml:space="preserve"> (Markkanen et al., 2020). </w:t>
      </w:r>
      <w:r w:rsidRPr="00BA0252">
        <w:rPr>
          <w:rFonts w:ascii="Arial" w:hAnsi="Arial" w:cs="Arial"/>
          <w:color w:val="000000" w:themeColor="text1"/>
          <w:sz w:val="24"/>
          <w:szCs w:val="24"/>
        </w:rPr>
        <w:t xml:space="preserve">Areas for development may involve managing internal emotional responses or recognising moments where personal anxiety influenced tone or body language. Through this process, practitioners gain insight into the effectiveness of their responses and identify opportunities to improve future practice </w:t>
      </w:r>
      <w:r w:rsidRPr="00A425B4">
        <w:rPr>
          <w:rFonts w:ascii="Arial" w:hAnsi="Arial" w:cs="Arial"/>
          <w:color w:val="000000" w:themeColor="text1"/>
          <w:sz w:val="24"/>
          <w:szCs w:val="24"/>
        </w:rPr>
        <w:t>(Bulman and Schutz, 2013). </w:t>
      </w:r>
    </w:p>
    <w:p w14:paraId="5DB71691" w14:textId="77777777" w:rsidR="00B6064C" w:rsidRPr="00BA0252" w:rsidRDefault="00B6064C" w:rsidP="00B6064C">
      <w:pPr>
        <w:rPr>
          <w:rFonts w:ascii="Arial" w:hAnsi="Arial" w:cs="Arial"/>
          <w:color w:val="000000" w:themeColor="text1"/>
          <w:sz w:val="24"/>
          <w:szCs w:val="24"/>
        </w:rPr>
      </w:pPr>
      <w:r w:rsidRPr="00BA0252">
        <w:rPr>
          <w:rFonts w:ascii="Arial" w:hAnsi="Arial" w:cs="Arial"/>
          <w:color w:val="000000" w:themeColor="text1"/>
          <w:sz w:val="24"/>
          <w:szCs w:val="24"/>
        </w:rPr>
        <w:t>Analysis involves examining why a practitioner responded in a particular way, considering factors such as countertransference, personal triggers, or unconscious biases</w:t>
      </w:r>
      <w:r w:rsidRPr="00A425B4">
        <w:rPr>
          <w:rFonts w:ascii="Arial" w:hAnsi="Arial" w:cs="Arial"/>
          <w:color w:val="000000" w:themeColor="text1"/>
          <w:sz w:val="24"/>
          <w:szCs w:val="24"/>
        </w:rPr>
        <w:t xml:space="preserve"> (Villavicencio, 2019). </w:t>
      </w:r>
      <w:r w:rsidRPr="00BA0252">
        <w:rPr>
          <w:rFonts w:ascii="Arial" w:hAnsi="Arial" w:cs="Arial"/>
          <w:color w:val="000000" w:themeColor="text1"/>
          <w:sz w:val="24"/>
          <w:szCs w:val="24"/>
        </w:rPr>
        <w:t>For instance, a practitioner with a history of childhood adversity may find a disclosure particularly activating</w:t>
      </w:r>
      <w:r w:rsidRPr="00A425B4">
        <w:rPr>
          <w:rFonts w:ascii="Arial" w:hAnsi="Arial" w:cs="Arial"/>
          <w:color w:val="000000" w:themeColor="text1"/>
          <w:sz w:val="24"/>
          <w:szCs w:val="24"/>
        </w:rPr>
        <w:t xml:space="preserve"> </w:t>
      </w:r>
      <w:r w:rsidRPr="00BA0252">
        <w:rPr>
          <w:rFonts w:ascii="Arial" w:hAnsi="Arial" w:cs="Arial"/>
          <w:color w:val="000000" w:themeColor="text1"/>
          <w:sz w:val="24"/>
          <w:szCs w:val="24"/>
        </w:rPr>
        <w:t xml:space="preserve">which could influence their </w:t>
      </w:r>
      <w:r w:rsidRPr="00BA0252">
        <w:rPr>
          <w:rFonts w:ascii="Arial" w:hAnsi="Arial" w:cs="Arial"/>
          <w:color w:val="000000" w:themeColor="text1"/>
          <w:sz w:val="24"/>
          <w:szCs w:val="24"/>
        </w:rPr>
        <w:lastRenderedPageBreak/>
        <w:t xml:space="preserve">emotional responses or professional boundaries. Identifying these emotional resonances enables practitioners to maintain objectivity, avoid over-identification, and respond in a manner that prioritises the child’s wellbeing </w:t>
      </w:r>
      <w:r w:rsidRPr="00A425B4">
        <w:rPr>
          <w:rFonts w:ascii="Arial" w:hAnsi="Arial" w:cs="Arial"/>
          <w:color w:val="000000" w:themeColor="text1"/>
          <w:sz w:val="24"/>
          <w:szCs w:val="24"/>
        </w:rPr>
        <w:t>(</w:t>
      </w:r>
      <w:proofErr w:type="spellStart"/>
      <w:r w:rsidRPr="00A425B4">
        <w:rPr>
          <w:rFonts w:ascii="Arial" w:hAnsi="Arial" w:cs="Arial"/>
          <w:color w:val="000000" w:themeColor="text1"/>
          <w:sz w:val="24"/>
          <w:szCs w:val="24"/>
        </w:rPr>
        <w:t>Quilligan</w:t>
      </w:r>
      <w:proofErr w:type="spellEnd"/>
      <w:r w:rsidRPr="00A425B4">
        <w:rPr>
          <w:rFonts w:ascii="Arial" w:hAnsi="Arial" w:cs="Arial"/>
          <w:color w:val="000000" w:themeColor="text1"/>
          <w:sz w:val="24"/>
          <w:szCs w:val="24"/>
        </w:rPr>
        <w:t>, 2015).</w:t>
      </w:r>
    </w:p>
    <w:p w14:paraId="53E9A22D" w14:textId="77777777" w:rsidR="00B6064C" w:rsidRPr="00BA0252" w:rsidRDefault="00B6064C" w:rsidP="00B6064C">
      <w:pPr>
        <w:rPr>
          <w:rFonts w:ascii="Arial" w:hAnsi="Arial" w:cs="Arial"/>
          <w:color w:val="000000" w:themeColor="text1"/>
          <w:sz w:val="24"/>
          <w:szCs w:val="24"/>
        </w:rPr>
      </w:pPr>
      <w:r w:rsidRPr="00BA0252">
        <w:rPr>
          <w:rFonts w:ascii="Arial" w:hAnsi="Arial" w:cs="Arial"/>
          <w:color w:val="000000" w:themeColor="text1"/>
          <w:sz w:val="24"/>
          <w:szCs w:val="24"/>
        </w:rPr>
        <w:t>Finally, the Conclusion and Action Plan stage encourages practitioners to implement strategies to enhance future practice. These may include seeking reflective supervision, employing grounding or co-regulation techniques before and after emotionally intense interactions, developing scripts for managing disclosures, and engaging in ongoing professional development in trauma-informed practice</w:t>
      </w:r>
      <w:r w:rsidRPr="00A425B4">
        <w:rPr>
          <w:rFonts w:ascii="Arial" w:hAnsi="Arial" w:cs="Arial"/>
          <w:color w:val="000000" w:themeColor="text1"/>
          <w:sz w:val="24"/>
          <w:szCs w:val="24"/>
        </w:rPr>
        <w:t xml:space="preserve"> </w:t>
      </w:r>
      <w:r w:rsidRPr="00BA0252">
        <w:rPr>
          <w:rFonts w:ascii="Arial" w:hAnsi="Arial" w:cs="Arial"/>
          <w:color w:val="000000" w:themeColor="text1"/>
          <w:sz w:val="24"/>
          <w:szCs w:val="24"/>
        </w:rPr>
        <w:t>(Gibbs, 1988</w:t>
      </w:r>
      <w:r w:rsidRPr="00A425B4">
        <w:rPr>
          <w:rFonts w:ascii="Arial" w:hAnsi="Arial" w:cs="Arial"/>
          <w:color w:val="000000" w:themeColor="text1"/>
          <w:sz w:val="24"/>
          <w:szCs w:val="24"/>
        </w:rPr>
        <w:t xml:space="preserve">). </w:t>
      </w:r>
      <w:r w:rsidRPr="00BA0252">
        <w:rPr>
          <w:rFonts w:ascii="Arial" w:hAnsi="Arial" w:cs="Arial"/>
          <w:color w:val="000000" w:themeColor="text1"/>
          <w:sz w:val="24"/>
          <w:szCs w:val="24"/>
        </w:rPr>
        <w:t xml:space="preserve">By promoting structured reflection, emotional processing, and planned professional growth, Gibbs’ model supports practitioner resilience and helps maintain high standards of care in safeguarding contexts (Gibbs, 1988; Bulman </w:t>
      </w:r>
      <w:r w:rsidRPr="00A425B4">
        <w:rPr>
          <w:rFonts w:ascii="Arial" w:hAnsi="Arial" w:cs="Arial"/>
          <w:color w:val="000000" w:themeColor="text1"/>
          <w:sz w:val="24"/>
          <w:szCs w:val="24"/>
        </w:rPr>
        <w:t xml:space="preserve">and </w:t>
      </w:r>
      <w:r w:rsidRPr="00BA0252">
        <w:rPr>
          <w:rFonts w:ascii="Arial" w:hAnsi="Arial" w:cs="Arial"/>
          <w:color w:val="000000" w:themeColor="text1"/>
          <w:sz w:val="24"/>
          <w:szCs w:val="24"/>
        </w:rPr>
        <w:t>Schutz, 2013).</w:t>
      </w:r>
    </w:p>
    <w:p w14:paraId="07BA7E88" w14:textId="77777777" w:rsidR="00037776" w:rsidRPr="00A425B4" w:rsidRDefault="00037776" w:rsidP="00037776">
      <w:pPr>
        <w:rPr>
          <w:rFonts w:ascii="Arial" w:hAnsi="Arial" w:cs="Arial"/>
          <w:color w:val="000000" w:themeColor="text1"/>
          <w:sz w:val="24"/>
          <w:szCs w:val="24"/>
        </w:rPr>
      </w:pPr>
      <w:r w:rsidRPr="00A425B4">
        <w:rPr>
          <w:rFonts w:ascii="Arial" w:hAnsi="Arial" w:cs="Arial"/>
          <w:color w:val="000000" w:themeColor="text1"/>
          <w:sz w:val="24"/>
          <w:szCs w:val="24"/>
        </w:rPr>
        <w:t>A trauma-informed workforce requires individual strategies to maintain wellbeing. Regular, high-quality reflective supervision is one of the most powerful protective factors against burnout and vicarious trauma. It provides a safe, confidential space for practitioners to explore emotional reactions, ethical dilemmas, and professional uncertainties (Davys and Beddoe, 2020). Effective supervision promotes self-awareness, supports emotional regulation, and reinforces the practitioner’s sense of professional identity and competence (Pote et al., 2024).</w:t>
      </w:r>
    </w:p>
    <w:p w14:paraId="1894DC02" w14:textId="77777777" w:rsidR="00037776" w:rsidRPr="00947437" w:rsidRDefault="00037776" w:rsidP="00037776">
      <w:pPr>
        <w:rPr>
          <w:rFonts w:ascii="Arial" w:hAnsi="Arial" w:cs="Arial"/>
          <w:color w:val="000000" w:themeColor="text1"/>
          <w:sz w:val="24"/>
          <w:szCs w:val="24"/>
        </w:rPr>
      </w:pPr>
      <w:r w:rsidRPr="00A425B4">
        <w:rPr>
          <w:rFonts w:ascii="Arial" w:hAnsi="Arial" w:cs="Arial"/>
          <w:color w:val="000000" w:themeColor="text1"/>
          <w:sz w:val="24"/>
          <w:szCs w:val="24"/>
        </w:rPr>
        <w:t xml:space="preserve">Mindfulness practices such as breathwork, sensory grounding, or short meditative pauses can help practitioners regulate their nervous system and remain present during challenging conversations (Moore-Whidby, 2025). These strategies support the development of physiological resilience and reduce the cumulative effects of stress. Self-compassion encourages practitioners to respond to their own struggles with kindness rather than self-criticism reducing the likelihood of compassion fatigue (Beaumont et al. 2016). Sharing concerns and reflecting on difficult experiences with colleagues reduces isolation and normalises emotional responses. Peer support promotes a sense of belonging and psychological safety, which are essential in roles that involve exposure to trauma (Peddie et al., 2025). </w:t>
      </w:r>
      <w:r w:rsidRPr="00947437">
        <w:rPr>
          <w:rFonts w:ascii="Arial" w:hAnsi="Arial" w:cs="Arial"/>
          <w:color w:val="000000" w:themeColor="text1"/>
          <w:sz w:val="24"/>
          <w:szCs w:val="24"/>
        </w:rPr>
        <w:t>Informal discussions, case consultations, and structured debriefings following safeguarding incidents can mitigate the risk of emotional overload. Establishing and maintaining professional boundaries safeguards practitioners from excessive emotional involvement</w:t>
      </w:r>
      <w:r w:rsidRPr="00A425B4">
        <w:rPr>
          <w:rFonts w:ascii="Arial" w:hAnsi="Arial" w:cs="Arial"/>
          <w:color w:val="000000" w:themeColor="text1"/>
          <w:sz w:val="24"/>
          <w:szCs w:val="24"/>
        </w:rPr>
        <w:t xml:space="preserve"> (Kay, 2024). </w:t>
      </w:r>
    </w:p>
    <w:p w14:paraId="21C8FFD6" w14:textId="77777777" w:rsidR="00037776" w:rsidRPr="00A425B4" w:rsidRDefault="00037776" w:rsidP="00037776">
      <w:pPr>
        <w:rPr>
          <w:rFonts w:ascii="Arial" w:hAnsi="Arial" w:cs="Arial"/>
          <w:color w:val="000000" w:themeColor="text1"/>
          <w:sz w:val="24"/>
          <w:szCs w:val="24"/>
        </w:rPr>
      </w:pPr>
      <w:r w:rsidRPr="00947437">
        <w:rPr>
          <w:rFonts w:ascii="Arial" w:hAnsi="Arial" w:cs="Arial"/>
          <w:color w:val="000000" w:themeColor="text1"/>
          <w:sz w:val="24"/>
          <w:szCs w:val="24"/>
        </w:rPr>
        <w:t>Informal discussions, case consultations, and structured debriefings following safeguarding or other critical incidents can reduce the risk of emotional overload among practitioners</w:t>
      </w:r>
      <w:r w:rsidRPr="00A425B4">
        <w:rPr>
          <w:rFonts w:ascii="Arial" w:hAnsi="Arial" w:cs="Arial"/>
          <w:color w:val="000000" w:themeColor="text1"/>
          <w:sz w:val="24"/>
          <w:szCs w:val="24"/>
        </w:rPr>
        <w:t xml:space="preserve"> (Cantu and Thomas, 2020). </w:t>
      </w:r>
      <w:r w:rsidRPr="00947437">
        <w:rPr>
          <w:rFonts w:ascii="Arial" w:hAnsi="Arial" w:cs="Arial"/>
          <w:color w:val="000000" w:themeColor="text1"/>
          <w:sz w:val="24"/>
          <w:szCs w:val="24"/>
        </w:rPr>
        <w:t>Professional supervision and peer</w:t>
      </w:r>
      <w:r w:rsidRPr="00947437">
        <w:rPr>
          <w:rFonts w:ascii="Arial" w:hAnsi="Arial" w:cs="Arial"/>
          <w:color w:val="000000" w:themeColor="text1"/>
          <w:sz w:val="24"/>
          <w:szCs w:val="24"/>
        </w:rPr>
        <w:noBreakHyphen/>
        <w:t>supported debriefings play a crucial role in mitigating moral distress, supporting staff well</w:t>
      </w:r>
      <w:r w:rsidRPr="00947437">
        <w:rPr>
          <w:rFonts w:ascii="Arial" w:hAnsi="Arial" w:cs="Arial"/>
          <w:color w:val="000000" w:themeColor="text1"/>
          <w:sz w:val="24"/>
          <w:szCs w:val="24"/>
        </w:rPr>
        <w:noBreakHyphen/>
        <w:t>being, and reducing burnout</w:t>
      </w:r>
      <w:r w:rsidRPr="00A425B4">
        <w:rPr>
          <w:rFonts w:ascii="Arial" w:hAnsi="Arial" w:cs="Arial"/>
          <w:color w:val="000000" w:themeColor="text1"/>
          <w:sz w:val="24"/>
          <w:szCs w:val="24"/>
        </w:rPr>
        <w:t xml:space="preserve"> (Iosim et al., 2021). </w:t>
      </w:r>
      <w:r w:rsidRPr="00947437">
        <w:rPr>
          <w:rFonts w:ascii="Arial" w:hAnsi="Arial" w:cs="Arial"/>
          <w:color w:val="000000" w:themeColor="text1"/>
          <w:sz w:val="24"/>
          <w:szCs w:val="24"/>
        </w:rPr>
        <w:t>Establishing and maintaining clear professional boundaries helps protect practitioners from over-identifying with clients</w:t>
      </w:r>
      <w:r w:rsidRPr="00A425B4">
        <w:rPr>
          <w:rFonts w:ascii="Arial" w:hAnsi="Arial" w:cs="Arial"/>
          <w:color w:val="000000" w:themeColor="text1"/>
          <w:sz w:val="24"/>
          <w:szCs w:val="24"/>
        </w:rPr>
        <w:t xml:space="preserve"> </w:t>
      </w:r>
      <w:r w:rsidRPr="00947437">
        <w:rPr>
          <w:rFonts w:ascii="Arial" w:hAnsi="Arial" w:cs="Arial"/>
          <w:color w:val="000000" w:themeColor="text1"/>
          <w:sz w:val="24"/>
          <w:szCs w:val="24"/>
        </w:rPr>
        <w:t>guarding against compassion fatigue or vicarious trauma</w:t>
      </w:r>
      <w:r w:rsidRPr="00A425B4">
        <w:rPr>
          <w:rFonts w:ascii="Arial" w:hAnsi="Arial" w:cs="Arial"/>
          <w:color w:val="000000" w:themeColor="text1"/>
          <w:sz w:val="24"/>
          <w:szCs w:val="24"/>
        </w:rPr>
        <w:t xml:space="preserve"> (Support for Social Workers, 2025).</w:t>
      </w:r>
    </w:p>
    <w:p w14:paraId="370B76AE" w14:textId="77777777" w:rsidR="00037776" w:rsidRPr="00A425B4" w:rsidRDefault="00037776" w:rsidP="00037776">
      <w:pPr>
        <w:rPr>
          <w:rFonts w:ascii="Arial" w:hAnsi="Arial" w:cs="Arial"/>
          <w:color w:val="000000" w:themeColor="text1"/>
          <w:sz w:val="24"/>
          <w:szCs w:val="24"/>
        </w:rPr>
      </w:pPr>
      <w:r w:rsidRPr="00947437">
        <w:rPr>
          <w:rFonts w:ascii="Arial" w:hAnsi="Arial" w:cs="Arial"/>
          <w:color w:val="000000" w:themeColor="text1"/>
          <w:sz w:val="24"/>
          <w:szCs w:val="24"/>
        </w:rPr>
        <w:t xml:space="preserve">Recognising the limits of </w:t>
      </w:r>
      <w:r w:rsidRPr="00A425B4">
        <w:rPr>
          <w:rFonts w:ascii="Arial" w:hAnsi="Arial" w:cs="Arial"/>
          <w:color w:val="000000" w:themeColor="text1"/>
          <w:sz w:val="24"/>
          <w:szCs w:val="24"/>
        </w:rPr>
        <w:t>an individual’s</w:t>
      </w:r>
      <w:r w:rsidRPr="00947437">
        <w:rPr>
          <w:rFonts w:ascii="Arial" w:hAnsi="Arial" w:cs="Arial"/>
          <w:color w:val="000000" w:themeColor="text1"/>
          <w:sz w:val="24"/>
          <w:szCs w:val="24"/>
        </w:rPr>
        <w:t xml:space="preserve"> professional remit and understanding that one is part of a broader multi</w:t>
      </w:r>
      <w:r w:rsidRPr="00947437">
        <w:rPr>
          <w:rFonts w:ascii="Arial" w:hAnsi="Arial" w:cs="Arial"/>
          <w:color w:val="000000" w:themeColor="text1"/>
          <w:sz w:val="24"/>
          <w:szCs w:val="24"/>
        </w:rPr>
        <w:noBreakHyphen/>
        <w:t xml:space="preserve">agency context prevents practitioners from assuming undue personal responsibility for systemic issues which supports objectivity and </w:t>
      </w:r>
      <w:r w:rsidRPr="00947437">
        <w:rPr>
          <w:rFonts w:ascii="Arial" w:hAnsi="Arial" w:cs="Arial"/>
          <w:color w:val="000000" w:themeColor="text1"/>
          <w:sz w:val="24"/>
          <w:szCs w:val="24"/>
        </w:rPr>
        <w:lastRenderedPageBreak/>
        <w:t>preserves the emotional capacity required for sustained high-quality practice</w:t>
      </w:r>
      <w:r w:rsidRPr="00A425B4">
        <w:rPr>
          <w:rFonts w:ascii="Arial" w:hAnsi="Arial" w:cs="Arial"/>
          <w:color w:val="000000" w:themeColor="text1"/>
          <w:sz w:val="24"/>
          <w:szCs w:val="24"/>
        </w:rPr>
        <w:t xml:space="preserve"> (Research in Practice, 2017). </w:t>
      </w:r>
      <w:r w:rsidRPr="00947437">
        <w:rPr>
          <w:rFonts w:ascii="Arial" w:hAnsi="Arial" w:cs="Arial"/>
          <w:color w:val="000000" w:themeColor="text1"/>
          <w:sz w:val="24"/>
          <w:szCs w:val="24"/>
        </w:rPr>
        <w:t>Resilience is further enhanced by taking regular breaks from emotionally demanding work and engaging in self</w:t>
      </w:r>
      <w:r w:rsidRPr="00947437">
        <w:rPr>
          <w:rFonts w:ascii="Arial" w:hAnsi="Arial" w:cs="Arial"/>
          <w:color w:val="000000" w:themeColor="text1"/>
          <w:sz w:val="24"/>
          <w:szCs w:val="24"/>
        </w:rPr>
        <w:noBreakHyphen/>
        <w:t>care practices. Empirical evidence indicates that engagement in physical activity, creative hobbies, social connection, and other self</w:t>
      </w:r>
      <w:r w:rsidRPr="00947437">
        <w:rPr>
          <w:rFonts w:ascii="Arial" w:hAnsi="Arial" w:cs="Arial"/>
          <w:color w:val="000000" w:themeColor="text1"/>
          <w:sz w:val="24"/>
          <w:szCs w:val="24"/>
        </w:rPr>
        <w:noBreakHyphen/>
        <w:t>care practices correlates with reduced distress and improved mental well</w:t>
      </w:r>
      <w:r w:rsidRPr="00947437">
        <w:rPr>
          <w:rFonts w:ascii="Arial" w:hAnsi="Arial" w:cs="Arial"/>
          <w:color w:val="000000" w:themeColor="text1"/>
          <w:sz w:val="24"/>
          <w:szCs w:val="24"/>
        </w:rPr>
        <w:noBreakHyphen/>
        <w:t>being among healthcare and social care professionals</w:t>
      </w:r>
      <w:r w:rsidRPr="00A425B4">
        <w:rPr>
          <w:rFonts w:ascii="Arial" w:hAnsi="Arial" w:cs="Arial"/>
          <w:color w:val="000000" w:themeColor="text1"/>
          <w:sz w:val="24"/>
          <w:szCs w:val="24"/>
        </w:rPr>
        <w:t xml:space="preserve"> (</w:t>
      </w:r>
      <w:proofErr w:type="spellStart"/>
      <w:r w:rsidRPr="00A425B4">
        <w:rPr>
          <w:rFonts w:ascii="Arial" w:hAnsi="Arial" w:cs="Arial"/>
          <w:color w:val="000000" w:themeColor="text1"/>
          <w:sz w:val="24"/>
          <w:szCs w:val="24"/>
        </w:rPr>
        <w:t>Posluns</w:t>
      </w:r>
      <w:proofErr w:type="spellEnd"/>
      <w:r w:rsidRPr="00A425B4">
        <w:rPr>
          <w:rFonts w:ascii="Arial" w:hAnsi="Arial" w:cs="Arial"/>
          <w:color w:val="000000" w:themeColor="text1"/>
          <w:sz w:val="24"/>
          <w:szCs w:val="24"/>
        </w:rPr>
        <w:t xml:space="preserve"> and Gall, 2020). </w:t>
      </w:r>
      <w:r w:rsidRPr="00947437">
        <w:rPr>
          <w:rFonts w:ascii="Arial" w:hAnsi="Arial" w:cs="Arial"/>
          <w:color w:val="000000" w:themeColor="text1"/>
          <w:sz w:val="24"/>
          <w:szCs w:val="24"/>
        </w:rPr>
        <w:t>Moreover, early recognition of stress indicators such as irritability, exhaustion, or difficulties relaxing enables practitioners to take proactive steps to protect their mental health before burnout develops</w:t>
      </w:r>
      <w:r w:rsidRPr="00A425B4">
        <w:rPr>
          <w:rFonts w:ascii="Arial" w:hAnsi="Arial" w:cs="Arial"/>
          <w:color w:val="000000" w:themeColor="text1"/>
          <w:sz w:val="24"/>
          <w:szCs w:val="24"/>
        </w:rPr>
        <w:t xml:space="preserve"> (</w:t>
      </w:r>
      <w:proofErr w:type="spellStart"/>
      <w:r w:rsidRPr="00A425B4">
        <w:rPr>
          <w:rFonts w:ascii="Arial" w:hAnsi="Arial" w:cs="Arial"/>
          <w:color w:val="000000" w:themeColor="text1"/>
          <w:sz w:val="24"/>
          <w:szCs w:val="24"/>
        </w:rPr>
        <w:t>Posluns</w:t>
      </w:r>
      <w:proofErr w:type="spellEnd"/>
      <w:r w:rsidRPr="00A425B4">
        <w:rPr>
          <w:rFonts w:ascii="Arial" w:hAnsi="Arial" w:cs="Arial"/>
          <w:color w:val="000000" w:themeColor="text1"/>
          <w:sz w:val="24"/>
          <w:szCs w:val="24"/>
        </w:rPr>
        <w:t xml:space="preserve"> and Gall, 2020).</w:t>
      </w:r>
    </w:p>
    <w:p w14:paraId="2B6AC2F2" w14:textId="2969549D" w:rsidR="00A425B4" w:rsidRPr="00A425B4" w:rsidRDefault="00A425B4" w:rsidP="00A425B4">
      <w:pPr>
        <w:rPr>
          <w:rFonts w:ascii="Arial" w:hAnsi="Arial" w:cs="Arial"/>
          <w:color w:val="000000" w:themeColor="text1"/>
          <w:sz w:val="24"/>
          <w:szCs w:val="24"/>
        </w:rPr>
      </w:pPr>
      <w:r w:rsidRPr="00A425B4">
        <w:rPr>
          <w:rFonts w:ascii="Arial" w:hAnsi="Arial" w:cs="Arial"/>
          <w:color w:val="000000" w:themeColor="text1"/>
          <w:sz w:val="24"/>
          <w:szCs w:val="24"/>
        </w:rPr>
        <w:t>Amira’s story illustrates the deep and long-lasting impact that chronic neglect, parental substance misuse, and multiple ACEs can have on a child’s development. These early adversities shape brain architecture, attachment patterns, emotional regulation, and social behaviour, placing children at increased risk of lifelong challenges.</w:t>
      </w:r>
      <w:r w:rsidRPr="00A425B4">
        <w:rPr>
          <w:rFonts w:ascii="Arial" w:hAnsi="Arial" w:cs="Arial"/>
          <w:color w:val="000000" w:themeColor="text1"/>
          <w:sz w:val="24"/>
          <w:szCs w:val="24"/>
        </w:rPr>
        <w:t xml:space="preserve"> </w:t>
      </w:r>
      <w:r w:rsidRPr="00A425B4">
        <w:rPr>
          <w:rFonts w:ascii="Arial" w:hAnsi="Arial" w:cs="Arial"/>
          <w:color w:val="000000" w:themeColor="text1"/>
          <w:sz w:val="24"/>
          <w:szCs w:val="24"/>
        </w:rPr>
        <w:t>However, the plasticity of the developing brain offers significant hope. Trauma-informed interventions, such as Dyadic Developmental Psychotherapy, Child–Parent Psychotherapy, nurture-based educational approaches, and consistent, attuned caregiving from her grandparents can create the relational safety required for healing.</w:t>
      </w:r>
    </w:p>
    <w:p w14:paraId="6C6CD802" w14:textId="48DFD271" w:rsidR="00A425B4" w:rsidRPr="00A425B4" w:rsidRDefault="00A425B4" w:rsidP="00A425B4">
      <w:pPr>
        <w:rPr>
          <w:rFonts w:ascii="Arial" w:hAnsi="Arial" w:cs="Arial"/>
          <w:color w:val="000000" w:themeColor="text1"/>
          <w:sz w:val="24"/>
          <w:szCs w:val="24"/>
        </w:rPr>
      </w:pPr>
      <w:r w:rsidRPr="00A425B4">
        <w:rPr>
          <w:rFonts w:ascii="Arial" w:hAnsi="Arial" w:cs="Arial"/>
          <w:color w:val="000000" w:themeColor="text1"/>
          <w:sz w:val="24"/>
          <w:szCs w:val="24"/>
        </w:rPr>
        <w:t>Equally important is the wellbeing of the practitioners supporting her. Self-care, reflective supervision, peer support, boundary-setting, and resilience-building strategies are ethical imperatives that ensure professionals can offer stable, attuned, and effective care. When practitioners are supported and emotionally grounded, they are better equipped to help children like Amira begin their journey toward recovery, resilience, and healthier developmental outcomes.</w:t>
      </w:r>
    </w:p>
    <w:p w14:paraId="51A155F0" w14:textId="77777777" w:rsidR="00037776" w:rsidRPr="00947437" w:rsidRDefault="00037776" w:rsidP="00037776">
      <w:pPr>
        <w:rPr>
          <w:rFonts w:ascii="Arial" w:hAnsi="Arial" w:cs="Arial"/>
          <w:color w:val="EE0000"/>
          <w:sz w:val="24"/>
          <w:szCs w:val="24"/>
        </w:rPr>
      </w:pPr>
    </w:p>
    <w:p w14:paraId="0D9C3005" w14:textId="77777777" w:rsidR="008E4050" w:rsidRPr="00315A10" w:rsidRDefault="008E4050" w:rsidP="009868BD">
      <w:pPr>
        <w:rPr>
          <w:rFonts w:ascii="Arial" w:hAnsi="Arial" w:cs="Arial"/>
          <w:color w:val="EE0000"/>
          <w:sz w:val="24"/>
          <w:szCs w:val="24"/>
        </w:rPr>
      </w:pPr>
    </w:p>
    <w:p w14:paraId="3F9CA935" w14:textId="77777777" w:rsidR="008E4050" w:rsidRDefault="008E4050" w:rsidP="009868BD">
      <w:pPr>
        <w:rPr>
          <w:rFonts w:ascii="Arial" w:hAnsi="Arial" w:cs="Arial"/>
          <w:b/>
          <w:bCs/>
          <w:color w:val="EE0000"/>
          <w:sz w:val="24"/>
          <w:szCs w:val="24"/>
        </w:rPr>
      </w:pPr>
    </w:p>
    <w:p w14:paraId="3A54D114" w14:textId="77777777" w:rsidR="008E4050" w:rsidRDefault="008E4050" w:rsidP="009868BD">
      <w:pPr>
        <w:rPr>
          <w:rFonts w:ascii="Arial" w:hAnsi="Arial" w:cs="Arial"/>
          <w:b/>
          <w:bCs/>
          <w:color w:val="EE0000"/>
          <w:sz w:val="24"/>
          <w:szCs w:val="24"/>
        </w:rPr>
      </w:pPr>
    </w:p>
    <w:p w14:paraId="25693A69" w14:textId="77777777" w:rsidR="008E4050" w:rsidRDefault="008E4050" w:rsidP="009868BD">
      <w:pPr>
        <w:rPr>
          <w:rFonts w:ascii="Arial" w:hAnsi="Arial" w:cs="Arial"/>
          <w:b/>
          <w:bCs/>
          <w:color w:val="EE0000"/>
          <w:sz w:val="24"/>
          <w:szCs w:val="24"/>
        </w:rPr>
      </w:pPr>
    </w:p>
    <w:p w14:paraId="07098CE5" w14:textId="77777777" w:rsidR="008E4050" w:rsidRDefault="008E4050" w:rsidP="009868BD">
      <w:pPr>
        <w:rPr>
          <w:rFonts w:ascii="Arial" w:hAnsi="Arial" w:cs="Arial"/>
          <w:b/>
          <w:bCs/>
          <w:color w:val="EE0000"/>
          <w:sz w:val="24"/>
          <w:szCs w:val="24"/>
        </w:rPr>
      </w:pPr>
    </w:p>
    <w:p w14:paraId="7FA4AFA6" w14:textId="77777777" w:rsidR="008E4050" w:rsidRDefault="008E4050" w:rsidP="009868BD">
      <w:pPr>
        <w:rPr>
          <w:rFonts w:ascii="Arial" w:hAnsi="Arial" w:cs="Arial"/>
          <w:b/>
          <w:bCs/>
          <w:color w:val="EE0000"/>
          <w:sz w:val="24"/>
          <w:szCs w:val="24"/>
        </w:rPr>
      </w:pPr>
    </w:p>
    <w:p w14:paraId="7380EC8B" w14:textId="77777777" w:rsidR="008E4050" w:rsidRDefault="008E4050" w:rsidP="009868BD">
      <w:pPr>
        <w:rPr>
          <w:rFonts w:ascii="Arial" w:hAnsi="Arial" w:cs="Arial"/>
          <w:b/>
          <w:bCs/>
          <w:color w:val="EE0000"/>
          <w:sz w:val="24"/>
          <w:szCs w:val="24"/>
        </w:rPr>
      </w:pPr>
    </w:p>
    <w:p w14:paraId="6BF7D073" w14:textId="77777777" w:rsidR="008E4050" w:rsidRDefault="008E4050" w:rsidP="009868BD">
      <w:pPr>
        <w:rPr>
          <w:rFonts w:ascii="Arial" w:hAnsi="Arial" w:cs="Arial"/>
          <w:b/>
          <w:bCs/>
          <w:color w:val="EE0000"/>
          <w:sz w:val="24"/>
          <w:szCs w:val="24"/>
        </w:rPr>
      </w:pPr>
    </w:p>
    <w:p w14:paraId="573B4598" w14:textId="77777777" w:rsidR="008E4050" w:rsidRDefault="008E4050" w:rsidP="009868BD">
      <w:pPr>
        <w:rPr>
          <w:rFonts w:ascii="Arial" w:hAnsi="Arial" w:cs="Arial"/>
          <w:b/>
          <w:bCs/>
          <w:color w:val="EE0000"/>
          <w:sz w:val="24"/>
          <w:szCs w:val="24"/>
        </w:rPr>
      </w:pPr>
    </w:p>
    <w:p w14:paraId="7D07481B" w14:textId="77777777" w:rsidR="008E4050" w:rsidRDefault="008E4050" w:rsidP="009868BD">
      <w:pPr>
        <w:rPr>
          <w:rFonts w:ascii="Arial" w:hAnsi="Arial" w:cs="Arial"/>
          <w:b/>
          <w:bCs/>
          <w:color w:val="EE0000"/>
          <w:sz w:val="24"/>
          <w:szCs w:val="24"/>
        </w:rPr>
      </w:pPr>
    </w:p>
    <w:p w14:paraId="3C087BB3" w14:textId="77777777" w:rsidR="008E4050" w:rsidRDefault="008E4050" w:rsidP="009868BD">
      <w:pPr>
        <w:rPr>
          <w:rFonts w:ascii="Arial" w:hAnsi="Arial" w:cs="Arial"/>
          <w:b/>
          <w:bCs/>
          <w:color w:val="EE0000"/>
          <w:sz w:val="24"/>
          <w:szCs w:val="24"/>
        </w:rPr>
      </w:pPr>
    </w:p>
    <w:p w14:paraId="07633C24" w14:textId="77777777" w:rsidR="008E4050" w:rsidRDefault="008E4050" w:rsidP="009868BD">
      <w:pPr>
        <w:rPr>
          <w:rFonts w:ascii="Arial" w:hAnsi="Arial" w:cs="Arial"/>
          <w:b/>
          <w:bCs/>
          <w:color w:val="EE0000"/>
          <w:sz w:val="24"/>
          <w:szCs w:val="24"/>
        </w:rPr>
      </w:pPr>
    </w:p>
    <w:p w14:paraId="768EB554" w14:textId="77777777" w:rsidR="008E4050" w:rsidRDefault="008E4050" w:rsidP="009868BD">
      <w:pPr>
        <w:rPr>
          <w:rFonts w:ascii="Arial" w:hAnsi="Arial" w:cs="Arial"/>
          <w:b/>
          <w:bCs/>
          <w:color w:val="EE0000"/>
          <w:sz w:val="24"/>
          <w:szCs w:val="24"/>
        </w:rPr>
      </w:pPr>
    </w:p>
    <w:p w14:paraId="3D0E9809" w14:textId="77777777" w:rsidR="008E4050" w:rsidRDefault="008E4050" w:rsidP="009868BD">
      <w:pPr>
        <w:rPr>
          <w:rFonts w:ascii="Arial" w:hAnsi="Arial" w:cs="Arial"/>
          <w:b/>
          <w:bCs/>
          <w:color w:val="EE0000"/>
          <w:sz w:val="24"/>
          <w:szCs w:val="24"/>
        </w:rPr>
      </w:pPr>
    </w:p>
    <w:p w14:paraId="298D01F1" w14:textId="77777777" w:rsidR="008E4050" w:rsidRDefault="008E4050" w:rsidP="009868BD">
      <w:pPr>
        <w:rPr>
          <w:rFonts w:ascii="Arial" w:hAnsi="Arial" w:cs="Arial"/>
          <w:b/>
          <w:bCs/>
          <w:color w:val="EE0000"/>
          <w:sz w:val="24"/>
          <w:szCs w:val="24"/>
        </w:rPr>
      </w:pPr>
    </w:p>
    <w:p w14:paraId="34A14470" w14:textId="77777777" w:rsidR="008E4050" w:rsidRDefault="008E4050" w:rsidP="009868BD">
      <w:pPr>
        <w:rPr>
          <w:rFonts w:ascii="Arial" w:hAnsi="Arial" w:cs="Arial"/>
          <w:b/>
          <w:bCs/>
          <w:color w:val="EE0000"/>
          <w:sz w:val="24"/>
          <w:szCs w:val="24"/>
        </w:rPr>
      </w:pPr>
    </w:p>
    <w:p w14:paraId="7816D279" w14:textId="77777777" w:rsidR="008E4050" w:rsidRDefault="008E4050" w:rsidP="009868BD">
      <w:pPr>
        <w:rPr>
          <w:rFonts w:ascii="Arial" w:hAnsi="Arial" w:cs="Arial"/>
          <w:b/>
          <w:bCs/>
          <w:color w:val="EE0000"/>
          <w:sz w:val="24"/>
          <w:szCs w:val="24"/>
        </w:rPr>
      </w:pPr>
    </w:p>
    <w:p w14:paraId="62219825" w14:textId="77777777" w:rsidR="008E4050" w:rsidRDefault="008E4050" w:rsidP="009868BD">
      <w:pPr>
        <w:rPr>
          <w:rFonts w:ascii="Arial" w:hAnsi="Arial" w:cs="Arial"/>
          <w:b/>
          <w:bCs/>
          <w:color w:val="EE0000"/>
          <w:sz w:val="24"/>
          <w:szCs w:val="24"/>
        </w:rPr>
      </w:pPr>
    </w:p>
    <w:p w14:paraId="63F4FDEE" w14:textId="77777777" w:rsidR="006B3B74" w:rsidRPr="009868BD" w:rsidRDefault="006B3B74" w:rsidP="003624C7">
      <w:pPr>
        <w:rPr>
          <w:rFonts w:ascii="Arial" w:hAnsi="Arial" w:cs="Arial"/>
          <w:color w:val="EE0000"/>
          <w:sz w:val="24"/>
          <w:szCs w:val="24"/>
        </w:rPr>
      </w:pPr>
    </w:p>
    <w:sectPr w:rsidR="006B3B74" w:rsidRPr="009868B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01AF3" w14:textId="77777777" w:rsidR="00CA25CC" w:rsidRDefault="00CA25CC" w:rsidP="00CC16F2">
      <w:pPr>
        <w:spacing w:after="0" w:line="240" w:lineRule="auto"/>
      </w:pPr>
      <w:r>
        <w:separator/>
      </w:r>
    </w:p>
  </w:endnote>
  <w:endnote w:type="continuationSeparator" w:id="0">
    <w:p w14:paraId="3A381261" w14:textId="77777777" w:rsidR="00CA25CC" w:rsidRDefault="00CA25CC" w:rsidP="00CC16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7E74A8" w14:textId="77777777" w:rsidR="00CA25CC" w:rsidRDefault="00CA25CC" w:rsidP="00CC16F2">
      <w:pPr>
        <w:spacing w:after="0" w:line="240" w:lineRule="auto"/>
      </w:pPr>
      <w:r>
        <w:separator/>
      </w:r>
    </w:p>
  </w:footnote>
  <w:footnote w:type="continuationSeparator" w:id="0">
    <w:p w14:paraId="28FAC841" w14:textId="77777777" w:rsidR="00CA25CC" w:rsidRDefault="00CA25CC" w:rsidP="00CC16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026525"/>
    <w:multiLevelType w:val="multilevel"/>
    <w:tmpl w:val="01F21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552F0F"/>
    <w:multiLevelType w:val="multilevel"/>
    <w:tmpl w:val="385A2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AB78B8"/>
    <w:multiLevelType w:val="multilevel"/>
    <w:tmpl w:val="0A022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946710"/>
    <w:multiLevelType w:val="multilevel"/>
    <w:tmpl w:val="3C04C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8F2A97"/>
    <w:multiLevelType w:val="multilevel"/>
    <w:tmpl w:val="302EA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AB5358"/>
    <w:multiLevelType w:val="multilevel"/>
    <w:tmpl w:val="5D924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433E5D"/>
    <w:multiLevelType w:val="multilevel"/>
    <w:tmpl w:val="7D92D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AA42D2"/>
    <w:multiLevelType w:val="multilevel"/>
    <w:tmpl w:val="48DEB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589328">
    <w:abstractNumId w:val="4"/>
  </w:num>
  <w:num w:numId="2" w16cid:durableId="1877962063">
    <w:abstractNumId w:val="2"/>
  </w:num>
  <w:num w:numId="3" w16cid:durableId="1561087712">
    <w:abstractNumId w:val="3"/>
  </w:num>
  <w:num w:numId="4" w16cid:durableId="816334614">
    <w:abstractNumId w:val="1"/>
  </w:num>
  <w:num w:numId="5" w16cid:durableId="85663551">
    <w:abstractNumId w:val="6"/>
  </w:num>
  <w:num w:numId="6" w16cid:durableId="2108454863">
    <w:abstractNumId w:val="7"/>
  </w:num>
  <w:num w:numId="7" w16cid:durableId="1075206295">
    <w:abstractNumId w:val="0"/>
  </w:num>
  <w:num w:numId="8" w16cid:durableId="16372238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4C7"/>
    <w:rsid w:val="00037776"/>
    <w:rsid w:val="000478E5"/>
    <w:rsid w:val="00073626"/>
    <w:rsid w:val="00075E96"/>
    <w:rsid w:val="00137C90"/>
    <w:rsid w:val="001B5FF4"/>
    <w:rsid w:val="00315A10"/>
    <w:rsid w:val="003624C7"/>
    <w:rsid w:val="00436F2F"/>
    <w:rsid w:val="005B554D"/>
    <w:rsid w:val="005F74B2"/>
    <w:rsid w:val="006B3B74"/>
    <w:rsid w:val="00754090"/>
    <w:rsid w:val="00807B81"/>
    <w:rsid w:val="008E4050"/>
    <w:rsid w:val="00977239"/>
    <w:rsid w:val="009868BD"/>
    <w:rsid w:val="009A5871"/>
    <w:rsid w:val="00A14002"/>
    <w:rsid w:val="00A24B33"/>
    <w:rsid w:val="00A425B4"/>
    <w:rsid w:val="00A73A03"/>
    <w:rsid w:val="00A904E7"/>
    <w:rsid w:val="00B6064C"/>
    <w:rsid w:val="00B62165"/>
    <w:rsid w:val="00B66D2B"/>
    <w:rsid w:val="00BA19C9"/>
    <w:rsid w:val="00BA24EE"/>
    <w:rsid w:val="00BC51AA"/>
    <w:rsid w:val="00C24FF5"/>
    <w:rsid w:val="00CA25CC"/>
    <w:rsid w:val="00CB2E31"/>
    <w:rsid w:val="00CC16F2"/>
    <w:rsid w:val="00CC7B16"/>
    <w:rsid w:val="00D2445E"/>
    <w:rsid w:val="00D82169"/>
    <w:rsid w:val="00EC6A35"/>
    <w:rsid w:val="00F04CF8"/>
    <w:rsid w:val="00F27712"/>
    <w:rsid w:val="00F36DC8"/>
    <w:rsid w:val="00FA2F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48B15"/>
  <w15:chartTrackingRefBased/>
  <w15:docId w15:val="{F5D46BA4-F2A7-4B47-95A1-B273267FC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24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24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24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24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24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24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24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24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24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4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24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24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24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24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24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24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24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24C7"/>
    <w:rPr>
      <w:rFonts w:eastAsiaTheme="majorEastAsia" w:cstheme="majorBidi"/>
      <w:color w:val="272727" w:themeColor="text1" w:themeTint="D8"/>
    </w:rPr>
  </w:style>
  <w:style w:type="paragraph" w:styleId="Title">
    <w:name w:val="Title"/>
    <w:basedOn w:val="Normal"/>
    <w:next w:val="Normal"/>
    <w:link w:val="TitleChar"/>
    <w:uiPriority w:val="10"/>
    <w:qFormat/>
    <w:rsid w:val="003624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24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24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24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24C7"/>
    <w:pPr>
      <w:spacing w:before="160"/>
      <w:jc w:val="center"/>
    </w:pPr>
    <w:rPr>
      <w:i/>
      <w:iCs/>
      <w:color w:val="404040" w:themeColor="text1" w:themeTint="BF"/>
    </w:rPr>
  </w:style>
  <w:style w:type="character" w:customStyle="1" w:styleId="QuoteChar">
    <w:name w:val="Quote Char"/>
    <w:basedOn w:val="DefaultParagraphFont"/>
    <w:link w:val="Quote"/>
    <w:uiPriority w:val="29"/>
    <w:rsid w:val="003624C7"/>
    <w:rPr>
      <w:i/>
      <w:iCs/>
      <w:color w:val="404040" w:themeColor="text1" w:themeTint="BF"/>
    </w:rPr>
  </w:style>
  <w:style w:type="paragraph" w:styleId="ListParagraph">
    <w:name w:val="List Paragraph"/>
    <w:basedOn w:val="Normal"/>
    <w:uiPriority w:val="34"/>
    <w:qFormat/>
    <w:rsid w:val="003624C7"/>
    <w:pPr>
      <w:ind w:left="720"/>
      <w:contextualSpacing/>
    </w:pPr>
  </w:style>
  <w:style w:type="character" w:styleId="IntenseEmphasis">
    <w:name w:val="Intense Emphasis"/>
    <w:basedOn w:val="DefaultParagraphFont"/>
    <w:uiPriority w:val="21"/>
    <w:qFormat/>
    <w:rsid w:val="003624C7"/>
    <w:rPr>
      <w:i/>
      <w:iCs/>
      <w:color w:val="0F4761" w:themeColor="accent1" w:themeShade="BF"/>
    </w:rPr>
  </w:style>
  <w:style w:type="paragraph" w:styleId="IntenseQuote">
    <w:name w:val="Intense Quote"/>
    <w:basedOn w:val="Normal"/>
    <w:next w:val="Normal"/>
    <w:link w:val="IntenseQuoteChar"/>
    <w:uiPriority w:val="30"/>
    <w:qFormat/>
    <w:rsid w:val="003624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24C7"/>
    <w:rPr>
      <w:i/>
      <w:iCs/>
      <w:color w:val="0F4761" w:themeColor="accent1" w:themeShade="BF"/>
    </w:rPr>
  </w:style>
  <w:style w:type="character" w:styleId="IntenseReference">
    <w:name w:val="Intense Reference"/>
    <w:basedOn w:val="DefaultParagraphFont"/>
    <w:uiPriority w:val="32"/>
    <w:qFormat/>
    <w:rsid w:val="003624C7"/>
    <w:rPr>
      <w:b/>
      <w:bCs/>
      <w:smallCaps/>
      <w:color w:val="0F4761" w:themeColor="accent1" w:themeShade="BF"/>
      <w:spacing w:val="5"/>
    </w:rPr>
  </w:style>
  <w:style w:type="paragraph" w:styleId="Header">
    <w:name w:val="header"/>
    <w:basedOn w:val="Normal"/>
    <w:link w:val="HeaderChar"/>
    <w:uiPriority w:val="99"/>
    <w:unhideWhenUsed/>
    <w:rsid w:val="00CC16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16F2"/>
  </w:style>
  <w:style w:type="paragraph" w:styleId="Footer">
    <w:name w:val="footer"/>
    <w:basedOn w:val="Normal"/>
    <w:link w:val="FooterChar"/>
    <w:uiPriority w:val="99"/>
    <w:unhideWhenUsed/>
    <w:rsid w:val="00CC16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16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3125</TotalTime>
  <Pages>11</Pages>
  <Words>4450</Words>
  <Characters>25365</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Thomas</dc:creator>
  <cp:keywords/>
  <dc:description/>
  <cp:lastModifiedBy>Jordan Thomas</cp:lastModifiedBy>
  <cp:revision>4</cp:revision>
  <cp:lastPrinted>2025-12-09T21:18:00Z</cp:lastPrinted>
  <dcterms:created xsi:type="dcterms:W3CDTF">2025-12-06T15:40:00Z</dcterms:created>
  <dcterms:modified xsi:type="dcterms:W3CDTF">2025-12-09T22:26:00Z</dcterms:modified>
</cp:coreProperties>
</file>