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0d6897092bb04ba9" /><Relationship Type="http://schemas.openxmlformats.org/package/2006/relationships/metadata/core-properties" Target="package/services/metadata/core-properties/139e6649c2e74d6780bfbbd0a7ceaf4e.psmdcp" Id="Ra6dc126565d64de0"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v="urn:schemas-microsoft-com:vml" xmlns:o="urn:schemas-microsoft-com:office:office" xmlns:r="http://schemas.openxmlformats.org/officeDocument/2006/relationships" mc:Ignorable="w14 wp14">
  <w:body>
    <w:p xmlns:wp14="http://schemas.microsoft.com/office/word/2010/wordml" w14:paraId="672A6659"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A37501D"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5DAB6C7B"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2EB378F"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6A05A809"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5A39BBE3"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1C8F396"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72A3D3EC"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D0B940D"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E27B00A"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60061E4C"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4EAFD9C"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B94D5A5"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3DEEC669"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3656B9AB"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5FB0818"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49F31CB"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53128261"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62486C05"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101652C"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B99056E"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1299C43A"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DDBEF00"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D76041F" wp14:textId="77777777">
      <w:pPr>
        <w:spacing w:before="0" w:after="160" w:line="360"/>
        <w:ind w:left="0" w:right="0" w:firstLine="0"/>
        <w:jc w:val="both"/>
        <w:rPr>
          <w:rFonts w:ascii="Arial" w:hAnsi="Arial" w:eastAsia="Arial" w:cs="Arial"/>
          <w:color w:val="auto"/>
          <w:spacing w:val="0"/>
          <w:position w:val="0"/>
          <w:sz w:val="24"/>
          <w:shd w:val="clear" w:fill="auto"/>
        </w:rPr>
      </w:pPr>
      <w:r>
        <w:object w:dxaOrig="8985" w:dyaOrig="4839" w14:anchorId="3D12D2B0">
          <v:rect xmlns:o="urn:schemas-microsoft-com:office:office" xmlns:v="urn:schemas-microsoft-com:vml" id="rectole0000000000" style="width:449.250000pt;height:241.950000pt" o:ole="" o:preferrelative="t">
            <o:lock v:ext="edit"/>
            <v:imagedata xmlns:r="http://schemas.openxmlformats.org/officeDocument/2006/relationships" o:title="" r:id="docRId1"/>
          </v:rect>
          <o:OLEObject xmlns:r="http://schemas.openxmlformats.org/officeDocument/2006/relationships" xmlns:o="urn:schemas-microsoft-com:office:office" Type="Embed" ProgID="StaticMetafile" ShapeID="rectole0000000000" DrawAspect="Content" ObjectID="0000000000" r:id="docRId0"/>
        </w:object>
      </w:r>
      <w:r>
        <w:rPr>
          <w:rFonts w:ascii="Arial" w:hAnsi="Arial" w:eastAsia="Arial" w:cs="Arial"/>
          <w:color w:val="auto"/>
          <w:spacing w:val="0"/>
          <w:position w:val="0"/>
          <w:sz w:val="24"/>
          <w:shd w:val="clear" w:fill="auto"/>
        </w:rPr>
        <w:t xml:space="preserve">Artisan Inn is a boutique hotel that combines art, culture, and sustainability. This idea is in response to the growing desire of consumers for travel experiences that go beyond traditional tourism and are meaningful and captivating. The hotel is unique because of its eco-friendly operations, local partnerships, and personalised guest experiences</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all of which are ingrained in its design to appeal to the kind of selective</w:t>
      </w:r>
      <w:r>
        <w:rPr>
          <w:rFonts w:ascii="Arial" w:hAnsi="Arial" w:eastAsia="Arial" w:cs="Arial"/>
          <w:color w:val="auto"/>
          <w:spacing w:val="0"/>
          <w:position w:val="0"/>
          <w:sz w:val="24"/>
          <w:shd w:val="clear" w:fill="auto"/>
        </w:rPr>
        <w:t xml:space="preserve"> </w:t>
      </w:r>
      <w:r>
        <w:rPr>
          <w:rFonts w:ascii="Arial" w:hAnsi="Arial" w:eastAsia="Arial" w:cs="Arial"/>
          <w:color w:val="auto"/>
          <w:spacing w:val="0"/>
          <w:position w:val="0"/>
          <w:sz w:val="24"/>
          <w:shd w:val="clear" w:fill="auto"/>
        </w:rPr>
        <w:t xml:space="preserve">traveller who seeks authenticity and a sense of place.</w:t>
      </w:r>
    </w:p>
    <w:p xmlns:wp14="http://schemas.microsoft.com/office/word/2010/wordml" w14:paraId="3461D779"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0D5F744B"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Artisan Inn builds strategic alliances essential to its brand identity in order to craft a distinctive thematic essence as Wheeler et al. (2011) teach in their study. According to the study by Du Cros and Jolliffe (2014), important partnerships include local artists who turn the hotel into a vibrant gallery that hosts live sessions and showcases regional artistry. Dangi and Petrick (2021) claim that cultural institutions are essential because they provide educational workshops and heritage tours that acquaint visitors with the history and customs of the area. Environmental partnerships are also important; organic goods from nearby farmers support the hotel's farm-to-table culinary offerings by ensuring their sustainability and freshness. According to Chi et al. (2022) Journal, the hotel's green credentials have been improved by the implementation of eco-friendly programmes, such as waste reduction and energy conservation, which have become operational standards. By knitting a tale of environmental responsibility and community integration into the fabric of the guest experience, these synergistic partnerships do more than just provide goods or services; they elevate the hotel from a place of lodging to a steward of ecological and cultural value.</w:t>
      </w:r>
    </w:p>
    <w:p xmlns:wp14="http://schemas.microsoft.com/office/word/2010/wordml" w14:paraId="7B9961E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essence of Artisan Inn boutique hotel identity is derived from its core activities, which are influenced by Camillieri's (2023) journal. A key component of the hotel's transformation into an evolving canvas where visitors engage with art in private settings is the curation of art exhibits. By providing profound experiences like traditional festivals and live performances, cultural event organisations also help to close the gap between tourists and the local way of life. Green practices are integrated into everyday operations, which is similar to Barakagira &amp; Paapa's case study of Kampala (2023); they vary from recycling programmes to the use of renewable energy sources, all of which highlight the hotel's dedication to sustainability. Together, these initiatives create an engaging story that positions the hotel as more than just a place to stay but also as a refuge for culture and the environment. This operational philosophy is similar to that of the Art Series Hotel Group, which believes that incorporating art into hospitality improves the guest experience and strengthens the hotel's unique market position in addition to providing just a place to stay (Fairmont website, 2024).</w:t>
      </w:r>
    </w:p>
    <w:p xmlns:wp14="http://schemas.microsoft.com/office/word/2010/wordml" w14:paraId="7FDBB3A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According to Seyfi et al. (2020) views on tourism, the French Riviera offers the ideal setting for the hotel's target market segments because of its combination of luxurious leisure and untouched landscape. It serves a broad spectrum of customers, from youthful, eco-aware travellers to seasoned travellers who have developed a taste for cultural diversity without sacrificing their environmental principles. These visitors, who are looking for experiences that balance luxury and sustainability, are frequently drawn to the area by its glitzy reputation, crystal-clear waters, and beautiful hills.</w:t>
      </w:r>
    </w:p>
    <w:p xmlns:wp14="http://schemas.microsoft.com/office/word/2010/wordml" w14:paraId="07BAFF0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hotel's customised offerings, which are meticulously tailored to suit these preferences and are inspired by the study of Poponi et al. (2020), include guided eco-tours that explore the Riviera's hidden coves and terraced vineyards, thereby promoting a deeper understanding of the region's biodiversity. Inspired by Bendix's (2018) book, cultural workshops and events honour regional customs and offer genuine Riviera experiences, ranging from Provençal cooking classes to private art collection viewings.</w:t>
      </w:r>
    </w:p>
    <w:p xmlns:wp14="http://schemas.microsoft.com/office/word/2010/wordml" w14:paraId="6901BC4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Aligned with platforms such as Responsible Travel, the hotel strategically places itself at the intersection of upscale travel and ecological principles, capitalising on the growing trend of responsible tourism (Cheer et al., 2021). It tells a story that supports the preservation of the natural and cultural riches of the French Riviera while also being in line with its rich and artistic past. By doing this, the hotel secures its position in a cutthroat and dynamic industry while simultaneously satisfying the needs of its current clientele and helping to preserve Riviera's charm for future generations (Anup et al., 2015).</w:t>
      </w:r>
    </w:p>
    <w:p xmlns:wp14="http://schemas.microsoft.com/office/word/2010/wordml" w14:paraId="512EFB23"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br/>
      </w:r>
      <w:r>
        <w:rPr>
          <w:rFonts w:ascii="Arial" w:hAnsi="Arial" w:eastAsia="Arial" w:cs="Arial"/>
          <w:color w:val="auto"/>
          <w:spacing w:val="0"/>
          <w:position w:val="0"/>
          <w:sz w:val="24"/>
          <w:shd w:val="clear" w:fill="auto"/>
        </w:rPr>
        <w:t xml:space="preserve">The hotel's customer relationship strategy relies heavily on the ideas of effective communication, responsiveness, empathy, personalisation, and consistency, according to the study by Kandampully et al. (2023), guaranteeing a guest experience that goes above and beyond the typical comparable business. Upon arrival, guests are attracted by appealing direct booking bonuses that provide them with more than just lodging; they are also offered a customised experience with unique room choices and custom facilities. With a focus on proactive engagement and responsive service values, the communication strategy has been carefully planned to make each guest interaction feel meaningful and personal.</w:t>
      </w:r>
    </w:p>
    <w:p xmlns:wp14="http://schemas.microsoft.com/office/word/2010/wordml" w14:paraId="0E6D83C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line with Nazir and Islam's (2020) examples, the hotel's staff is trained to anticipate and comprehend the needs of its customers, thereby guaranteeing a stay that feels particularly personalised. Daffy (2019) claims that in addition to this individualised approach, the hotel offers a loyalty programme that goes above and beyond traditional rewards by providing guests with experiences that strengthen their connection to the hotel's environmental and cultural themes, promoting return business, and creating a sense of community among visitors.</w:t>
      </w:r>
    </w:p>
    <w:p xmlns:wp14="http://schemas.microsoft.com/office/word/2010/wordml" w14:paraId="4AE62069"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hotel not only meets but surpasses guest expectations by imitating the superb guest relations demonstrated by The Serras in Barcelona, resulting in a charming and customised ambience that greatly appeals to its clientele (Tale A Guest website, 2023). As per Nareth et al. (2013), the hotel's deliberate focus on fostering strong and significant connections guarantees that it not only preserves its competitive advantage but also cultivates a devoted clientele that appreciates the unique themed experience the hotel provides on the French Riviera.</w:t>
      </w:r>
    </w:p>
    <w:p xmlns:wp14="http://schemas.microsoft.com/office/word/2010/wordml" w14:paraId="168CC54D"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According to Hwang and Kim (2021), Artisan Inn, which is located on the French Riviera, targets a specific market segment that includes eco-aware young adults and seniors who value sustainability and rich cultural diversity. This group of people is drawn to the Riviera because it offers a unique combination of scenic beauty and sophisticated culture. According to a study by Volo and D'acunto (2021), the hotel's services are tailored to meet the needs of these customers, who also want genuine cultural experiences and eco-friendly travel. This demand is supported by the popularity of websites like Responsible Travel. The area's reputation for luxury and relaxation is used to draw tourists who want to indulge without sacrificing their cultural or ecological values. By concentrating on these markets, the hotel takes advantage of the growing trend of responsible tourism and offers experiences that highlight the distinctive cultural and environmental stories of the French Riviera, making it stand out in a crowded market.</w:t>
      </w:r>
    </w:p>
    <w:p xmlns:wp14="http://schemas.microsoft.com/office/word/2010/wordml" w14:paraId="15919EF8"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Artisan Inn has a strong online presence and uses Facebook, TikTok and Instagram to highlight its theme appeal, which includes local art and blue waters. Travellers from all over the world are drawn to the Riviera’s allure because of its exclusivity and diversity of culture. A population interested in sustainable luxury is drawn in by captivating content that highlights the area's beautiful scenery and the hotel's environmentally conscious efforts (Aydin, 2020). Similar to CitizenM's approach, influencer partnerships and focused marketing campaigns on these channels reflect the hotel's story and guarantee visibility to travellers looking for distinctive experiences (Buhalis et al., 2023). In addition to marketing, this multi-channel digital strategy seeks to create a sense of anticipation and desire for the experience by connecting prospective visitors with the French Riviera's essence through storytelling, long before they ever set foot there.</w:t>
      </w:r>
    </w:p>
    <w:p xmlns:wp14="http://schemas.microsoft.com/office/word/2010/wordml" w14:paraId="0027AD6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According to Hudson's (2017) study, the hotel generates money by charging more for themed experiences, collaborating with regional artists, and offering classes and other special events. This is similar to the revenue model of Dublin's Schoolhouse Hotel, which uses its former use as a school to draw in visitors to its distinctive historical narratives (Schoolhouse website).</w:t>
      </w:r>
    </w:p>
    <w:p xmlns:wp14="http://schemas.microsoft.com/office/word/2010/wordml" w14:paraId="0AA78A5C"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hotel's cost considerations include investments in themed decor, art, and the creation of classes and tours. Significant costs are also associated with marketing and green practices. As demonstrated by the environmentally conscious Six Senses Hotels Resorts Spas, where environmental initiatives are a core part of the investment, this is a typical financial model for boutique hotels that prioritise unique experiences (Rumpf, 2014).</w:t>
      </w:r>
    </w:p>
    <w:p xmlns:wp14="http://schemas.microsoft.com/office/word/2010/wordml" w14:paraId="3CF2D8B6"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2CC56B3"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business plan for Artisan Inn boutique hotel situated on the French Riviera, combines customer-focused services, sustainability, and cultural enrichment in a sophisticated way. The project has the potential to succeed because it is in line with current market trends and consumer behaviour that favours distinctive and meaningful travel experiences. The execution of its value proposition, which guarantees that each guest's stay is more than just a transaction but rather a memorable experience that resonates with their personal values and interests, will be crucial to its predicted success. Incorporating sustainable practices with local culture not only meets the needs of contemporary tourists but also benefits the environment and local community. This results in a business model that is not only profitable but also socially and environmentally conscious.</w:t>
      </w:r>
    </w:p>
    <w:p xmlns:wp14="http://schemas.microsoft.com/office/word/2010/wordml" w14:paraId="0FB78278"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1FC39945"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0562CB0E"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34CE0A41"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62EBF3C5"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6D98A12B"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2946DB82"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5997CC1D"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110FFD37"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1701FC3A" wp14:textId="77777777">
      <w:pPr>
        <w:spacing w:before="0" w:after="16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Reflection</w:t>
      </w:r>
    </w:p>
    <w:p xmlns:wp14="http://schemas.microsoft.com/office/word/2010/wordml" w14:paraId="2CC484E7" wp14:textId="77777777">
      <w:pPr>
        <w:spacing w:before="0" w:after="160" w:line="360"/>
        <w:ind w:left="0" w:right="0" w:firstLine="0"/>
        <w:jc w:val="both"/>
        <w:rPr>
          <w:rFonts w:ascii="Arial" w:hAnsi="Arial" w:eastAsia="Arial" w:cs="Arial"/>
          <w:color w:val="auto"/>
          <w:spacing w:val="0"/>
          <w:position w:val="0"/>
          <w:sz w:val="24"/>
          <w:shd w:val="clear" w:fill="auto"/>
        </w:rPr>
      </w:pPr>
      <w:r>
        <w:object w:dxaOrig="4433" w:dyaOrig="7127" w14:anchorId="161D9E1C">
          <v:rect xmlns:o="urn:schemas-microsoft-com:office:office" xmlns:v="urn:schemas-microsoft-com:vml" id="rectole0000000001" style="width:221.650000pt;height:356.350000pt" o:ole="" o:preferrelative="t">
            <o:lock v:ext="edit"/>
            <v:imagedata xmlns:r="http://schemas.openxmlformats.org/officeDocument/2006/relationships" o:title="" r:id="docRId3"/>
          </v:rect>
          <o:OLEObject xmlns:r="http://schemas.openxmlformats.org/officeDocument/2006/relationships" xmlns:o="urn:schemas-microsoft-com:office:office" Type="Embed" ProgID="StaticMetafile" ShapeID="rectole0000000001" DrawAspect="Content" ObjectID="0000000001" r:id="docRId2"/>
        </w:object>
      </w:r>
      <w:r>
        <w:rPr>
          <w:rFonts w:ascii="Arial" w:hAnsi="Arial" w:eastAsia="Arial" w:cs="Arial"/>
          <w:color w:val="auto"/>
          <w:spacing w:val="0"/>
          <w:position w:val="0"/>
          <w:sz w:val="24"/>
          <w:shd w:val="clear" w:fill="auto"/>
        </w:rPr>
        <w:t xml:space="preserve">Looking at the geometric shapes on my GET2 test result, I saw a clear reflection of my previous roles and their lasting influence. Memories of working as a receptionist at a busy hotel come back to me as I think about the 'Need for Autonomy' at 50% and 'Calculated Risk-taking' at 58%. This clouded my evaluation of these scores.</w:t>
      </w:r>
    </w:p>
    <w:p xmlns:wp14="http://schemas.microsoft.com/office/word/2010/wordml" w14:paraId="0E9D274D"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 worked hard in that hotel, but I was constantly under the watchful eye of a manager who never seemed to be satisfied. Although I was alert and inclined to do more than just fulfil my responsibilities but also correct other people's mistakes, praise was nonexistent. Instead, self-doubt was planted by the frequent corrections. I understand now that this experience chipped away at my confidence, making me question if my supervisor's seemingly arbitrary standards were to blame me. I didn't value my work or my worth at the time because I was so focused on meeting everyone else's demands.</w:t>
      </w:r>
    </w:p>
    <w:p xmlns:wp14="http://schemas.microsoft.com/office/word/2010/wordml" w14:paraId="2CF8ADA4"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 more thorough reflection on these influential events is inspired by the Gibbs Reflective Cycle. At the 'feelings' stage, as Bassot (2015) helps us put into practice, I face the irritation and self-doubt that my boss's constant criticism has created. "Evaluation" forces me to admit that, although the criticism was depressing, it was also a distorted picture of my capabilities, not a true indicator of my aptitude or potential.</w:t>
      </w:r>
    </w:p>
    <w:p xmlns:wp14="http://schemas.microsoft.com/office/word/2010/wordml" w14:paraId="22D879E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As I shift to "analysis," I use scholarly models to reinterpret the situation. According to the locus of control theory, people tend to blame either external or internal factors for results. My locus of control may have shifted outside in response to unrelenting criticism, unintentionally weakening my belief in autonomy and personal control. I use Bandura's Self-Efficacy Theory as Koutroubas and Galanakis, (2022) explain, which declares that self-belief is essential for success. To boost my self-efficacy, I am therefore going to ask for constructive criticism, establish goals for myself, and acknowledge minor successes.</w:t>
      </w:r>
    </w:p>
    <w:p xmlns:wp14="http://schemas.microsoft.com/office/word/2010/wordml" w14:paraId="7037565C"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goal becomes evident when I apply this reflective process to my essay about Artisan Inn: to develop a management style and corporate atmosphere that stands in direct contrast to my previous experiences. I imagined that building a culture of self-affirmation and personal development at Artisan Inn would not only strengthen my own "Need for Autonomy" and "Calculated Risk-taking," but also allow my team to work with confidence and creativity.</w:t>
      </w:r>
    </w:p>
    <w:p xmlns:wp14="http://schemas.microsoft.com/office/word/2010/wordml" w14:paraId="781C387A"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To sum up, the GET2 exercise has been a helpful tool for letting me reflect on and reevaluate my career path. I am defining a path for business strategy and personal growth that supports independence and measured risk by applying academic theories and critically evaluating the influence of my early experiences in the hospitality sector. By doing this, I am not only redefining my professional identity but also making sure that a business-like Artisan Inn, as I imagined it, could be a hub of creativity and confidence</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attributes that I now understand are essential to the success of any business venture.   </w:t>
      </w:r>
    </w:p>
    <w:p xmlns:wp14="http://schemas.microsoft.com/office/word/2010/wordml" w14:paraId="6B699379"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3FE9F23F"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1F72F646"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08CE6F91"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61CDCEAD"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6BB9E253"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23DE523C"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52E56223"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07547A01"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5043CB0F"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459C7026" wp14:textId="77777777">
      <w:pPr>
        <w:spacing w:before="0" w:after="16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References </w:t>
      </w:r>
    </w:p>
    <w:p xmlns:wp14="http://schemas.microsoft.com/office/word/2010/wordml" w14:paraId="20BF34D1"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Aydin, G., (2020) Social media engagement and organic post effectiveness: A roadmap for increasing the effectiveness of social media use in hospitality industry, Journal of Hospitality Marketing &amp; Management, 29:1, 1-21, </w:t>
      </w:r>
      <w:hyperlink xmlns:r="http://schemas.openxmlformats.org/officeDocument/2006/relationships" r:id="docRId4">
        <w:r>
          <w:rPr>
            <w:rFonts w:ascii="Arial" w:hAnsi="Arial" w:eastAsia="Arial" w:cs="Arial"/>
            <w:color w:val="0000FF"/>
            <w:spacing w:val="0"/>
            <w:position w:val="0"/>
            <w:sz w:val="24"/>
            <w:u w:val="single"/>
            <w:shd w:val="clear" w:fill="auto"/>
          </w:rPr>
          <w:t xml:space="preserve">https://doi.org/10.1080/19368623.2019.1588824</w:t>
        </w:r>
      </w:hyperlink>
      <w:r>
        <w:rPr>
          <w:rFonts w:ascii="Arial" w:hAnsi="Arial" w:eastAsia="Arial" w:cs="Arial"/>
          <w:color w:val="auto"/>
          <w:spacing w:val="0"/>
          <w:position w:val="0"/>
          <w:sz w:val="24"/>
          <w:shd w:val="clear" w:fill="auto"/>
        </w:rPr>
        <w:t xml:space="preserve">  </w:t>
      </w:r>
    </w:p>
    <w:p xmlns:wp14="http://schemas.microsoft.com/office/word/2010/wordml" w14:paraId="24F301F7"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Barakagira, A., &amp; Paapa, C. (2023). Green practices implementation for environmental sustainability by five-star hotels in Kampala, Uganda. Environment, development and sustainability, 1</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17. Advance online publication. </w:t>
      </w:r>
      <w:hyperlink xmlns:r="http://schemas.openxmlformats.org/officeDocument/2006/relationships" r:id="docRId5">
        <w:r>
          <w:rPr>
            <w:rFonts w:ascii="Arial" w:hAnsi="Arial" w:eastAsia="Arial" w:cs="Arial"/>
            <w:color w:val="0000FF"/>
            <w:spacing w:val="0"/>
            <w:position w:val="0"/>
            <w:sz w:val="24"/>
            <w:u w:val="single"/>
            <w:shd w:val="clear" w:fill="auto"/>
          </w:rPr>
          <w:t xml:space="preserve">https://doi.org/10.1007/s10668-023-03101-7</w:t>
        </w:r>
      </w:hyperlink>
      <w:r>
        <w:rPr>
          <w:rFonts w:ascii="Arial" w:hAnsi="Arial" w:eastAsia="Arial" w:cs="Arial"/>
          <w:color w:val="auto"/>
          <w:spacing w:val="0"/>
          <w:position w:val="0"/>
          <w:sz w:val="24"/>
          <w:shd w:val="clear" w:fill="auto"/>
        </w:rPr>
        <w:t xml:space="preserve">  </w:t>
      </w:r>
    </w:p>
    <w:p xmlns:wp14="http://schemas.microsoft.com/office/word/2010/wordml" w14:paraId="77284F2A"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Bendix, R., 2018. Culture and value: Tourism, heritage, and property.</w:t>
      </w:r>
    </w:p>
    <w:p xmlns:wp14="http://schemas.microsoft.com/office/word/2010/wordml" w14:paraId="2A1FA51C"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Buhalis, D., Leung, D. and Lin, M., 2023. Metaverse as a disruptive technology revolutionising tourism management and marketing. Tourism Management, 97, p.104724. </w:t>
      </w:r>
      <w:hyperlink xmlns:r="http://schemas.openxmlformats.org/officeDocument/2006/relationships" r:id="docRId6">
        <w:r>
          <w:rPr>
            <w:rFonts w:ascii="Arial" w:hAnsi="Arial" w:eastAsia="Arial" w:cs="Arial"/>
            <w:color w:val="0000FF"/>
            <w:spacing w:val="0"/>
            <w:position w:val="0"/>
            <w:sz w:val="24"/>
            <w:u w:val="single"/>
            <w:shd w:val="clear" w:fill="auto"/>
          </w:rPr>
          <w:t xml:space="preserve">https://doi.org/10.1016/j.tourman.2023.104724</w:t>
        </w:r>
      </w:hyperlink>
      <w:r>
        <w:rPr>
          <w:rFonts w:ascii="Arial" w:hAnsi="Arial" w:eastAsia="Arial" w:cs="Arial"/>
          <w:color w:val="auto"/>
          <w:spacing w:val="0"/>
          <w:position w:val="0"/>
          <w:sz w:val="24"/>
          <w:shd w:val="clear" w:fill="auto"/>
        </w:rPr>
        <w:t xml:space="preserve">  </w:t>
      </w:r>
    </w:p>
    <w:p xmlns:wp14="http://schemas.microsoft.com/office/word/2010/wordml" w14:paraId="6F1925AA"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Camillieri, A.M., 2023. The Artification of Hospitality: Art Hotels as the New Frontier of Sustainable Cultural Tourism. </w:t>
      </w:r>
      <w:hyperlink xmlns:r="http://schemas.openxmlformats.org/officeDocument/2006/relationships" r:id="docRId7">
        <w:r>
          <w:rPr>
            <w:rFonts w:ascii="Arial" w:hAnsi="Arial" w:eastAsia="Arial" w:cs="Arial"/>
            <w:color w:val="0000FF"/>
            <w:spacing w:val="0"/>
            <w:position w:val="0"/>
            <w:sz w:val="24"/>
            <w:u w:val="single"/>
            <w:shd w:val="clear" w:fill="auto"/>
          </w:rPr>
          <w:t xml:space="preserve">https://www.researchgate.net/profile/Mark-Anthony-Camilleri/publication/374269557_The_Artification_of_Hospitality_Art_Hotels_as_the_New_Frontier_of_Sustainable_Cultural_Tourism/links/652cfb8b0ebf091c48f90b00/The-Artification-of-Hospitality-Art-Hotels-as-the-New-Frontier-of-Sustainable-Cultural-Tourism.pdf?_tp=eyJjb250ZXh0Ijp7ImZpcnN0UGFnZSI6InB1YmxpY2F0aW9uIiwicGFnZSI6InB1YmxpY2F0aW9uIn19</w:t>
        </w:r>
      </w:hyperlink>
      <w:r>
        <w:rPr>
          <w:rFonts w:ascii="Arial" w:hAnsi="Arial" w:eastAsia="Arial" w:cs="Arial"/>
          <w:color w:val="auto"/>
          <w:spacing w:val="0"/>
          <w:position w:val="0"/>
          <w:sz w:val="24"/>
          <w:shd w:val="clear" w:fill="auto"/>
        </w:rPr>
        <w:t xml:space="preserve">  </w:t>
      </w:r>
    </w:p>
    <w:p xmlns:wp14="http://schemas.microsoft.com/office/word/2010/wordml" w14:paraId="030ACF4D"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Cheer, J.M., Ting, H. and Leong, C.M., 2021. Responsible tourism: a new era of responsibility?. Journal of Responsible Tourism Management, 1(1), pp.1-17. </w:t>
      </w:r>
      <w:hyperlink xmlns:r="http://schemas.openxmlformats.org/officeDocument/2006/relationships" r:id="docRId8">
        <w:r>
          <w:rPr>
            <w:rFonts w:ascii="Arial" w:hAnsi="Arial" w:eastAsia="Arial" w:cs="Arial"/>
            <w:color w:val="0000FF"/>
            <w:spacing w:val="0"/>
            <w:position w:val="0"/>
            <w:sz w:val="24"/>
            <w:u w:val="single"/>
            <w:shd w:val="clear" w:fill="auto"/>
          </w:rPr>
          <w:t xml:space="preserve">https://lup.lub.lu.se/student-papers/record/9061860/file/9061863.pdf</w:t>
        </w:r>
      </w:hyperlink>
      <w:r>
        <w:rPr>
          <w:rFonts w:ascii="Arial" w:hAnsi="Arial" w:eastAsia="Arial" w:cs="Arial"/>
          <w:color w:val="auto"/>
          <w:spacing w:val="0"/>
          <w:position w:val="0"/>
          <w:sz w:val="24"/>
          <w:shd w:val="clear" w:fill="auto"/>
        </w:rPr>
        <w:t xml:space="preserve">  </w:t>
      </w:r>
    </w:p>
    <w:p xmlns:wp14="http://schemas.microsoft.com/office/word/2010/wordml" w14:paraId="71CF2575"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Chi, C.G., Chi, O.H., Xu, X. and Kennedy, I., 2022. Narrowing the intention-behavior gap: The impact of hotel green certification. International Journal of Hospitality Management, 107, p.103305. </w:t>
      </w:r>
      <w:hyperlink xmlns:r="http://schemas.openxmlformats.org/officeDocument/2006/relationships" r:id="docRId9">
        <w:r>
          <w:rPr>
            <w:rFonts w:ascii="Arial" w:hAnsi="Arial" w:eastAsia="Arial" w:cs="Arial"/>
            <w:color w:val="0000FF"/>
            <w:spacing w:val="0"/>
            <w:position w:val="0"/>
            <w:sz w:val="24"/>
            <w:u w:val="single"/>
            <w:shd w:val="clear" w:fill="auto"/>
          </w:rPr>
          <w:t xml:space="preserve">https://doi.org/10.1016/j.ijhm.2022.103305</w:t>
        </w:r>
      </w:hyperlink>
      <w:r>
        <w:rPr>
          <w:rFonts w:ascii="Arial" w:hAnsi="Arial" w:eastAsia="Arial" w:cs="Arial"/>
          <w:color w:val="auto"/>
          <w:spacing w:val="0"/>
          <w:position w:val="0"/>
          <w:sz w:val="24"/>
          <w:shd w:val="clear" w:fill="auto"/>
        </w:rPr>
        <w:t xml:space="preserve">  </w:t>
      </w:r>
    </w:p>
    <w:p xmlns:wp14="http://schemas.microsoft.com/office/word/2010/wordml" w14:paraId="61776D2E"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Daffy, C., 2019. Creating customer loyalty: build lasting loyalty using customer experience management.</w:t>
      </w:r>
    </w:p>
    <w:p xmlns:wp14="http://schemas.microsoft.com/office/word/2010/wordml" w14:paraId="4FCC9CF3"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Dangi, T.B. and Petrick, J.F., 2021. Augmenting the role of tourism governance in addressing destination justice, ethics, and equity for sustainable community-based tourism. Tourism and Hospitality, 2(1), pp.15-42. </w:t>
      </w:r>
      <w:hyperlink xmlns:r="http://schemas.openxmlformats.org/officeDocument/2006/relationships" r:id="docRId10">
        <w:r>
          <w:rPr>
            <w:rFonts w:ascii="Arial" w:hAnsi="Arial" w:eastAsia="Arial" w:cs="Arial"/>
            <w:color w:val="0000FF"/>
            <w:spacing w:val="0"/>
            <w:position w:val="0"/>
            <w:sz w:val="24"/>
            <w:u w:val="single"/>
            <w:shd w:val="clear" w:fill="auto"/>
          </w:rPr>
          <w:t xml:space="preserve">https://www.mdpi.com/2673-5768/2/1/2/pdf</w:t>
        </w:r>
      </w:hyperlink>
      <w:r>
        <w:rPr>
          <w:rFonts w:ascii="Arial" w:hAnsi="Arial" w:eastAsia="Arial" w:cs="Arial"/>
          <w:color w:val="auto"/>
          <w:spacing w:val="0"/>
          <w:position w:val="0"/>
          <w:sz w:val="24"/>
          <w:shd w:val="clear" w:fill="auto"/>
        </w:rPr>
        <w:t xml:space="preserve">  </w:t>
      </w:r>
    </w:p>
    <w:p xmlns:wp14="http://schemas.microsoft.com/office/word/2010/wordml" w14:paraId="07F5C982"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Du Cros, H. and Jolliffe, L., 2014. The arts and events.</w:t>
      </w:r>
    </w:p>
    <w:p xmlns:wp14="http://schemas.microsoft.com/office/word/2010/wordml" w14:paraId="47018F85"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Fairmont, 2024. Fairmont Hotels &amp; Resorts: Unforgettable Hospitality. </w:t>
      </w:r>
      <w:hyperlink xmlns:r="http://schemas.openxmlformats.org/officeDocument/2006/relationships" r:id="docRId11">
        <w:r>
          <w:rPr>
            <w:rFonts w:ascii="Arial" w:hAnsi="Arial" w:eastAsia="Arial" w:cs="Arial"/>
            <w:color w:val="0000FF"/>
            <w:spacing w:val="0"/>
            <w:position w:val="0"/>
            <w:sz w:val="24"/>
            <w:u w:val="single"/>
            <w:shd w:val="clear" w:fill="auto"/>
          </w:rPr>
          <w:t xml:space="preserve">https://www.fairmont.com/our-philosophy/</w:t>
        </w:r>
      </w:hyperlink>
      <w:r>
        <w:rPr>
          <w:rFonts w:ascii="Arial" w:hAnsi="Arial" w:eastAsia="Arial" w:cs="Arial"/>
          <w:color w:val="auto"/>
          <w:spacing w:val="0"/>
          <w:position w:val="0"/>
          <w:sz w:val="24"/>
          <w:shd w:val="clear" w:fill="auto"/>
        </w:rPr>
        <w:t xml:space="preserve">  </w:t>
      </w:r>
    </w:p>
    <w:p xmlns:wp14="http://schemas.microsoft.com/office/word/2010/wordml" w14:paraId="5409CE84"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Hudson, S., 2017. Marketing for tourism, hospitality &amp; events: a global &amp; digital approach.</w:t>
      </w:r>
    </w:p>
    <w:p xmlns:wp14="http://schemas.microsoft.com/office/word/2010/wordml" w14:paraId="178E4837"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Hwang, J. and Kim, J.J., 2021. Edible insects: How to increase the sustainable consumption behavior among restaurant consumers. International Journal of Environmental Research and Public Health, 18(12), p.6520. </w:t>
      </w:r>
      <w:hyperlink xmlns:r="http://schemas.openxmlformats.org/officeDocument/2006/relationships" r:id="docRId12">
        <w:r>
          <w:rPr>
            <w:rFonts w:ascii="Arial" w:hAnsi="Arial" w:eastAsia="Arial" w:cs="Arial"/>
            <w:color w:val="0000FF"/>
            <w:spacing w:val="0"/>
            <w:position w:val="0"/>
            <w:sz w:val="24"/>
            <w:u w:val="single"/>
            <w:shd w:val="clear" w:fill="auto"/>
          </w:rPr>
          <w:t xml:space="preserve">https://www.mdpi.com/1660-4601/18/12/6520/pdf</w:t>
        </w:r>
      </w:hyperlink>
      <w:r>
        <w:rPr>
          <w:rFonts w:ascii="Arial" w:hAnsi="Arial" w:eastAsia="Arial" w:cs="Arial"/>
          <w:color w:val="auto"/>
          <w:spacing w:val="0"/>
          <w:position w:val="0"/>
          <w:sz w:val="24"/>
          <w:shd w:val="clear" w:fill="auto"/>
        </w:rPr>
        <w:t xml:space="preserve">  </w:t>
      </w:r>
    </w:p>
    <w:p xmlns:wp14="http://schemas.microsoft.com/office/word/2010/wordml" w14:paraId="2DD92CD8"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Kandampully, J., Bilgihan, A., Van Riel, A.C. and Sharma, A., 2023. Toward holistic experience-oriented service innovation: Co-creating sustainable value with customers and society. Cornell Hospitality Quarterly, 64(2), pp.161-183. </w:t>
      </w:r>
      <w:hyperlink xmlns:r="http://schemas.openxmlformats.org/officeDocument/2006/relationships" r:id="docRId13">
        <w:r>
          <w:rPr>
            <w:rFonts w:ascii="Arial" w:hAnsi="Arial" w:eastAsia="Arial" w:cs="Arial"/>
            <w:color w:val="0000FF"/>
            <w:spacing w:val="0"/>
            <w:position w:val="0"/>
            <w:sz w:val="24"/>
            <w:u w:val="single"/>
            <w:shd w:val="clear" w:fill="auto"/>
          </w:rPr>
          <w:t xml:space="preserve">https://documentserver.uhasselt.be/bitstream/1942/37785/2/Kandampully%20et%20al.%202022.pdf</w:t>
        </w:r>
      </w:hyperlink>
      <w:r>
        <w:rPr>
          <w:rFonts w:ascii="Arial" w:hAnsi="Arial" w:eastAsia="Arial" w:cs="Arial"/>
          <w:color w:val="auto"/>
          <w:spacing w:val="0"/>
          <w:position w:val="0"/>
          <w:sz w:val="24"/>
          <w:shd w:val="clear" w:fill="auto"/>
        </w:rPr>
        <w:t xml:space="preserve">  </w:t>
      </w:r>
    </w:p>
    <w:p xmlns:wp14="http://schemas.microsoft.com/office/word/2010/wordml" w14:paraId="2BE3D51A"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KC, A., Rijal, K. and Sapkota, R.P., 2015. Role of ecotourism in environmental conservation and socioeconomic development in Annapurna conservation area, Nepal. International Journal of Sustainable Development &amp; World Ecology, 22(3), pp.251-258. </w:t>
      </w:r>
      <w:hyperlink xmlns:r="http://schemas.openxmlformats.org/officeDocument/2006/relationships" r:id="docRId14">
        <w:r>
          <w:rPr>
            <w:rFonts w:ascii="Arial" w:hAnsi="Arial" w:eastAsia="Arial" w:cs="Arial"/>
            <w:color w:val="0000FF"/>
            <w:spacing w:val="0"/>
            <w:position w:val="0"/>
            <w:sz w:val="24"/>
            <w:u w:val="single"/>
            <w:shd w:val="clear" w:fill="auto"/>
          </w:rPr>
          <w:t xml:space="preserve">https://doi.org/10.1080/13504509.2015.1005721</w:t>
        </w:r>
      </w:hyperlink>
      <w:r>
        <w:rPr>
          <w:rFonts w:ascii="Arial" w:hAnsi="Arial" w:eastAsia="Arial" w:cs="Arial"/>
          <w:color w:val="auto"/>
          <w:spacing w:val="0"/>
          <w:position w:val="0"/>
          <w:sz w:val="24"/>
          <w:shd w:val="clear" w:fill="auto"/>
        </w:rPr>
        <w:t xml:space="preserve">  </w:t>
      </w:r>
    </w:p>
    <w:p xmlns:wp14="http://schemas.microsoft.com/office/word/2010/wordml" w14:paraId="5E245BD5"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Narteh, B., Agbemabiese, G.C., Kodua, P. and Braimah, M., 2013. Relationship marketing and customer loyalty: Evidence from the Ghanaian luxury hotel industry. Journal of Hospitality Marketing &amp; Management, 22(4), pp.407-436. </w:t>
      </w:r>
      <w:hyperlink xmlns:r="http://schemas.openxmlformats.org/officeDocument/2006/relationships" r:id="docRId15">
        <w:r>
          <w:rPr>
            <w:rFonts w:ascii="Arial" w:hAnsi="Arial" w:eastAsia="Arial" w:cs="Arial"/>
            <w:color w:val="0000FF"/>
            <w:spacing w:val="0"/>
            <w:position w:val="0"/>
            <w:sz w:val="24"/>
            <w:u w:val="single"/>
            <w:shd w:val="clear" w:fill="auto"/>
          </w:rPr>
          <w:t xml:space="preserve">https://doi.org/10.1080/19368623.2012.660564</w:t>
        </w:r>
      </w:hyperlink>
      <w:r>
        <w:rPr>
          <w:rFonts w:ascii="Arial" w:hAnsi="Arial" w:eastAsia="Arial" w:cs="Arial"/>
          <w:color w:val="auto"/>
          <w:spacing w:val="0"/>
          <w:position w:val="0"/>
          <w:sz w:val="24"/>
          <w:shd w:val="clear" w:fill="auto"/>
        </w:rPr>
        <w:t xml:space="preserve">  </w:t>
      </w:r>
    </w:p>
    <w:p xmlns:wp14="http://schemas.microsoft.com/office/word/2010/wordml" w14:paraId="3DC4A05C"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Nazir, O. and Islam, J.U., 2020. Effect of CSR activities on meaningfulness, compassion, and employee engagement: A sense-making theoretical approach. International Journal of Hospitality Management, 90, p.102630. </w:t>
      </w:r>
      <w:hyperlink xmlns:r="http://schemas.openxmlformats.org/officeDocument/2006/relationships" r:id="docRId16">
        <w:r>
          <w:rPr>
            <w:rFonts w:ascii="Arial" w:hAnsi="Arial" w:eastAsia="Arial" w:cs="Arial"/>
            <w:color w:val="0000FF"/>
            <w:spacing w:val="0"/>
            <w:position w:val="0"/>
            <w:sz w:val="24"/>
            <w:u w:val="single"/>
            <w:shd w:val="clear" w:fill="auto"/>
          </w:rPr>
          <w:t xml:space="preserve">https://doi.org/10.1016/j.ijhm.2020.102630</w:t>
        </w:r>
      </w:hyperlink>
      <w:r>
        <w:rPr>
          <w:rFonts w:ascii="Arial" w:hAnsi="Arial" w:eastAsia="Arial" w:cs="Arial"/>
          <w:color w:val="auto"/>
          <w:spacing w:val="0"/>
          <w:position w:val="0"/>
          <w:sz w:val="24"/>
          <w:shd w:val="clear" w:fill="auto"/>
        </w:rPr>
        <w:t xml:space="preserve">  </w:t>
      </w:r>
    </w:p>
    <w:p xmlns:wp14="http://schemas.microsoft.com/office/word/2010/wordml" w14:paraId="6CC749F2"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Poponi, S., Palli, J., Ferrari, S., Filibeck, G., Franceschini, C., Ruggieri, A. and Piovesan, G., 2020. Toward the development of sustainable ecotourism in Italian national parks of the Apennines: Insights from hiking guides. Ecology and Society, 25(4). </w:t>
      </w:r>
      <w:hyperlink xmlns:r="http://schemas.openxmlformats.org/officeDocument/2006/relationships" r:id="docRId17">
        <w:r>
          <w:rPr>
            <w:rFonts w:ascii="Arial" w:hAnsi="Arial" w:eastAsia="Arial" w:cs="Arial"/>
            <w:color w:val="0000FF"/>
            <w:spacing w:val="0"/>
            <w:position w:val="0"/>
            <w:sz w:val="24"/>
            <w:u w:val="single"/>
            <w:shd w:val="clear" w:fill="auto"/>
          </w:rPr>
          <w:t xml:space="preserve">http://www.ecologyandsociety.org/vol25/iss4/art46/ES-2020-11996.pdf</w:t>
        </w:r>
      </w:hyperlink>
      <w:r>
        <w:rPr>
          <w:rFonts w:ascii="Arial" w:hAnsi="Arial" w:eastAsia="Arial" w:cs="Arial"/>
          <w:color w:val="auto"/>
          <w:spacing w:val="0"/>
          <w:position w:val="0"/>
          <w:sz w:val="24"/>
          <w:shd w:val="clear" w:fill="auto"/>
        </w:rPr>
        <w:t xml:space="preserve">  </w:t>
      </w:r>
    </w:p>
    <w:p xmlns:wp14="http://schemas.microsoft.com/office/word/2010/wordml" w14:paraId="38F03423"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Rumpf, C., 2014, April. Efficient Human Resource Management Methods to win the ‘War for Talents’ in Spa Management Positions. In ISCONTOUR 2014-Tourism Research Perspectives: Proceedings of the International Student Conference in Tourism Research. </w:t>
      </w:r>
    </w:p>
    <w:p xmlns:wp14="http://schemas.microsoft.com/office/word/2010/wordml" w14:paraId="2B615764"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Schoolhouse website. Your Private pocket of calm, tucked away in leafy Ballsbridge. </w:t>
      </w:r>
      <w:hyperlink xmlns:r="http://schemas.openxmlformats.org/officeDocument/2006/relationships" r:id="docRId18">
        <w:r>
          <w:rPr>
            <w:rFonts w:ascii="Arial" w:hAnsi="Arial" w:eastAsia="Arial" w:cs="Arial"/>
            <w:color w:val="467886"/>
            <w:spacing w:val="0"/>
            <w:position w:val="0"/>
            <w:sz w:val="24"/>
            <w:u w:val="single"/>
            <w:shd w:val="clear" w:fill="auto"/>
          </w:rPr>
          <w:t xml:space="preserve">https://www.schoolhouse.ie/?gad_source=1</w:t>
        </w:r>
        <w:r>
          <w:rPr>
            <w:rFonts w:ascii="Arial" w:hAnsi="Arial" w:eastAsia="Arial" w:cs="Arial"/>
            <w:color w:val="467886"/>
            <w:spacing w:val="0"/>
            <w:position w:val="0"/>
            <w:sz w:val="24"/>
            <w:u w:val="single"/>
            <w:shd w:val="clear" w:fill="auto"/>
          </w:rPr>
          <w:t xml:space="preserve"> HYPERLINK "https://www.schoolhouse.ie/?gad_source=1&amp;gclid=CjwKCAiAk9itBhASEiwA1my_63NuR30L_7mcv-2k1UiGr2WRvJVZUKDDxaysnqJaOsgmxGmaSGrDJhoCcaAQAvD_BwE"</w:t>
        </w:r>
        <w:r>
          <w:rPr>
            <w:rFonts w:ascii="Arial" w:hAnsi="Arial" w:eastAsia="Arial" w:cs="Arial"/>
            <w:color w:val="467886"/>
            <w:spacing w:val="0"/>
            <w:position w:val="0"/>
            <w:sz w:val="24"/>
            <w:u w:val="single"/>
            <w:shd w:val="clear" w:fill="auto"/>
          </w:rPr>
          <w:t xml:space="preserve">&amp;</w:t>
        </w:r>
        <w:r>
          <w:rPr>
            <w:rFonts w:ascii="Arial" w:hAnsi="Arial" w:eastAsia="Arial" w:cs="Arial"/>
            <w:color w:val="467886"/>
            <w:spacing w:val="0"/>
            <w:position w:val="0"/>
            <w:sz w:val="24"/>
            <w:u w:val="single"/>
            <w:shd w:val="clear" w:fill="auto"/>
          </w:rPr>
          <w:t xml:space="preserve"> HYPERLINK "https://www.schoolhouse.ie/?gad_source=1&amp;gclid=CjwKCAiAk9itBhASEiwA1my_63NuR30L_7mcv-2k1UiGr2WRvJVZUKDDxaysnqJaOsgmxGmaSGrDJhoCcaAQAvD_BwE"</w:t>
        </w:r>
        <w:r>
          <w:rPr>
            <w:rFonts w:ascii="Arial" w:hAnsi="Arial" w:eastAsia="Arial" w:cs="Arial"/>
            <w:color w:val="467886"/>
            <w:spacing w:val="0"/>
            <w:position w:val="0"/>
            <w:sz w:val="24"/>
            <w:u w:val="single"/>
            <w:shd w:val="clear" w:fill="auto"/>
          </w:rPr>
          <w:t xml:space="preserve">gclid=CjwKCAiAk9itBhASEiwA1my_63NuR30L_7mcv-2k1UiGr2WRvJVZUKDDxaysnqJaOsgmxGmaSGrDJhoCcaAQAvD_BwE</w:t>
        </w:r>
      </w:hyperlink>
      <w:r>
        <w:rPr>
          <w:rFonts w:ascii="Arial" w:hAnsi="Arial" w:eastAsia="Arial" w:cs="Arial"/>
          <w:color w:val="auto"/>
          <w:spacing w:val="0"/>
          <w:position w:val="0"/>
          <w:sz w:val="24"/>
          <w:shd w:val="clear" w:fill="auto"/>
        </w:rPr>
        <w:t xml:space="preserve">  </w:t>
      </w:r>
    </w:p>
    <w:p xmlns:wp14="http://schemas.microsoft.com/office/word/2010/wordml" w14:paraId="1B7F0ED6"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Seyfi, S., Hall, C.M. and Rasoolimanesh, S.M., 2020. Exploring memorable cultural tourism experiences. Journal of Heritage Tourism, 15(3), pp.341-357. </w:t>
      </w:r>
      <w:hyperlink xmlns:r="http://schemas.openxmlformats.org/officeDocument/2006/relationships" r:id="docRId19">
        <w:r>
          <w:rPr>
            <w:rFonts w:ascii="Arial" w:hAnsi="Arial" w:eastAsia="Arial" w:cs="Arial"/>
            <w:color w:val="0000FF"/>
            <w:spacing w:val="0"/>
            <w:position w:val="0"/>
            <w:sz w:val="24"/>
            <w:u w:val="single"/>
            <w:shd w:val="clear" w:fill="auto"/>
          </w:rPr>
          <w:t xml:space="preserve">https://www.researchgate.net/profile/S-Mostafa-Rasoolimanesh/publication/334193047_Exploring_Memorable_Cultural_Tourism_Experiences/links/5d1c449fa6fdcc2462bae467/Exploring-Memorable-Cultural-Tourism-Experiences.pdf</w:t>
        </w:r>
      </w:hyperlink>
      <w:r>
        <w:rPr>
          <w:rFonts w:ascii="Arial" w:hAnsi="Arial" w:eastAsia="Arial" w:cs="Arial"/>
          <w:color w:val="auto"/>
          <w:spacing w:val="0"/>
          <w:position w:val="0"/>
          <w:sz w:val="24"/>
          <w:shd w:val="clear" w:fill="auto"/>
        </w:rPr>
        <w:t xml:space="preserve">  </w:t>
      </w:r>
    </w:p>
    <w:p xmlns:wp14="http://schemas.microsoft.com/office/word/2010/wordml" w14:paraId="009F9827"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Tel A guest, 2023. The Serras Hotel Barcelona. </w:t>
      </w:r>
      <w:hyperlink xmlns:r="http://schemas.openxmlformats.org/officeDocument/2006/relationships" r:id="docRId20">
        <w:r>
          <w:rPr>
            <w:rFonts w:ascii="Arial" w:hAnsi="Arial" w:eastAsia="Arial" w:cs="Arial"/>
            <w:color w:val="0000FF"/>
            <w:spacing w:val="0"/>
            <w:position w:val="0"/>
            <w:sz w:val="24"/>
            <w:u w:val="single"/>
            <w:shd w:val="clear" w:fill="auto"/>
          </w:rPr>
          <w:t xml:space="preserve">https://taleaguest.com/the-serras-hotel-barcelona/</w:t>
        </w:r>
      </w:hyperlink>
      <w:r>
        <w:rPr>
          <w:rFonts w:ascii="Arial" w:hAnsi="Arial" w:eastAsia="Arial" w:cs="Arial"/>
          <w:color w:val="auto"/>
          <w:spacing w:val="0"/>
          <w:position w:val="0"/>
          <w:sz w:val="24"/>
          <w:shd w:val="clear" w:fill="auto"/>
        </w:rPr>
        <w:t xml:space="preserve">  </w:t>
      </w:r>
    </w:p>
    <w:p xmlns:wp14="http://schemas.microsoft.com/office/word/2010/wordml" w14:paraId="519DEFED"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Volo, S. and D’Acunto, D., 2021. Ecotourism as form of luxury consumption. In Routledge Handbook of Ecotourism. Routledge. </w:t>
      </w:r>
      <w:hyperlink xmlns:r="http://schemas.openxmlformats.org/officeDocument/2006/relationships" r:id="docRId21">
        <w:r>
          <w:rPr>
            <w:rFonts w:ascii="Arial" w:hAnsi="Arial" w:eastAsia="Arial" w:cs="Arial"/>
            <w:color w:val="467886"/>
            <w:spacing w:val="0"/>
            <w:position w:val="0"/>
            <w:sz w:val="24"/>
            <w:u w:val="single"/>
            <w:shd w:val="clear" w:fill="auto"/>
          </w:rPr>
          <w:t xml:space="preserve">https://api.taylorfrancis.com/content/chapters/edit/download?identifierName=doi</w:t>
        </w:r>
        <w:r>
          <w:rPr>
            <w:rFonts w:ascii="Arial" w:hAnsi="Arial" w:eastAsia="Arial" w:cs="Arial"/>
            <w:color w:val="467886"/>
            <w:spacing w:val="0"/>
            <w:position w:val="0"/>
            <w:sz w:val="24"/>
            <w:u w:val="single"/>
            <w:shd w:val="clear" w:fill="auto"/>
          </w:rPr>
          <w:t xml:space="preserve"> HYPERLINK "https://api.taylorfrancis.com/content/chapters/edit/download?identifierName=doi&amp;identifierValue=10.4324/9781003001768-21&amp;type=chapterpdf"</w:t>
        </w:r>
        <w:r>
          <w:rPr>
            <w:rFonts w:ascii="Arial" w:hAnsi="Arial" w:eastAsia="Arial" w:cs="Arial"/>
            <w:color w:val="467886"/>
            <w:spacing w:val="0"/>
            <w:position w:val="0"/>
            <w:sz w:val="24"/>
            <w:u w:val="single"/>
            <w:shd w:val="clear" w:fill="auto"/>
          </w:rPr>
          <w:t xml:space="preserve">&amp;</w:t>
        </w:r>
        <w:r>
          <w:rPr>
            <w:rFonts w:ascii="Arial" w:hAnsi="Arial" w:eastAsia="Arial" w:cs="Arial"/>
            <w:color w:val="467886"/>
            <w:spacing w:val="0"/>
            <w:position w:val="0"/>
            <w:sz w:val="24"/>
            <w:u w:val="single"/>
            <w:shd w:val="clear" w:fill="auto"/>
          </w:rPr>
          <w:t xml:space="preserve"> HYPERLINK "https://api.taylorfrancis.com/content/chapters/edit/download?identifierName=doi&amp;identifierValue=10.4324/9781003001768-21&amp;type=chapterpdf"</w:t>
        </w:r>
        <w:r>
          <w:rPr>
            <w:rFonts w:ascii="Arial" w:hAnsi="Arial" w:eastAsia="Arial" w:cs="Arial"/>
            <w:color w:val="467886"/>
            <w:spacing w:val="0"/>
            <w:position w:val="0"/>
            <w:sz w:val="24"/>
            <w:u w:val="single"/>
            <w:shd w:val="clear" w:fill="auto"/>
          </w:rPr>
          <w:t xml:space="preserve">identifierValue=10.4324/9781003001768-21</w:t>
        </w:r>
        <w:r>
          <w:rPr>
            <w:rFonts w:ascii="Arial" w:hAnsi="Arial" w:eastAsia="Arial" w:cs="Arial"/>
            <w:color w:val="467886"/>
            <w:spacing w:val="0"/>
            <w:position w:val="0"/>
            <w:sz w:val="24"/>
            <w:u w:val="single"/>
            <w:shd w:val="clear" w:fill="auto"/>
          </w:rPr>
          <w:t xml:space="preserve"> HYPERLINK "https://api.taylorfrancis.com/content/chapters/edit/download?identifierName=doi&amp;identifierValue=10.4324/9781003001768-21&amp;type=chapterpdf"</w:t>
        </w:r>
        <w:r>
          <w:rPr>
            <w:rFonts w:ascii="Arial" w:hAnsi="Arial" w:eastAsia="Arial" w:cs="Arial"/>
            <w:color w:val="467886"/>
            <w:spacing w:val="0"/>
            <w:position w:val="0"/>
            <w:sz w:val="24"/>
            <w:u w:val="single"/>
            <w:shd w:val="clear" w:fill="auto"/>
          </w:rPr>
          <w:t xml:space="preserve">&amp;</w:t>
        </w:r>
        <w:r>
          <w:rPr>
            <w:rFonts w:ascii="Arial" w:hAnsi="Arial" w:eastAsia="Arial" w:cs="Arial"/>
            <w:color w:val="467886"/>
            <w:spacing w:val="0"/>
            <w:position w:val="0"/>
            <w:sz w:val="24"/>
            <w:u w:val="single"/>
            <w:shd w:val="clear" w:fill="auto"/>
          </w:rPr>
          <w:t xml:space="preserve"> HYPERLINK "https://api.taylorfrancis.com/content/chapters/edit/download?identifierName=doi&amp;identifierValue=10.4324/9781003001768-21&amp;type=chapterpdf"</w:t>
        </w:r>
        <w:r>
          <w:rPr>
            <w:rFonts w:ascii="Arial" w:hAnsi="Arial" w:eastAsia="Arial" w:cs="Arial"/>
            <w:color w:val="467886"/>
            <w:spacing w:val="0"/>
            <w:position w:val="0"/>
            <w:sz w:val="24"/>
            <w:u w:val="single"/>
            <w:shd w:val="clear" w:fill="auto"/>
          </w:rPr>
          <w:t xml:space="preserve">type=chapterpdf</w:t>
        </w:r>
      </w:hyperlink>
      <w:r>
        <w:rPr>
          <w:rFonts w:ascii="Arial" w:hAnsi="Arial" w:eastAsia="Arial" w:cs="Arial"/>
          <w:color w:val="auto"/>
          <w:spacing w:val="0"/>
          <w:position w:val="0"/>
          <w:sz w:val="24"/>
          <w:shd w:val="clear" w:fill="auto"/>
        </w:rPr>
        <w:t xml:space="preserve">  </w:t>
      </w:r>
    </w:p>
    <w:p xmlns:wp14="http://schemas.microsoft.com/office/word/2010/wordml" w14:paraId="1598E853" wp14:textId="77777777">
      <w:pPr>
        <w:numPr>
          <w:ilvl w:val="0"/>
          <w:numId w:val="2"/>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Wheeler, F., Frost, W. and Weiler, B., 2011. Destination brand identity, values, and community: A case study from rural Victoria, Australia. Journal of Travel &amp; Tourism Marketing, 28(1), pp.13-26. </w:t>
      </w:r>
      <w:hyperlink xmlns:r="http://schemas.openxmlformats.org/officeDocument/2006/relationships" r:id="docRId22">
        <w:r>
          <w:rPr>
            <w:rFonts w:ascii="Arial" w:hAnsi="Arial" w:eastAsia="Arial" w:cs="Arial"/>
            <w:color w:val="0000FF"/>
            <w:spacing w:val="0"/>
            <w:position w:val="0"/>
            <w:sz w:val="24"/>
            <w:u w:val="single"/>
            <w:shd w:val="clear" w:fill="auto"/>
          </w:rPr>
          <w:t xml:space="preserve">https://doi.org/10.1080/10548408.2011.535441</w:t>
        </w:r>
      </w:hyperlink>
    </w:p>
    <w:p xmlns:wp14="http://schemas.microsoft.com/office/word/2010/wordml" w14:paraId="52E4220D" wp14:textId="77777777">
      <w:pPr>
        <w:numPr>
          <w:ilvl w:val="0"/>
          <w:numId w:val="2"/>
        </w:numPr>
        <w:spacing w:before="0" w:after="160" w:line="360"/>
        <w:ind w:left="1080" w:right="0" w:hanging="720"/>
        <w:jc w:val="both"/>
        <w:rPr>
          <w:rFonts w:ascii="Arial" w:hAnsi="Arial" w:eastAsia="Arial" w:cs="Arial"/>
          <w:color w:val="222222"/>
          <w:spacing w:val="0"/>
          <w:position w:val="0"/>
          <w:sz w:val="24"/>
          <w:shd w:val="clear" w:fill="FFFFFF"/>
        </w:rPr>
      </w:pPr>
      <w:r>
        <w:rPr>
          <w:rFonts w:ascii="Arial" w:hAnsi="Arial" w:eastAsia="Arial" w:cs="Arial"/>
          <w:color w:val="222222"/>
          <w:spacing w:val="0"/>
          <w:position w:val="0"/>
          <w:sz w:val="24"/>
          <w:shd w:val="clear" w:fill="FFFFFF"/>
        </w:rPr>
        <w:t xml:space="preserve">Koutroubas, V. and Galanakis, M., 2022. Bandura’s social learning theory and its importance in the organizational psychology context. </w:t>
      </w:r>
      <w:r>
        <w:rPr>
          <w:rFonts w:ascii="Arial" w:hAnsi="Arial" w:eastAsia="Arial" w:cs="Arial"/>
          <w:i/>
          <w:color w:val="222222"/>
          <w:spacing w:val="0"/>
          <w:position w:val="0"/>
          <w:sz w:val="24"/>
          <w:shd w:val="clear" w:fill="FFFFFF"/>
        </w:rPr>
        <w:t xml:space="preserve">Psychology</w:t>
      </w:r>
      <w:r>
        <w:rPr>
          <w:rFonts w:ascii="Arial" w:hAnsi="Arial" w:eastAsia="Arial" w:cs="Arial"/>
          <w:color w:val="222222"/>
          <w:spacing w:val="0"/>
          <w:position w:val="0"/>
          <w:sz w:val="24"/>
          <w:shd w:val="clear" w:fill="FFFFFF"/>
        </w:rPr>
        <w:t xml:space="preserve">, </w:t>
      </w:r>
      <w:r>
        <w:rPr>
          <w:rFonts w:ascii="Arial" w:hAnsi="Arial" w:eastAsia="Arial" w:cs="Arial"/>
          <w:i/>
          <w:color w:val="222222"/>
          <w:spacing w:val="0"/>
          <w:position w:val="0"/>
          <w:sz w:val="24"/>
          <w:shd w:val="clear" w:fill="FFFFFF"/>
        </w:rPr>
        <w:t xml:space="preserve">12</w:t>
      </w:r>
      <w:r>
        <w:rPr>
          <w:rFonts w:ascii="Arial" w:hAnsi="Arial" w:eastAsia="Arial" w:cs="Arial"/>
          <w:color w:val="222222"/>
          <w:spacing w:val="0"/>
          <w:position w:val="0"/>
          <w:sz w:val="24"/>
          <w:shd w:val="clear" w:fill="FFFFFF"/>
        </w:rPr>
        <w:t xml:space="preserve">(6), pp.315-322. </w:t>
      </w:r>
      <w:hyperlink xmlns:r="http://schemas.openxmlformats.org/officeDocument/2006/relationships" r:id="docRId23">
        <w:r>
          <w:rPr>
            <w:rFonts w:ascii="Arial" w:hAnsi="Arial" w:eastAsia="Arial" w:cs="Arial"/>
            <w:color w:val="0000FF"/>
            <w:spacing w:val="0"/>
            <w:position w:val="0"/>
            <w:sz w:val="24"/>
            <w:u w:val="single"/>
            <w:shd w:val="clear" w:fill="FFFFFF"/>
          </w:rPr>
          <w:t xml:space="preserve">https://www.researchgate.net/profile/Virginia-Koutroubas/publication/360837107_Bandura's_Social_Learning_Theory_and_Its_Importance_in_the_Organizational_Psychology_Context/links/628e1bdf35f9c61b7f93527c/Banduras-Social-Learning-Theory-and-Its-Importance-in-the-Organizational-Psychology-Context.pdf</w:t>
        </w:r>
      </w:hyperlink>
    </w:p>
    <w:p xmlns:wp14="http://schemas.microsoft.com/office/word/2010/wordml" w14:paraId="03177E07" wp14:textId="77777777">
      <w:pPr>
        <w:numPr>
          <w:ilvl w:val="0"/>
          <w:numId w:val="2"/>
        </w:numPr>
        <w:spacing w:before="0" w:after="150" w:line="240"/>
        <w:ind w:left="1080" w:right="0" w:hanging="720"/>
        <w:jc w:val="left"/>
        <w:rPr>
          <w:rFonts w:ascii="Arial" w:hAnsi="Arial" w:eastAsia="Arial" w:cs="Arial"/>
          <w:color w:val="000000"/>
          <w:spacing w:val="0"/>
          <w:position w:val="0"/>
          <w:sz w:val="24"/>
          <w:shd w:val="clear" w:fill="FFFFFF"/>
        </w:rPr>
      </w:pPr>
      <w:r>
        <w:rPr>
          <w:rFonts w:ascii="Arial" w:hAnsi="Arial" w:eastAsia="Arial" w:cs="Arial"/>
          <w:color w:val="000000"/>
          <w:spacing w:val="0"/>
          <w:position w:val="0"/>
          <w:sz w:val="24"/>
          <w:shd w:val="clear" w:fill="FFFFFF"/>
        </w:rPr>
        <w:t xml:space="preserve">Bassot, B. (2015). The Reflective Practice Guide: An interdisciplinary approach to critical reflection (1st ed.). Routledge. </w:t>
      </w:r>
      <w:hyperlink xmlns:r="http://schemas.openxmlformats.org/officeDocument/2006/relationships" r:id="docRId24">
        <w:r>
          <w:rPr>
            <w:rFonts w:ascii="Arial" w:hAnsi="Arial" w:eastAsia="Arial" w:cs="Arial"/>
            <w:color w:val="0000FF"/>
            <w:spacing w:val="0"/>
            <w:position w:val="0"/>
            <w:sz w:val="24"/>
            <w:u w:val="single"/>
            <w:shd w:val="clear" w:fill="FFFFFF"/>
          </w:rPr>
          <w:t xml:space="preserve">https://doi.org/10.4324/9781315768298</w:t>
        </w:r>
      </w:hyperlink>
      <w:r>
        <w:rPr>
          <w:rFonts w:ascii="Arial" w:hAnsi="Arial" w:eastAsia="Arial" w:cs="Arial"/>
          <w:color w:val="000000"/>
          <w:spacing w:val="0"/>
          <w:position w:val="0"/>
          <w:sz w:val="24"/>
          <w:shd w:val="clear" w:fill="FFFFFF"/>
        </w:rPr>
        <w:t xml:space="preserve"> </w:t>
      </w:r>
    </w:p>
    <w:p xmlns:wp14="http://schemas.microsoft.com/office/word/2010/wordml" w14:paraId="07459315" wp14:textId="77777777">
      <w:pPr>
        <w:spacing w:before="0" w:after="160" w:line="360"/>
        <w:ind w:left="0" w:right="0" w:firstLine="0"/>
        <w:jc w:val="both"/>
        <w:rPr>
          <w:rFonts w:ascii="Arial" w:hAnsi="Arial" w:eastAsia="Arial" w:cs="Arial"/>
          <w:color w:val="222222"/>
          <w:spacing w:val="0"/>
          <w:position w:val="0"/>
          <w:sz w:val="20"/>
          <w:shd w:val="clear" w:fill="FFFFFF"/>
        </w:rPr>
      </w:pPr>
    </w:p>
    <w:p xmlns:wp14="http://schemas.microsoft.com/office/word/2010/wordml" w14:paraId="6537F28F"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6DFB9E20" wp14:textId="77777777">
      <w:pPr>
        <w:spacing w:before="0" w:after="160" w:line="360"/>
        <w:ind w:left="0" w:right="0" w:firstLine="0"/>
        <w:jc w:val="both"/>
        <w:rPr>
          <w:rFonts w:ascii="Arial" w:hAnsi="Arial" w:eastAsia="Arial" w:cs="Arial"/>
          <w:color w:val="auto"/>
          <w:spacing w:val="0"/>
          <w:position w:val="0"/>
          <w:sz w:val="24"/>
          <w:shd w:val="clear" w:fill="auto"/>
        </w:rPr>
      </w:pPr>
    </w:p>
    <w:sectPr>
      <w:pgMar w:top="1440" w:right="1440" w:bottom="1440" w:left="1440"/>
      <w:pgSz w:w="12240" w:h="15840" w:orient="portrait"/>
      <w:cols w:num="1"/>
    </w:sectPr>
  </w:body>
</w:document>
</file>

<file path=word/numbering.xml><?xml version="1.0" encoding="utf-8"?>
<w:numbering xmlns:w="http://schemas.openxmlformats.org/wordprocessingml/2006/main">
  <w:abstractNum w:abstractNumId="0">
    <w:lvl w:ilvl="0">
      <w:start w:val="1"/>
      <w:numFmt w:val="bullet"/>
      <w:lvlText w:val="•"/>
    </w:lvl>
    <w:nsid w:val="4eef178d"/>
  </w:abstractNum>
  <w:num w:numId="2">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1CF7C5F3"/>
  <w15:docId w15:val="{1DBB7C74-06BF-41CC-95AE-9B7545E0F6E6}"/>
  <w:rsids>
    <w:rsidRoot w:val="4B45DA3C"/>
    <w:rsid w:val="4B45DA3C"/>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file>

<file path=word/_rels/document.xml.rels>&#65279;<?xml version="1.0" encoding="utf-8"?><Relationships xmlns="http://schemas.openxmlformats.org/package/2006/relationships"><Relationship Type="http://schemas.openxmlformats.org/officeDocument/2006/relationships/hyperlink" Target="http://www.ecologyandsociety.org/vol25/iss4/art46/ES-2020-11996.pdf" TargetMode="External" Id="docRId17" /><Relationship Type="http://schemas.openxmlformats.org/officeDocument/2006/relationships/hyperlink" Target="https://doi.org/10.4324/9781315768298" TargetMode="External" Id="docRId24" /><Relationship Type="http://schemas.openxmlformats.org/officeDocument/2006/relationships/hyperlink" Target="https://www.researchgate.net/profile/Mark-Anthony-Camilleri/publication/374269557_The_Artification_of_Hospitality_Art_Hotels_as_the_New_Frontier_of_Sustainable_Cultural_Tourism/links/652cfb8b0ebf091c48f90b00/The-Artification-of-Hospitality-Art-Hotels-as-the-New-Frontier-of-Sustainable-Cultural-Tourism.pdf?_tp=eyJjb250ZXh0Ijp7ImZpcnN0UGFnZSI6InB1YmxpY2F0aW9uIiwicGFnZSI6InB1YmxpY2F0aW9uIn19" TargetMode="External" Id="docRId7" /><Relationship Type="http://schemas.openxmlformats.org/officeDocument/2006/relationships/hyperlink" Target="https://doi.org/10.1080/13504509.2015.1005721" TargetMode="External" Id="docRId14" /><Relationship Type="http://schemas.openxmlformats.org/officeDocument/2006/relationships/hyperlink" Target="https://www.researchgate.net/profile/Virginia-Koutroubas/publication/360837107_Bandura's_Social_Learning_Theory_and_Its_Importance_in_the_Organizational_Psychology_Context/links/628e1bdf35f9c61b7f93527c/Banduras-Social-Learning-Theory-and-Its-Importance-in-the-Organizational-Psychology-Context.pdf" TargetMode="External" Id="docRId23" /><Relationship Type="http://schemas.openxmlformats.org/officeDocument/2006/relationships/hyperlink" Target="https://doi.org/10.1016/j.tourman.2023.104724" TargetMode="External" Id="docRId6" /><Relationship Type="http://schemas.openxmlformats.org/officeDocument/2006/relationships/image" Target="media/image0.wmf" Id="docRId1" /><Relationship Type="http://schemas.openxmlformats.org/officeDocument/2006/relationships/hyperlink" Target="https://doi.org/10.1080/19368623.2012.660564" TargetMode="External" Id="docRId15" /><Relationship Type="http://schemas.openxmlformats.org/officeDocument/2006/relationships/hyperlink" Target="https://doi.org/10.1080/10548408.2011.535441" TargetMode="External" Id="docRId22" /><Relationship Type="http://schemas.openxmlformats.org/officeDocument/2006/relationships/hyperlink" Target="https://doi.org/10.1016/j.ijhm.2022.103305" TargetMode="External" Id="docRId9" /><Relationship Type="http://schemas.openxmlformats.org/officeDocument/2006/relationships/oleObject" Target="embeddings/oleObject0.bin" Id="docRId0" /><Relationship Type="http://schemas.openxmlformats.org/officeDocument/2006/relationships/hyperlink" Target="https://www.mdpi.com/1660-4601/18/12/6520/pdf" TargetMode="External" Id="docRId12" /><Relationship Type="http://schemas.openxmlformats.org/officeDocument/2006/relationships/hyperlink" Target="https://doi.org/10.1016/j.ijhm.2020.102630" TargetMode="External" Id="docRId16" /><Relationship Type="http://schemas.openxmlformats.org/officeDocument/2006/relationships/hyperlink" Target="https://api.taylorfrancis.com/content/chapters/edit/download?identifierName=doi&amp;identifierValue=10.4324/9781003001768-21&amp;type=chapterpdf" TargetMode="External" Id="docRId21" /><Relationship Type="http://schemas.openxmlformats.org/officeDocument/2006/relationships/numbering" Target="numbering.xml" Id="docRId25" /><Relationship Type="http://schemas.openxmlformats.org/officeDocument/2006/relationships/hyperlink" Target="https://doi.org/10.1080/19368623.2019.1588824" TargetMode="External" Id="docRId4" /><Relationship Type="http://schemas.openxmlformats.org/officeDocument/2006/relationships/hyperlink" Target="https://lup.lub.lu.se/student-papers/record/9061860/file/9061863.pdf" TargetMode="External" Id="docRId8" /><Relationship Type="http://schemas.openxmlformats.org/officeDocument/2006/relationships/hyperlink" Target="https://documentserver.uhasselt.be/bitstream/1942/37785/2/Kandampully%20et%20al.%202022.pdf" TargetMode="External" Id="docRId13" /><Relationship Type="http://schemas.openxmlformats.org/officeDocument/2006/relationships/hyperlink" Target="https://taleaguest.com/the-serras-hotel-barcelona/" TargetMode="External" Id="docRId20" /><Relationship Type="http://schemas.openxmlformats.org/officeDocument/2006/relationships/image" Target="media/image1.wmf" Id="docRId3" /><Relationship Type="http://schemas.openxmlformats.org/officeDocument/2006/relationships/hyperlink" Target="https://www.mdpi.com/2673-5768/2/1/2/pdf" TargetMode="External" Id="docRId10" /><Relationship Type="http://schemas.openxmlformats.org/officeDocument/2006/relationships/hyperlink" Target="https://www.schoolhouse.ie/?gad_source=1&amp;gclid=CjwKCAiAk9itBhASEiwA1my_63NuR30L_7mcv-2k1UiGr2WRvJVZUKDDxaysnqJaOsgmxGmaSGrDJhoCcaAQAvD_BwE" TargetMode="External" Id="docRId18" /><Relationship Type="http://schemas.openxmlformats.org/officeDocument/2006/relationships/oleObject" Target="embeddings/oleObject1.bin" Id="docRId2" /><Relationship Type="http://schemas.openxmlformats.org/officeDocument/2006/relationships/hyperlink" Target="https://www.fairmont.com/our-philosophy/" TargetMode="External" Id="docRId11" /><Relationship Type="http://schemas.openxmlformats.org/officeDocument/2006/relationships/hyperlink" Target="https://www.researchgate.net/profile/S-Mostafa-Rasoolimanesh/publication/334193047_Exploring_Memorable_Cultural_Tourism_Experiences/links/5d1c449fa6fdcc2462bae467/Exploring-Memorable-Cultural-Tourism-Experiences.pdf" TargetMode="External" Id="docRId19" /><Relationship Type="http://schemas.openxmlformats.org/officeDocument/2006/relationships/styles" Target="styles.xml" Id="docRId26" /><Relationship Type="http://schemas.openxmlformats.org/officeDocument/2006/relationships/hyperlink" Target="https://doi.org/10.1007/s10668-023-03101-7" TargetMode="External" Id="docRId5" /><Relationship Type="http://schemas.openxmlformats.org/officeDocument/2006/relationships/settings" Target="settings.xml" Id="R8eb870bd2d014a70"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