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3722CA" w14:textId="77777777" w:rsidR="001F2678" w:rsidRDefault="001F2678" w:rsidP="001F2678">
      <w:pPr>
        <w:spacing w:after="160" w:line="259" w:lineRule="auto"/>
        <w:jc w:val="center"/>
        <w:rPr>
          <w:rFonts w:ascii="Verdana" w:hAnsi="Verdana"/>
          <w:b/>
          <w:caps/>
          <w:sz w:val="18"/>
          <w:szCs w:val="18"/>
        </w:rPr>
      </w:pPr>
      <w:r>
        <w:rPr>
          <w:rFonts w:ascii="Verdana" w:hAnsi="Verdana"/>
          <w:b/>
          <w:i/>
          <w:sz w:val="44"/>
        </w:rPr>
        <w:t>The Human Resource Professional Assignment 1 2019 –</w:t>
      </w:r>
      <w:r w:rsidRPr="00330540">
        <w:rPr>
          <w:rFonts w:ascii="Verdana" w:hAnsi="Verdana"/>
          <w:b/>
          <w:i/>
          <w:color w:val="000000" w:themeColor="text1"/>
          <w:sz w:val="44"/>
        </w:rPr>
        <w:t xml:space="preserve"> </w:t>
      </w:r>
      <w:r>
        <w:rPr>
          <w:rFonts w:ascii="Verdana" w:hAnsi="Verdana"/>
          <w:b/>
          <w:i/>
          <w:color w:val="000000" w:themeColor="text1"/>
          <w:sz w:val="44"/>
        </w:rPr>
        <w:t>Developing Professional Practice</w:t>
      </w:r>
    </w:p>
    <w:p w14:paraId="1E3E7CE5" w14:textId="77777777" w:rsidR="001F2678" w:rsidRDefault="001F2678" w:rsidP="001F2678">
      <w:pPr>
        <w:spacing w:after="160" w:line="259" w:lineRule="auto"/>
        <w:rPr>
          <w:rFonts w:ascii="Verdana" w:hAnsi="Verdana"/>
          <w:b/>
          <w:caps/>
          <w:sz w:val="18"/>
          <w:szCs w:val="18"/>
        </w:rPr>
      </w:pPr>
    </w:p>
    <w:p w14:paraId="5E4A2B0A" w14:textId="77777777" w:rsidR="001F2678" w:rsidRDefault="001F2678" w:rsidP="001F2678">
      <w:pPr>
        <w:spacing w:after="160" w:line="259" w:lineRule="auto"/>
        <w:jc w:val="center"/>
        <w:rPr>
          <w:rFonts w:ascii="Verdana" w:hAnsi="Verdana"/>
          <w:b/>
          <w:caps/>
          <w:sz w:val="18"/>
          <w:szCs w:val="18"/>
        </w:rPr>
      </w:pPr>
      <w:r>
        <w:rPr>
          <w:noProof/>
          <w:lang w:eastAsia="en-GB"/>
        </w:rPr>
        <w:drawing>
          <wp:inline distT="0" distB="0" distL="0" distR="0" wp14:anchorId="1CCF3767" wp14:editId="548D2D8E">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E621445" w14:textId="77777777" w:rsidR="001F2678" w:rsidRDefault="001F2678" w:rsidP="001F2678">
      <w:pPr>
        <w:spacing w:after="160" w:line="259" w:lineRule="auto"/>
        <w:rPr>
          <w:rFonts w:ascii="Verdana" w:hAnsi="Verdana"/>
          <w:b/>
          <w:caps/>
          <w:sz w:val="18"/>
          <w:szCs w:val="18"/>
        </w:rPr>
      </w:pPr>
    </w:p>
    <w:p w14:paraId="73B07BA5" w14:textId="262F8D3B" w:rsidR="001F2678" w:rsidRPr="002A1AD3" w:rsidRDefault="001F2678" w:rsidP="001F2678">
      <w:pPr>
        <w:spacing w:after="160" w:line="259" w:lineRule="auto"/>
        <w:jc w:val="center"/>
        <w:rPr>
          <w:rFonts w:ascii="Verdana" w:hAnsi="Verdana"/>
          <w:b/>
          <w:sz w:val="44"/>
        </w:rPr>
      </w:pPr>
      <w:r>
        <w:rPr>
          <w:rFonts w:ascii="Verdana" w:hAnsi="Verdana"/>
          <w:b/>
          <w:sz w:val="44"/>
        </w:rPr>
        <w:t>1</w:t>
      </w:r>
      <w:r w:rsidR="0029006A">
        <w:rPr>
          <w:rFonts w:ascii="Verdana" w:hAnsi="Verdana"/>
          <w:b/>
          <w:sz w:val="44"/>
        </w:rPr>
        <w:t>5</w:t>
      </w:r>
      <w:r>
        <w:rPr>
          <w:rFonts w:ascii="Verdana" w:hAnsi="Verdana"/>
          <w:b/>
          <w:sz w:val="44"/>
          <w:vertAlign w:val="superscript"/>
        </w:rPr>
        <w:t>th</w:t>
      </w:r>
      <w:r>
        <w:rPr>
          <w:rFonts w:ascii="Verdana" w:hAnsi="Verdana"/>
          <w:b/>
          <w:sz w:val="44"/>
        </w:rPr>
        <w:t xml:space="preserve"> March 2019</w:t>
      </w:r>
    </w:p>
    <w:p w14:paraId="54846E50" w14:textId="77777777" w:rsidR="001F2678" w:rsidRDefault="001F2678" w:rsidP="001F2678">
      <w:pPr>
        <w:spacing w:after="160" w:line="259" w:lineRule="auto"/>
        <w:rPr>
          <w:rFonts w:ascii="Verdana" w:hAnsi="Verdana"/>
          <w:b/>
          <w:caps/>
          <w:sz w:val="18"/>
          <w:szCs w:val="18"/>
        </w:rPr>
      </w:pPr>
    </w:p>
    <w:p w14:paraId="7788D930" w14:textId="77777777" w:rsidR="001F2678" w:rsidRPr="00701BBF" w:rsidRDefault="001F2678" w:rsidP="001F2678">
      <w:pPr>
        <w:spacing w:after="160" w:line="259" w:lineRule="auto"/>
        <w:rPr>
          <w:rFonts w:ascii="Verdana" w:hAnsi="Verdana"/>
          <w:b/>
          <w:caps/>
          <w:color w:val="000000" w:themeColor="text1"/>
          <w:sz w:val="21"/>
          <w:szCs w:val="18"/>
        </w:rPr>
      </w:pPr>
      <w:r w:rsidRPr="00701BBF">
        <w:rPr>
          <w:rFonts w:ascii="Verdana" w:hAnsi="Verdana"/>
          <w:b/>
          <w:caps/>
          <w:sz w:val="21"/>
          <w:szCs w:val="18"/>
        </w:rPr>
        <w:t>MODULE NAME:</w:t>
      </w:r>
      <w:r w:rsidRPr="00701BBF">
        <w:rPr>
          <w:rFonts w:ascii="Verdana" w:hAnsi="Verdana"/>
          <w:b/>
          <w:caps/>
          <w:sz w:val="21"/>
          <w:szCs w:val="18"/>
        </w:rPr>
        <w:tab/>
      </w:r>
      <w:r w:rsidRPr="00701BBF">
        <w:rPr>
          <w:rFonts w:ascii="Verdana" w:hAnsi="Verdana"/>
          <w:b/>
          <w:caps/>
          <w:sz w:val="21"/>
          <w:szCs w:val="18"/>
        </w:rPr>
        <w:tab/>
      </w:r>
      <w:r>
        <w:rPr>
          <w:rFonts w:ascii="Verdana" w:hAnsi="Verdana"/>
          <w:b/>
          <w:caps/>
          <w:color w:val="000000" w:themeColor="text1"/>
          <w:sz w:val="21"/>
          <w:szCs w:val="18"/>
        </w:rPr>
        <w:t>The human resource professional: m5x00869</w:t>
      </w:r>
    </w:p>
    <w:p w14:paraId="5800F661" w14:textId="77777777" w:rsidR="001F2678" w:rsidRPr="00701BBF" w:rsidRDefault="001F2678" w:rsidP="001F2678">
      <w:pPr>
        <w:spacing w:after="160" w:line="259" w:lineRule="auto"/>
        <w:rPr>
          <w:rFonts w:ascii="Verdana" w:hAnsi="Verdana"/>
          <w:b/>
          <w:caps/>
          <w:color w:val="000000" w:themeColor="text1"/>
          <w:sz w:val="21"/>
          <w:szCs w:val="18"/>
        </w:rPr>
      </w:pPr>
      <w:r w:rsidRPr="00701BBF">
        <w:rPr>
          <w:rFonts w:ascii="Verdana" w:hAnsi="Verdana"/>
          <w:b/>
          <w:caps/>
          <w:sz w:val="21"/>
          <w:szCs w:val="18"/>
        </w:rPr>
        <w:t>Name:</w:t>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sz w:val="21"/>
          <w:szCs w:val="18"/>
        </w:rPr>
        <w:tab/>
      </w:r>
      <w:r w:rsidRPr="00701BBF">
        <w:rPr>
          <w:rFonts w:ascii="Verdana" w:hAnsi="Verdana"/>
          <w:b/>
          <w:caps/>
          <w:color w:val="000000" w:themeColor="text1"/>
          <w:sz w:val="21"/>
          <w:szCs w:val="18"/>
        </w:rPr>
        <w:t>Amy Collins</w:t>
      </w:r>
    </w:p>
    <w:p w14:paraId="37F8CF77" w14:textId="7A3DE471" w:rsidR="001F2678" w:rsidRPr="007C600B" w:rsidRDefault="001F2678" w:rsidP="001F2678">
      <w:pPr>
        <w:spacing w:after="160" w:line="259" w:lineRule="auto"/>
        <w:rPr>
          <w:rFonts w:ascii="Verdana" w:hAnsi="Verdana"/>
          <w:b/>
          <w:caps/>
          <w:color w:val="000000" w:themeColor="text1"/>
          <w:sz w:val="21"/>
          <w:szCs w:val="18"/>
        </w:rPr>
        <w:sectPr w:rsidR="001F2678" w:rsidRPr="007C600B" w:rsidSect="00E05928">
          <w:headerReference w:type="default" r:id="rId8"/>
          <w:footerReference w:type="even" r:id="rId9"/>
          <w:footerReference w:type="first" r:id="rId10"/>
          <w:pgSz w:w="11906" w:h="16838"/>
          <w:pgMar w:top="1440" w:right="1440" w:bottom="1440" w:left="1440" w:header="708" w:footer="708" w:gutter="0"/>
          <w:cols w:space="708"/>
          <w:titlePg/>
          <w:docGrid w:linePitch="360"/>
        </w:sectPr>
      </w:pPr>
      <w:r w:rsidRPr="00701BBF">
        <w:rPr>
          <w:rFonts w:ascii="Verdana" w:hAnsi="Verdana"/>
          <w:b/>
          <w:caps/>
          <w:sz w:val="21"/>
          <w:szCs w:val="18"/>
        </w:rPr>
        <w:t>Student Number:</w:t>
      </w:r>
      <w:r w:rsidRPr="00701BBF">
        <w:rPr>
          <w:rFonts w:ascii="Verdana" w:hAnsi="Verdana"/>
          <w:b/>
          <w:caps/>
          <w:sz w:val="21"/>
          <w:szCs w:val="18"/>
        </w:rPr>
        <w:tab/>
      </w:r>
      <w:r w:rsidR="0040316E">
        <w:rPr>
          <w:rFonts w:ascii="Verdana" w:hAnsi="Verdana"/>
          <w:b/>
          <w:caps/>
          <w:color w:val="000000" w:themeColor="text1"/>
          <w:sz w:val="21"/>
          <w:szCs w:val="18"/>
        </w:rPr>
        <w:t>1703573</w:t>
      </w:r>
    </w:p>
    <w:p w14:paraId="111D0651" w14:textId="7A878CCE" w:rsidR="00DB157D" w:rsidRDefault="00C4470A">
      <w:pPr>
        <w:rPr>
          <w:color w:val="000000" w:themeColor="text1"/>
          <w:sz w:val="24"/>
        </w:rPr>
      </w:pPr>
      <w:r>
        <w:rPr>
          <w:color w:val="000000" w:themeColor="text1"/>
          <w:sz w:val="24"/>
        </w:rPr>
        <w:lastRenderedPageBreak/>
        <w:t xml:space="preserve">The Human Resource department </w:t>
      </w:r>
      <w:r w:rsidR="008E3916">
        <w:rPr>
          <w:color w:val="000000" w:themeColor="text1"/>
          <w:sz w:val="24"/>
        </w:rPr>
        <w:t xml:space="preserve">can be responsible for many tasks/projects depending on the organisation. </w:t>
      </w:r>
      <w:r w:rsidR="004157F2">
        <w:rPr>
          <w:color w:val="000000" w:themeColor="text1"/>
          <w:sz w:val="24"/>
        </w:rPr>
        <w:t>The Human Resource department was originally formed to be responsible for and take care of their employees, however the role of HR has now moved its focus and is more driven to working with the employer to ensure their employe</w:t>
      </w:r>
      <w:r w:rsidR="0005782B">
        <w:rPr>
          <w:color w:val="000000" w:themeColor="text1"/>
          <w:sz w:val="24"/>
        </w:rPr>
        <w:t xml:space="preserve">es </w:t>
      </w:r>
      <w:r w:rsidR="004157F2">
        <w:rPr>
          <w:color w:val="000000" w:themeColor="text1"/>
          <w:sz w:val="24"/>
        </w:rPr>
        <w:t>working as they should be</w:t>
      </w:r>
      <w:r w:rsidR="0005782B">
        <w:rPr>
          <w:color w:val="000000" w:themeColor="text1"/>
          <w:sz w:val="24"/>
        </w:rPr>
        <w:t>, while also ensuring that they are being treated fairly</w:t>
      </w:r>
      <w:r w:rsidR="006C7FC9">
        <w:rPr>
          <w:color w:val="000000" w:themeColor="text1"/>
          <w:sz w:val="24"/>
        </w:rPr>
        <w:t xml:space="preserve"> </w:t>
      </w:r>
      <w:r w:rsidR="00631834">
        <w:rPr>
          <w:color w:val="000000" w:themeColor="text1"/>
          <w:sz w:val="24"/>
        </w:rPr>
        <w:t>(</w:t>
      </w:r>
      <w:r w:rsidR="00631834" w:rsidRPr="00631834">
        <w:rPr>
          <w:color w:val="000000" w:themeColor="text1"/>
          <w:sz w:val="24"/>
        </w:rPr>
        <w:t>Bianca, 2019)</w:t>
      </w:r>
      <w:r w:rsidR="004157F2" w:rsidRPr="00631834">
        <w:rPr>
          <w:color w:val="000000" w:themeColor="text1"/>
          <w:sz w:val="24"/>
        </w:rPr>
        <w:t xml:space="preserve"> </w:t>
      </w:r>
      <w:r w:rsidR="00311762">
        <w:rPr>
          <w:color w:val="000000" w:themeColor="text1"/>
          <w:sz w:val="24"/>
        </w:rPr>
        <w:t xml:space="preserve">The relations between employer and employee is also an important responsibility for the HR department to have as </w:t>
      </w:r>
      <w:r w:rsidR="00F86DF3">
        <w:rPr>
          <w:color w:val="000000" w:themeColor="text1"/>
          <w:sz w:val="24"/>
        </w:rPr>
        <w:t>‘employees are encouraged to bring</w:t>
      </w:r>
      <w:r w:rsidR="0040316E">
        <w:rPr>
          <w:color w:val="000000" w:themeColor="text1"/>
          <w:sz w:val="24"/>
        </w:rPr>
        <w:t xml:space="preserve"> relational problems to the attention of the human resources staff for resolution’ (Mooney, 2019). </w:t>
      </w:r>
      <w:r w:rsidR="00C860B4">
        <w:rPr>
          <w:color w:val="000000" w:themeColor="text1"/>
          <w:sz w:val="24"/>
        </w:rPr>
        <w:t xml:space="preserve">Within an organisation, it is vital that the HR department are acting like a moral compass in making sure every individual within that business is behaving ethically in order to stay on the right side of the law. </w:t>
      </w:r>
      <w:r w:rsidR="008E3916">
        <w:rPr>
          <w:color w:val="000000" w:themeColor="text1"/>
          <w:sz w:val="24"/>
        </w:rPr>
        <w:t xml:space="preserve">Looking at McLagan’s Wheel </w:t>
      </w:r>
      <w:r w:rsidR="00C42F46">
        <w:rPr>
          <w:color w:val="000000" w:themeColor="text1"/>
          <w:sz w:val="24"/>
        </w:rPr>
        <w:t xml:space="preserve">below, you can see </w:t>
      </w:r>
      <w:r w:rsidR="004F4AAF">
        <w:rPr>
          <w:color w:val="000000" w:themeColor="text1"/>
          <w:sz w:val="24"/>
        </w:rPr>
        <w:t>that each department</w:t>
      </w:r>
      <w:r w:rsidR="0005782B">
        <w:rPr>
          <w:color w:val="000000" w:themeColor="text1"/>
          <w:sz w:val="24"/>
        </w:rPr>
        <w:t xml:space="preserve"> that the HR department is responsible for has been </w:t>
      </w:r>
      <w:r w:rsidR="004F4AAF">
        <w:rPr>
          <w:color w:val="000000" w:themeColor="text1"/>
          <w:sz w:val="24"/>
        </w:rPr>
        <w:t>divided into sections which relate to Human Resource Development, Human Resource Management and also, Human Resource Information systems.</w:t>
      </w:r>
      <w:r w:rsidR="0005782B">
        <w:rPr>
          <w:color w:val="000000" w:themeColor="text1"/>
          <w:sz w:val="24"/>
        </w:rPr>
        <w:t xml:space="preserve"> The model also de</w:t>
      </w:r>
      <w:r w:rsidR="001029D9">
        <w:rPr>
          <w:color w:val="000000" w:themeColor="text1"/>
          <w:sz w:val="24"/>
        </w:rPr>
        <w:t>monstrates the main outcomes</w:t>
      </w:r>
      <w:r w:rsidR="0005782B">
        <w:rPr>
          <w:color w:val="000000" w:themeColor="text1"/>
          <w:sz w:val="24"/>
        </w:rPr>
        <w:t xml:space="preserve"> required from the HR department. </w:t>
      </w:r>
      <w:r w:rsidR="00A40C82">
        <w:rPr>
          <w:color w:val="000000" w:themeColor="text1"/>
          <w:sz w:val="24"/>
        </w:rPr>
        <w:t>Some of these include</w:t>
      </w:r>
      <w:r w:rsidR="0005782B">
        <w:rPr>
          <w:color w:val="000000" w:themeColor="text1"/>
          <w:sz w:val="24"/>
        </w:rPr>
        <w:t xml:space="preserve"> produc</w:t>
      </w:r>
      <w:r w:rsidR="0040316E">
        <w:rPr>
          <w:color w:val="000000" w:themeColor="text1"/>
          <w:sz w:val="24"/>
        </w:rPr>
        <w:t>tivity, quality and innovation (Maguire, 2010).</w:t>
      </w:r>
    </w:p>
    <w:p w14:paraId="7AAE37F4" w14:textId="77777777" w:rsidR="00DA0960" w:rsidRDefault="004F4AAF" w:rsidP="00DA0960">
      <w:pPr>
        <w:keepNext/>
      </w:pPr>
      <w:r>
        <w:rPr>
          <w:noProof/>
          <w:color w:val="000000" w:themeColor="text1"/>
          <w:sz w:val="24"/>
          <w:lang w:eastAsia="en-GB"/>
        </w:rPr>
        <w:drawing>
          <wp:inline distT="0" distB="0" distL="0" distR="0" wp14:anchorId="7D21A038" wp14:editId="4322D0DC">
            <wp:extent cx="6111752" cy="5127231"/>
            <wp:effectExtent l="0" t="0" r="1016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3-07 at 12.21.32.png"/>
                    <pic:cNvPicPr/>
                  </pic:nvPicPr>
                  <pic:blipFill>
                    <a:blip r:embed="rId11">
                      <a:extLst>
                        <a:ext uri="{28A0092B-C50C-407E-A947-70E740481C1C}">
                          <a14:useLocalDpi xmlns:a14="http://schemas.microsoft.com/office/drawing/2010/main" val="0"/>
                        </a:ext>
                      </a:extLst>
                    </a:blip>
                    <a:stretch>
                      <a:fillRect/>
                    </a:stretch>
                  </pic:blipFill>
                  <pic:spPr>
                    <a:xfrm>
                      <a:off x="0" y="0"/>
                      <a:ext cx="6126457" cy="5139567"/>
                    </a:xfrm>
                    <a:prstGeom prst="rect">
                      <a:avLst/>
                    </a:prstGeom>
                  </pic:spPr>
                </pic:pic>
              </a:graphicData>
            </a:graphic>
          </wp:inline>
        </w:drawing>
      </w:r>
    </w:p>
    <w:p w14:paraId="6AD63BEE" w14:textId="3584818D" w:rsidR="00EC302A" w:rsidRDefault="00DA0960" w:rsidP="004E1496">
      <w:pPr>
        <w:pStyle w:val="Caption"/>
      </w:pPr>
      <w:r>
        <w:t xml:space="preserve">Figure </w:t>
      </w:r>
      <w:r w:rsidR="000D5DDA">
        <w:fldChar w:fldCharType="begin"/>
      </w:r>
      <w:r w:rsidR="000D5DDA">
        <w:instrText xml:space="preserve"> SEQ Figure \* ARABIC </w:instrText>
      </w:r>
      <w:r w:rsidR="000D5DDA">
        <w:fldChar w:fldCharType="separate"/>
      </w:r>
      <w:r w:rsidR="00C17EA3">
        <w:rPr>
          <w:noProof/>
        </w:rPr>
        <w:t>1</w:t>
      </w:r>
      <w:r w:rsidR="000D5DDA">
        <w:rPr>
          <w:noProof/>
        </w:rPr>
        <w:fldChar w:fldCharType="end"/>
      </w:r>
      <w:r w:rsidR="002A2C5B">
        <w:t xml:space="preserve">: McLagan's Wheel (Maguire &amp; </w:t>
      </w:r>
      <w:proofErr w:type="spellStart"/>
      <w:r w:rsidR="002A2C5B">
        <w:t>Jørgensen</w:t>
      </w:r>
      <w:proofErr w:type="spellEnd"/>
      <w:r w:rsidR="002A2C5B">
        <w:t>, 2011</w:t>
      </w:r>
      <w:r>
        <w:t>)</w:t>
      </w:r>
    </w:p>
    <w:p w14:paraId="156B5496" w14:textId="00677208" w:rsidR="00810793" w:rsidRPr="002758B3" w:rsidRDefault="001F2678">
      <w:pPr>
        <w:rPr>
          <w:b/>
          <w:i/>
          <w:color w:val="FF0000"/>
          <w:sz w:val="28"/>
          <w:u w:val="single"/>
        </w:rPr>
      </w:pPr>
      <w:r w:rsidRPr="001F2678">
        <w:rPr>
          <w:b/>
          <w:i/>
          <w:sz w:val="28"/>
          <w:u w:val="single"/>
        </w:rPr>
        <w:t>What it takes to be a Human Resource Professional</w:t>
      </w:r>
    </w:p>
    <w:p w14:paraId="5198C7EC" w14:textId="44649AFB" w:rsidR="00E42CE6" w:rsidRDefault="00F03350">
      <w:pPr>
        <w:rPr>
          <w:sz w:val="24"/>
        </w:rPr>
      </w:pPr>
      <w:r>
        <w:rPr>
          <w:sz w:val="24"/>
        </w:rPr>
        <w:t>A professional can be de</w:t>
      </w:r>
      <w:r w:rsidR="00C33C5F">
        <w:rPr>
          <w:sz w:val="24"/>
        </w:rPr>
        <w:t xml:space="preserve">fined in various different ways as each individual has their own views on what they see a professional to be. </w:t>
      </w:r>
      <w:r w:rsidR="00995021">
        <w:rPr>
          <w:sz w:val="24"/>
        </w:rPr>
        <w:t xml:space="preserve">Looking at the CIPD professional map below, you can see that the outer </w:t>
      </w:r>
      <w:r w:rsidR="000730F2">
        <w:rPr>
          <w:sz w:val="24"/>
        </w:rPr>
        <w:t xml:space="preserve">ring are all </w:t>
      </w:r>
      <w:r w:rsidR="00D700EE">
        <w:rPr>
          <w:sz w:val="24"/>
        </w:rPr>
        <w:t xml:space="preserve">vital </w:t>
      </w:r>
      <w:r w:rsidR="001029D9">
        <w:rPr>
          <w:sz w:val="24"/>
        </w:rPr>
        <w:t>traits and characteristics of the</w:t>
      </w:r>
      <w:r w:rsidR="000730F2">
        <w:rPr>
          <w:sz w:val="24"/>
        </w:rPr>
        <w:t xml:space="preserve"> professional body. </w:t>
      </w:r>
      <w:r w:rsidR="005850F1">
        <w:rPr>
          <w:sz w:val="24"/>
        </w:rPr>
        <w:t>The professional map</w:t>
      </w:r>
      <w:r w:rsidR="000841A7">
        <w:rPr>
          <w:sz w:val="24"/>
        </w:rPr>
        <w:t xml:space="preserve"> can be utilise</w:t>
      </w:r>
      <w:r w:rsidR="0026040B">
        <w:rPr>
          <w:sz w:val="24"/>
        </w:rPr>
        <w:t>d as a guideline for those practicing HR</w:t>
      </w:r>
      <w:r w:rsidR="000841A7">
        <w:rPr>
          <w:sz w:val="24"/>
        </w:rPr>
        <w:t xml:space="preserve"> </w:t>
      </w:r>
      <w:r w:rsidR="005E336C">
        <w:rPr>
          <w:sz w:val="24"/>
        </w:rPr>
        <w:t>to evaluate their professional competence. By working on the eight professional behaviours illustrated below alongside the ten professional areas, the individual can develop their professionalism, keep a record of their progress as well as being able to move up the bands of professional competence.</w:t>
      </w:r>
      <w:r w:rsidR="00A07D7F">
        <w:rPr>
          <w:sz w:val="24"/>
        </w:rPr>
        <w:t xml:space="preserve"> There is also an element of flexibility when utilising the map, as individuals can focus on areas that link to their area of work not just focussing on le</w:t>
      </w:r>
      <w:r w:rsidR="00BD7B48">
        <w:rPr>
          <w:sz w:val="24"/>
        </w:rPr>
        <w:t>ss relevant sections (CIPD, 2015</w:t>
      </w:r>
      <w:r w:rsidR="00A07D7F">
        <w:rPr>
          <w:sz w:val="24"/>
        </w:rPr>
        <w:t>).</w:t>
      </w:r>
    </w:p>
    <w:p w14:paraId="217BD2E9" w14:textId="77777777" w:rsidR="001E6422" w:rsidRDefault="001E6422" w:rsidP="001E6422">
      <w:pPr>
        <w:keepNext/>
      </w:pPr>
      <w:r>
        <w:rPr>
          <w:noProof/>
          <w:sz w:val="24"/>
          <w:lang w:eastAsia="en-GB"/>
        </w:rPr>
        <w:drawing>
          <wp:inline distT="0" distB="0" distL="0" distR="0" wp14:anchorId="5F4C90D2" wp14:editId="1EC7DACD">
            <wp:extent cx="5727700" cy="4029075"/>
            <wp:effectExtent l="0" t="0" r="1270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2-25 at 15.23.27.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4029075"/>
                    </a:xfrm>
                    <a:prstGeom prst="rect">
                      <a:avLst/>
                    </a:prstGeom>
                  </pic:spPr>
                </pic:pic>
              </a:graphicData>
            </a:graphic>
          </wp:inline>
        </w:drawing>
      </w:r>
    </w:p>
    <w:p w14:paraId="2C9E1513" w14:textId="596E14D5" w:rsidR="001E6422" w:rsidRDefault="001E6422" w:rsidP="001E6422">
      <w:pPr>
        <w:pStyle w:val="Caption"/>
      </w:pPr>
      <w:r>
        <w:t xml:space="preserve">Figure </w:t>
      </w:r>
      <w:fldSimple w:instr=" SEQ Figure \* ARABIC ">
        <w:r w:rsidR="00C17EA3">
          <w:rPr>
            <w:noProof/>
          </w:rPr>
          <w:t>2</w:t>
        </w:r>
      </w:fldSimple>
      <w:r>
        <w:t xml:space="preserve">: </w:t>
      </w:r>
      <w:r w:rsidR="00BD7B48">
        <w:t>The Professional Map (CIPD, 2015</w:t>
      </w:r>
      <w:r>
        <w:t>)</w:t>
      </w:r>
    </w:p>
    <w:p w14:paraId="44FB0229" w14:textId="2FB574B4" w:rsidR="00196E2B" w:rsidRDefault="003F7CAA" w:rsidP="00E56070">
      <w:pPr>
        <w:rPr>
          <w:sz w:val="24"/>
        </w:rPr>
      </w:pPr>
      <w:r>
        <w:rPr>
          <w:sz w:val="24"/>
        </w:rPr>
        <w:t>One important factor that surrounds professionalism</w:t>
      </w:r>
      <w:r w:rsidR="002604FA">
        <w:rPr>
          <w:sz w:val="24"/>
        </w:rPr>
        <w:t xml:space="preserve"> is evaluating what type of mind-set you have, a fixed mind-set or a growth mind-set. </w:t>
      </w:r>
      <w:r w:rsidR="00333A4F">
        <w:rPr>
          <w:sz w:val="24"/>
        </w:rPr>
        <w:t xml:space="preserve">A fixed </w:t>
      </w:r>
      <w:r w:rsidR="00D2260C">
        <w:rPr>
          <w:sz w:val="24"/>
        </w:rPr>
        <w:t>mind-set</w:t>
      </w:r>
      <w:r w:rsidR="00333A4F">
        <w:rPr>
          <w:sz w:val="24"/>
        </w:rPr>
        <w:t xml:space="preserve"> ‘suggests that your abilities are</w:t>
      </w:r>
      <w:r w:rsidR="000C3D47">
        <w:rPr>
          <w:sz w:val="24"/>
        </w:rPr>
        <w:t xml:space="preserve"> innate </w:t>
      </w:r>
      <w:r w:rsidR="009248C0">
        <w:rPr>
          <w:sz w:val="24"/>
        </w:rPr>
        <w:t>and unchangeable’</w:t>
      </w:r>
      <w:r w:rsidR="00B4346B">
        <w:rPr>
          <w:sz w:val="24"/>
        </w:rPr>
        <w:t>, while a</w:t>
      </w:r>
      <w:r w:rsidR="004F26E6">
        <w:rPr>
          <w:sz w:val="24"/>
        </w:rPr>
        <w:t xml:space="preserve"> growth </w:t>
      </w:r>
      <w:r w:rsidR="00D2260C">
        <w:rPr>
          <w:sz w:val="24"/>
        </w:rPr>
        <w:t>mind-set</w:t>
      </w:r>
      <w:r w:rsidR="004F26E6">
        <w:rPr>
          <w:sz w:val="24"/>
        </w:rPr>
        <w:t xml:space="preserve"> </w:t>
      </w:r>
      <w:r w:rsidR="00A33295">
        <w:rPr>
          <w:sz w:val="24"/>
        </w:rPr>
        <w:t>‘</w:t>
      </w:r>
      <w:r w:rsidR="00D2260C">
        <w:rPr>
          <w:sz w:val="24"/>
        </w:rPr>
        <w:t xml:space="preserve">views </w:t>
      </w:r>
      <w:r w:rsidR="00A33295">
        <w:rPr>
          <w:sz w:val="24"/>
        </w:rPr>
        <w:t>it as something you can improve through practice</w:t>
      </w:r>
      <w:r w:rsidR="00DC231F">
        <w:rPr>
          <w:sz w:val="24"/>
        </w:rPr>
        <w:t>’ (Spencer, 2017).</w:t>
      </w:r>
      <w:r w:rsidR="008F757F">
        <w:rPr>
          <w:sz w:val="24"/>
        </w:rPr>
        <w:t xml:space="preserve"> </w:t>
      </w:r>
      <w:r w:rsidR="007D4EC6">
        <w:rPr>
          <w:sz w:val="24"/>
        </w:rPr>
        <w:t>As shown in figure 3, the two mind-sets are put side by side and clearly illustrate</w:t>
      </w:r>
      <w:r w:rsidR="00404BC8">
        <w:rPr>
          <w:sz w:val="24"/>
        </w:rPr>
        <w:t xml:space="preserve"> the variations of both the fixed and the growth mind-set. The growth mind-set is more geared towards having more adaptability </w:t>
      </w:r>
      <w:r w:rsidR="00016592">
        <w:rPr>
          <w:sz w:val="24"/>
        </w:rPr>
        <w:t xml:space="preserve">and flexibility when it comes to change. For example, </w:t>
      </w:r>
      <w:r w:rsidR="00A6642D">
        <w:rPr>
          <w:sz w:val="24"/>
        </w:rPr>
        <w:t>someone with a growth mind-set will be more eager to learn and naturally actively look for challenges as shown in figure 3, ‘Challenges help me to grow’ (Ranadive, 2016). On the contrary, individuals with a fixed mind</w:t>
      </w:r>
      <w:r w:rsidR="00B4346B">
        <w:rPr>
          <w:sz w:val="24"/>
        </w:rPr>
        <w:t>-</w:t>
      </w:r>
      <w:r w:rsidR="00A6642D">
        <w:rPr>
          <w:sz w:val="24"/>
        </w:rPr>
        <w:t xml:space="preserve">set will avoid challenges when they can and will have a very black and white attitude towards their work. For example, ‘I’m either good at it or I’m not’. This statement is disregarding the option to learn, improve or </w:t>
      </w:r>
      <w:r w:rsidR="003C75D3">
        <w:rPr>
          <w:sz w:val="24"/>
        </w:rPr>
        <w:t>adapt to a particular thing that they may be struggling with (Ranadive, 2016).</w:t>
      </w:r>
    </w:p>
    <w:p w14:paraId="66953E36" w14:textId="53C2EDAF" w:rsidR="00404BC8" w:rsidRDefault="003C75D3" w:rsidP="00E56070">
      <w:pPr>
        <w:rPr>
          <w:sz w:val="24"/>
        </w:rPr>
      </w:pPr>
      <w:r>
        <w:rPr>
          <w:sz w:val="24"/>
        </w:rPr>
        <w:t xml:space="preserve"> In terms of professionalism, </w:t>
      </w:r>
      <w:r w:rsidR="00196E2B">
        <w:rPr>
          <w:sz w:val="24"/>
        </w:rPr>
        <w:t>it can be seen as an advantage to have a growth mind-set over a fixed mind-set as the opportunity to grow and develop can be considered vital to being the perfect professional for a business.</w:t>
      </w:r>
      <w:r w:rsidR="00164BBC">
        <w:rPr>
          <w:sz w:val="24"/>
        </w:rPr>
        <w:t xml:space="preserve"> ‘Professionalism mandates personal growth as a precursor to professional growth’</w:t>
      </w:r>
      <w:r w:rsidR="00124328">
        <w:rPr>
          <w:sz w:val="24"/>
        </w:rPr>
        <w:t xml:space="preserve"> (Tipton, 2015, p.8</w:t>
      </w:r>
      <w:r w:rsidR="00164BBC">
        <w:rPr>
          <w:sz w:val="24"/>
        </w:rPr>
        <w:t>).</w:t>
      </w:r>
      <w:r w:rsidR="00D75FA9">
        <w:rPr>
          <w:sz w:val="24"/>
        </w:rPr>
        <w:t xml:space="preserve"> Tipton, (2015) continue</w:t>
      </w:r>
      <w:r w:rsidR="003F20A9">
        <w:rPr>
          <w:sz w:val="24"/>
        </w:rPr>
        <w:t>s</w:t>
      </w:r>
      <w:r w:rsidR="00D75FA9">
        <w:rPr>
          <w:sz w:val="24"/>
        </w:rPr>
        <w:t xml:space="preserve"> to say that if an individual </w:t>
      </w:r>
      <w:r w:rsidR="00003507">
        <w:rPr>
          <w:sz w:val="24"/>
        </w:rPr>
        <w:t xml:space="preserve">has a </w:t>
      </w:r>
      <w:r w:rsidR="0095761E">
        <w:rPr>
          <w:sz w:val="24"/>
        </w:rPr>
        <w:t>negative</w:t>
      </w:r>
      <w:r w:rsidR="003F20A9">
        <w:rPr>
          <w:sz w:val="24"/>
        </w:rPr>
        <w:t xml:space="preserve"> attitude towards personal growth</w:t>
      </w:r>
      <w:r w:rsidR="0026040B">
        <w:rPr>
          <w:sz w:val="24"/>
        </w:rPr>
        <w:t>, it will</w:t>
      </w:r>
      <w:r w:rsidR="003F20A9">
        <w:rPr>
          <w:sz w:val="24"/>
        </w:rPr>
        <w:t xml:space="preserve"> </w:t>
      </w:r>
      <w:r w:rsidR="004E7740">
        <w:rPr>
          <w:sz w:val="24"/>
        </w:rPr>
        <w:t xml:space="preserve">not </w:t>
      </w:r>
      <w:r w:rsidR="003F20A9">
        <w:rPr>
          <w:sz w:val="24"/>
        </w:rPr>
        <w:t xml:space="preserve">make them the professional they need to be in an organisation, even if they have the technical skills then there will be an element missing without that personal growth. Therefore, it is more of an advantage to adapt more of a growth mind-set and </w:t>
      </w:r>
      <w:r w:rsidR="003F0C97">
        <w:rPr>
          <w:sz w:val="24"/>
        </w:rPr>
        <w:t>be open to challenges in order to improve and develop your professionalism within the workplace (Tipton, 2015).</w:t>
      </w:r>
    </w:p>
    <w:p w14:paraId="515CC235" w14:textId="77777777" w:rsidR="00404BC8" w:rsidRDefault="00404BC8" w:rsidP="00404BC8">
      <w:pPr>
        <w:keepNext/>
      </w:pPr>
      <w:r>
        <w:rPr>
          <w:noProof/>
          <w:sz w:val="24"/>
          <w:lang w:eastAsia="en-GB"/>
        </w:rPr>
        <w:drawing>
          <wp:inline distT="0" distB="0" distL="0" distR="0" wp14:anchorId="20BCD8C6" wp14:editId="069D9622">
            <wp:extent cx="5309235" cy="2685225"/>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3-10 at 15.26.55.png"/>
                    <pic:cNvPicPr/>
                  </pic:nvPicPr>
                  <pic:blipFill>
                    <a:blip r:embed="rId13">
                      <a:extLst>
                        <a:ext uri="{28A0092B-C50C-407E-A947-70E740481C1C}">
                          <a14:useLocalDpi xmlns:a14="http://schemas.microsoft.com/office/drawing/2010/main" val="0"/>
                        </a:ext>
                      </a:extLst>
                    </a:blip>
                    <a:stretch>
                      <a:fillRect/>
                    </a:stretch>
                  </pic:blipFill>
                  <pic:spPr>
                    <a:xfrm>
                      <a:off x="0" y="0"/>
                      <a:ext cx="5319407" cy="2690370"/>
                    </a:xfrm>
                    <a:prstGeom prst="rect">
                      <a:avLst/>
                    </a:prstGeom>
                  </pic:spPr>
                </pic:pic>
              </a:graphicData>
            </a:graphic>
          </wp:inline>
        </w:drawing>
      </w:r>
    </w:p>
    <w:p w14:paraId="6E9341CB" w14:textId="730AADF9" w:rsidR="00404BC8" w:rsidRDefault="00404BC8" w:rsidP="00404BC8">
      <w:pPr>
        <w:pStyle w:val="Caption"/>
      </w:pPr>
      <w:r>
        <w:t xml:space="preserve">Figure </w:t>
      </w:r>
      <w:fldSimple w:instr=" SEQ Figure \* ARABIC ">
        <w:r w:rsidR="00C17EA3">
          <w:rPr>
            <w:noProof/>
          </w:rPr>
          <w:t>3</w:t>
        </w:r>
      </w:fldSimple>
      <w:r>
        <w:t xml:space="preserve">: Growth and Fixed </w:t>
      </w:r>
      <w:proofErr w:type="spellStart"/>
      <w:r>
        <w:t>Mindset</w:t>
      </w:r>
      <w:proofErr w:type="spellEnd"/>
      <w:r>
        <w:t xml:space="preserve"> (Ranadive, 2016)</w:t>
      </w:r>
    </w:p>
    <w:p w14:paraId="5B4B5562" w14:textId="45A56D05" w:rsidR="00AA28FB" w:rsidRDefault="007D4EC6" w:rsidP="00A25362">
      <w:pPr>
        <w:keepNext/>
        <w:rPr>
          <w:color w:val="000000" w:themeColor="text1"/>
          <w:sz w:val="24"/>
        </w:rPr>
      </w:pPr>
      <w:r>
        <w:rPr>
          <w:sz w:val="24"/>
        </w:rPr>
        <w:t xml:space="preserve"> </w:t>
      </w:r>
      <w:r w:rsidR="00BC6E2C">
        <w:rPr>
          <w:sz w:val="24"/>
        </w:rPr>
        <w:t>According to the CIPD</w:t>
      </w:r>
      <w:r w:rsidR="003D3920">
        <w:rPr>
          <w:sz w:val="24"/>
        </w:rPr>
        <w:t xml:space="preserve"> (2017)</w:t>
      </w:r>
      <w:r w:rsidR="00C54CE5">
        <w:rPr>
          <w:sz w:val="24"/>
        </w:rPr>
        <w:t>, there are six vital elements of professionalism</w:t>
      </w:r>
      <w:r w:rsidR="00964A8B">
        <w:rPr>
          <w:sz w:val="24"/>
        </w:rPr>
        <w:t xml:space="preserve"> as </w:t>
      </w:r>
      <w:r w:rsidR="00303007">
        <w:rPr>
          <w:sz w:val="24"/>
        </w:rPr>
        <w:t xml:space="preserve">shown in figure 4. </w:t>
      </w:r>
      <w:r w:rsidR="00302423">
        <w:rPr>
          <w:color w:val="000000" w:themeColor="text1"/>
          <w:sz w:val="24"/>
        </w:rPr>
        <w:t xml:space="preserve">Ethical responsibilities are key activities when </w:t>
      </w:r>
      <w:r w:rsidR="0026472E">
        <w:rPr>
          <w:color w:val="000000" w:themeColor="text1"/>
          <w:sz w:val="24"/>
        </w:rPr>
        <w:t xml:space="preserve">being </w:t>
      </w:r>
      <w:r w:rsidR="00AA28FB">
        <w:rPr>
          <w:color w:val="000000" w:themeColor="text1"/>
          <w:sz w:val="24"/>
        </w:rPr>
        <w:t xml:space="preserve">a professional body as they are </w:t>
      </w:r>
      <w:r w:rsidR="0026472E">
        <w:rPr>
          <w:color w:val="000000" w:themeColor="text1"/>
          <w:sz w:val="24"/>
        </w:rPr>
        <w:t>so closely linked together</w:t>
      </w:r>
      <w:r w:rsidR="00831CC7">
        <w:rPr>
          <w:color w:val="000000" w:themeColor="text1"/>
          <w:sz w:val="24"/>
        </w:rPr>
        <w:t>. Profes</w:t>
      </w:r>
      <w:r w:rsidR="001D061F">
        <w:rPr>
          <w:color w:val="000000" w:themeColor="text1"/>
          <w:sz w:val="24"/>
        </w:rPr>
        <w:t xml:space="preserve">sional bodies </w:t>
      </w:r>
      <w:r w:rsidR="004D2307">
        <w:rPr>
          <w:color w:val="000000" w:themeColor="text1"/>
          <w:sz w:val="24"/>
        </w:rPr>
        <w:t>should be capable of making decisions about their actions in relation to social and ethical responsibilities</w:t>
      </w:r>
      <w:r w:rsidR="00BE51AE">
        <w:rPr>
          <w:color w:val="000000" w:themeColor="text1"/>
          <w:sz w:val="24"/>
        </w:rPr>
        <w:t xml:space="preserve"> as well as </w:t>
      </w:r>
      <w:r w:rsidR="00A34319">
        <w:rPr>
          <w:color w:val="000000" w:themeColor="text1"/>
          <w:sz w:val="24"/>
        </w:rPr>
        <w:t>having the c</w:t>
      </w:r>
      <w:r w:rsidR="00D006B2">
        <w:rPr>
          <w:color w:val="000000" w:themeColor="text1"/>
          <w:sz w:val="24"/>
        </w:rPr>
        <w:t>ourage to</w:t>
      </w:r>
      <w:r w:rsidR="00841884">
        <w:rPr>
          <w:color w:val="000000" w:themeColor="text1"/>
          <w:sz w:val="24"/>
        </w:rPr>
        <w:t xml:space="preserve"> potentially go against the decisions of other stakeholders when necessary. For example, a psychologist might feel the need to go against confidentiality rules if they feel that one of their clients is putting themselves or others in danger. A similar concept applies to tradesmen, who would need to act ethically if given a potentially dangerous job which shareholders see as profitable.</w:t>
      </w:r>
    </w:p>
    <w:p w14:paraId="44CADB26" w14:textId="633EB1A3" w:rsidR="00AA28FB" w:rsidRDefault="002F4FE0" w:rsidP="00A25362">
      <w:pPr>
        <w:keepNext/>
        <w:rPr>
          <w:color w:val="000000" w:themeColor="text1"/>
          <w:sz w:val="24"/>
        </w:rPr>
      </w:pPr>
      <w:r>
        <w:rPr>
          <w:color w:val="000000" w:themeColor="text1"/>
          <w:sz w:val="24"/>
        </w:rPr>
        <w:t>A report from the CIPD (2015</w:t>
      </w:r>
      <w:r w:rsidR="00182A6A">
        <w:rPr>
          <w:color w:val="000000" w:themeColor="text1"/>
          <w:sz w:val="24"/>
        </w:rPr>
        <w:t>, p.</w:t>
      </w:r>
      <w:r w:rsidR="00786242">
        <w:rPr>
          <w:color w:val="000000" w:themeColor="text1"/>
          <w:sz w:val="24"/>
        </w:rPr>
        <w:t>9</w:t>
      </w:r>
      <w:r>
        <w:rPr>
          <w:color w:val="000000" w:themeColor="text1"/>
          <w:sz w:val="24"/>
        </w:rPr>
        <w:t>) also suggests that</w:t>
      </w:r>
      <w:r w:rsidR="00786242">
        <w:rPr>
          <w:color w:val="000000" w:themeColor="text1"/>
          <w:sz w:val="24"/>
        </w:rPr>
        <w:t xml:space="preserve"> ‘a commitment to excellence’ is a key factor to professionalism</w:t>
      </w:r>
      <w:r w:rsidR="007553B1">
        <w:rPr>
          <w:color w:val="000000" w:themeColor="text1"/>
          <w:sz w:val="24"/>
        </w:rPr>
        <w:t xml:space="preserve">, with individuals being able to combine their knowledge and skills with a level of responsibility to be able to make a suitable verdict. </w:t>
      </w:r>
    </w:p>
    <w:p w14:paraId="121215B8" w14:textId="6BE06780" w:rsidR="00AA28FB" w:rsidRDefault="00AA302F" w:rsidP="00F316D8">
      <w:pPr>
        <w:keepNext/>
        <w:rPr>
          <w:color w:val="000000" w:themeColor="text1"/>
          <w:sz w:val="24"/>
        </w:rPr>
      </w:pPr>
      <w:r>
        <w:rPr>
          <w:color w:val="000000" w:themeColor="text1"/>
          <w:sz w:val="24"/>
        </w:rPr>
        <w:t xml:space="preserve">One of the main traits of being considered a professional is having the appropriate level of knowledge </w:t>
      </w:r>
      <w:r w:rsidR="00DA2230">
        <w:rPr>
          <w:color w:val="000000" w:themeColor="text1"/>
          <w:sz w:val="24"/>
        </w:rPr>
        <w:t xml:space="preserve">and skills </w:t>
      </w:r>
      <w:r>
        <w:rPr>
          <w:color w:val="000000" w:themeColor="text1"/>
          <w:sz w:val="24"/>
        </w:rPr>
        <w:t xml:space="preserve">in order to complete specific tasks relating to a job. Professionalism </w:t>
      </w:r>
      <w:r w:rsidR="002B6B44">
        <w:rPr>
          <w:color w:val="000000" w:themeColor="text1"/>
          <w:sz w:val="24"/>
        </w:rPr>
        <w:t xml:space="preserve">is </w:t>
      </w:r>
      <w:r w:rsidR="004E577A">
        <w:rPr>
          <w:color w:val="000000" w:themeColor="text1"/>
          <w:sz w:val="24"/>
        </w:rPr>
        <w:t xml:space="preserve">closely </w:t>
      </w:r>
      <w:r w:rsidR="002B6B44">
        <w:rPr>
          <w:color w:val="000000" w:themeColor="text1"/>
          <w:sz w:val="24"/>
        </w:rPr>
        <w:t xml:space="preserve">linked alongside </w:t>
      </w:r>
      <w:r w:rsidR="004E577A">
        <w:rPr>
          <w:color w:val="000000" w:themeColor="text1"/>
          <w:sz w:val="24"/>
        </w:rPr>
        <w:t xml:space="preserve">the development of </w:t>
      </w:r>
      <w:r w:rsidR="00F316D8">
        <w:rPr>
          <w:color w:val="000000" w:themeColor="text1"/>
          <w:sz w:val="24"/>
        </w:rPr>
        <w:t>existing knowledge as well as having the responsibility to keep that knowledge up to date</w:t>
      </w:r>
      <w:r w:rsidR="00D02912">
        <w:rPr>
          <w:color w:val="000000" w:themeColor="text1"/>
          <w:sz w:val="24"/>
        </w:rPr>
        <w:t xml:space="preserve">, also to be considered as continuing professional </w:t>
      </w:r>
      <w:r w:rsidR="00D02912" w:rsidRPr="00601FD6">
        <w:rPr>
          <w:color w:val="000000" w:themeColor="text1"/>
          <w:sz w:val="24"/>
        </w:rPr>
        <w:t xml:space="preserve">development </w:t>
      </w:r>
      <w:r w:rsidR="00601FD6" w:rsidRPr="00601FD6">
        <w:rPr>
          <w:color w:val="000000" w:themeColor="text1"/>
          <w:sz w:val="24"/>
        </w:rPr>
        <w:t>(Gilmore &amp; Williams, 2009</w:t>
      </w:r>
      <w:r w:rsidR="00D02912" w:rsidRPr="00601FD6">
        <w:rPr>
          <w:color w:val="000000" w:themeColor="text1"/>
          <w:sz w:val="24"/>
        </w:rPr>
        <w:t xml:space="preserve">). </w:t>
      </w:r>
      <w:r w:rsidR="00681AEC" w:rsidRPr="00601FD6">
        <w:rPr>
          <w:color w:val="000000" w:themeColor="text1"/>
          <w:sz w:val="24"/>
        </w:rPr>
        <w:t xml:space="preserve">Particular </w:t>
      </w:r>
      <w:r w:rsidR="00681AEC">
        <w:rPr>
          <w:color w:val="000000" w:themeColor="text1"/>
          <w:sz w:val="24"/>
        </w:rPr>
        <w:t>qualifications are required relating to some professions therefore</w:t>
      </w:r>
      <w:r w:rsidR="00052B44">
        <w:rPr>
          <w:color w:val="000000" w:themeColor="text1"/>
          <w:sz w:val="24"/>
        </w:rPr>
        <w:t>,</w:t>
      </w:r>
      <w:r w:rsidR="00681AEC">
        <w:rPr>
          <w:color w:val="000000" w:themeColor="text1"/>
          <w:sz w:val="24"/>
        </w:rPr>
        <w:t xml:space="preserve"> continuing professional development is vital to keeping those qualifications up to date</w:t>
      </w:r>
      <w:r w:rsidR="00052B44">
        <w:rPr>
          <w:color w:val="000000" w:themeColor="text1"/>
          <w:sz w:val="24"/>
        </w:rPr>
        <w:t xml:space="preserve"> and ensuring the professional is sustaining </w:t>
      </w:r>
      <w:r w:rsidR="006404F8">
        <w:rPr>
          <w:color w:val="000000" w:themeColor="text1"/>
          <w:sz w:val="24"/>
        </w:rPr>
        <w:t>the relevant skills as well as making efforts</w:t>
      </w:r>
      <w:r w:rsidR="008B5DF2">
        <w:rPr>
          <w:color w:val="000000" w:themeColor="text1"/>
          <w:sz w:val="24"/>
        </w:rPr>
        <w:t xml:space="preserve"> to improve them</w:t>
      </w:r>
      <w:r w:rsidR="007650EA">
        <w:rPr>
          <w:color w:val="000000" w:themeColor="text1"/>
          <w:sz w:val="24"/>
        </w:rPr>
        <w:t xml:space="preserve"> (CIPD, 2015).</w:t>
      </w:r>
    </w:p>
    <w:p w14:paraId="5E2575DA" w14:textId="48DAD747" w:rsidR="00AA28FB" w:rsidRPr="00731426" w:rsidRDefault="00437803" w:rsidP="00A25362">
      <w:pPr>
        <w:keepNext/>
        <w:rPr>
          <w:rFonts w:ascii="Times New Roman" w:eastAsia="Times New Roman" w:hAnsi="Times New Roman" w:cs="Times New Roman"/>
          <w:color w:val="000000" w:themeColor="text1"/>
          <w:sz w:val="24"/>
          <w:szCs w:val="24"/>
          <w:lang w:eastAsia="en-GB"/>
        </w:rPr>
      </w:pPr>
      <w:r>
        <w:rPr>
          <w:color w:val="000000" w:themeColor="text1"/>
          <w:sz w:val="24"/>
        </w:rPr>
        <w:t>In recent years</w:t>
      </w:r>
      <w:r w:rsidR="00924511">
        <w:rPr>
          <w:color w:val="000000" w:themeColor="text1"/>
          <w:sz w:val="24"/>
        </w:rPr>
        <w:t>,</w:t>
      </w:r>
      <w:r>
        <w:rPr>
          <w:color w:val="000000" w:themeColor="text1"/>
          <w:sz w:val="24"/>
        </w:rPr>
        <w:t xml:space="preserve"> there has been a new emph</w:t>
      </w:r>
      <w:r w:rsidR="00924511">
        <w:rPr>
          <w:color w:val="000000" w:themeColor="text1"/>
          <w:sz w:val="24"/>
        </w:rPr>
        <w:t xml:space="preserve">asis on trust in the workplace. This has also seen a rise in importance of situational judgement in professionals, which </w:t>
      </w:r>
      <w:r w:rsidR="00785ABE">
        <w:rPr>
          <w:color w:val="000000" w:themeColor="text1"/>
          <w:sz w:val="24"/>
        </w:rPr>
        <w:t xml:space="preserve">can be described as </w:t>
      </w:r>
      <w:r w:rsidR="00731426">
        <w:rPr>
          <w:color w:val="000000" w:themeColor="text1"/>
          <w:sz w:val="24"/>
        </w:rPr>
        <w:t>‘</w:t>
      </w:r>
      <w:r w:rsidR="00785ABE">
        <w:rPr>
          <w:color w:val="000000" w:themeColor="text1"/>
          <w:sz w:val="24"/>
        </w:rPr>
        <w:t>not so much knowing what to do, but when to do it</w:t>
      </w:r>
      <w:r w:rsidR="00731426">
        <w:rPr>
          <w:color w:val="000000" w:themeColor="text1"/>
          <w:sz w:val="24"/>
        </w:rPr>
        <w:t>’</w:t>
      </w:r>
      <w:r w:rsidR="00785ABE">
        <w:rPr>
          <w:color w:val="000000" w:themeColor="text1"/>
          <w:sz w:val="24"/>
        </w:rPr>
        <w:t xml:space="preserve"> (</w:t>
      </w:r>
      <w:r w:rsidR="00182A6A">
        <w:rPr>
          <w:color w:val="000000" w:themeColor="text1"/>
          <w:sz w:val="24"/>
        </w:rPr>
        <w:t>CIPD, 2015, p.</w:t>
      </w:r>
      <w:r w:rsidR="00785ABE">
        <w:rPr>
          <w:color w:val="000000" w:themeColor="text1"/>
          <w:sz w:val="24"/>
        </w:rPr>
        <w:t>4).</w:t>
      </w:r>
      <w:r w:rsidR="00483ACE">
        <w:rPr>
          <w:color w:val="000000" w:themeColor="text1"/>
          <w:sz w:val="24"/>
        </w:rPr>
        <w:t xml:space="preserve"> </w:t>
      </w:r>
    </w:p>
    <w:p w14:paraId="40F0D319" w14:textId="7417815E" w:rsidR="00A25362" w:rsidRPr="00AA28FB" w:rsidRDefault="00303007" w:rsidP="00A25362">
      <w:pPr>
        <w:keepNext/>
        <w:rPr>
          <w:color w:val="000000" w:themeColor="text1"/>
          <w:sz w:val="24"/>
        </w:rPr>
      </w:pPr>
      <w:r>
        <w:rPr>
          <w:noProof/>
          <w:sz w:val="24"/>
          <w:lang w:eastAsia="en-GB"/>
        </w:rPr>
        <w:drawing>
          <wp:inline distT="0" distB="0" distL="0" distR="0" wp14:anchorId="6E66D5F9" wp14:editId="0A05841E">
            <wp:extent cx="5727700" cy="2413635"/>
            <wp:effectExtent l="0" t="0" r="1270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3-10 at 16.12.22.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2413635"/>
                    </a:xfrm>
                    <a:prstGeom prst="rect">
                      <a:avLst/>
                    </a:prstGeom>
                  </pic:spPr>
                </pic:pic>
              </a:graphicData>
            </a:graphic>
          </wp:inline>
        </w:drawing>
      </w:r>
    </w:p>
    <w:p w14:paraId="797E4315" w14:textId="0D859504" w:rsidR="00E56070" w:rsidRDefault="00A25362" w:rsidP="00A25362">
      <w:pPr>
        <w:pStyle w:val="Caption"/>
        <w:rPr>
          <w:sz w:val="24"/>
        </w:rPr>
      </w:pPr>
      <w:r>
        <w:t xml:space="preserve">Figure </w:t>
      </w:r>
      <w:fldSimple w:instr=" SEQ Figure \* ARABIC ">
        <w:r w:rsidR="00C17EA3">
          <w:rPr>
            <w:noProof/>
          </w:rPr>
          <w:t>4</w:t>
        </w:r>
      </w:fldSimple>
      <w:r>
        <w:t>: Six Core Elements of Professionalism (CIPD, 2017)</w:t>
      </w:r>
    </w:p>
    <w:p w14:paraId="04D2BAAA" w14:textId="33938475" w:rsidR="00C25C63" w:rsidRDefault="000B4F92" w:rsidP="00E56070">
      <w:pPr>
        <w:rPr>
          <w:b/>
          <w:i/>
          <w:sz w:val="28"/>
          <w:u w:val="single"/>
        </w:rPr>
      </w:pPr>
      <w:r>
        <w:rPr>
          <w:b/>
          <w:i/>
          <w:sz w:val="28"/>
          <w:u w:val="single"/>
        </w:rPr>
        <w:t>Group Dynamics and Conflict</w:t>
      </w:r>
    </w:p>
    <w:p w14:paraId="55BC122B" w14:textId="55F79195" w:rsidR="007927E2" w:rsidRDefault="001A0FD0" w:rsidP="00AA6BF3">
      <w:pPr>
        <w:rPr>
          <w:sz w:val="24"/>
        </w:rPr>
      </w:pPr>
      <w:r>
        <w:rPr>
          <w:sz w:val="24"/>
        </w:rPr>
        <w:t xml:space="preserve">Forsyth (2009) describes group dynamics to be </w:t>
      </w:r>
      <w:r w:rsidR="00DC5D0B">
        <w:rPr>
          <w:sz w:val="24"/>
        </w:rPr>
        <w:t xml:space="preserve">‘the influential processes that take place in groups and also the discipline devoted to the scientific </w:t>
      </w:r>
      <w:r>
        <w:rPr>
          <w:sz w:val="24"/>
        </w:rPr>
        <w:t>analysis of those dynamics’.</w:t>
      </w:r>
      <w:r w:rsidR="00B674F3">
        <w:rPr>
          <w:sz w:val="24"/>
        </w:rPr>
        <w:t xml:space="preserve"> </w:t>
      </w:r>
      <w:r w:rsidR="00CC04F8">
        <w:rPr>
          <w:sz w:val="24"/>
        </w:rPr>
        <w:t xml:space="preserve">In relation to group dynamics, </w:t>
      </w:r>
      <w:r w:rsidR="00613707">
        <w:rPr>
          <w:sz w:val="24"/>
        </w:rPr>
        <w:t xml:space="preserve">there </w:t>
      </w:r>
      <w:r w:rsidR="00DD6962">
        <w:rPr>
          <w:sz w:val="24"/>
        </w:rPr>
        <w:t xml:space="preserve">is one </w:t>
      </w:r>
      <w:r w:rsidR="00FA200D">
        <w:rPr>
          <w:sz w:val="24"/>
        </w:rPr>
        <w:t xml:space="preserve">model that can </w:t>
      </w:r>
      <w:r w:rsidR="004C5042">
        <w:rPr>
          <w:sz w:val="24"/>
        </w:rPr>
        <w:t xml:space="preserve">highlight strengths and weaknesses within a group and that is </w:t>
      </w:r>
      <w:r w:rsidR="00B30A3F">
        <w:rPr>
          <w:sz w:val="24"/>
        </w:rPr>
        <w:t>the forming, storming, norming and performing model by Tuckman and Jenson</w:t>
      </w:r>
      <w:r w:rsidR="00BF703A">
        <w:rPr>
          <w:sz w:val="24"/>
        </w:rPr>
        <w:t xml:space="preserve">, as well as the recently added stage known as </w:t>
      </w:r>
      <w:r w:rsidR="00002B00">
        <w:rPr>
          <w:sz w:val="24"/>
        </w:rPr>
        <w:t>adjourning</w:t>
      </w:r>
      <w:r w:rsidR="00A236D8">
        <w:rPr>
          <w:sz w:val="24"/>
        </w:rPr>
        <w:t xml:space="preserve"> (</w:t>
      </w:r>
      <w:proofErr w:type="spellStart"/>
      <w:r w:rsidR="00A236D8">
        <w:rPr>
          <w:sz w:val="24"/>
        </w:rPr>
        <w:t>Mindtools</w:t>
      </w:r>
      <w:proofErr w:type="spellEnd"/>
      <w:r w:rsidR="00A236D8">
        <w:rPr>
          <w:sz w:val="24"/>
        </w:rPr>
        <w:t xml:space="preserve">, 2019). </w:t>
      </w:r>
      <w:r w:rsidR="001C7C14">
        <w:rPr>
          <w:sz w:val="24"/>
        </w:rPr>
        <w:t>This model is used as part of team development</w:t>
      </w:r>
      <w:r w:rsidR="00BF3BE6">
        <w:rPr>
          <w:sz w:val="24"/>
        </w:rPr>
        <w:t xml:space="preserve"> and encourages group work.</w:t>
      </w:r>
      <w:r w:rsidR="001C7C14">
        <w:rPr>
          <w:sz w:val="24"/>
        </w:rPr>
        <w:t xml:space="preserve"> </w:t>
      </w:r>
      <w:r w:rsidR="00B30A3F">
        <w:rPr>
          <w:sz w:val="24"/>
        </w:rPr>
        <w:t xml:space="preserve"> </w:t>
      </w:r>
      <w:r w:rsidR="00002B00">
        <w:rPr>
          <w:sz w:val="24"/>
        </w:rPr>
        <w:t>At the beginning of a given task, members of the team seem to be very positive about the si</w:t>
      </w:r>
      <w:r w:rsidR="00B17D93">
        <w:rPr>
          <w:sz w:val="24"/>
        </w:rPr>
        <w:t xml:space="preserve">tuation, where other members may be </w:t>
      </w:r>
      <w:r w:rsidR="007255E1">
        <w:rPr>
          <w:sz w:val="24"/>
        </w:rPr>
        <w:t>concerned if they do not understand what the group have to do in their task. This is known as the forming stage. This stage may be carried out for a long period of time as each group member will be inputting their opinions and start to work together as a team comp</w:t>
      </w:r>
      <w:r w:rsidR="00A236D8">
        <w:rPr>
          <w:sz w:val="24"/>
        </w:rPr>
        <w:t>ared to a number of individuals (</w:t>
      </w:r>
      <w:proofErr w:type="spellStart"/>
      <w:r w:rsidR="00A236D8">
        <w:rPr>
          <w:sz w:val="24"/>
        </w:rPr>
        <w:t>Mindtools</w:t>
      </w:r>
      <w:proofErr w:type="spellEnd"/>
      <w:r w:rsidR="00A236D8">
        <w:rPr>
          <w:sz w:val="24"/>
        </w:rPr>
        <w:t xml:space="preserve">, 2019). </w:t>
      </w:r>
      <w:r w:rsidR="003D57DC">
        <w:rPr>
          <w:sz w:val="24"/>
        </w:rPr>
        <w:t xml:space="preserve">The storming </w:t>
      </w:r>
      <w:r w:rsidR="00A96444">
        <w:rPr>
          <w:sz w:val="24"/>
        </w:rPr>
        <w:t>phase</w:t>
      </w:r>
      <w:r w:rsidR="00BF3BE6">
        <w:rPr>
          <w:sz w:val="24"/>
        </w:rPr>
        <w:t xml:space="preserve"> (as shown in figure 5),</w:t>
      </w:r>
      <w:r w:rsidR="00A858FF">
        <w:rPr>
          <w:sz w:val="24"/>
        </w:rPr>
        <w:t xml:space="preserve"> is </w:t>
      </w:r>
      <w:r w:rsidR="00BF3BE6">
        <w:rPr>
          <w:sz w:val="24"/>
        </w:rPr>
        <w:t xml:space="preserve">where the group are becoming more confident and challenging each other as they are willing to be confrontational to get their points across. This is only the second stage in the model and this is clearly the most difficult stage for every group. As illustrated below, many groups and teams lose members </w:t>
      </w:r>
      <w:r w:rsidR="00A236D8">
        <w:rPr>
          <w:sz w:val="24"/>
        </w:rPr>
        <w:t>and as a result the team will fail</w:t>
      </w:r>
      <w:r w:rsidR="00861497">
        <w:rPr>
          <w:sz w:val="24"/>
        </w:rPr>
        <w:t xml:space="preserve"> due to the confrontations and disagreements. Even though this model is used for team development, the storming stage is where all conflict within the group starts. This is because –after the forming stage- all group members are now comfortable enough with each other to start to ‘push against the boundaries’ and a conflict of opinions, with the success of the group in mind will form (</w:t>
      </w:r>
      <w:proofErr w:type="spellStart"/>
      <w:r w:rsidR="00861497">
        <w:rPr>
          <w:sz w:val="24"/>
        </w:rPr>
        <w:t>Mindtools</w:t>
      </w:r>
      <w:proofErr w:type="spellEnd"/>
      <w:r w:rsidR="00861497">
        <w:rPr>
          <w:sz w:val="24"/>
        </w:rPr>
        <w:t>, 2019).</w:t>
      </w:r>
    </w:p>
    <w:p w14:paraId="5F9CF2D8" w14:textId="77777777" w:rsidR="00BF3BE6" w:rsidRDefault="00A5733C" w:rsidP="00BF3BE6">
      <w:pPr>
        <w:keepNext/>
      </w:pPr>
      <w:r>
        <w:rPr>
          <w:noProof/>
          <w:sz w:val="24"/>
          <w:lang w:eastAsia="en-GB"/>
        </w:rPr>
        <w:drawing>
          <wp:inline distT="0" distB="0" distL="0" distR="0" wp14:anchorId="4B736C29" wp14:editId="333F4BD6">
            <wp:extent cx="5727700" cy="2660650"/>
            <wp:effectExtent l="0" t="0" r="1270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3-11 at 12.57.14.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2660650"/>
                    </a:xfrm>
                    <a:prstGeom prst="rect">
                      <a:avLst/>
                    </a:prstGeom>
                  </pic:spPr>
                </pic:pic>
              </a:graphicData>
            </a:graphic>
          </wp:inline>
        </w:drawing>
      </w:r>
    </w:p>
    <w:p w14:paraId="496768F3" w14:textId="0DB9122A" w:rsidR="001B51BF" w:rsidRDefault="00BF3BE6" w:rsidP="00BF3BE6">
      <w:pPr>
        <w:pStyle w:val="Caption"/>
        <w:rPr>
          <w:sz w:val="24"/>
        </w:rPr>
      </w:pPr>
      <w:r>
        <w:t xml:space="preserve">Figure </w:t>
      </w:r>
      <w:fldSimple w:instr=" SEQ Figure \* ARABIC ">
        <w:r w:rsidR="00C17EA3">
          <w:rPr>
            <w:noProof/>
          </w:rPr>
          <w:t>5</w:t>
        </w:r>
      </w:fldSimple>
      <w:r>
        <w:t>: Tuckman's 5 Stage Model</w:t>
      </w:r>
      <w:r w:rsidR="00593297">
        <w:t xml:space="preserve"> (</w:t>
      </w:r>
      <w:proofErr w:type="spellStart"/>
      <w:r w:rsidR="00593297">
        <w:t>Culcgloria</w:t>
      </w:r>
      <w:proofErr w:type="spellEnd"/>
      <w:r w:rsidR="00593297">
        <w:t>, 2016)</w:t>
      </w:r>
    </w:p>
    <w:p w14:paraId="1A766773" w14:textId="252ABD09" w:rsidR="00343C89" w:rsidRDefault="00343C89" w:rsidP="00AA6BF3">
      <w:pPr>
        <w:rPr>
          <w:sz w:val="24"/>
        </w:rPr>
      </w:pPr>
      <w:r>
        <w:rPr>
          <w:sz w:val="24"/>
        </w:rPr>
        <w:t>Forsyth (2009) also says that ‘conflict is routed in some basic problems that people face when they must join together in groups’. He also insists that while conflict can sometimes be resolved naturally, it is often necessary for it to be controlled by members of the group in order to minimise potentially harmful effects.</w:t>
      </w:r>
      <w:r w:rsidR="00286ECA">
        <w:rPr>
          <w:sz w:val="24"/>
        </w:rPr>
        <w:t xml:space="preserve"> C</w:t>
      </w:r>
      <w:r w:rsidR="00AC0564">
        <w:rPr>
          <w:sz w:val="24"/>
        </w:rPr>
        <w:t>onflict can be divided into two different types, interpersonal conflict and inter-group conflict.</w:t>
      </w:r>
      <w:r w:rsidR="00116B40">
        <w:rPr>
          <w:sz w:val="24"/>
        </w:rPr>
        <w:t xml:space="preserve"> According t</w:t>
      </w:r>
      <w:r w:rsidR="00182A6A">
        <w:rPr>
          <w:sz w:val="24"/>
        </w:rPr>
        <w:t>o Armstrong and Taylor (2017</w:t>
      </w:r>
      <w:r w:rsidR="00116B40">
        <w:rPr>
          <w:sz w:val="24"/>
        </w:rPr>
        <w:t>), inter-group conflict can be resolved in three ways, ‘peaceful coexistence, compromise and problem solving’.</w:t>
      </w:r>
      <w:r w:rsidR="008C1813">
        <w:rPr>
          <w:sz w:val="24"/>
        </w:rPr>
        <w:t xml:space="preserve"> These include working to find a solution to the differences </w:t>
      </w:r>
      <w:r w:rsidR="00F65B1F">
        <w:rPr>
          <w:sz w:val="24"/>
        </w:rPr>
        <w:t xml:space="preserve">and finding common ground, negotiating </w:t>
      </w:r>
      <w:r w:rsidR="003F73BC">
        <w:rPr>
          <w:sz w:val="24"/>
        </w:rPr>
        <w:t xml:space="preserve">until neither side wins and finding an answer to the problem compared to </w:t>
      </w:r>
      <w:r w:rsidR="00EE6DE8">
        <w:rPr>
          <w:sz w:val="24"/>
        </w:rPr>
        <w:t>agreeing to disagree on opinio</w:t>
      </w:r>
      <w:r w:rsidR="00182A6A">
        <w:rPr>
          <w:sz w:val="24"/>
        </w:rPr>
        <w:t>ns (Armstrong &amp; Taylor, 2017</w:t>
      </w:r>
      <w:r w:rsidR="00EE6DE8">
        <w:rPr>
          <w:sz w:val="24"/>
        </w:rPr>
        <w:t xml:space="preserve">). </w:t>
      </w:r>
      <w:r w:rsidR="00821BB8">
        <w:rPr>
          <w:sz w:val="24"/>
        </w:rPr>
        <w:t xml:space="preserve">There are many different factors that can contribute to causing conflict such as </w:t>
      </w:r>
      <w:r w:rsidR="00BD3059">
        <w:rPr>
          <w:sz w:val="24"/>
        </w:rPr>
        <w:t xml:space="preserve">conflicting </w:t>
      </w:r>
      <w:r w:rsidR="00BD3059" w:rsidRPr="00DA7120">
        <w:rPr>
          <w:sz w:val="24"/>
        </w:rPr>
        <w:t>goals, competition</w:t>
      </w:r>
      <w:r w:rsidR="001F76E0" w:rsidRPr="00DA7120">
        <w:rPr>
          <w:sz w:val="24"/>
        </w:rPr>
        <w:t xml:space="preserve"> and even </w:t>
      </w:r>
      <w:r w:rsidR="00BD3059" w:rsidRPr="00DA7120">
        <w:rPr>
          <w:sz w:val="24"/>
        </w:rPr>
        <w:t>differences in personal values</w:t>
      </w:r>
      <w:r w:rsidR="001F76E0" w:rsidRPr="00DA7120">
        <w:rPr>
          <w:sz w:val="24"/>
        </w:rPr>
        <w:t xml:space="preserve"> or group dynamics</w:t>
      </w:r>
      <w:r w:rsidR="00CD7DEE" w:rsidRPr="00DA7120">
        <w:rPr>
          <w:sz w:val="24"/>
        </w:rPr>
        <w:t xml:space="preserve"> </w:t>
      </w:r>
      <w:r w:rsidR="00161B57" w:rsidRPr="00DA7120">
        <w:rPr>
          <w:color w:val="000000" w:themeColor="text1"/>
          <w:sz w:val="24"/>
        </w:rPr>
        <w:t>(Johnson, 2019)</w:t>
      </w:r>
      <w:r w:rsidR="00161B57" w:rsidRPr="00DA7120">
        <w:rPr>
          <w:sz w:val="24"/>
        </w:rPr>
        <w:t xml:space="preserve"> </w:t>
      </w:r>
      <w:r w:rsidR="00A96444" w:rsidRPr="00DA7120">
        <w:rPr>
          <w:sz w:val="24"/>
        </w:rPr>
        <w:t xml:space="preserve">One of the </w:t>
      </w:r>
      <w:r w:rsidR="00DF1CF1" w:rsidRPr="00DA7120">
        <w:rPr>
          <w:sz w:val="24"/>
        </w:rPr>
        <w:t>method</w:t>
      </w:r>
      <w:r w:rsidR="00A96444" w:rsidRPr="00DA7120">
        <w:rPr>
          <w:sz w:val="24"/>
        </w:rPr>
        <w:t>s</w:t>
      </w:r>
      <w:r w:rsidR="00DF1CF1" w:rsidRPr="00DA7120">
        <w:rPr>
          <w:sz w:val="24"/>
        </w:rPr>
        <w:t xml:space="preserve"> of resolving conflict within an organisation is by understanding the underlying needs of an individual, listen to what they have to say, and also communicate with the individual, bearing in mind body language and tone of voice is everything</w:t>
      </w:r>
      <w:r w:rsidR="00161B57" w:rsidRPr="00DA7120">
        <w:rPr>
          <w:sz w:val="24"/>
        </w:rPr>
        <w:t xml:space="preserve"> (</w:t>
      </w:r>
      <w:proofErr w:type="spellStart"/>
      <w:r w:rsidR="00161B57" w:rsidRPr="00DA7120">
        <w:rPr>
          <w:sz w:val="24"/>
        </w:rPr>
        <w:t>Kappel</w:t>
      </w:r>
      <w:proofErr w:type="spellEnd"/>
      <w:r w:rsidR="00161B57" w:rsidRPr="00DA7120">
        <w:rPr>
          <w:sz w:val="24"/>
        </w:rPr>
        <w:t>, 2017).</w:t>
      </w:r>
    </w:p>
    <w:p w14:paraId="3C57AC11" w14:textId="5907308E" w:rsidR="00D00F82" w:rsidRPr="00D00F82" w:rsidRDefault="001B7DF1" w:rsidP="00D00F82">
      <w:pPr>
        <w:rPr>
          <w:sz w:val="24"/>
        </w:rPr>
      </w:pPr>
      <w:r>
        <w:rPr>
          <w:sz w:val="24"/>
        </w:rPr>
        <w:t xml:space="preserve">Thomas and </w:t>
      </w:r>
      <w:proofErr w:type="spellStart"/>
      <w:r>
        <w:rPr>
          <w:sz w:val="24"/>
        </w:rPr>
        <w:t>Kilmann</w:t>
      </w:r>
      <w:proofErr w:type="spellEnd"/>
      <w:r w:rsidR="00182A6A">
        <w:rPr>
          <w:sz w:val="24"/>
        </w:rPr>
        <w:t xml:space="preserve"> (2008</w:t>
      </w:r>
      <w:r w:rsidR="00D00F82" w:rsidRPr="00D00F82">
        <w:rPr>
          <w:sz w:val="24"/>
        </w:rPr>
        <w:t>) discusses each section of the Thomas-</w:t>
      </w:r>
      <w:proofErr w:type="spellStart"/>
      <w:r w:rsidR="00D00F82" w:rsidRPr="00D00F82">
        <w:rPr>
          <w:sz w:val="24"/>
        </w:rPr>
        <w:t>Kilmann</w:t>
      </w:r>
      <w:proofErr w:type="spellEnd"/>
      <w:r w:rsidR="00D00F82" w:rsidRPr="00D00F82">
        <w:rPr>
          <w:sz w:val="24"/>
        </w:rPr>
        <w:t xml:space="preserve"> Conflict Mode Instrument (TKI), starting with competing. Competing is a mode in which an individual prioritises their own needs over those of other group members and often occurs when they are trying to stand up for their rights. Another section of the TKI is collaborating, where two or more people with opposing views attempt to put their differences aside and working together to create a solution to the conflict. This is not too dissimilar to compromising, where individuals will attempt to meet in the middle in order to resolve a conflict, giving al</w:t>
      </w:r>
      <w:r w:rsidR="00D00F82">
        <w:rPr>
          <w:sz w:val="24"/>
        </w:rPr>
        <w:t xml:space="preserve">l parties a fair outcome. </w:t>
      </w:r>
    </w:p>
    <w:p w14:paraId="3E236D2D" w14:textId="0EE4F899" w:rsidR="00D00F82" w:rsidRDefault="00D00F82" w:rsidP="00D00F82">
      <w:pPr>
        <w:rPr>
          <w:sz w:val="24"/>
        </w:rPr>
      </w:pPr>
      <w:r w:rsidRPr="00D00F82">
        <w:rPr>
          <w:sz w:val="24"/>
        </w:rPr>
        <w:t>More uncooperative modes also exist wi</w:t>
      </w:r>
      <w:r w:rsidR="001B7DF1">
        <w:rPr>
          <w:sz w:val="24"/>
        </w:rPr>
        <w:t xml:space="preserve">thin the TKI with Thomas and </w:t>
      </w:r>
      <w:proofErr w:type="spellStart"/>
      <w:r w:rsidR="001B7DF1">
        <w:rPr>
          <w:sz w:val="24"/>
        </w:rPr>
        <w:t>Kilmann</w:t>
      </w:r>
      <w:proofErr w:type="spellEnd"/>
      <w:r w:rsidR="00182A6A">
        <w:rPr>
          <w:sz w:val="24"/>
        </w:rPr>
        <w:t xml:space="preserve"> (2008</w:t>
      </w:r>
      <w:r w:rsidRPr="00D00F82">
        <w:rPr>
          <w:sz w:val="24"/>
        </w:rPr>
        <w:t xml:space="preserve">) discussing the mode of avoiding, where individuals will go out of their way to push the conflict to one side. Examples of this can include an individual removing themselves from conflict or postponing the disagreement for a more suitable time if they are busy. </w:t>
      </w:r>
      <w:proofErr w:type="gramStart"/>
      <w:r w:rsidRPr="00D00F82">
        <w:rPr>
          <w:sz w:val="24"/>
        </w:rPr>
        <w:t>Finally</w:t>
      </w:r>
      <w:proofErr w:type="gramEnd"/>
      <w:r w:rsidRPr="00D00F82">
        <w:rPr>
          <w:sz w:val="24"/>
        </w:rPr>
        <w:t xml:space="preserve"> is accommodating, which is the opposite of competing. This occurs when an individual puts the needs of others before their own in order to avoid conflict.</w:t>
      </w:r>
    </w:p>
    <w:p w14:paraId="4E0D63C4" w14:textId="77777777" w:rsidR="003A00F4" w:rsidRDefault="00CD65FC" w:rsidP="003A00F4">
      <w:pPr>
        <w:keepNext/>
      </w:pPr>
      <w:r>
        <w:rPr>
          <w:noProof/>
          <w:sz w:val="24"/>
          <w:lang w:eastAsia="en-GB"/>
        </w:rPr>
        <w:drawing>
          <wp:inline distT="0" distB="0" distL="0" distR="0" wp14:anchorId="309ED2ED" wp14:editId="27ED4345">
            <wp:extent cx="5727700" cy="4620895"/>
            <wp:effectExtent l="0" t="0" r="1270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3-11 at 18.55.55.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4620895"/>
                    </a:xfrm>
                    <a:prstGeom prst="rect">
                      <a:avLst/>
                    </a:prstGeom>
                  </pic:spPr>
                </pic:pic>
              </a:graphicData>
            </a:graphic>
          </wp:inline>
        </w:drawing>
      </w:r>
    </w:p>
    <w:p w14:paraId="4348B9DC" w14:textId="4717E7C8" w:rsidR="00CD65FC" w:rsidRDefault="003A00F4" w:rsidP="003A00F4">
      <w:pPr>
        <w:pStyle w:val="Caption"/>
        <w:rPr>
          <w:sz w:val="24"/>
        </w:rPr>
      </w:pPr>
      <w:r>
        <w:t xml:space="preserve">Figure </w:t>
      </w:r>
      <w:fldSimple w:instr=" SEQ Figure \* ARABIC ">
        <w:r w:rsidR="00C17EA3">
          <w:rPr>
            <w:noProof/>
          </w:rPr>
          <w:t>6</w:t>
        </w:r>
      </w:fldSimple>
      <w:r>
        <w:t xml:space="preserve">: Thomas </w:t>
      </w:r>
      <w:proofErr w:type="spellStart"/>
      <w:r>
        <w:t>Kilmann</w:t>
      </w:r>
      <w:proofErr w:type="spellEnd"/>
      <w:r>
        <w:t xml:space="preserve"> Conflict Model (Sample, 2008:2)</w:t>
      </w:r>
    </w:p>
    <w:p w14:paraId="7A80DE15" w14:textId="7B93E2AE" w:rsidR="00A01267" w:rsidRPr="00A01267" w:rsidRDefault="00C37304" w:rsidP="00AA6BF3">
      <w:pPr>
        <w:rPr>
          <w:b/>
          <w:i/>
          <w:color w:val="000000" w:themeColor="text1"/>
          <w:sz w:val="28"/>
          <w:u w:val="single"/>
        </w:rPr>
      </w:pPr>
      <w:r>
        <w:rPr>
          <w:b/>
          <w:i/>
          <w:color w:val="000000" w:themeColor="text1"/>
          <w:sz w:val="28"/>
          <w:u w:val="single"/>
        </w:rPr>
        <w:t>Project Management and Problem Solving</w:t>
      </w:r>
    </w:p>
    <w:p w14:paraId="58ED9236" w14:textId="77777777" w:rsidR="00657588" w:rsidRDefault="00C37304" w:rsidP="00AA6BF3">
      <w:pPr>
        <w:rPr>
          <w:color w:val="000000" w:themeColor="text1"/>
          <w:sz w:val="24"/>
        </w:rPr>
      </w:pPr>
      <w:r>
        <w:rPr>
          <w:color w:val="000000" w:themeColor="text1"/>
          <w:sz w:val="24"/>
        </w:rPr>
        <w:t xml:space="preserve">Project management </w:t>
      </w:r>
      <w:r w:rsidR="004C098B">
        <w:rPr>
          <w:color w:val="000000" w:themeColor="text1"/>
          <w:sz w:val="24"/>
        </w:rPr>
        <w:t xml:space="preserve">is </w:t>
      </w:r>
      <w:r w:rsidR="00153263">
        <w:rPr>
          <w:color w:val="000000" w:themeColor="text1"/>
          <w:sz w:val="24"/>
        </w:rPr>
        <w:t>crucial f</w:t>
      </w:r>
      <w:r w:rsidR="00217699">
        <w:rPr>
          <w:color w:val="000000" w:themeColor="text1"/>
          <w:sz w:val="24"/>
        </w:rPr>
        <w:t xml:space="preserve">or human resource professionals. </w:t>
      </w:r>
      <w:r w:rsidR="00195C9B">
        <w:rPr>
          <w:color w:val="000000" w:themeColor="text1"/>
          <w:sz w:val="24"/>
        </w:rPr>
        <w:t xml:space="preserve">This is because they are often called upon to focus on projects such as </w:t>
      </w:r>
      <w:r w:rsidR="007E2419">
        <w:rPr>
          <w:color w:val="000000" w:themeColor="text1"/>
          <w:sz w:val="24"/>
        </w:rPr>
        <w:t xml:space="preserve">recruiting and even sometimes downsizing projects within the organisation. Some </w:t>
      </w:r>
      <w:r w:rsidR="00657588">
        <w:rPr>
          <w:color w:val="000000" w:themeColor="text1"/>
          <w:sz w:val="24"/>
        </w:rPr>
        <w:t xml:space="preserve">smaller </w:t>
      </w:r>
      <w:r w:rsidR="007E2419">
        <w:rPr>
          <w:color w:val="000000" w:themeColor="text1"/>
          <w:sz w:val="24"/>
        </w:rPr>
        <w:t xml:space="preserve">examples of project management </w:t>
      </w:r>
      <w:r w:rsidR="00217699">
        <w:rPr>
          <w:color w:val="000000" w:themeColor="text1"/>
          <w:sz w:val="24"/>
        </w:rPr>
        <w:t>include</w:t>
      </w:r>
      <w:r w:rsidR="008F1B47">
        <w:rPr>
          <w:color w:val="000000" w:themeColor="text1"/>
          <w:sz w:val="24"/>
        </w:rPr>
        <w:t xml:space="preserve"> classifying and ordering priorities as well as having elements of milestone monitoring. </w:t>
      </w:r>
    </w:p>
    <w:p w14:paraId="1A0FE767" w14:textId="3CAEA968" w:rsidR="00D26E1A" w:rsidRDefault="00A01267" w:rsidP="002C52BB">
      <w:pPr>
        <w:rPr>
          <w:color w:val="000000" w:themeColor="text1"/>
          <w:sz w:val="24"/>
        </w:rPr>
      </w:pPr>
      <w:r>
        <w:rPr>
          <w:color w:val="000000" w:themeColor="text1"/>
          <w:sz w:val="24"/>
        </w:rPr>
        <w:t xml:space="preserve">As part of a task given to me at university level 4, I was part of a team that was responsible for working alongside a charity. Each member had their own job title and each contributed accordingly to their personal tasks. </w:t>
      </w:r>
      <w:r w:rsidR="00D26E1A">
        <w:rPr>
          <w:color w:val="000000" w:themeColor="text1"/>
          <w:sz w:val="24"/>
        </w:rPr>
        <w:t xml:space="preserve">Throughout the task, the group had a number of tasks to complete by a given date, meaning that project management techniques were needed to ensure each task was prioritised and on schedule. To do this, the group created a Gantt chart which </w:t>
      </w:r>
      <w:r w:rsidR="00D26E1A" w:rsidRPr="003C69DF">
        <w:rPr>
          <w:color w:val="000000" w:themeColor="text1"/>
          <w:sz w:val="24"/>
        </w:rPr>
        <w:t>clearly illustrated what tasks were to be completed</w:t>
      </w:r>
      <w:r w:rsidR="00D94B44" w:rsidRPr="003C69DF">
        <w:rPr>
          <w:color w:val="000000" w:themeColor="text1"/>
          <w:sz w:val="24"/>
        </w:rPr>
        <w:t xml:space="preserve"> by a particular date (See </w:t>
      </w:r>
      <w:r w:rsidR="003C69DF" w:rsidRPr="003C69DF">
        <w:rPr>
          <w:color w:val="000000" w:themeColor="text1"/>
          <w:sz w:val="24"/>
        </w:rPr>
        <w:t>E</w:t>
      </w:r>
      <w:r w:rsidR="00D94B44" w:rsidRPr="003C69DF">
        <w:rPr>
          <w:color w:val="000000" w:themeColor="text1"/>
          <w:sz w:val="24"/>
        </w:rPr>
        <w:t>vidence</w:t>
      </w:r>
      <w:r w:rsidR="003C69DF" w:rsidRPr="003C69DF">
        <w:rPr>
          <w:color w:val="000000" w:themeColor="text1"/>
          <w:sz w:val="24"/>
        </w:rPr>
        <w:t xml:space="preserve"> 5</w:t>
      </w:r>
      <w:r w:rsidR="00D26E1A" w:rsidRPr="003C69DF">
        <w:rPr>
          <w:color w:val="000000" w:themeColor="text1"/>
          <w:sz w:val="24"/>
        </w:rPr>
        <w:t>)</w:t>
      </w:r>
      <w:r w:rsidR="00935BCA" w:rsidRPr="003C69DF">
        <w:rPr>
          <w:color w:val="000000" w:themeColor="text1"/>
          <w:sz w:val="24"/>
        </w:rPr>
        <w:t>.</w:t>
      </w:r>
      <w:r w:rsidR="003269C5">
        <w:rPr>
          <w:color w:val="000000" w:themeColor="text1"/>
          <w:sz w:val="24"/>
        </w:rPr>
        <w:t xml:space="preserve"> </w:t>
      </w:r>
      <w:r w:rsidR="00E50AED">
        <w:rPr>
          <w:color w:val="000000" w:themeColor="text1"/>
          <w:sz w:val="24"/>
        </w:rPr>
        <w:t xml:space="preserve">While using project management techniques such as the Gantt chart, </w:t>
      </w:r>
      <w:r w:rsidR="00AD28E0">
        <w:rPr>
          <w:color w:val="000000" w:themeColor="text1"/>
          <w:sz w:val="24"/>
        </w:rPr>
        <w:t>the opportunity arose</w:t>
      </w:r>
      <w:r w:rsidR="00C7107E">
        <w:rPr>
          <w:color w:val="000000" w:themeColor="text1"/>
          <w:sz w:val="24"/>
        </w:rPr>
        <w:t xml:space="preserve"> for me to use an Ishikawa</w:t>
      </w:r>
      <w:r w:rsidR="00AD28E0">
        <w:rPr>
          <w:color w:val="000000" w:themeColor="text1"/>
          <w:sz w:val="24"/>
        </w:rPr>
        <w:t xml:space="preserve"> diagram to analyse </w:t>
      </w:r>
      <w:r w:rsidR="009F173B">
        <w:rPr>
          <w:color w:val="000000" w:themeColor="text1"/>
          <w:sz w:val="24"/>
        </w:rPr>
        <w:t xml:space="preserve">the effects and causes of the groups’ </w:t>
      </w:r>
      <w:r w:rsidR="00AD28E0">
        <w:rPr>
          <w:color w:val="000000" w:themeColor="text1"/>
          <w:sz w:val="24"/>
        </w:rPr>
        <w:t xml:space="preserve">actions. </w:t>
      </w:r>
      <w:r w:rsidR="00C7107E">
        <w:rPr>
          <w:color w:val="000000" w:themeColor="text1"/>
          <w:sz w:val="24"/>
        </w:rPr>
        <w:t xml:space="preserve">‘The Ishikawa diagram concisely identifies the causes and effects of a problem. It can also be used as an analytical tool in project </w:t>
      </w:r>
      <w:r w:rsidR="0073193A">
        <w:rPr>
          <w:color w:val="000000" w:themeColor="text1"/>
          <w:sz w:val="24"/>
        </w:rPr>
        <w:t>management</w:t>
      </w:r>
      <w:r w:rsidR="00C7107E">
        <w:rPr>
          <w:color w:val="000000" w:themeColor="text1"/>
          <w:sz w:val="24"/>
        </w:rPr>
        <w:t>’ (50 Minutes</w:t>
      </w:r>
      <w:r w:rsidR="0073193A">
        <w:rPr>
          <w:color w:val="000000" w:themeColor="text1"/>
          <w:sz w:val="24"/>
        </w:rPr>
        <w:t xml:space="preserve">, 2015, p. 5). </w:t>
      </w:r>
      <w:r w:rsidR="00AD28E0">
        <w:rPr>
          <w:color w:val="000000" w:themeColor="text1"/>
          <w:sz w:val="24"/>
        </w:rPr>
        <w:t xml:space="preserve">For example, </w:t>
      </w:r>
      <w:r w:rsidR="009F173B">
        <w:rPr>
          <w:color w:val="000000" w:themeColor="text1"/>
          <w:sz w:val="24"/>
        </w:rPr>
        <w:t xml:space="preserve">if a member of the group did not attend a group meeting then I would need to look at what effects that would have on the group. An example of this would be that the member of the group that did not attend the meeting, their workload would go to someone else, or there would be a delay in the completion of that work meaning that the group would be under more pressure to get the assignment done by the given timeline. </w:t>
      </w:r>
    </w:p>
    <w:p w14:paraId="7CBE33FA" w14:textId="24F7D9E5" w:rsidR="009E6BA9" w:rsidRPr="002C52BB" w:rsidRDefault="009E6BA9" w:rsidP="002C52BB">
      <w:pPr>
        <w:rPr>
          <w:color w:val="000000" w:themeColor="text1"/>
          <w:sz w:val="24"/>
        </w:rPr>
      </w:pPr>
      <w:r>
        <w:rPr>
          <w:color w:val="000000" w:themeColor="text1"/>
          <w:sz w:val="24"/>
        </w:rPr>
        <w:t xml:space="preserve">Throughout this particular task, </w:t>
      </w:r>
      <w:r w:rsidR="007E7DC5">
        <w:rPr>
          <w:color w:val="000000" w:themeColor="text1"/>
          <w:sz w:val="24"/>
        </w:rPr>
        <w:t xml:space="preserve">it was very important to use a variety of influencing styles to get the best performance out of the group. For example, I needed to use rationalising </w:t>
      </w:r>
      <w:r w:rsidR="004D2989">
        <w:rPr>
          <w:color w:val="000000" w:themeColor="text1"/>
          <w:sz w:val="24"/>
        </w:rPr>
        <w:t xml:space="preserve">when </w:t>
      </w:r>
      <w:r w:rsidR="007669E8">
        <w:rPr>
          <w:color w:val="000000" w:themeColor="text1"/>
          <w:sz w:val="24"/>
        </w:rPr>
        <w:t xml:space="preserve">organising our various required visits to the charity. It was important for the group to use logic when planning these visits in order to maximise efficiency. One time in particular where rationalising was used was when organising specific visit days in order to ensure that nobody’s external interests clashed with the project, while the group also used logic to decide who – and how many of us – would be driving, as a few of the members lived near one another. </w:t>
      </w:r>
      <w:r w:rsidR="00F27763">
        <w:rPr>
          <w:color w:val="000000" w:themeColor="text1"/>
          <w:sz w:val="24"/>
        </w:rPr>
        <w:t xml:space="preserve">Another influencing style that was commonly used within this group task was </w:t>
      </w:r>
      <w:r w:rsidR="004B39BB">
        <w:rPr>
          <w:color w:val="000000" w:themeColor="text1"/>
          <w:sz w:val="24"/>
        </w:rPr>
        <w:t>inspiring</w:t>
      </w:r>
      <w:r w:rsidR="00FF3133">
        <w:rPr>
          <w:color w:val="000000" w:themeColor="text1"/>
          <w:sz w:val="24"/>
        </w:rPr>
        <w:t xml:space="preserve">. This was required when </w:t>
      </w:r>
      <w:r w:rsidR="004B39BB">
        <w:rPr>
          <w:color w:val="000000" w:themeColor="text1"/>
          <w:sz w:val="24"/>
        </w:rPr>
        <w:t>group morale was getting low</w:t>
      </w:r>
      <w:r w:rsidR="00FB2D2D">
        <w:rPr>
          <w:color w:val="000000" w:themeColor="text1"/>
          <w:sz w:val="24"/>
        </w:rPr>
        <w:t xml:space="preserve"> and needed reminding that </w:t>
      </w:r>
      <w:r w:rsidR="00182A6A">
        <w:rPr>
          <w:color w:val="000000" w:themeColor="text1"/>
          <w:sz w:val="24"/>
        </w:rPr>
        <w:t>if the group continued to be dedicated and focused on the task and the reward would be a good grade for each member of the group.</w:t>
      </w:r>
    </w:p>
    <w:p w14:paraId="7AB268C1" w14:textId="2E9EB37F" w:rsidR="00054926" w:rsidRDefault="002D0470" w:rsidP="000460B9">
      <w:pPr>
        <w:rPr>
          <w:color w:val="000000" w:themeColor="text1"/>
          <w:sz w:val="24"/>
        </w:rPr>
      </w:pPr>
      <w:r>
        <w:rPr>
          <w:color w:val="000000" w:themeColor="text1"/>
          <w:sz w:val="24"/>
        </w:rPr>
        <w:t>Within level 5</w:t>
      </w:r>
      <w:r w:rsidR="00054926">
        <w:rPr>
          <w:color w:val="000000" w:themeColor="text1"/>
          <w:sz w:val="24"/>
        </w:rPr>
        <w:t xml:space="preserve"> there have been several group activities where problem solving techniques have taken place. </w:t>
      </w:r>
      <w:r w:rsidR="001827F6">
        <w:rPr>
          <w:color w:val="000000" w:themeColor="text1"/>
          <w:sz w:val="24"/>
        </w:rPr>
        <w:t xml:space="preserve">One of the tasks revolved around negotiations, where each member of the group was given their essential needs </w:t>
      </w:r>
      <w:r>
        <w:rPr>
          <w:color w:val="000000" w:themeColor="text1"/>
          <w:sz w:val="24"/>
        </w:rPr>
        <w:t xml:space="preserve">- </w:t>
      </w:r>
      <w:r w:rsidR="001827F6">
        <w:rPr>
          <w:color w:val="000000" w:themeColor="text1"/>
          <w:sz w:val="24"/>
        </w:rPr>
        <w:t>some of which were the same</w:t>
      </w:r>
      <w:r>
        <w:rPr>
          <w:color w:val="000000" w:themeColor="text1"/>
          <w:sz w:val="24"/>
        </w:rPr>
        <w:t xml:space="preserve"> </w:t>
      </w:r>
      <w:r w:rsidR="001827F6">
        <w:rPr>
          <w:color w:val="000000" w:themeColor="text1"/>
          <w:sz w:val="24"/>
        </w:rPr>
        <w:t xml:space="preserve">- </w:t>
      </w:r>
      <w:r w:rsidR="00C2486E">
        <w:rPr>
          <w:color w:val="000000" w:themeColor="text1"/>
          <w:sz w:val="24"/>
        </w:rPr>
        <w:t xml:space="preserve">resulting in the need for negotiations to take place in </w:t>
      </w:r>
      <w:r w:rsidR="0064393A">
        <w:rPr>
          <w:color w:val="000000" w:themeColor="text1"/>
          <w:sz w:val="24"/>
        </w:rPr>
        <w:t>order for each member to b</w:t>
      </w:r>
      <w:r w:rsidR="00A06119">
        <w:rPr>
          <w:color w:val="000000" w:themeColor="text1"/>
          <w:sz w:val="24"/>
        </w:rPr>
        <w:t>e satisfied with what they were given in the task.</w:t>
      </w:r>
      <w:r w:rsidR="00950340">
        <w:rPr>
          <w:color w:val="000000" w:themeColor="text1"/>
          <w:sz w:val="24"/>
        </w:rPr>
        <w:t xml:space="preserve"> During this task, the use of assertiveness was certainly used as each member needed to clearly state what they needed to try and win their team the necessary essentials.</w:t>
      </w:r>
      <w:r w:rsidR="00E422DE">
        <w:rPr>
          <w:color w:val="000000" w:themeColor="text1"/>
          <w:sz w:val="24"/>
        </w:rPr>
        <w:t xml:space="preserve"> Assertive behaviour involves ‘being honest with yourself and others’, while ensuring that the opinions of others are valued</w:t>
      </w:r>
      <w:r w:rsidR="001568A3">
        <w:rPr>
          <w:color w:val="000000" w:themeColor="text1"/>
          <w:sz w:val="24"/>
        </w:rPr>
        <w:t xml:space="preserve"> (</w:t>
      </w:r>
      <w:proofErr w:type="spellStart"/>
      <w:r w:rsidR="00815CB0">
        <w:rPr>
          <w:color w:val="000000" w:themeColor="text1"/>
          <w:sz w:val="24"/>
        </w:rPr>
        <w:t>Dalley</w:t>
      </w:r>
      <w:proofErr w:type="spellEnd"/>
      <w:r w:rsidR="00815CB0">
        <w:rPr>
          <w:color w:val="000000" w:themeColor="text1"/>
          <w:sz w:val="24"/>
        </w:rPr>
        <w:t>, 2013, p.10).</w:t>
      </w:r>
      <w:r w:rsidR="00E422DE">
        <w:rPr>
          <w:color w:val="000000" w:themeColor="text1"/>
          <w:sz w:val="24"/>
        </w:rPr>
        <w:t xml:space="preserve"> </w:t>
      </w:r>
      <w:r w:rsidR="00950340">
        <w:rPr>
          <w:color w:val="000000" w:themeColor="text1"/>
          <w:sz w:val="24"/>
        </w:rPr>
        <w:t xml:space="preserve">However, towards the end of the task, </w:t>
      </w:r>
      <w:r>
        <w:rPr>
          <w:color w:val="000000" w:themeColor="text1"/>
          <w:sz w:val="24"/>
        </w:rPr>
        <w:t>the mood changed</w:t>
      </w:r>
      <w:r w:rsidR="001568A3">
        <w:rPr>
          <w:color w:val="000000" w:themeColor="text1"/>
          <w:sz w:val="24"/>
        </w:rPr>
        <w:t xml:space="preserve"> and each member was more accommodating </w:t>
      </w:r>
      <w:r>
        <w:rPr>
          <w:color w:val="000000" w:themeColor="text1"/>
          <w:sz w:val="24"/>
        </w:rPr>
        <w:t>and therefore adopted a more negotiating role in order for everyone to agree on what was best.</w:t>
      </w:r>
    </w:p>
    <w:p w14:paraId="31D6464A" w14:textId="088597E7" w:rsidR="00AC320F" w:rsidRDefault="00AC320F" w:rsidP="00AA6BF3">
      <w:pPr>
        <w:rPr>
          <w:color w:val="000000" w:themeColor="text1"/>
          <w:sz w:val="24"/>
        </w:rPr>
      </w:pPr>
      <w:r>
        <w:rPr>
          <w:color w:val="000000" w:themeColor="text1"/>
          <w:sz w:val="24"/>
        </w:rPr>
        <w:t xml:space="preserve">Within any problem-solving task, there is often a simple way to start step by step in order to find a solution. The </w:t>
      </w:r>
      <w:proofErr w:type="spellStart"/>
      <w:r>
        <w:rPr>
          <w:color w:val="000000" w:themeColor="text1"/>
          <w:sz w:val="24"/>
        </w:rPr>
        <w:t>Cynefin</w:t>
      </w:r>
      <w:proofErr w:type="spellEnd"/>
      <w:r>
        <w:rPr>
          <w:color w:val="000000" w:themeColor="text1"/>
          <w:sz w:val="24"/>
        </w:rPr>
        <w:t xml:space="preserve"> framework is just one of the most commonly used problem solving techniques and is shown below.</w:t>
      </w:r>
      <w:r w:rsidR="00D67E28">
        <w:rPr>
          <w:color w:val="000000" w:themeColor="text1"/>
          <w:sz w:val="24"/>
        </w:rPr>
        <w:t xml:space="preserve"> ‘The practices can be used to complement traditional approaches to programme and portfolio management’ (Brougham, 2015, p.6).</w:t>
      </w:r>
      <w:r w:rsidR="0079557C">
        <w:rPr>
          <w:color w:val="000000" w:themeColor="text1"/>
          <w:sz w:val="24"/>
        </w:rPr>
        <w:t xml:space="preserve"> As illustrated</w:t>
      </w:r>
      <w:r w:rsidR="00A3423E">
        <w:rPr>
          <w:color w:val="000000" w:themeColor="text1"/>
          <w:sz w:val="24"/>
        </w:rPr>
        <w:t>, the first stage of solving a problem is to distinguish whether the problem is complex, chaotic, complicated or obvious</w:t>
      </w:r>
      <w:r w:rsidR="00FC3828">
        <w:rPr>
          <w:color w:val="000000" w:themeColor="text1"/>
          <w:sz w:val="24"/>
        </w:rPr>
        <w:t>.</w:t>
      </w:r>
      <w:r w:rsidR="00457F4A">
        <w:rPr>
          <w:color w:val="000000" w:themeColor="text1"/>
          <w:sz w:val="24"/>
        </w:rPr>
        <w:t xml:space="preserve"> After deciding what section your problem comes under, it will become </w:t>
      </w:r>
      <w:r w:rsidR="00C15D64">
        <w:rPr>
          <w:color w:val="000000" w:themeColor="text1"/>
          <w:sz w:val="24"/>
        </w:rPr>
        <w:t>clearer</w:t>
      </w:r>
      <w:r w:rsidR="00457F4A">
        <w:rPr>
          <w:color w:val="000000" w:themeColor="text1"/>
          <w:sz w:val="24"/>
        </w:rPr>
        <w:t xml:space="preserve"> as to what advancements can be made in order to move t</w:t>
      </w:r>
      <w:r w:rsidR="009557C7">
        <w:rPr>
          <w:color w:val="000000" w:themeColor="text1"/>
          <w:sz w:val="24"/>
        </w:rPr>
        <w:t>he problem closer to a solution (</w:t>
      </w:r>
      <w:proofErr w:type="spellStart"/>
      <w:r w:rsidR="009557C7">
        <w:rPr>
          <w:color w:val="000000" w:themeColor="text1"/>
          <w:sz w:val="24"/>
        </w:rPr>
        <w:t>Mindtools</w:t>
      </w:r>
      <w:proofErr w:type="spellEnd"/>
      <w:r w:rsidR="009557C7">
        <w:rPr>
          <w:color w:val="000000" w:themeColor="text1"/>
          <w:sz w:val="24"/>
        </w:rPr>
        <w:t xml:space="preserve"> A, 2019)</w:t>
      </w:r>
    </w:p>
    <w:p w14:paraId="354709CC" w14:textId="77777777" w:rsidR="00C17EA3" w:rsidRDefault="00C17EA3" w:rsidP="00C17EA3">
      <w:pPr>
        <w:keepNext/>
        <w:jc w:val="center"/>
      </w:pPr>
      <w:r w:rsidRPr="00C17EA3">
        <w:rPr>
          <w:color w:val="000000" w:themeColor="text1"/>
        </w:rPr>
        <w:drawing>
          <wp:inline distT="0" distB="0" distL="0" distR="0" wp14:anchorId="1AD9ABE8" wp14:editId="5D9CC66F">
            <wp:extent cx="3894230" cy="3529146"/>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15379" cy="3548312"/>
                    </a:xfrm>
                    <a:prstGeom prst="rect">
                      <a:avLst/>
                    </a:prstGeom>
                  </pic:spPr>
                </pic:pic>
              </a:graphicData>
            </a:graphic>
          </wp:inline>
        </w:drawing>
      </w:r>
    </w:p>
    <w:p w14:paraId="768977F0" w14:textId="2A0C8E42" w:rsidR="00AC320F" w:rsidRPr="00054926" w:rsidRDefault="00C17EA3" w:rsidP="00C17EA3">
      <w:pPr>
        <w:pStyle w:val="Caption"/>
        <w:rPr>
          <w:color w:val="000000" w:themeColor="text1"/>
          <w:sz w:val="24"/>
        </w:rPr>
      </w:pPr>
      <w:r>
        <w:t xml:space="preserve">Figure </w:t>
      </w:r>
      <w:fldSimple w:instr=" SEQ Figure \* ARABIC ">
        <w:r>
          <w:rPr>
            <w:noProof/>
          </w:rPr>
          <w:t>7</w:t>
        </w:r>
      </w:fldSimple>
      <w:r>
        <w:t xml:space="preserve">: The </w:t>
      </w:r>
      <w:proofErr w:type="spellStart"/>
      <w:r>
        <w:t>Cynefin</w:t>
      </w:r>
      <w:proofErr w:type="spellEnd"/>
      <w:r>
        <w:t xml:space="preserve"> Framework (Snowden, 2019)</w:t>
      </w:r>
    </w:p>
    <w:p w14:paraId="14BB2177" w14:textId="1B0605E2" w:rsidR="00A2114E" w:rsidRDefault="00060688" w:rsidP="00AA6BF3">
      <w:pPr>
        <w:rPr>
          <w:b/>
          <w:i/>
          <w:color w:val="000000" w:themeColor="text1"/>
          <w:sz w:val="28"/>
          <w:u w:val="single"/>
        </w:rPr>
      </w:pPr>
      <w:r w:rsidRPr="00A2114E">
        <w:rPr>
          <w:b/>
          <w:i/>
          <w:color w:val="000000" w:themeColor="text1"/>
          <w:sz w:val="28"/>
          <w:u w:val="single"/>
        </w:rPr>
        <w:t>Self-Assessment</w:t>
      </w:r>
    </w:p>
    <w:p w14:paraId="511C5FBB" w14:textId="403BC0FD" w:rsidR="00060688" w:rsidRDefault="00060688" w:rsidP="00AA6BF3">
      <w:pPr>
        <w:rPr>
          <w:color w:val="000000" w:themeColor="text1"/>
          <w:sz w:val="24"/>
        </w:rPr>
      </w:pPr>
      <w:r>
        <w:rPr>
          <w:color w:val="000000" w:themeColor="text1"/>
          <w:sz w:val="24"/>
        </w:rPr>
        <w:t>After taking a closer l</w:t>
      </w:r>
      <w:r w:rsidR="00051D0B">
        <w:rPr>
          <w:color w:val="000000" w:themeColor="text1"/>
          <w:sz w:val="24"/>
        </w:rPr>
        <w:t xml:space="preserve">ook at the Professional Map and doing a self-assessment, I have come to the conclusion that </w:t>
      </w:r>
      <w:r w:rsidR="003C69DF">
        <w:rPr>
          <w:color w:val="000000" w:themeColor="text1"/>
          <w:sz w:val="24"/>
        </w:rPr>
        <w:t xml:space="preserve">I need to develop my assertiveness (See Evidence 1). Once reaching that conclusion, it was time that I researched further into how I would improve that particular trait. Upon further research, I came across a YouTube tutorial that explained 7 ways in which I could improve my assertiveness without being considered disrespectful (See Evidence 7). </w:t>
      </w:r>
    </w:p>
    <w:p w14:paraId="521D0ACE" w14:textId="0275B7C2" w:rsidR="001542B8" w:rsidRDefault="001542B8" w:rsidP="00AA6BF3">
      <w:pPr>
        <w:rPr>
          <w:color w:val="000000" w:themeColor="text1"/>
          <w:sz w:val="24"/>
        </w:rPr>
      </w:pPr>
      <w:r>
        <w:rPr>
          <w:color w:val="000000" w:themeColor="text1"/>
          <w:sz w:val="24"/>
        </w:rPr>
        <w:t>The image below is my Personal Development Plan which I have created in order to provide myself with an outline of skills which I need to develop by the time I graduate from University in 2020. Some of these skills include handling personal data, assertiveness and using programmes such as Microsoft Excel which will all contribute towards making me a more rounded individual when leaving education.</w:t>
      </w:r>
    </w:p>
    <w:p w14:paraId="7173CC68" w14:textId="086F9E2E" w:rsidR="001542B8" w:rsidRPr="00060688" w:rsidRDefault="000E060B" w:rsidP="00AA6BF3">
      <w:pPr>
        <w:rPr>
          <w:color w:val="000000" w:themeColor="text1"/>
          <w:sz w:val="24"/>
        </w:rPr>
      </w:pPr>
      <w:r>
        <w:rPr>
          <w:noProof/>
          <w:color w:val="000000" w:themeColor="text1"/>
          <w:sz w:val="24"/>
          <w:lang w:eastAsia="en-GB"/>
        </w:rPr>
        <w:drawing>
          <wp:inline distT="0" distB="0" distL="0" distR="0" wp14:anchorId="3D140D8C" wp14:editId="35B89A9B">
            <wp:extent cx="5727700" cy="5327650"/>
            <wp:effectExtent l="0" t="0" r="1270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3-14 at 14.35.37.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5327650"/>
                    </a:xfrm>
                    <a:prstGeom prst="rect">
                      <a:avLst/>
                    </a:prstGeom>
                  </pic:spPr>
                </pic:pic>
              </a:graphicData>
            </a:graphic>
          </wp:inline>
        </w:drawing>
      </w:r>
    </w:p>
    <w:p w14:paraId="060FFB23" w14:textId="77777777" w:rsidR="000E060B" w:rsidRDefault="000E060B" w:rsidP="00AA6BF3">
      <w:pPr>
        <w:rPr>
          <w:b/>
          <w:i/>
          <w:sz w:val="28"/>
          <w:u w:val="single"/>
        </w:rPr>
      </w:pPr>
    </w:p>
    <w:p w14:paraId="2E22247D" w14:textId="77777777" w:rsidR="000E060B" w:rsidRDefault="000E060B" w:rsidP="00AA6BF3">
      <w:pPr>
        <w:rPr>
          <w:b/>
          <w:i/>
          <w:sz w:val="28"/>
          <w:u w:val="single"/>
        </w:rPr>
      </w:pPr>
    </w:p>
    <w:p w14:paraId="6EDEA0C8" w14:textId="77777777" w:rsidR="000E060B" w:rsidRDefault="000E060B" w:rsidP="00AA6BF3">
      <w:pPr>
        <w:rPr>
          <w:b/>
          <w:i/>
          <w:sz w:val="28"/>
          <w:u w:val="single"/>
        </w:rPr>
      </w:pPr>
    </w:p>
    <w:p w14:paraId="6DCAFC88" w14:textId="77777777" w:rsidR="000E060B" w:rsidRDefault="000E060B" w:rsidP="00AA6BF3">
      <w:pPr>
        <w:rPr>
          <w:b/>
          <w:i/>
          <w:sz w:val="28"/>
          <w:u w:val="single"/>
        </w:rPr>
      </w:pPr>
    </w:p>
    <w:p w14:paraId="1F46F28E" w14:textId="77777777" w:rsidR="000E060B" w:rsidRDefault="000E060B" w:rsidP="00AA6BF3">
      <w:pPr>
        <w:rPr>
          <w:b/>
          <w:i/>
          <w:sz w:val="28"/>
          <w:u w:val="single"/>
        </w:rPr>
      </w:pPr>
    </w:p>
    <w:p w14:paraId="7FD402E1" w14:textId="77777777" w:rsidR="000E060B" w:rsidRDefault="000E060B" w:rsidP="00AA6BF3">
      <w:pPr>
        <w:rPr>
          <w:b/>
          <w:i/>
          <w:sz w:val="28"/>
          <w:u w:val="single"/>
        </w:rPr>
      </w:pPr>
    </w:p>
    <w:p w14:paraId="037F7504" w14:textId="77777777" w:rsidR="000E060B" w:rsidRDefault="000E060B" w:rsidP="00AA6BF3">
      <w:pPr>
        <w:rPr>
          <w:b/>
          <w:i/>
          <w:sz w:val="28"/>
          <w:u w:val="single"/>
        </w:rPr>
      </w:pPr>
    </w:p>
    <w:p w14:paraId="658FE95D" w14:textId="24E1298F" w:rsidR="00AA6BF3" w:rsidRPr="0079557C" w:rsidRDefault="00AA6BF3" w:rsidP="00AA6BF3">
      <w:pPr>
        <w:rPr>
          <w:color w:val="FF0000"/>
        </w:rPr>
      </w:pPr>
      <w:r w:rsidRPr="002C52BB">
        <w:rPr>
          <w:b/>
          <w:i/>
          <w:sz w:val="28"/>
          <w:u w:val="single"/>
        </w:rPr>
        <w:t>References:</w:t>
      </w:r>
    </w:p>
    <w:p w14:paraId="36CA1546" w14:textId="77777777" w:rsidR="00884CA1" w:rsidRDefault="00884CA1" w:rsidP="00AA6BF3">
      <w:pPr>
        <w:rPr>
          <w:color w:val="000000" w:themeColor="text1"/>
        </w:rPr>
      </w:pPr>
      <w:r>
        <w:rPr>
          <w:color w:val="000000" w:themeColor="text1"/>
        </w:rPr>
        <w:t>Bianca, A. (2019) ‘The Ethics of Justice &amp; Fair Treatment in HR Management’ (Online) Available at:</w:t>
      </w:r>
      <w:r w:rsidRPr="00161B57">
        <w:t xml:space="preserve"> </w:t>
      </w:r>
      <w:hyperlink r:id="rId19" w:history="1">
        <w:r w:rsidRPr="005D3809">
          <w:rPr>
            <w:rStyle w:val="Hyperlink"/>
          </w:rPr>
          <w:t>https://smallbusiness.chron.com/ethics-justice-fair-treatment-hr-management-13481.html</w:t>
        </w:r>
      </w:hyperlink>
      <w:r>
        <w:rPr>
          <w:color w:val="000000" w:themeColor="text1"/>
        </w:rPr>
        <w:t xml:space="preserve"> (Accessed 13 Mar. 2019)</w:t>
      </w:r>
    </w:p>
    <w:p w14:paraId="019EF799" w14:textId="77777777" w:rsidR="00884CA1" w:rsidRDefault="00884CA1" w:rsidP="00AA6BF3">
      <w:pPr>
        <w:rPr>
          <w:color w:val="000000" w:themeColor="text1"/>
        </w:rPr>
      </w:pPr>
      <w:r>
        <w:rPr>
          <w:color w:val="000000" w:themeColor="text1"/>
        </w:rPr>
        <w:t xml:space="preserve">Brougham, G. (2015). ‘The </w:t>
      </w:r>
      <w:proofErr w:type="spellStart"/>
      <w:r>
        <w:rPr>
          <w:color w:val="000000" w:themeColor="text1"/>
        </w:rPr>
        <w:t>Cynefin</w:t>
      </w:r>
      <w:proofErr w:type="spellEnd"/>
      <w:r>
        <w:rPr>
          <w:color w:val="000000" w:themeColor="text1"/>
        </w:rPr>
        <w:t xml:space="preserve"> Mini- Book’ North Carolina, United States: Lulu.com.</w:t>
      </w:r>
    </w:p>
    <w:p w14:paraId="4A8D61E7" w14:textId="77777777" w:rsidR="00884CA1" w:rsidRPr="0064709F" w:rsidRDefault="00884CA1" w:rsidP="00AA6BF3">
      <w:pPr>
        <w:rPr>
          <w:color w:val="000000" w:themeColor="text1"/>
        </w:rPr>
      </w:pPr>
      <w:r w:rsidRPr="0064709F">
        <w:rPr>
          <w:color w:val="000000" w:themeColor="text1"/>
        </w:rPr>
        <w:t>CIPD A. (2015). ‘From best to good practice HR: Developing principles for the profession’ London: CIPD</w:t>
      </w:r>
      <w:bookmarkStart w:id="0" w:name="_GoBack"/>
      <w:bookmarkEnd w:id="0"/>
    </w:p>
    <w:p w14:paraId="2CF1B309" w14:textId="77777777" w:rsidR="00884CA1" w:rsidRDefault="00884CA1" w:rsidP="00AA6BF3">
      <w:r w:rsidRPr="00BD7B48">
        <w:rPr>
          <w:color w:val="000000" w:themeColor="text1"/>
        </w:rPr>
        <w:t>CIPD. (2015). ‘</w:t>
      </w:r>
      <w:r>
        <w:rPr>
          <w:i/>
        </w:rPr>
        <w:t xml:space="preserve">The 2013 Professional Map’ </w:t>
      </w:r>
      <w:r>
        <w:t xml:space="preserve">(Online) Available at: </w:t>
      </w:r>
      <w:hyperlink r:id="rId20" w:history="1">
        <w:r w:rsidRPr="005D3809">
          <w:rPr>
            <w:rStyle w:val="Hyperlink"/>
          </w:rPr>
          <w:t>https://www.cipd.co.uk/learn/career/profession-map/2013-profession-map</w:t>
        </w:r>
      </w:hyperlink>
      <w:r>
        <w:t xml:space="preserve"> (Accessed: 25 Feb. 2019)</w:t>
      </w:r>
    </w:p>
    <w:p w14:paraId="4F6E3696" w14:textId="77777777" w:rsidR="00884CA1" w:rsidRPr="0064709F" w:rsidRDefault="00884CA1" w:rsidP="00AA6BF3">
      <w:pPr>
        <w:rPr>
          <w:color w:val="000000" w:themeColor="text1"/>
        </w:rPr>
      </w:pPr>
      <w:r w:rsidRPr="0064709F">
        <w:rPr>
          <w:color w:val="000000" w:themeColor="text1"/>
        </w:rPr>
        <w:t>CIPD. (2017). ‘HR professionalism: what do we stand for?’ London: CIPD.</w:t>
      </w:r>
    </w:p>
    <w:p w14:paraId="5230FBEC" w14:textId="77777777" w:rsidR="00884CA1" w:rsidRDefault="00884CA1" w:rsidP="00AA6BF3">
      <w:pPr>
        <w:rPr>
          <w:color w:val="FF0000"/>
        </w:rPr>
      </w:pPr>
      <w:proofErr w:type="spellStart"/>
      <w:r w:rsidRPr="0064709F">
        <w:rPr>
          <w:color w:val="000000" w:themeColor="text1"/>
        </w:rPr>
        <w:t>Culcgloria</w:t>
      </w:r>
      <w:proofErr w:type="spellEnd"/>
      <w:r w:rsidRPr="0064709F">
        <w:rPr>
          <w:color w:val="000000" w:themeColor="text1"/>
        </w:rPr>
        <w:t xml:space="preserve">. (2016).’Blog 2- Challenge of Managing Diverse Team’ (Online) Available at: </w:t>
      </w:r>
      <w:hyperlink r:id="rId21" w:history="1">
        <w:r w:rsidRPr="0064709F">
          <w:rPr>
            <w:rStyle w:val="Hyperlink"/>
            <w:color w:val="000000" w:themeColor="text1"/>
          </w:rPr>
          <w:t>https://culcgloria.wordpress.com/2016/04/01/blog-2-challenge-of-managing-diverse-team/</w:t>
        </w:r>
      </w:hyperlink>
      <w:r>
        <w:rPr>
          <w:color w:val="FF0000"/>
        </w:rPr>
        <w:t xml:space="preserve"> </w:t>
      </w:r>
      <w:r w:rsidRPr="0064709F">
        <w:rPr>
          <w:color w:val="000000" w:themeColor="text1"/>
        </w:rPr>
        <w:t>(Accessed: 10 Mar.</w:t>
      </w:r>
      <w:r>
        <w:rPr>
          <w:color w:val="000000" w:themeColor="text1"/>
        </w:rPr>
        <w:t xml:space="preserve"> 20</w:t>
      </w:r>
      <w:r w:rsidRPr="0064709F">
        <w:rPr>
          <w:color w:val="000000" w:themeColor="text1"/>
        </w:rPr>
        <w:t>19)</w:t>
      </w:r>
    </w:p>
    <w:p w14:paraId="3C3D67FF" w14:textId="77777777" w:rsidR="00884CA1" w:rsidRDefault="00884CA1" w:rsidP="00AA6BF3">
      <w:pPr>
        <w:rPr>
          <w:color w:val="000000" w:themeColor="text1"/>
        </w:rPr>
      </w:pPr>
      <w:proofErr w:type="spellStart"/>
      <w:r>
        <w:rPr>
          <w:color w:val="000000" w:themeColor="text1"/>
        </w:rPr>
        <w:t>Dalley</w:t>
      </w:r>
      <w:proofErr w:type="spellEnd"/>
      <w:r>
        <w:rPr>
          <w:color w:val="000000" w:themeColor="text1"/>
        </w:rPr>
        <w:t>, D. (2013). ‘Developing your Assertiveness Skills’ Manchester: University of Learning.</w:t>
      </w:r>
    </w:p>
    <w:p w14:paraId="1ACB849F" w14:textId="77777777" w:rsidR="00884CA1" w:rsidRDefault="00884CA1" w:rsidP="00AA6BF3">
      <w:pPr>
        <w:rPr>
          <w:color w:val="000000" w:themeColor="text1"/>
        </w:rPr>
      </w:pPr>
      <w:r w:rsidRPr="001A0FD0">
        <w:rPr>
          <w:color w:val="000000" w:themeColor="text1"/>
        </w:rPr>
        <w:t>Forsyth, D. (2009). ‘Group Dynamics’ Boston: Cengage Learning.</w:t>
      </w:r>
    </w:p>
    <w:p w14:paraId="0CAB7938" w14:textId="77777777" w:rsidR="00884CA1" w:rsidRDefault="00884CA1" w:rsidP="00AA6BF3">
      <w:pPr>
        <w:rPr>
          <w:color w:val="000000" w:themeColor="text1"/>
        </w:rPr>
      </w:pPr>
      <w:r>
        <w:rPr>
          <w:color w:val="000000" w:themeColor="text1"/>
        </w:rPr>
        <w:t>Gilmore, S. &amp; Williams, S. (2009). ‘Human Resource Management’ Oxford: OUP.</w:t>
      </w:r>
    </w:p>
    <w:p w14:paraId="29560853" w14:textId="77777777" w:rsidR="00884CA1" w:rsidRDefault="00884CA1" w:rsidP="00AA6BF3">
      <w:pPr>
        <w:rPr>
          <w:color w:val="000000" w:themeColor="text1"/>
        </w:rPr>
      </w:pPr>
      <w:r>
        <w:rPr>
          <w:color w:val="000000" w:themeColor="text1"/>
        </w:rPr>
        <w:t xml:space="preserve">Johnson, R. (2019). ‘What Causes Employee Conflict in the Workplace?’ (Online) Available at: </w:t>
      </w:r>
      <w:hyperlink r:id="rId22" w:history="1">
        <w:r w:rsidRPr="005D3809">
          <w:rPr>
            <w:rStyle w:val="Hyperlink"/>
          </w:rPr>
          <w:t>https://smallbusiness.chron.com/causes-employee-conflict-workplace-21264.html</w:t>
        </w:r>
      </w:hyperlink>
      <w:r>
        <w:rPr>
          <w:color w:val="000000" w:themeColor="text1"/>
        </w:rPr>
        <w:t xml:space="preserve"> (Accessed: 13 Mar. 2019)</w:t>
      </w:r>
    </w:p>
    <w:p w14:paraId="648A2DB8" w14:textId="77777777" w:rsidR="00884CA1" w:rsidRDefault="00884CA1" w:rsidP="00AA6BF3">
      <w:pPr>
        <w:rPr>
          <w:color w:val="000000" w:themeColor="text1"/>
        </w:rPr>
      </w:pPr>
      <w:proofErr w:type="spellStart"/>
      <w:r>
        <w:rPr>
          <w:color w:val="000000" w:themeColor="text1"/>
        </w:rPr>
        <w:t>Kappel</w:t>
      </w:r>
      <w:proofErr w:type="spellEnd"/>
      <w:r>
        <w:rPr>
          <w:color w:val="000000" w:themeColor="text1"/>
        </w:rPr>
        <w:t>, M. (2017). ‘How to Handle Conflict At Your Business’ (Online) Available at:</w:t>
      </w:r>
      <w:r w:rsidRPr="00161B57">
        <w:t xml:space="preserve"> </w:t>
      </w:r>
      <w:hyperlink r:id="rId23" w:history="1">
        <w:r w:rsidRPr="005D3809">
          <w:rPr>
            <w:rStyle w:val="Hyperlink"/>
          </w:rPr>
          <w:t>https://www.forbes.com/sites/mikekappel/2017/12/06/how-to-handle-conflict-at-your-business/#5fb7b2e75ad7</w:t>
        </w:r>
      </w:hyperlink>
      <w:r>
        <w:rPr>
          <w:color w:val="000000" w:themeColor="text1"/>
        </w:rPr>
        <w:t xml:space="preserve"> (Accessed: 13 Mar. 2019)</w:t>
      </w:r>
    </w:p>
    <w:p w14:paraId="2408D652" w14:textId="77777777" w:rsidR="00884CA1" w:rsidRPr="002A2C5B" w:rsidRDefault="00884CA1" w:rsidP="00AA6BF3">
      <w:pPr>
        <w:rPr>
          <w:color w:val="000000" w:themeColor="text1"/>
        </w:rPr>
      </w:pPr>
      <w:r w:rsidRPr="002A2C5B">
        <w:rPr>
          <w:color w:val="000000" w:themeColor="text1"/>
        </w:rPr>
        <w:t>Maguire, D.</w:t>
      </w:r>
      <w:r>
        <w:rPr>
          <w:color w:val="000000" w:themeColor="text1"/>
        </w:rPr>
        <w:t xml:space="preserve"> &amp; </w:t>
      </w:r>
      <w:proofErr w:type="spellStart"/>
      <w:r>
        <w:rPr>
          <w:color w:val="000000" w:themeColor="text1"/>
        </w:rPr>
        <w:t>Jørgensen</w:t>
      </w:r>
      <w:proofErr w:type="spellEnd"/>
      <w:r>
        <w:rPr>
          <w:color w:val="000000" w:themeColor="text1"/>
        </w:rPr>
        <w:t>, K. (2011</w:t>
      </w:r>
      <w:r w:rsidRPr="002A2C5B">
        <w:rPr>
          <w:color w:val="000000" w:themeColor="text1"/>
        </w:rPr>
        <w:t>). ‘Foundations of Human Resource Development’ California: Sage.</w:t>
      </w:r>
    </w:p>
    <w:p w14:paraId="0212BF8A" w14:textId="77777777" w:rsidR="00884CA1" w:rsidRDefault="00884CA1" w:rsidP="00AA6BF3">
      <w:pPr>
        <w:rPr>
          <w:color w:val="000000" w:themeColor="text1"/>
        </w:rPr>
      </w:pPr>
      <w:proofErr w:type="spellStart"/>
      <w:r>
        <w:rPr>
          <w:color w:val="000000" w:themeColor="text1"/>
        </w:rPr>
        <w:t>Mindtools</w:t>
      </w:r>
      <w:proofErr w:type="spellEnd"/>
      <w:r>
        <w:rPr>
          <w:color w:val="000000" w:themeColor="text1"/>
        </w:rPr>
        <w:t xml:space="preserve"> A. (2019). ‘The </w:t>
      </w:r>
      <w:proofErr w:type="spellStart"/>
      <w:r>
        <w:rPr>
          <w:color w:val="000000" w:themeColor="text1"/>
        </w:rPr>
        <w:t>Cynefin</w:t>
      </w:r>
      <w:proofErr w:type="spellEnd"/>
      <w:r>
        <w:rPr>
          <w:color w:val="000000" w:themeColor="text1"/>
        </w:rPr>
        <w:t xml:space="preserve"> Framework’ (Online) Available at: </w:t>
      </w:r>
      <w:hyperlink r:id="rId24" w:history="1">
        <w:r w:rsidRPr="005D3809">
          <w:rPr>
            <w:rStyle w:val="Hyperlink"/>
          </w:rPr>
          <w:t>https://www.mindtools.com/pages/article/cynefin-framework.htm</w:t>
        </w:r>
      </w:hyperlink>
      <w:r>
        <w:rPr>
          <w:color w:val="000000" w:themeColor="text1"/>
        </w:rPr>
        <w:t xml:space="preserve"> (Accessed: 13 Mar. 2019)</w:t>
      </w:r>
    </w:p>
    <w:p w14:paraId="244ACA01" w14:textId="77777777" w:rsidR="00884CA1" w:rsidRDefault="00884CA1" w:rsidP="00AA6BF3">
      <w:pPr>
        <w:rPr>
          <w:color w:val="000000" w:themeColor="text1"/>
        </w:rPr>
      </w:pPr>
      <w:r w:rsidRPr="00C854F7">
        <w:rPr>
          <w:color w:val="000000" w:themeColor="text1"/>
        </w:rPr>
        <w:t xml:space="preserve">Mooney, L. (2019). ‘Key Functions of an HR Department’ (Online) Available at: </w:t>
      </w:r>
      <w:hyperlink r:id="rId25" w:history="1">
        <w:r w:rsidRPr="005D3809">
          <w:rPr>
            <w:rStyle w:val="Hyperlink"/>
          </w:rPr>
          <w:t>https://smallbusiness.chron.com/key-functions-hr-department-31206.html</w:t>
        </w:r>
      </w:hyperlink>
      <w:r>
        <w:rPr>
          <w:color w:val="000000" w:themeColor="text1"/>
        </w:rPr>
        <w:t xml:space="preserve"> </w:t>
      </w:r>
      <w:r w:rsidRPr="00C854F7">
        <w:rPr>
          <w:color w:val="000000" w:themeColor="text1"/>
        </w:rPr>
        <w:t xml:space="preserve"> (Accessed: 7 Mar. 2019)</w:t>
      </w:r>
    </w:p>
    <w:p w14:paraId="64345D08" w14:textId="77777777" w:rsidR="00884CA1" w:rsidRDefault="00884CA1" w:rsidP="00AA6BF3">
      <w:pPr>
        <w:rPr>
          <w:color w:val="000000" w:themeColor="text1"/>
        </w:rPr>
      </w:pPr>
      <w:r>
        <w:rPr>
          <w:color w:val="000000" w:themeColor="text1"/>
        </w:rPr>
        <w:t xml:space="preserve">Ranadive, A. (2016). ‘Fixed v. Growth </w:t>
      </w:r>
      <w:proofErr w:type="spellStart"/>
      <w:r>
        <w:rPr>
          <w:color w:val="000000" w:themeColor="text1"/>
        </w:rPr>
        <w:t>Mindset</w:t>
      </w:r>
      <w:proofErr w:type="spellEnd"/>
      <w:r>
        <w:rPr>
          <w:color w:val="000000" w:themeColor="text1"/>
        </w:rPr>
        <w:t xml:space="preserve">’ (Online) Available at: </w:t>
      </w:r>
      <w:hyperlink r:id="rId26" w:history="1">
        <w:r w:rsidRPr="005D3809">
          <w:rPr>
            <w:rStyle w:val="Hyperlink"/>
          </w:rPr>
          <w:t>https://medium.com/leadership-motivation-and-impact/fixed-v-growth-mindset-902e7d0081b3</w:t>
        </w:r>
      </w:hyperlink>
      <w:r>
        <w:rPr>
          <w:color w:val="000000" w:themeColor="text1"/>
        </w:rPr>
        <w:t xml:space="preserve"> (Accessed: 10 Mar. 2019)</w:t>
      </w:r>
    </w:p>
    <w:p w14:paraId="47E1F67D" w14:textId="77777777" w:rsidR="00884CA1" w:rsidRDefault="00884CA1" w:rsidP="00AA6BF3">
      <w:pPr>
        <w:rPr>
          <w:color w:val="000000" w:themeColor="text1"/>
        </w:rPr>
      </w:pPr>
      <w:r>
        <w:rPr>
          <w:color w:val="000000" w:themeColor="text1"/>
        </w:rPr>
        <w:t>Snowden, D. (2019). ‘</w:t>
      </w:r>
      <w:proofErr w:type="spellStart"/>
      <w:r>
        <w:rPr>
          <w:color w:val="000000" w:themeColor="text1"/>
        </w:rPr>
        <w:t>Cynefin</w:t>
      </w:r>
      <w:proofErr w:type="spellEnd"/>
      <w:r>
        <w:rPr>
          <w:color w:val="000000" w:themeColor="text1"/>
        </w:rPr>
        <w:t xml:space="preserve"> Framework’ (Online) Available at: </w:t>
      </w:r>
      <w:hyperlink r:id="rId27" w:history="1">
        <w:r w:rsidRPr="005D3809">
          <w:rPr>
            <w:rStyle w:val="Hyperlink"/>
          </w:rPr>
          <w:t>https://www.newstories.org/food-for-thought/cynefin-framework/</w:t>
        </w:r>
      </w:hyperlink>
      <w:r>
        <w:rPr>
          <w:color w:val="000000" w:themeColor="text1"/>
        </w:rPr>
        <w:t xml:space="preserve"> (Accessed: 13 Mar. 2019)</w:t>
      </w:r>
    </w:p>
    <w:p w14:paraId="42B9F98B" w14:textId="77777777" w:rsidR="00884CA1" w:rsidRDefault="00884CA1" w:rsidP="00AA6BF3">
      <w:pPr>
        <w:rPr>
          <w:color w:val="000000" w:themeColor="text1"/>
        </w:rPr>
      </w:pPr>
      <w:r>
        <w:rPr>
          <w:color w:val="000000" w:themeColor="text1"/>
        </w:rPr>
        <w:t xml:space="preserve">Spencer, J. (2017). ‘Growth </w:t>
      </w:r>
      <w:proofErr w:type="spellStart"/>
      <w:r>
        <w:rPr>
          <w:color w:val="000000" w:themeColor="text1"/>
        </w:rPr>
        <w:t>Mindset</w:t>
      </w:r>
      <w:proofErr w:type="spellEnd"/>
      <w:r>
        <w:rPr>
          <w:color w:val="000000" w:themeColor="text1"/>
        </w:rPr>
        <w:t xml:space="preserve"> vs. Fixed </w:t>
      </w:r>
      <w:proofErr w:type="spellStart"/>
      <w:r>
        <w:rPr>
          <w:color w:val="000000" w:themeColor="text1"/>
        </w:rPr>
        <w:t>Mindset</w:t>
      </w:r>
      <w:proofErr w:type="spellEnd"/>
      <w:r>
        <w:rPr>
          <w:color w:val="000000" w:themeColor="text1"/>
        </w:rPr>
        <w:t xml:space="preserve">’ (Online Video) Available at: </w:t>
      </w:r>
      <w:hyperlink r:id="rId28" w:history="1">
        <w:r w:rsidRPr="005D3809">
          <w:rPr>
            <w:rStyle w:val="Hyperlink"/>
          </w:rPr>
          <w:t>https://www.youtube.com/watch?v=M1CHPnZfFmU</w:t>
        </w:r>
      </w:hyperlink>
      <w:r>
        <w:rPr>
          <w:color w:val="000000" w:themeColor="text1"/>
        </w:rPr>
        <w:t xml:space="preserve"> (Accessed: 7 Mar. 2019)</w:t>
      </w:r>
    </w:p>
    <w:p w14:paraId="73A7250E" w14:textId="77777777" w:rsidR="00884CA1" w:rsidRDefault="00884CA1" w:rsidP="00AA6BF3">
      <w:pPr>
        <w:rPr>
          <w:color w:val="FF0000"/>
        </w:rPr>
      </w:pPr>
      <w:r w:rsidRPr="001A5610">
        <w:rPr>
          <w:color w:val="000000" w:themeColor="text1"/>
        </w:rPr>
        <w:t xml:space="preserve">Thomas, K. &amp; </w:t>
      </w:r>
      <w:proofErr w:type="spellStart"/>
      <w:r w:rsidRPr="001A5610">
        <w:rPr>
          <w:color w:val="000000" w:themeColor="text1"/>
        </w:rPr>
        <w:t>Kilmann</w:t>
      </w:r>
      <w:proofErr w:type="spellEnd"/>
      <w:r w:rsidRPr="001A5610">
        <w:rPr>
          <w:color w:val="000000" w:themeColor="text1"/>
        </w:rPr>
        <w:t xml:space="preserve">, R. (2008). ‘Thomas- </w:t>
      </w:r>
      <w:proofErr w:type="spellStart"/>
      <w:r w:rsidRPr="001A5610">
        <w:rPr>
          <w:color w:val="000000" w:themeColor="text1"/>
        </w:rPr>
        <w:t>Kilmann</w:t>
      </w:r>
      <w:proofErr w:type="spellEnd"/>
      <w:r w:rsidRPr="001A5610">
        <w:rPr>
          <w:color w:val="000000" w:themeColor="text1"/>
        </w:rPr>
        <w:t xml:space="preserve"> Conflict Mode Instrument’ (Online) Available at: </w:t>
      </w:r>
      <w:hyperlink r:id="rId29" w:history="1">
        <w:r w:rsidRPr="005D3809">
          <w:rPr>
            <w:rStyle w:val="Hyperlink"/>
          </w:rPr>
          <w:t>http://www.organizationimpact.com/wp-content/uploads/2016/08/TKI_Sample_Report.pdf</w:t>
        </w:r>
      </w:hyperlink>
      <w:r>
        <w:rPr>
          <w:color w:val="FF0000"/>
        </w:rPr>
        <w:t xml:space="preserve"> </w:t>
      </w:r>
      <w:r w:rsidRPr="001A5610">
        <w:rPr>
          <w:color w:val="000000" w:themeColor="text1"/>
        </w:rPr>
        <w:t xml:space="preserve">(Accessed: 11 Mar. 2019) </w:t>
      </w:r>
    </w:p>
    <w:p w14:paraId="6E4588F0" w14:textId="77777777" w:rsidR="00884CA1" w:rsidRDefault="00884CA1" w:rsidP="00AA6BF3">
      <w:pPr>
        <w:rPr>
          <w:color w:val="000000" w:themeColor="text1"/>
        </w:rPr>
      </w:pPr>
      <w:r>
        <w:rPr>
          <w:color w:val="000000" w:themeColor="text1"/>
        </w:rPr>
        <w:t>Tipton, D. (2015). ‘Personal and Professional Growth for Health Care Professionals (Book) Massachusetts: Jones &amp; Bartlett Publishers.</w:t>
      </w:r>
    </w:p>
    <w:p w14:paraId="1CFCC0C5" w14:textId="68E344F5" w:rsidR="00404BC8" w:rsidRPr="00C854F7" w:rsidRDefault="00404BC8" w:rsidP="00AA6BF3">
      <w:pPr>
        <w:rPr>
          <w:color w:val="000000" w:themeColor="text1"/>
        </w:rPr>
      </w:pPr>
    </w:p>
    <w:sectPr w:rsidR="00404BC8" w:rsidRPr="00C854F7" w:rsidSect="00AC4A8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A9CCD2" w14:textId="77777777" w:rsidR="000D5DDA" w:rsidRDefault="000D5DDA">
      <w:pPr>
        <w:spacing w:after="0" w:line="240" w:lineRule="auto"/>
      </w:pPr>
      <w:r>
        <w:separator/>
      </w:r>
    </w:p>
  </w:endnote>
  <w:endnote w:type="continuationSeparator" w:id="0">
    <w:p w14:paraId="078C566A" w14:textId="77777777" w:rsidR="000D5DDA" w:rsidRDefault="000D5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563373" w14:textId="77777777" w:rsidR="00AB57A7" w:rsidRDefault="00E42CE6" w:rsidP="00C37DB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7F00ADC5" w14:textId="77777777" w:rsidR="00AB57A7" w:rsidRDefault="000D5DD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CEE3F8" w14:textId="77777777" w:rsidR="00846CC3" w:rsidRDefault="000D5DDA">
    <w:pPr>
      <w:pStyle w:val="Footer"/>
      <w:jc w:val="center"/>
    </w:pPr>
  </w:p>
  <w:p w14:paraId="3D0C58FE" w14:textId="77777777" w:rsidR="00846CC3" w:rsidRDefault="000D5DD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667676" w14:textId="77777777" w:rsidR="000D5DDA" w:rsidRDefault="000D5DDA">
      <w:pPr>
        <w:spacing w:after="0" w:line="240" w:lineRule="auto"/>
      </w:pPr>
      <w:r>
        <w:separator/>
      </w:r>
    </w:p>
  </w:footnote>
  <w:footnote w:type="continuationSeparator" w:id="0">
    <w:p w14:paraId="4F8A24BA" w14:textId="77777777" w:rsidR="000D5DDA" w:rsidRDefault="000D5DDA">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1970D6" w14:textId="77777777" w:rsidR="00846CC3" w:rsidRPr="0007275A" w:rsidRDefault="000D5DDA" w:rsidP="000727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2678"/>
    <w:rsid w:val="00002B00"/>
    <w:rsid w:val="00003507"/>
    <w:rsid w:val="00005B6A"/>
    <w:rsid w:val="00016592"/>
    <w:rsid w:val="000272B7"/>
    <w:rsid w:val="00027F51"/>
    <w:rsid w:val="00037FE5"/>
    <w:rsid w:val="000460B9"/>
    <w:rsid w:val="00051D0B"/>
    <w:rsid w:val="00052B44"/>
    <w:rsid w:val="00054926"/>
    <w:rsid w:val="0005782B"/>
    <w:rsid w:val="00060688"/>
    <w:rsid w:val="000730F2"/>
    <w:rsid w:val="000841A7"/>
    <w:rsid w:val="00085CE5"/>
    <w:rsid w:val="00095DD3"/>
    <w:rsid w:val="000B4F92"/>
    <w:rsid w:val="000C0291"/>
    <w:rsid w:val="000C3D47"/>
    <w:rsid w:val="000D5DDA"/>
    <w:rsid w:val="000E060B"/>
    <w:rsid w:val="000E1A76"/>
    <w:rsid w:val="000F0383"/>
    <w:rsid w:val="000F21E9"/>
    <w:rsid w:val="001029D9"/>
    <w:rsid w:val="00116B40"/>
    <w:rsid w:val="00124328"/>
    <w:rsid w:val="00150B51"/>
    <w:rsid w:val="00153263"/>
    <w:rsid w:val="001542B8"/>
    <w:rsid w:val="001568A3"/>
    <w:rsid w:val="00161B57"/>
    <w:rsid w:val="00164BBC"/>
    <w:rsid w:val="001827F6"/>
    <w:rsid w:val="00182A6A"/>
    <w:rsid w:val="00184F4F"/>
    <w:rsid w:val="00195C9B"/>
    <w:rsid w:val="00196E2B"/>
    <w:rsid w:val="001A0FD0"/>
    <w:rsid w:val="001A5610"/>
    <w:rsid w:val="001B51BF"/>
    <w:rsid w:val="001B7DF1"/>
    <w:rsid w:val="001C7C14"/>
    <w:rsid w:val="001D061F"/>
    <w:rsid w:val="001E6422"/>
    <w:rsid w:val="001F2678"/>
    <w:rsid w:val="001F76E0"/>
    <w:rsid w:val="00217699"/>
    <w:rsid w:val="00223938"/>
    <w:rsid w:val="00225B6D"/>
    <w:rsid w:val="002301E5"/>
    <w:rsid w:val="002310D9"/>
    <w:rsid w:val="0024702C"/>
    <w:rsid w:val="00247525"/>
    <w:rsid w:val="0026040B"/>
    <w:rsid w:val="002604FA"/>
    <w:rsid w:val="0026472E"/>
    <w:rsid w:val="002758B3"/>
    <w:rsid w:val="00286ECA"/>
    <w:rsid w:val="0029006A"/>
    <w:rsid w:val="002A0098"/>
    <w:rsid w:val="002A0AE7"/>
    <w:rsid w:val="002A2C5B"/>
    <w:rsid w:val="002B6B44"/>
    <w:rsid w:val="002C52BB"/>
    <w:rsid w:val="002D0470"/>
    <w:rsid w:val="002F4EEA"/>
    <w:rsid w:val="002F4FE0"/>
    <w:rsid w:val="002F6ED9"/>
    <w:rsid w:val="00302423"/>
    <w:rsid w:val="00303007"/>
    <w:rsid w:val="00311762"/>
    <w:rsid w:val="00312003"/>
    <w:rsid w:val="003217EC"/>
    <w:rsid w:val="003269C5"/>
    <w:rsid w:val="00333A4F"/>
    <w:rsid w:val="003421B9"/>
    <w:rsid w:val="00343C89"/>
    <w:rsid w:val="00353E65"/>
    <w:rsid w:val="00390CED"/>
    <w:rsid w:val="003A00F4"/>
    <w:rsid w:val="003C15E6"/>
    <w:rsid w:val="003C69DF"/>
    <w:rsid w:val="003C75D3"/>
    <w:rsid w:val="003D3920"/>
    <w:rsid w:val="003D57DC"/>
    <w:rsid w:val="003F0C97"/>
    <w:rsid w:val="003F20A9"/>
    <w:rsid w:val="003F4DB0"/>
    <w:rsid w:val="003F73BC"/>
    <w:rsid w:val="003F7CAA"/>
    <w:rsid w:val="0040316E"/>
    <w:rsid w:val="00404BC8"/>
    <w:rsid w:val="004157F2"/>
    <w:rsid w:val="00437803"/>
    <w:rsid w:val="00457F4A"/>
    <w:rsid w:val="00483ACE"/>
    <w:rsid w:val="004A38C6"/>
    <w:rsid w:val="004B39BB"/>
    <w:rsid w:val="004C098B"/>
    <w:rsid w:val="004C5042"/>
    <w:rsid w:val="004D2307"/>
    <w:rsid w:val="004D2989"/>
    <w:rsid w:val="004D716D"/>
    <w:rsid w:val="004E1496"/>
    <w:rsid w:val="004E577A"/>
    <w:rsid w:val="004E7740"/>
    <w:rsid w:val="004F26E6"/>
    <w:rsid w:val="004F40C1"/>
    <w:rsid w:val="004F4AAF"/>
    <w:rsid w:val="005261A9"/>
    <w:rsid w:val="005617A4"/>
    <w:rsid w:val="005659D3"/>
    <w:rsid w:val="00566973"/>
    <w:rsid w:val="005850F1"/>
    <w:rsid w:val="0059147B"/>
    <w:rsid w:val="00593297"/>
    <w:rsid w:val="005C7B70"/>
    <w:rsid w:val="005D2CFB"/>
    <w:rsid w:val="005E336C"/>
    <w:rsid w:val="005E5551"/>
    <w:rsid w:val="005E6090"/>
    <w:rsid w:val="00601FD6"/>
    <w:rsid w:val="00613707"/>
    <w:rsid w:val="00626490"/>
    <w:rsid w:val="00626B44"/>
    <w:rsid w:val="00631834"/>
    <w:rsid w:val="006331AB"/>
    <w:rsid w:val="006404F8"/>
    <w:rsid w:val="0064393A"/>
    <w:rsid w:val="0064709F"/>
    <w:rsid w:val="0064762A"/>
    <w:rsid w:val="00657588"/>
    <w:rsid w:val="00681AEC"/>
    <w:rsid w:val="006A05AD"/>
    <w:rsid w:val="006A0D6B"/>
    <w:rsid w:val="006A5D95"/>
    <w:rsid w:val="006C7FC9"/>
    <w:rsid w:val="006F0E37"/>
    <w:rsid w:val="007155CC"/>
    <w:rsid w:val="007255E1"/>
    <w:rsid w:val="00731426"/>
    <w:rsid w:val="0073193A"/>
    <w:rsid w:val="00733B79"/>
    <w:rsid w:val="007553B1"/>
    <w:rsid w:val="00761525"/>
    <w:rsid w:val="007650EA"/>
    <w:rsid w:val="007669E8"/>
    <w:rsid w:val="00785ABE"/>
    <w:rsid w:val="00786242"/>
    <w:rsid w:val="00790FCF"/>
    <w:rsid w:val="007927E2"/>
    <w:rsid w:val="0079431E"/>
    <w:rsid w:val="0079557C"/>
    <w:rsid w:val="00797718"/>
    <w:rsid w:val="007D3640"/>
    <w:rsid w:val="007D4EC6"/>
    <w:rsid w:val="007D6C84"/>
    <w:rsid w:val="007E2419"/>
    <w:rsid w:val="007E7DC5"/>
    <w:rsid w:val="007F04E8"/>
    <w:rsid w:val="00810793"/>
    <w:rsid w:val="00810B81"/>
    <w:rsid w:val="00815CB0"/>
    <w:rsid w:val="00821BB8"/>
    <w:rsid w:val="00831658"/>
    <w:rsid w:val="00831CC7"/>
    <w:rsid w:val="00841884"/>
    <w:rsid w:val="00861497"/>
    <w:rsid w:val="00882737"/>
    <w:rsid w:val="00884CA1"/>
    <w:rsid w:val="008A4220"/>
    <w:rsid w:val="008B5D74"/>
    <w:rsid w:val="008B5DF2"/>
    <w:rsid w:val="008C1813"/>
    <w:rsid w:val="008E3916"/>
    <w:rsid w:val="008F1B47"/>
    <w:rsid w:val="008F476E"/>
    <w:rsid w:val="008F757F"/>
    <w:rsid w:val="00924511"/>
    <w:rsid w:val="009248C0"/>
    <w:rsid w:val="00932754"/>
    <w:rsid w:val="00935BCA"/>
    <w:rsid w:val="00944CD8"/>
    <w:rsid w:val="00950340"/>
    <w:rsid w:val="009557C7"/>
    <w:rsid w:val="0095761E"/>
    <w:rsid w:val="00964A8B"/>
    <w:rsid w:val="00970B01"/>
    <w:rsid w:val="00984E39"/>
    <w:rsid w:val="00994954"/>
    <w:rsid w:val="00995021"/>
    <w:rsid w:val="009B3CE3"/>
    <w:rsid w:val="009B5B94"/>
    <w:rsid w:val="009D1588"/>
    <w:rsid w:val="009E6BA9"/>
    <w:rsid w:val="009F173B"/>
    <w:rsid w:val="00A01267"/>
    <w:rsid w:val="00A06119"/>
    <w:rsid w:val="00A07D7F"/>
    <w:rsid w:val="00A2114E"/>
    <w:rsid w:val="00A236D8"/>
    <w:rsid w:val="00A25362"/>
    <w:rsid w:val="00A33295"/>
    <w:rsid w:val="00A3423E"/>
    <w:rsid w:val="00A34319"/>
    <w:rsid w:val="00A354C2"/>
    <w:rsid w:val="00A40BF9"/>
    <w:rsid w:val="00A40C82"/>
    <w:rsid w:val="00A5733C"/>
    <w:rsid w:val="00A63AA6"/>
    <w:rsid w:val="00A6642D"/>
    <w:rsid w:val="00A74A89"/>
    <w:rsid w:val="00A858FF"/>
    <w:rsid w:val="00A96444"/>
    <w:rsid w:val="00A967EA"/>
    <w:rsid w:val="00AA28FB"/>
    <w:rsid w:val="00AA302F"/>
    <w:rsid w:val="00AA6BF3"/>
    <w:rsid w:val="00AA710C"/>
    <w:rsid w:val="00AB4646"/>
    <w:rsid w:val="00AB6591"/>
    <w:rsid w:val="00AC0564"/>
    <w:rsid w:val="00AC320F"/>
    <w:rsid w:val="00AC4A82"/>
    <w:rsid w:val="00AD28E0"/>
    <w:rsid w:val="00AF2AB7"/>
    <w:rsid w:val="00AF2C6F"/>
    <w:rsid w:val="00B17D93"/>
    <w:rsid w:val="00B30A3F"/>
    <w:rsid w:val="00B4346B"/>
    <w:rsid w:val="00B535C4"/>
    <w:rsid w:val="00B674F3"/>
    <w:rsid w:val="00B95642"/>
    <w:rsid w:val="00BA6A52"/>
    <w:rsid w:val="00BB1B62"/>
    <w:rsid w:val="00BC6E2C"/>
    <w:rsid w:val="00BD152F"/>
    <w:rsid w:val="00BD3059"/>
    <w:rsid w:val="00BD4AF5"/>
    <w:rsid w:val="00BD7B48"/>
    <w:rsid w:val="00BE2985"/>
    <w:rsid w:val="00BE51AE"/>
    <w:rsid w:val="00BF3BE6"/>
    <w:rsid w:val="00BF703A"/>
    <w:rsid w:val="00C05532"/>
    <w:rsid w:val="00C114DE"/>
    <w:rsid w:val="00C15D64"/>
    <w:rsid w:val="00C17EA3"/>
    <w:rsid w:val="00C23750"/>
    <w:rsid w:val="00C2486E"/>
    <w:rsid w:val="00C25C63"/>
    <w:rsid w:val="00C271CE"/>
    <w:rsid w:val="00C33C5F"/>
    <w:rsid w:val="00C37304"/>
    <w:rsid w:val="00C42F46"/>
    <w:rsid w:val="00C4470A"/>
    <w:rsid w:val="00C54CE5"/>
    <w:rsid w:val="00C60F4B"/>
    <w:rsid w:val="00C7107E"/>
    <w:rsid w:val="00C84245"/>
    <w:rsid w:val="00C854F7"/>
    <w:rsid w:val="00C860B4"/>
    <w:rsid w:val="00C948ED"/>
    <w:rsid w:val="00C96D1E"/>
    <w:rsid w:val="00CA0877"/>
    <w:rsid w:val="00CA4BAE"/>
    <w:rsid w:val="00CA7576"/>
    <w:rsid w:val="00CC04F8"/>
    <w:rsid w:val="00CC0ACD"/>
    <w:rsid w:val="00CC3A54"/>
    <w:rsid w:val="00CD0BD2"/>
    <w:rsid w:val="00CD0D88"/>
    <w:rsid w:val="00CD65FC"/>
    <w:rsid w:val="00CD7DEE"/>
    <w:rsid w:val="00CE6176"/>
    <w:rsid w:val="00CF0307"/>
    <w:rsid w:val="00CF38BA"/>
    <w:rsid w:val="00D006B2"/>
    <w:rsid w:val="00D00F82"/>
    <w:rsid w:val="00D02912"/>
    <w:rsid w:val="00D2260C"/>
    <w:rsid w:val="00D26E1A"/>
    <w:rsid w:val="00D469F7"/>
    <w:rsid w:val="00D46BED"/>
    <w:rsid w:val="00D67E28"/>
    <w:rsid w:val="00D700EE"/>
    <w:rsid w:val="00D75FA9"/>
    <w:rsid w:val="00D94B44"/>
    <w:rsid w:val="00DA0960"/>
    <w:rsid w:val="00DA2230"/>
    <w:rsid w:val="00DA7120"/>
    <w:rsid w:val="00DA728E"/>
    <w:rsid w:val="00DB157D"/>
    <w:rsid w:val="00DC231F"/>
    <w:rsid w:val="00DC5D0B"/>
    <w:rsid w:val="00DD525E"/>
    <w:rsid w:val="00DD6962"/>
    <w:rsid w:val="00DF1CF1"/>
    <w:rsid w:val="00DF7A80"/>
    <w:rsid w:val="00E02AD9"/>
    <w:rsid w:val="00E07D30"/>
    <w:rsid w:val="00E16FBA"/>
    <w:rsid w:val="00E422DE"/>
    <w:rsid w:val="00E42CE6"/>
    <w:rsid w:val="00E50AED"/>
    <w:rsid w:val="00E56070"/>
    <w:rsid w:val="00E74D86"/>
    <w:rsid w:val="00EC302A"/>
    <w:rsid w:val="00ED1A6F"/>
    <w:rsid w:val="00EE6DE8"/>
    <w:rsid w:val="00F03350"/>
    <w:rsid w:val="00F27763"/>
    <w:rsid w:val="00F316D8"/>
    <w:rsid w:val="00F3259B"/>
    <w:rsid w:val="00F65B1F"/>
    <w:rsid w:val="00F67ABE"/>
    <w:rsid w:val="00F86DF3"/>
    <w:rsid w:val="00FA200D"/>
    <w:rsid w:val="00FB2D2D"/>
    <w:rsid w:val="00FB42C6"/>
    <w:rsid w:val="00FC3828"/>
    <w:rsid w:val="00FF25C6"/>
    <w:rsid w:val="00FF313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7E61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F2678"/>
    <w:pPr>
      <w:autoSpaceDE w:val="0"/>
      <w:autoSpaceDN w:val="0"/>
      <w:adjustRightInd w:val="0"/>
      <w:spacing w:after="200" w:line="276" w:lineRule="auto"/>
    </w:pPr>
    <w:rPr>
      <w:rFonts w:ascii="Calibri" w:hAnsi="Calibri" w:cs="Calibr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2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678"/>
    <w:rPr>
      <w:rFonts w:ascii="Calibri" w:hAnsi="Calibri" w:cs="Calibri"/>
      <w:sz w:val="22"/>
      <w:szCs w:val="22"/>
    </w:rPr>
  </w:style>
  <w:style w:type="paragraph" w:styleId="Footer">
    <w:name w:val="footer"/>
    <w:basedOn w:val="Normal"/>
    <w:link w:val="FooterChar"/>
    <w:uiPriority w:val="99"/>
    <w:unhideWhenUsed/>
    <w:rsid w:val="001F2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678"/>
    <w:rPr>
      <w:rFonts w:ascii="Calibri" w:hAnsi="Calibri" w:cs="Calibri"/>
      <w:sz w:val="22"/>
      <w:szCs w:val="22"/>
    </w:rPr>
  </w:style>
  <w:style w:type="character" w:styleId="PageNumber">
    <w:name w:val="page number"/>
    <w:basedOn w:val="DefaultParagraphFont"/>
    <w:uiPriority w:val="99"/>
    <w:semiHidden/>
    <w:unhideWhenUsed/>
    <w:rsid w:val="001F2678"/>
  </w:style>
  <w:style w:type="paragraph" w:styleId="Caption">
    <w:name w:val="caption"/>
    <w:basedOn w:val="Normal"/>
    <w:next w:val="Normal"/>
    <w:uiPriority w:val="35"/>
    <w:unhideWhenUsed/>
    <w:qFormat/>
    <w:rsid w:val="001E6422"/>
    <w:pPr>
      <w:spacing w:line="240" w:lineRule="auto"/>
    </w:pPr>
    <w:rPr>
      <w:i/>
      <w:iCs/>
      <w:color w:val="44546A" w:themeColor="text2"/>
      <w:sz w:val="18"/>
      <w:szCs w:val="18"/>
    </w:rPr>
  </w:style>
  <w:style w:type="character" w:styleId="Hyperlink">
    <w:name w:val="Hyperlink"/>
    <w:basedOn w:val="DefaultParagraphFont"/>
    <w:uiPriority w:val="99"/>
    <w:unhideWhenUsed/>
    <w:rsid w:val="007F04E8"/>
    <w:rPr>
      <w:color w:val="0563C1" w:themeColor="hyperlink"/>
      <w:u w:val="single"/>
    </w:rPr>
  </w:style>
  <w:style w:type="character" w:styleId="FollowedHyperlink">
    <w:name w:val="FollowedHyperlink"/>
    <w:basedOn w:val="DefaultParagraphFont"/>
    <w:uiPriority w:val="99"/>
    <w:semiHidden/>
    <w:unhideWhenUsed/>
    <w:rsid w:val="000C3D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933785">
      <w:bodyDiv w:val="1"/>
      <w:marLeft w:val="0"/>
      <w:marRight w:val="0"/>
      <w:marTop w:val="0"/>
      <w:marBottom w:val="0"/>
      <w:divBdr>
        <w:top w:val="none" w:sz="0" w:space="0" w:color="auto"/>
        <w:left w:val="none" w:sz="0" w:space="0" w:color="auto"/>
        <w:bottom w:val="none" w:sz="0" w:space="0" w:color="auto"/>
        <w:right w:val="none" w:sz="0" w:space="0" w:color="auto"/>
      </w:divBdr>
    </w:div>
    <w:div w:id="199707478">
      <w:bodyDiv w:val="1"/>
      <w:marLeft w:val="0"/>
      <w:marRight w:val="0"/>
      <w:marTop w:val="0"/>
      <w:marBottom w:val="0"/>
      <w:divBdr>
        <w:top w:val="none" w:sz="0" w:space="0" w:color="auto"/>
        <w:left w:val="none" w:sz="0" w:space="0" w:color="auto"/>
        <w:bottom w:val="none" w:sz="0" w:space="0" w:color="auto"/>
        <w:right w:val="none" w:sz="0" w:space="0" w:color="auto"/>
      </w:divBdr>
    </w:div>
    <w:div w:id="348260288">
      <w:bodyDiv w:val="1"/>
      <w:marLeft w:val="0"/>
      <w:marRight w:val="0"/>
      <w:marTop w:val="0"/>
      <w:marBottom w:val="0"/>
      <w:divBdr>
        <w:top w:val="none" w:sz="0" w:space="0" w:color="auto"/>
        <w:left w:val="none" w:sz="0" w:space="0" w:color="auto"/>
        <w:bottom w:val="none" w:sz="0" w:space="0" w:color="auto"/>
        <w:right w:val="none" w:sz="0" w:space="0" w:color="auto"/>
      </w:divBdr>
    </w:div>
    <w:div w:id="498036622">
      <w:bodyDiv w:val="1"/>
      <w:marLeft w:val="0"/>
      <w:marRight w:val="0"/>
      <w:marTop w:val="0"/>
      <w:marBottom w:val="0"/>
      <w:divBdr>
        <w:top w:val="none" w:sz="0" w:space="0" w:color="auto"/>
        <w:left w:val="none" w:sz="0" w:space="0" w:color="auto"/>
        <w:bottom w:val="none" w:sz="0" w:space="0" w:color="auto"/>
        <w:right w:val="none" w:sz="0" w:space="0" w:color="auto"/>
      </w:divBdr>
    </w:div>
    <w:div w:id="807671823">
      <w:bodyDiv w:val="1"/>
      <w:marLeft w:val="0"/>
      <w:marRight w:val="0"/>
      <w:marTop w:val="0"/>
      <w:marBottom w:val="0"/>
      <w:divBdr>
        <w:top w:val="none" w:sz="0" w:space="0" w:color="auto"/>
        <w:left w:val="none" w:sz="0" w:space="0" w:color="auto"/>
        <w:bottom w:val="none" w:sz="0" w:space="0" w:color="auto"/>
        <w:right w:val="none" w:sz="0" w:space="0" w:color="auto"/>
      </w:divBdr>
    </w:div>
    <w:div w:id="984118152">
      <w:bodyDiv w:val="1"/>
      <w:marLeft w:val="0"/>
      <w:marRight w:val="0"/>
      <w:marTop w:val="0"/>
      <w:marBottom w:val="0"/>
      <w:divBdr>
        <w:top w:val="none" w:sz="0" w:space="0" w:color="auto"/>
        <w:left w:val="none" w:sz="0" w:space="0" w:color="auto"/>
        <w:bottom w:val="none" w:sz="0" w:space="0" w:color="auto"/>
        <w:right w:val="none" w:sz="0" w:space="0" w:color="auto"/>
      </w:divBdr>
    </w:div>
    <w:div w:id="1571379380">
      <w:bodyDiv w:val="1"/>
      <w:marLeft w:val="0"/>
      <w:marRight w:val="0"/>
      <w:marTop w:val="0"/>
      <w:marBottom w:val="0"/>
      <w:divBdr>
        <w:top w:val="none" w:sz="0" w:space="0" w:color="auto"/>
        <w:left w:val="none" w:sz="0" w:space="0" w:color="auto"/>
        <w:bottom w:val="none" w:sz="0" w:space="0" w:color="auto"/>
        <w:right w:val="none" w:sz="0" w:space="0" w:color="auto"/>
      </w:divBdr>
    </w:div>
    <w:div w:id="1731223426">
      <w:bodyDiv w:val="1"/>
      <w:marLeft w:val="0"/>
      <w:marRight w:val="0"/>
      <w:marTop w:val="0"/>
      <w:marBottom w:val="0"/>
      <w:divBdr>
        <w:top w:val="none" w:sz="0" w:space="0" w:color="auto"/>
        <w:left w:val="none" w:sz="0" w:space="0" w:color="auto"/>
        <w:bottom w:val="none" w:sz="0" w:space="0" w:color="auto"/>
        <w:right w:val="none" w:sz="0" w:space="0" w:color="auto"/>
      </w:divBdr>
    </w:div>
    <w:div w:id="1758089777">
      <w:bodyDiv w:val="1"/>
      <w:marLeft w:val="0"/>
      <w:marRight w:val="0"/>
      <w:marTop w:val="0"/>
      <w:marBottom w:val="0"/>
      <w:divBdr>
        <w:top w:val="none" w:sz="0" w:space="0" w:color="auto"/>
        <w:left w:val="none" w:sz="0" w:space="0" w:color="auto"/>
        <w:bottom w:val="none" w:sz="0" w:space="0" w:color="auto"/>
        <w:right w:val="none" w:sz="0" w:space="0" w:color="auto"/>
      </w:divBdr>
    </w:div>
    <w:div w:id="212129452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hyperlink" Target="https://www.cipd.co.uk/learn/career/profession-map/2013-profession-map" TargetMode="External"/><Relationship Id="rId21" Type="http://schemas.openxmlformats.org/officeDocument/2006/relationships/hyperlink" Target="https://culcgloria.wordpress.com/2016/04/01/blog-2-challenge-of-managing-diverse-team/" TargetMode="External"/><Relationship Id="rId22" Type="http://schemas.openxmlformats.org/officeDocument/2006/relationships/hyperlink" Target="https://smallbusiness.chron.com/causes-employee-conflict-workplace-21264.html" TargetMode="External"/><Relationship Id="rId23" Type="http://schemas.openxmlformats.org/officeDocument/2006/relationships/hyperlink" Target="https://www.forbes.com/sites/mikekappel/2017/12/06/how-to-handle-conflict-at-your-business/#5fb7b2e75ad7" TargetMode="External"/><Relationship Id="rId24" Type="http://schemas.openxmlformats.org/officeDocument/2006/relationships/hyperlink" Target="https://www.mindtools.com/pages/article/cynefin-framework.htm" TargetMode="External"/><Relationship Id="rId25" Type="http://schemas.openxmlformats.org/officeDocument/2006/relationships/hyperlink" Target="https://smallbusiness.chron.com/key-functions-hr-department-31206.html" TargetMode="External"/><Relationship Id="rId26" Type="http://schemas.openxmlformats.org/officeDocument/2006/relationships/hyperlink" Target="https://medium.com/leadership-motivation-and-impact/fixed-v-growth-mindset-902e7d0081b3" TargetMode="External"/><Relationship Id="rId27" Type="http://schemas.openxmlformats.org/officeDocument/2006/relationships/hyperlink" Target="https://www.newstories.org/food-for-thought/cynefin-framework/" TargetMode="External"/><Relationship Id="rId28" Type="http://schemas.openxmlformats.org/officeDocument/2006/relationships/hyperlink" Target="https://www.youtube.com/watch?v=M1CHPnZfFmU" TargetMode="External"/><Relationship Id="rId29" Type="http://schemas.openxmlformats.org/officeDocument/2006/relationships/hyperlink" Target="http://www.organizationimpact.com/wp-content/uploads/2016/08/TKI_Sample_Report.pdf" TargetMode="Externa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image" Target="media/image5.png"/><Relationship Id="rId15" Type="http://schemas.openxmlformats.org/officeDocument/2006/relationships/image" Target="media/image6.png"/><Relationship Id="rId16" Type="http://schemas.openxmlformats.org/officeDocument/2006/relationships/image" Target="media/image7.png"/><Relationship Id="rId17" Type="http://schemas.openxmlformats.org/officeDocument/2006/relationships/image" Target="media/image8.tiff"/><Relationship Id="rId18" Type="http://schemas.openxmlformats.org/officeDocument/2006/relationships/image" Target="media/image9.png"/><Relationship Id="rId19" Type="http://schemas.openxmlformats.org/officeDocument/2006/relationships/hyperlink" Target="https://smallbusiness.chron.com/ethics-justice-fair-treatment-hr-management-13481.html"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2AB36E3A-E0D7-8444-A08A-308DB40B7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2089</TotalTime>
  <Pages>12</Pages>
  <Words>2970</Words>
  <Characters>16932</Characters>
  <Application>Microsoft Macintosh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121</cp:revision>
  <dcterms:created xsi:type="dcterms:W3CDTF">2019-02-19T20:33:00Z</dcterms:created>
  <dcterms:modified xsi:type="dcterms:W3CDTF">2019-03-14T14:42:00Z</dcterms:modified>
</cp:coreProperties>
</file>