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ACB00" w14:textId="4BBDDDAA" w:rsidR="002259AD" w:rsidRDefault="002259AD" w:rsidP="000143E0">
      <w:pPr>
        <w:spacing w:before="240" w:line="360" w:lineRule="auto"/>
        <w:jc w:val="center"/>
        <w:rPr>
          <w:rFonts w:ascii="Times New Roman" w:hAnsi="Times New Roman" w:cs="Times New Roman"/>
          <w:b/>
          <w:sz w:val="32"/>
        </w:rPr>
      </w:pPr>
      <w:r>
        <w:rPr>
          <w:rFonts w:ascii="Times New Roman" w:hAnsi="Times New Roman" w:cs="Times New Roman"/>
          <w:b/>
          <w:noProof/>
          <w:sz w:val="32"/>
        </w:rPr>
        <w:drawing>
          <wp:inline distT="0" distB="0" distL="0" distR="0" wp14:anchorId="4DEDA9C9" wp14:editId="00BAF648">
            <wp:extent cx="3381375" cy="1352550"/>
            <wp:effectExtent l="0" t="0" r="9525" b="0"/>
            <wp:docPr id="131851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13417" name="Picture 1318513417"/>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14:paraId="6F2A6416" w14:textId="77777777" w:rsidR="002259AD" w:rsidRDefault="002259AD" w:rsidP="000143E0">
      <w:pPr>
        <w:spacing w:before="240" w:line="360" w:lineRule="auto"/>
        <w:jc w:val="center"/>
        <w:rPr>
          <w:rFonts w:ascii="Times New Roman" w:hAnsi="Times New Roman" w:cs="Times New Roman"/>
          <w:b/>
          <w:sz w:val="32"/>
        </w:rPr>
      </w:pPr>
    </w:p>
    <w:p w14:paraId="768BFA51" w14:textId="3E7FFC3A" w:rsidR="002259AD" w:rsidRDefault="002259AD" w:rsidP="002259AD">
      <w:pPr>
        <w:spacing w:before="240" w:line="360" w:lineRule="auto"/>
        <w:jc w:val="center"/>
        <w:rPr>
          <w:rFonts w:ascii="Times New Roman" w:hAnsi="Times New Roman" w:cs="Times New Roman"/>
          <w:b/>
          <w:sz w:val="32"/>
        </w:rPr>
      </w:pPr>
      <w:r>
        <w:rPr>
          <w:rFonts w:ascii="Times New Roman" w:hAnsi="Times New Roman" w:cs="Times New Roman"/>
          <w:b/>
          <w:sz w:val="32"/>
        </w:rPr>
        <w:t>LCMB7012</w:t>
      </w:r>
    </w:p>
    <w:p w14:paraId="730EE73D" w14:textId="77777777" w:rsidR="001A2272" w:rsidRPr="002259AD" w:rsidRDefault="001A2272" w:rsidP="000143E0">
      <w:pPr>
        <w:spacing w:before="240" w:line="360" w:lineRule="auto"/>
        <w:jc w:val="center"/>
        <w:rPr>
          <w:rFonts w:ascii="Times New Roman" w:hAnsi="Times New Roman" w:cs="Times New Roman"/>
          <w:b/>
          <w:iCs/>
          <w:sz w:val="32"/>
        </w:rPr>
      </w:pPr>
      <w:r w:rsidRPr="002259AD">
        <w:rPr>
          <w:rFonts w:ascii="Times New Roman" w:hAnsi="Times New Roman" w:cs="Times New Roman"/>
          <w:b/>
          <w:iCs/>
          <w:sz w:val="32"/>
        </w:rPr>
        <w:t>Banking Financial Management and Financial Markets</w:t>
      </w:r>
    </w:p>
    <w:p w14:paraId="1DCA0C11" w14:textId="37E25C00" w:rsidR="001A2272" w:rsidRPr="002259AD" w:rsidRDefault="002259AD" w:rsidP="000143E0">
      <w:pPr>
        <w:spacing w:before="240" w:line="360" w:lineRule="auto"/>
        <w:jc w:val="center"/>
        <w:rPr>
          <w:rFonts w:ascii="Times New Roman" w:hAnsi="Times New Roman" w:cs="Times New Roman"/>
          <w:b/>
          <w:iCs/>
          <w:sz w:val="32"/>
        </w:rPr>
      </w:pPr>
      <w:r w:rsidRPr="002259AD">
        <w:rPr>
          <w:rFonts w:ascii="Times New Roman" w:hAnsi="Times New Roman" w:cs="Times New Roman"/>
          <w:b/>
          <w:iCs/>
          <w:sz w:val="32"/>
        </w:rPr>
        <w:t>BARCLAYS PLC.</w:t>
      </w:r>
    </w:p>
    <w:p w14:paraId="3FBAE5C1" w14:textId="77777777" w:rsidR="002259AD" w:rsidRDefault="002259AD" w:rsidP="002259AD">
      <w:pPr>
        <w:spacing w:before="240" w:line="360" w:lineRule="auto"/>
        <w:rPr>
          <w:rFonts w:ascii="Times New Roman" w:hAnsi="Times New Roman" w:cs="Times New Roman"/>
          <w:sz w:val="28"/>
        </w:rPr>
      </w:pPr>
    </w:p>
    <w:p w14:paraId="0E6D492B" w14:textId="77777777" w:rsidR="002259AD" w:rsidRDefault="002259AD" w:rsidP="002259AD">
      <w:pPr>
        <w:spacing w:before="240" w:line="360" w:lineRule="auto"/>
        <w:rPr>
          <w:rFonts w:ascii="Times New Roman" w:hAnsi="Times New Roman" w:cs="Times New Roman"/>
          <w:sz w:val="28"/>
        </w:rPr>
      </w:pPr>
    </w:p>
    <w:p w14:paraId="40D4D051" w14:textId="77777777" w:rsidR="002259AD" w:rsidRDefault="002259AD" w:rsidP="002259AD">
      <w:pPr>
        <w:spacing w:before="240" w:line="360" w:lineRule="auto"/>
        <w:rPr>
          <w:rFonts w:ascii="Times New Roman" w:hAnsi="Times New Roman" w:cs="Times New Roman"/>
          <w:sz w:val="28"/>
        </w:rPr>
      </w:pPr>
    </w:p>
    <w:p w14:paraId="017DC3B1" w14:textId="77777777" w:rsidR="002259AD" w:rsidRDefault="002259AD" w:rsidP="002259AD">
      <w:pPr>
        <w:spacing w:before="240" w:line="360" w:lineRule="auto"/>
        <w:rPr>
          <w:rFonts w:ascii="Times New Roman" w:hAnsi="Times New Roman" w:cs="Times New Roman"/>
          <w:sz w:val="28"/>
        </w:rPr>
      </w:pPr>
    </w:p>
    <w:p w14:paraId="6B3DBA38" w14:textId="1712CF1A" w:rsidR="000143E0" w:rsidRPr="003655BA" w:rsidRDefault="000143E0" w:rsidP="002259AD">
      <w:pPr>
        <w:spacing w:before="240" w:line="360" w:lineRule="auto"/>
        <w:rPr>
          <w:rFonts w:ascii="Times New Roman" w:hAnsi="Times New Roman" w:cs="Times New Roman"/>
          <w:sz w:val="28"/>
        </w:rPr>
      </w:pPr>
      <w:r w:rsidRPr="003655BA">
        <w:rPr>
          <w:rFonts w:ascii="Times New Roman" w:hAnsi="Times New Roman" w:cs="Times New Roman"/>
          <w:sz w:val="28"/>
        </w:rPr>
        <w:t>Student Name:</w:t>
      </w:r>
      <w:r w:rsidR="002259AD">
        <w:rPr>
          <w:rFonts w:ascii="Times New Roman" w:hAnsi="Times New Roman" w:cs="Times New Roman"/>
          <w:sz w:val="28"/>
        </w:rPr>
        <w:t xml:space="preserve"> Dinesh </w:t>
      </w:r>
      <w:proofErr w:type="spellStart"/>
      <w:r w:rsidR="002259AD">
        <w:rPr>
          <w:rFonts w:ascii="Times New Roman" w:hAnsi="Times New Roman" w:cs="Times New Roman"/>
          <w:sz w:val="28"/>
        </w:rPr>
        <w:t>phani</w:t>
      </w:r>
      <w:proofErr w:type="spellEnd"/>
      <w:r w:rsidR="002259AD">
        <w:rPr>
          <w:rFonts w:ascii="Times New Roman" w:hAnsi="Times New Roman" w:cs="Times New Roman"/>
          <w:sz w:val="28"/>
        </w:rPr>
        <w:t xml:space="preserve"> </w:t>
      </w:r>
      <w:proofErr w:type="spellStart"/>
      <w:r w:rsidR="002259AD">
        <w:rPr>
          <w:rFonts w:ascii="Times New Roman" w:hAnsi="Times New Roman" w:cs="Times New Roman"/>
          <w:sz w:val="28"/>
        </w:rPr>
        <w:t>sai</w:t>
      </w:r>
      <w:proofErr w:type="spellEnd"/>
      <w:r w:rsidR="002259AD">
        <w:rPr>
          <w:rFonts w:ascii="Times New Roman" w:hAnsi="Times New Roman" w:cs="Times New Roman"/>
          <w:sz w:val="28"/>
        </w:rPr>
        <w:t xml:space="preserve"> </w:t>
      </w:r>
      <w:proofErr w:type="spellStart"/>
      <w:r w:rsidR="002259AD">
        <w:rPr>
          <w:rFonts w:ascii="Times New Roman" w:hAnsi="Times New Roman" w:cs="Times New Roman"/>
          <w:sz w:val="28"/>
        </w:rPr>
        <w:t>gutthula</w:t>
      </w:r>
      <w:proofErr w:type="spellEnd"/>
    </w:p>
    <w:p w14:paraId="5750BA90" w14:textId="77777777" w:rsidR="002259AD" w:rsidRDefault="000143E0" w:rsidP="002259AD">
      <w:pPr>
        <w:spacing w:before="240" w:line="360" w:lineRule="auto"/>
        <w:rPr>
          <w:rFonts w:ascii="Times New Roman" w:hAnsi="Times New Roman" w:cs="Times New Roman"/>
          <w:sz w:val="28"/>
        </w:rPr>
      </w:pPr>
      <w:r w:rsidRPr="003655BA">
        <w:rPr>
          <w:rFonts w:ascii="Times New Roman" w:hAnsi="Times New Roman" w:cs="Times New Roman"/>
          <w:sz w:val="28"/>
        </w:rPr>
        <w:t>Student ID:</w:t>
      </w:r>
      <w:r w:rsidR="002259AD">
        <w:rPr>
          <w:rFonts w:ascii="Times New Roman" w:hAnsi="Times New Roman" w:cs="Times New Roman"/>
          <w:sz w:val="28"/>
        </w:rPr>
        <w:t xml:space="preserve"> 2221003</w:t>
      </w:r>
    </w:p>
    <w:p w14:paraId="3A1DF293" w14:textId="127C6144" w:rsidR="005569B3" w:rsidRPr="003655BA" w:rsidRDefault="002259AD" w:rsidP="002259AD">
      <w:pPr>
        <w:spacing w:before="240" w:line="360" w:lineRule="auto"/>
        <w:rPr>
          <w:rFonts w:ascii="Times New Roman" w:hAnsi="Times New Roman" w:cs="Times New Roman"/>
          <w:sz w:val="24"/>
        </w:rPr>
      </w:pPr>
      <w:r>
        <w:rPr>
          <w:rFonts w:ascii="Times New Roman" w:hAnsi="Times New Roman" w:cs="Times New Roman"/>
          <w:sz w:val="28"/>
        </w:rPr>
        <w:t xml:space="preserve">Submission Date: 21/08/2023 </w:t>
      </w:r>
      <w:r w:rsidR="005569B3" w:rsidRPr="003655BA">
        <w:rPr>
          <w:rFonts w:ascii="Times New Roman" w:hAnsi="Times New Roman" w:cs="Times New Roman"/>
          <w:sz w:val="24"/>
        </w:rPr>
        <w:br w:type="page"/>
      </w:r>
    </w:p>
    <w:sdt>
      <w:sdtPr>
        <w:rPr>
          <w:rFonts w:asciiTheme="minorHAnsi" w:eastAsiaTheme="minorHAnsi" w:hAnsiTheme="minorHAnsi" w:cstheme="minorBidi"/>
          <w:b w:val="0"/>
          <w:color w:val="000000"/>
          <w:sz w:val="22"/>
          <w:szCs w:val="22"/>
          <w:lang w:val="en-GB"/>
          <w14:textFill>
            <w14:solidFill>
              <w14:srgbClr w14:val="000000">
                <w14:lumMod w14:val="95000"/>
                <w14:lumOff w14:val="5000"/>
              </w14:srgbClr>
            </w14:solidFill>
          </w14:textFill>
        </w:rPr>
        <w:id w:val="1785766614"/>
        <w:docPartObj>
          <w:docPartGallery w:val="Table of Contents"/>
          <w:docPartUnique/>
        </w:docPartObj>
      </w:sdtPr>
      <w:sdtEndPr>
        <w:rPr>
          <w:rFonts w:ascii="Times New Roman" w:hAnsi="Times New Roman" w:cs="Times New Roman"/>
          <w:bCs/>
          <w:noProof/>
          <w:sz w:val="24"/>
          <w:szCs w:val="24"/>
        </w:rPr>
      </w:sdtEndPr>
      <w:sdtContent>
        <w:p w14:paraId="29EFD189" w14:textId="77777777" w:rsidR="005569B3" w:rsidRPr="003655BA" w:rsidRDefault="005569B3" w:rsidP="008F66FE">
          <w:pPr>
            <w:pStyle w:val="TOCHeading"/>
            <w:rPr>
              <w:lang w:val="en-GB"/>
            </w:rPr>
          </w:pPr>
          <w:r w:rsidRPr="003655BA">
            <w:rPr>
              <w:lang w:val="en-GB"/>
            </w:rPr>
            <w:t>Table of Contents</w:t>
          </w:r>
        </w:p>
        <w:p w14:paraId="70465054" w14:textId="77777777" w:rsidR="003E1B97" w:rsidRPr="003655BA" w:rsidRDefault="005569B3"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r w:rsidRPr="003655BA">
            <w:rPr>
              <w:rFonts w:ascii="Times New Roman" w:hAnsi="Times New Roman" w:cs="Times New Roman"/>
              <w:sz w:val="24"/>
              <w:szCs w:val="24"/>
            </w:rPr>
            <w:fldChar w:fldCharType="begin"/>
          </w:r>
          <w:r w:rsidRPr="003655BA">
            <w:rPr>
              <w:rFonts w:ascii="Times New Roman" w:hAnsi="Times New Roman" w:cs="Times New Roman"/>
              <w:sz w:val="24"/>
              <w:szCs w:val="24"/>
            </w:rPr>
            <w:instrText xml:space="preserve"> TOC \o "1-3" \h \z \u </w:instrText>
          </w:r>
          <w:r w:rsidRPr="003655BA">
            <w:rPr>
              <w:rFonts w:ascii="Times New Roman" w:hAnsi="Times New Roman" w:cs="Times New Roman"/>
              <w:sz w:val="24"/>
              <w:szCs w:val="24"/>
            </w:rPr>
            <w:fldChar w:fldCharType="separate"/>
          </w:r>
          <w:hyperlink w:anchor="_Toc143351287" w:history="1">
            <w:r w:rsidR="003E1B97" w:rsidRPr="003655BA">
              <w:rPr>
                <w:rStyle w:val="Hyperlink"/>
                <w:rFonts w:ascii="Times New Roman" w:hAnsi="Times New Roman" w:cs="Times New Roman"/>
                <w:noProof/>
                <w:sz w:val="24"/>
                <w:szCs w:val="24"/>
              </w:rPr>
              <w:t>1. Introduction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_Toc143351287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3</w:t>
            </w:r>
            <w:r w:rsidR="003E1B97" w:rsidRPr="003655BA">
              <w:rPr>
                <w:rFonts w:ascii="Times New Roman" w:hAnsi="Times New Roman" w:cs="Times New Roman"/>
                <w:noProof/>
                <w:webHidden/>
                <w:sz w:val="24"/>
                <w:szCs w:val="24"/>
              </w:rPr>
              <w:fldChar w:fldCharType="end"/>
            </w:r>
          </w:hyperlink>
        </w:p>
        <w:p w14:paraId="5484A55E"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88" w:history="1">
            <w:r w:rsidR="003E1B97" w:rsidRPr="003655BA">
              <w:rPr>
                <w:rStyle w:val="Hyperlink"/>
                <w:rFonts w:ascii="Times New Roman" w:hAnsi="Times New Roman" w:cs="Times New Roman"/>
                <w:noProof/>
                <w:sz w:val="24"/>
                <w:szCs w:val="24"/>
              </w:rPr>
              <w:t>1.1 A brief overview of the 2008 financial crisis and its impact on global and UK financial systems.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_Toc143351288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3</w:t>
            </w:r>
            <w:r w:rsidR="003E1B97" w:rsidRPr="003655BA">
              <w:rPr>
                <w:rFonts w:ascii="Times New Roman" w:hAnsi="Times New Roman" w:cs="Times New Roman"/>
                <w:noProof/>
                <w:webHidden/>
                <w:sz w:val="24"/>
                <w:szCs w:val="24"/>
              </w:rPr>
              <w:fldChar w:fldCharType="end"/>
            </w:r>
          </w:hyperlink>
        </w:p>
        <w:p w14:paraId="7FC8F4EA"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89" w:history="1">
            <w:r w:rsidR="003E1B97" w:rsidRPr="003655BA">
              <w:rPr>
                <w:rStyle w:val="Hyperlink"/>
                <w:rFonts w:ascii="Times New Roman" w:hAnsi="Times New Roman" w:cs="Times New Roman"/>
                <w:noProof/>
                <w:sz w:val="24"/>
                <w:szCs w:val="24"/>
              </w:rPr>
              <w:t>1.2 Introduction to Barclays Plc and its role in the UK financial sector</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_Toc143351289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3</w:t>
            </w:r>
            <w:r w:rsidR="003E1B97" w:rsidRPr="003655BA">
              <w:rPr>
                <w:rFonts w:ascii="Times New Roman" w:hAnsi="Times New Roman" w:cs="Times New Roman"/>
                <w:noProof/>
                <w:webHidden/>
                <w:sz w:val="24"/>
                <w:szCs w:val="24"/>
              </w:rPr>
              <w:fldChar w:fldCharType="end"/>
            </w:r>
          </w:hyperlink>
        </w:p>
        <w:p w14:paraId="5B68B92E" w14:textId="77777777" w:rsidR="003E1B97" w:rsidRPr="003655BA" w:rsidRDefault="00000000"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0" w:history="1">
            <w:r w:rsidR="003E1B97" w:rsidRPr="003655BA">
              <w:rPr>
                <w:rStyle w:val="Hyperlink"/>
                <w:rFonts w:ascii="Times New Roman" w:hAnsi="Times New Roman" w:cs="Times New Roman"/>
                <w:noProof/>
                <w:sz w:val="24"/>
                <w:szCs w:val="24"/>
              </w:rPr>
              <w:t>2. Post-Crisis Reforms by UK Authorities (Approx. 1200 words)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_Toc143351290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4</w:t>
            </w:r>
            <w:r w:rsidR="003E1B97" w:rsidRPr="003655BA">
              <w:rPr>
                <w:rFonts w:ascii="Times New Roman" w:hAnsi="Times New Roman" w:cs="Times New Roman"/>
                <w:noProof/>
                <w:webHidden/>
                <w:sz w:val="24"/>
                <w:szCs w:val="24"/>
              </w:rPr>
              <w:fldChar w:fldCharType="end"/>
            </w:r>
          </w:hyperlink>
        </w:p>
        <w:p w14:paraId="5B95036F"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1" w:history="1">
            <w:r w:rsidR="003E1B97" w:rsidRPr="003655BA">
              <w:rPr>
                <w:rStyle w:val="Hyperlink"/>
                <w:rFonts w:ascii="Times New Roman" w:hAnsi="Times New Roman" w:cs="Times New Roman"/>
                <w:noProof/>
                <w:sz w:val="24"/>
                <w:szCs w:val="24"/>
              </w:rPr>
              <w:t>2.1 The key reforms enacted by UK authorities post-2008 crisis An overview of the regulations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_Toc143351291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4</w:t>
            </w:r>
            <w:r w:rsidR="003E1B97" w:rsidRPr="003655BA">
              <w:rPr>
                <w:rFonts w:ascii="Times New Roman" w:hAnsi="Times New Roman" w:cs="Times New Roman"/>
                <w:noProof/>
                <w:webHidden/>
                <w:sz w:val="24"/>
                <w:szCs w:val="24"/>
              </w:rPr>
              <w:fldChar w:fldCharType="end"/>
            </w:r>
          </w:hyperlink>
        </w:p>
        <w:p w14:paraId="7EB19E79"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2" w:history="1">
            <w:r w:rsidR="003E1B97" w:rsidRPr="003655BA">
              <w:rPr>
                <w:rStyle w:val="Hyperlink"/>
                <w:rFonts w:ascii="Times New Roman" w:hAnsi="Times New Roman" w:cs="Times New Roman"/>
                <w:noProof/>
                <w:sz w:val="24"/>
                <w:szCs w:val="24"/>
              </w:rPr>
              <w:t>2.2 Enhancing Financial Stability, Risk Management, and Consumer Protection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_Toc143351292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5</w:t>
            </w:r>
            <w:r w:rsidR="003E1B97" w:rsidRPr="003655BA">
              <w:rPr>
                <w:rFonts w:ascii="Times New Roman" w:hAnsi="Times New Roman" w:cs="Times New Roman"/>
                <w:noProof/>
                <w:webHidden/>
                <w:sz w:val="24"/>
                <w:szCs w:val="24"/>
              </w:rPr>
              <w:fldChar w:fldCharType="end"/>
            </w:r>
          </w:hyperlink>
        </w:p>
        <w:p w14:paraId="7F199066"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3" w:history="1">
            <w:r w:rsidR="003E1B97" w:rsidRPr="003655BA">
              <w:rPr>
                <w:rStyle w:val="Hyperlink"/>
                <w:rFonts w:ascii="Times New Roman" w:hAnsi="Times New Roman" w:cs="Times New Roman"/>
                <w:noProof/>
                <w:sz w:val="24"/>
                <w:szCs w:val="24"/>
              </w:rPr>
              <w:t>2.3 Ring-Fencing, Increased Capital Requirements, and Improved Corporate Governance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_Toc143351293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6</w:t>
            </w:r>
            <w:r w:rsidR="003E1B97" w:rsidRPr="003655BA">
              <w:rPr>
                <w:rFonts w:ascii="Times New Roman" w:hAnsi="Times New Roman" w:cs="Times New Roman"/>
                <w:noProof/>
                <w:webHidden/>
                <w:sz w:val="24"/>
                <w:szCs w:val="24"/>
              </w:rPr>
              <w:fldChar w:fldCharType="end"/>
            </w:r>
          </w:hyperlink>
        </w:p>
        <w:p w14:paraId="12C5906B" w14:textId="77777777" w:rsidR="003E1B97" w:rsidRPr="003655BA" w:rsidRDefault="00000000"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4" w:history="1">
            <w:r w:rsidR="003E1B97" w:rsidRPr="003655BA">
              <w:rPr>
                <w:rStyle w:val="Hyperlink"/>
                <w:rFonts w:ascii="Times New Roman" w:hAnsi="Times New Roman" w:cs="Times New Roman"/>
                <w:noProof/>
                <w:sz w:val="24"/>
                <w:szCs w:val="24"/>
              </w:rPr>
              <w:t>3. Impact on Barclays Plc: Adaptations and Compliance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_Toc143351294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7</w:t>
            </w:r>
            <w:r w:rsidR="003E1B97" w:rsidRPr="003655BA">
              <w:rPr>
                <w:rFonts w:ascii="Times New Roman" w:hAnsi="Times New Roman" w:cs="Times New Roman"/>
                <w:noProof/>
                <w:webHidden/>
                <w:sz w:val="24"/>
                <w:szCs w:val="24"/>
              </w:rPr>
              <w:fldChar w:fldCharType="end"/>
            </w:r>
          </w:hyperlink>
        </w:p>
        <w:p w14:paraId="404219FC"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5" w:history="1">
            <w:r w:rsidR="003E1B97" w:rsidRPr="003655BA">
              <w:rPr>
                <w:rStyle w:val="Hyperlink"/>
                <w:rFonts w:ascii="Times New Roman" w:hAnsi="Times New Roman" w:cs="Times New Roman"/>
                <w:noProof/>
                <w:sz w:val="24"/>
                <w:szCs w:val="24"/>
              </w:rPr>
              <w:t>3.1 A Comprehensive Analysis of Approaches to Deal with UK Reforms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_Toc143351295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7</w:t>
            </w:r>
            <w:r w:rsidR="003E1B97" w:rsidRPr="003655BA">
              <w:rPr>
                <w:rFonts w:ascii="Times New Roman" w:hAnsi="Times New Roman" w:cs="Times New Roman"/>
                <w:noProof/>
                <w:webHidden/>
                <w:sz w:val="24"/>
                <w:szCs w:val="24"/>
              </w:rPr>
              <w:fldChar w:fldCharType="end"/>
            </w:r>
          </w:hyperlink>
        </w:p>
        <w:p w14:paraId="42EBAC77"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6" w:history="1">
            <w:r w:rsidR="003E1B97" w:rsidRPr="003655BA">
              <w:rPr>
                <w:rStyle w:val="Hyperlink"/>
                <w:rFonts w:ascii="Times New Roman" w:hAnsi="Times New Roman" w:cs="Times New Roman"/>
                <w:noProof/>
                <w:sz w:val="24"/>
                <w:szCs w:val="24"/>
              </w:rPr>
              <w:t>3.2 Improvements to the Business Model for Compliance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_Toc143351296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7</w:t>
            </w:r>
            <w:r w:rsidR="003E1B97" w:rsidRPr="003655BA">
              <w:rPr>
                <w:rFonts w:ascii="Times New Roman" w:hAnsi="Times New Roman" w:cs="Times New Roman"/>
                <w:noProof/>
                <w:webHidden/>
                <w:sz w:val="24"/>
                <w:szCs w:val="24"/>
              </w:rPr>
              <w:fldChar w:fldCharType="end"/>
            </w:r>
          </w:hyperlink>
        </w:p>
        <w:p w14:paraId="66443BDA"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297" w:history="1">
            <w:r w:rsidR="003E1B97" w:rsidRPr="003655BA">
              <w:rPr>
                <w:rStyle w:val="Hyperlink"/>
                <w:rFonts w:ascii="Times New Roman" w:hAnsi="Times New Roman" w:cs="Times New Roman"/>
                <w:noProof/>
                <w:sz w:val="24"/>
                <w:szCs w:val="24"/>
              </w:rPr>
              <w:t>3.3 Case Study Examples of Changes and Challenges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_Toc143351297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9</w:t>
            </w:r>
            <w:r w:rsidR="003E1B97" w:rsidRPr="003655BA">
              <w:rPr>
                <w:rFonts w:ascii="Times New Roman" w:hAnsi="Times New Roman" w:cs="Times New Roman"/>
                <w:noProof/>
                <w:webHidden/>
                <w:sz w:val="24"/>
                <w:szCs w:val="24"/>
              </w:rPr>
              <w:fldChar w:fldCharType="end"/>
            </w:r>
          </w:hyperlink>
        </w:p>
        <w:p w14:paraId="62B9063D"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298" w:history="1">
            <w:r w:rsidR="003E1B97" w:rsidRPr="003655BA">
              <w:rPr>
                <w:rStyle w:val="Hyperlink"/>
                <w:rFonts w:ascii="Times New Roman" w:eastAsia="Times New Roman" w:hAnsi="Times New Roman" w:cs="Times New Roman"/>
                <w:noProof/>
                <w:sz w:val="24"/>
                <w:szCs w:val="24"/>
              </w:rPr>
              <w:t>3.3.1 Risk Management: Stress Testing</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_Toc143351298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9</w:t>
            </w:r>
            <w:r w:rsidR="003E1B97" w:rsidRPr="003655BA">
              <w:rPr>
                <w:rFonts w:ascii="Times New Roman" w:hAnsi="Times New Roman" w:cs="Times New Roman"/>
                <w:noProof/>
                <w:webHidden/>
                <w:sz w:val="24"/>
                <w:szCs w:val="24"/>
              </w:rPr>
              <w:fldChar w:fldCharType="end"/>
            </w:r>
          </w:hyperlink>
        </w:p>
        <w:p w14:paraId="6F314F83"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299" w:history="1">
            <w:r w:rsidR="003E1B97" w:rsidRPr="003655BA">
              <w:rPr>
                <w:rStyle w:val="Hyperlink"/>
                <w:rFonts w:ascii="Times New Roman" w:eastAsia="Times New Roman" w:hAnsi="Times New Roman" w:cs="Times New Roman"/>
                <w:noProof/>
                <w:sz w:val="24"/>
                <w:szCs w:val="24"/>
              </w:rPr>
              <w:t>3.3.2 Organizational Structure: Ring-Fencing Implementation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_Toc143351299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9</w:t>
            </w:r>
            <w:r w:rsidR="003E1B97" w:rsidRPr="003655BA">
              <w:rPr>
                <w:rFonts w:ascii="Times New Roman" w:hAnsi="Times New Roman" w:cs="Times New Roman"/>
                <w:noProof/>
                <w:webHidden/>
                <w:sz w:val="24"/>
                <w:szCs w:val="24"/>
              </w:rPr>
              <w:fldChar w:fldCharType="end"/>
            </w:r>
          </w:hyperlink>
        </w:p>
        <w:p w14:paraId="51C4505F"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300" w:history="1">
            <w:r w:rsidR="003E1B97" w:rsidRPr="003655BA">
              <w:rPr>
                <w:rStyle w:val="Hyperlink"/>
                <w:rFonts w:ascii="Times New Roman" w:eastAsia="Times New Roman" w:hAnsi="Times New Roman" w:cs="Times New Roman"/>
                <w:noProof/>
                <w:sz w:val="24"/>
                <w:szCs w:val="24"/>
              </w:rPr>
              <w:t>3.3.3 Customer Services: Transparency and Product Disclosures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_Toc143351300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10</w:t>
            </w:r>
            <w:r w:rsidR="003E1B97" w:rsidRPr="003655BA">
              <w:rPr>
                <w:rFonts w:ascii="Times New Roman" w:hAnsi="Times New Roman" w:cs="Times New Roman"/>
                <w:noProof/>
                <w:webHidden/>
                <w:sz w:val="24"/>
                <w:szCs w:val="24"/>
              </w:rPr>
              <w:fldChar w:fldCharType="end"/>
            </w:r>
          </w:hyperlink>
        </w:p>
        <w:p w14:paraId="734C290C"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1" w:history="1">
            <w:r w:rsidR="003E1B97" w:rsidRPr="003655BA">
              <w:rPr>
                <w:rStyle w:val="Hyperlink"/>
                <w:rFonts w:ascii="Times New Roman" w:hAnsi="Times New Roman" w:cs="Times New Roman"/>
                <w:noProof/>
                <w:sz w:val="24"/>
                <w:szCs w:val="24"/>
              </w:rPr>
              <w:t>3.4 Challenges and Potential Areas of Non-Compliance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_Toc143351301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10</w:t>
            </w:r>
            <w:r w:rsidR="003E1B97" w:rsidRPr="003655BA">
              <w:rPr>
                <w:rFonts w:ascii="Times New Roman" w:hAnsi="Times New Roman" w:cs="Times New Roman"/>
                <w:noProof/>
                <w:webHidden/>
                <w:sz w:val="24"/>
                <w:szCs w:val="24"/>
              </w:rPr>
              <w:fldChar w:fldCharType="end"/>
            </w:r>
          </w:hyperlink>
        </w:p>
        <w:p w14:paraId="4BCF97B6"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302" w:history="1">
            <w:r w:rsidR="003E1B97" w:rsidRPr="003655BA">
              <w:rPr>
                <w:rStyle w:val="Hyperlink"/>
                <w:rFonts w:ascii="Times New Roman" w:eastAsia="Times New Roman" w:hAnsi="Times New Roman" w:cs="Times New Roman"/>
                <w:noProof/>
                <w:sz w:val="24"/>
                <w:szCs w:val="24"/>
              </w:rPr>
              <w:t>3.4.1 Structural Adjustments: Ring-Fencing Challenges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_Toc143351302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10</w:t>
            </w:r>
            <w:r w:rsidR="003E1B97" w:rsidRPr="003655BA">
              <w:rPr>
                <w:rFonts w:ascii="Times New Roman" w:hAnsi="Times New Roman" w:cs="Times New Roman"/>
                <w:noProof/>
                <w:webHidden/>
                <w:sz w:val="24"/>
                <w:szCs w:val="24"/>
              </w:rPr>
              <w:fldChar w:fldCharType="end"/>
            </w:r>
          </w:hyperlink>
        </w:p>
        <w:p w14:paraId="75FBFFC0"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303" w:history="1">
            <w:r w:rsidR="003E1B97" w:rsidRPr="003655BA">
              <w:rPr>
                <w:rStyle w:val="Hyperlink"/>
                <w:rFonts w:ascii="Times New Roman" w:eastAsia="Times New Roman" w:hAnsi="Times New Roman" w:cs="Times New Roman"/>
                <w:noProof/>
                <w:sz w:val="24"/>
                <w:szCs w:val="24"/>
              </w:rPr>
              <w:t>3.4.2 Capital Requirements: Balancing Compliance and Investor Confidence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_Toc143351303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10</w:t>
            </w:r>
            <w:r w:rsidR="003E1B97" w:rsidRPr="003655BA">
              <w:rPr>
                <w:rFonts w:ascii="Times New Roman" w:hAnsi="Times New Roman" w:cs="Times New Roman"/>
                <w:noProof/>
                <w:webHidden/>
                <w:sz w:val="24"/>
                <w:szCs w:val="24"/>
              </w:rPr>
              <w:fldChar w:fldCharType="end"/>
            </w:r>
          </w:hyperlink>
        </w:p>
        <w:p w14:paraId="5F8F5266" w14:textId="77777777" w:rsidR="003E1B97" w:rsidRPr="003655BA" w:rsidRDefault="00000000" w:rsidP="003E1B97">
          <w:pPr>
            <w:pStyle w:val="TOC3"/>
            <w:tabs>
              <w:tab w:val="right" w:leader="dot" w:pos="9350"/>
            </w:tabs>
            <w:spacing w:before="240" w:line="360" w:lineRule="auto"/>
            <w:jc w:val="both"/>
            <w:rPr>
              <w:rFonts w:ascii="Times New Roman" w:hAnsi="Times New Roman" w:cs="Times New Roman"/>
              <w:noProof/>
              <w:sz w:val="24"/>
              <w:szCs w:val="24"/>
            </w:rPr>
          </w:pPr>
          <w:hyperlink w:anchor="_Toc143351304" w:history="1">
            <w:r w:rsidR="003E1B97" w:rsidRPr="003655BA">
              <w:rPr>
                <w:rStyle w:val="Hyperlink"/>
                <w:rFonts w:ascii="Times New Roman" w:eastAsia="Times New Roman" w:hAnsi="Times New Roman" w:cs="Times New Roman"/>
                <w:noProof/>
                <w:sz w:val="24"/>
                <w:szCs w:val="24"/>
              </w:rPr>
              <w:t>3.4.3 Consumer Protection: Ensuring Comprehensive Communication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_Toc143351304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11</w:t>
            </w:r>
            <w:r w:rsidR="003E1B97" w:rsidRPr="003655BA">
              <w:rPr>
                <w:rFonts w:ascii="Times New Roman" w:hAnsi="Times New Roman" w:cs="Times New Roman"/>
                <w:noProof/>
                <w:webHidden/>
                <w:sz w:val="24"/>
                <w:szCs w:val="24"/>
              </w:rPr>
              <w:fldChar w:fldCharType="end"/>
            </w:r>
          </w:hyperlink>
        </w:p>
        <w:p w14:paraId="1858F164" w14:textId="77777777" w:rsidR="003E1B97" w:rsidRPr="003655BA" w:rsidRDefault="00000000"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5" w:history="1">
            <w:r w:rsidR="003E1B97" w:rsidRPr="003655BA">
              <w:rPr>
                <w:rStyle w:val="Hyperlink"/>
                <w:rFonts w:ascii="Times New Roman" w:hAnsi="Times New Roman" w:cs="Times New Roman"/>
                <w:noProof/>
                <w:sz w:val="24"/>
                <w:szCs w:val="24"/>
              </w:rPr>
              <w:t>4. Stabilizing the Financial System: Evaluating the Reforms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_Toc143351305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11</w:t>
            </w:r>
            <w:r w:rsidR="003E1B97" w:rsidRPr="003655BA">
              <w:rPr>
                <w:rFonts w:ascii="Times New Roman" w:hAnsi="Times New Roman" w:cs="Times New Roman"/>
                <w:noProof/>
                <w:webHidden/>
                <w:sz w:val="24"/>
                <w:szCs w:val="24"/>
              </w:rPr>
              <w:fldChar w:fldCharType="end"/>
            </w:r>
          </w:hyperlink>
        </w:p>
        <w:p w14:paraId="2731571B"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6" w:history="1">
            <w:r w:rsidR="003E1B97" w:rsidRPr="003655BA">
              <w:rPr>
                <w:rStyle w:val="Hyperlink"/>
                <w:rFonts w:ascii="Times New Roman" w:hAnsi="Times New Roman" w:cs="Times New Roman"/>
                <w:noProof/>
                <w:sz w:val="24"/>
                <w:szCs w:val="24"/>
              </w:rPr>
              <w:t>4.1 Contribution of UK Reforms to Financial Stability</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_Toc143351306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11</w:t>
            </w:r>
            <w:r w:rsidR="003E1B97" w:rsidRPr="003655BA">
              <w:rPr>
                <w:rFonts w:ascii="Times New Roman" w:hAnsi="Times New Roman" w:cs="Times New Roman"/>
                <w:noProof/>
                <w:webHidden/>
                <w:sz w:val="24"/>
                <w:szCs w:val="24"/>
              </w:rPr>
              <w:fldChar w:fldCharType="end"/>
            </w:r>
          </w:hyperlink>
        </w:p>
        <w:p w14:paraId="2AE76F1E"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7" w:history="1">
            <w:r w:rsidR="003E1B97" w:rsidRPr="003655BA">
              <w:rPr>
                <w:rStyle w:val="Hyperlink"/>
                <w:rFonts w:ascii="Times New Roman" w:hAnsi="Times New Roman" w:cs="Times New Roman"/>
                <w:noProof/>
                <w:sz w:val="24"/>
                <w:szCs w:val="24"/>
              </w:rPr>
              <w:t>4.2 Effectiveness of Ring-Fencing</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_Toc143351307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12</w:t>
            </w:r>
            <w:r w:rsidR="003E1B97" w:rsidRPr="003655BA">
              <w:rPr>
                <w:rFonts w:ascii="Times New Roman" w:hAnsi="Times New Roman" w:cs="Times New Roman"/>
                <w:noProof/>
                <w:webHidden/>
                <w:sz w:val="24"/>
                <w:szCs w:val="24"/>
              </w:rPr>
              <w:fldChar w:fldCharType="end"/>
            </w:r>
          </w:hyperlink>
        </w:p>
        <w:p w14:paraId="0B9E903E"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8" w:history="1">
            <w:r w:rsidR="003E1B97" w:rsidRPr="003655BA">
              <w:rPr>
                <w:rStyle w:val="Hyperlink"/>
                <w:rFonts w:ascii="Times New Roman" w:hAnsi="Times New Roman" w:cs="Times New Roman"/>
                <w:noProof/>
                <w:sz w:val="24"/>
                <w:szCs w:val="24"/>
              </w:rPr>
              <w:t>4.3 Impact of Increased Capital Requirements on Risk Exposure and Financial Resilience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_Toc143351308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13</w:t>
            </w:r>
            <w:r w:rsidR="003E1B97" w:rsidRPr="003655BA">
              <w:rPr>
                <w:rFonts w:ascii="Times New Roman" w:hAnsi="Times New Roman" w:cs="Times New Roman"/>
                <w:noProof/>
                <w:webHidden/>
                <w:sz w:val="24"/>
                <w:szCs w:val="24"/>
              </w:rPr>
              <w:fldChar w:fldCharType="end"/>
            </w:r>
          </w:hyperlink>
        </w:p>
        <w:p w14:paraId="5D1052CB"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09" w:history="1">
            <w:r w:rsidR="003E1B97" w:rsidRPr="003655BA">
              <w:rPr>
                <w:rStyle w:val="Hyperlink"/>
                <w:rFonts w:ascii="Times New Roman" w:hAnsi="Times New Roman" w:cs="Times New Roman"/>
                <w:noProof/>
                <w:sz w:val="24"/>
                <w:szCs w:val="24"/>
              </w:rPr>
              <w:t>4.4 Regulatory Oversight and Reduction of Systemic Risk</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_Toc143351309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13</w:t>
            </w:r>
            <w:r w:rsidR="003E1B97" w:rsidRPr="003655BA">
              <w:rPr>
                <w:rFonts w:ascii="Times New Roman" w:hAnsi="Times New Roman" w:cs="Times New Roman"/>
                <w:noProof/>
                <w:webHidden/>
                <w:sz w:val="24"/>
                <w:szCs w:val="24"/>
              </w:rPr>
              <w:fldChar w:fldCharType="end"/>
            </w:r>
          </w:hyperlink>
        </w:p>
        <w:p w14:paraId="56451F65" w14:textId="77777777" w:rsidR="003E1B97" w:rsidRPr="003655BA" w:rsidRDefault="00000000"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0" w:history="1">
            <w:r w:rsidR="003E1B97" w:rsidRPr="003655BA">
              <w:rPr>
                <w:rStyle w:val="Hyperlink"/>
                <w:rFonts w:ascii="Times New Roman" w:hAnsi="Times New Roman" w:cs="Times New Roman"/>
                <w:noProof/>
                <w:sz w:val="24"/>
                <w:szCs w:val="24"/>
              </w:rPr>
              <w:t>5. Barclays Plc's Post-Reform Performance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_Toc143351310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14</w:t>
            </w:r>
            <w:r w:rsidR="003E1B97" w:rsidRPr="003655BA">
              <w:rPr>
                <w:rFonts w:ascii="Times New Roman" w:hAnsi="Times New Roman" w:cs="Times New Roman"/>
                <w:noProof/>
                <w:webHidden/>
                <w:sz w:val="24"/>
                <w:szCs w:val="24"/>
              </w:rPr>
              <w:fldChar w:fldCharType="end"/>
            </w:r>
          </w:hyperlink>
        </w:p>
        <w:p w14:paraId="34D243E1"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1" w:history="1">
            <w:r w:rsidR="003E1B97" w:rsidRPr="003655BA">
              <w:rPr>
                <w:rStyle w:val="Hyperlink"/>
                <w:rFonts w:ascii="Times New Roman" w:hAnsi="Times New Roman" w:cs="Times New Roman"/>
                <w:noProof/>
                <w:sz w:val="24"/>
                <w:szCs w:val="24"/>
              </w:rPr>
              <w:t>5.1 Performance in Profitability, Risk Management, and Public Perception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_Toc143351311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14</w:t>
            </w:r>
            <w:r w:rsidR="003E1B97" w:rsidRPr="003655BA">
              <w:rPr>
                <w:rFonts w:ascii="Times New Roman" w:hAnsi="Times New Roman" w:cs="Times New Roman"/>
                <w:noProof/>
                <w:webHidden/>
                <w:sz w:val="24"/>
                <w:szCs w:val="24"/>
              </w:rPr>
              <w:fldChar w:fldCharType="end"/>
            </w:r>
          </w:hyperlink>
        </w:p>
        <w:p w14:paraId="0182CE95"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2" w:history="1">
            <w:r w:rsidR="003E1B97" w:rsidRPr="003655BA">
              <w:rPr>
                <w:rStyle w:val="Hyperlink"/>
                <w:rFonts w:ascii="Times New Roman" w:hAnsi="Times New Roman" w:cs="Times New Roman"/>
                <w:noProof/>
                <w:sz w:val="24"/>
                <w:szCs w:val="24"/>
              </w:rPr>
              <w:t>5.2 Changes in Credit Ratings and Market Share</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_Toc143351312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15</w:t>
            </w:r>
            <w:r w:rsidR="003E1B97" w:rsidRPr="003655BA">
              <w:rPr>
                <w:rFonts w:ascii="Times New Roman" w:hAnsi="Times New Roman" w:cs="Times New Roman"/>
                <w:noProof/>
                <w:webHidden/>
                <w:sz w:val="24"/>
                <w:szCs w:val="24"/>
              </w:rPr>
              <w:fldChar w:fldCharType="end"/>
            </w:r>
          </w:hyperlink>
        </w:p>
        <w:p w14:paraId="123BD451"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3" w:history="1">
            <w:r w:rsidR="003E1B97" w:rsidRPr="003655BA">
              <w:rPr>
                <w:rStyle w:val="Hyperlink"/>
                <w:rFonts w:ascii="Times New Roman" w:hAnsi="Times New Roman" w:cs="Times New Roman"/>
                <w:noProof/>
                <w:sz w:val="24"/>
                <w:szCs w:val="24"/>
              </w:rPr>
              <w:t>5.3 Influence of Compliance on Investor Confidence and Economic Uncertainties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_Toc143351313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15</w:t>
            </w:r>
            <w:r w:rsidR="003E1B97" w:rsidRPr="003655BA">
              <w:rPr>
                <w:rFonts w:ascii="Times New Roman" w:hAnsi="Times New Roman" w:cs="Times New Roman"/>
                <w:noProof/>
                <w:webHidden/>
                <w:sz w:val="24"/>
                <w:szCs w:val="24"/>
              </w:rPr>
              <w:fldChar w:fldCharType="end"/>
            </w:r>
          </w:hyperlink>
        </w:p>
        <w:p w14:paraId="1C4CE505" w14:textId="77777777" w:rsidR="003E1B97" w:rsidRPr="003655BA" w:rsidRDefault="00000000" w:rsidP="003E1B97">
          <w:pPr>
            <w:pStyle w:val="TOC2"/>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4" w:history="1">
            <w:r w:rsidR="003E1B97" w:rsidRPr="003655BA">
              <w:rPr>
                <w:rStyle w:val="Hyperlink"/>
                <w:rFonts w:ascii="Times New Roman" w:hAnsi="Times New Roman" w:cs="Times New Roman"/>
                <w:noProof/>
                <w:sz w:val="24"/>
                <w:szCs w:val="24"/>
              </w:rPr>
              <w:t>6. Conclusion</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_Toc143351314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16</w:t>
            </w:r>
            <w:r w:rsidR="003E1B97" w:rsidRPr="003655BA">
              <w:rPr>
                <w:rFonts w:ascii="Times New Roman" w:hAnsi="Times New Roman" w:cs="Times New Roman"/>
                <w:noProof/>
                <w:webHidden/>
                <w:sz w:val="24"/>
                <w:szCs w:val="24"/>
              </w:rPr>
              <w:fldChar w:fldCharType="end"/>
            </w:r>
          </w:hyperlink>
        </w:p>
        <w:p w14:paraId="4CFABBA2" w14:textId="77777777" w:rsidR="003E1B97" w:rsidRPr="003655BA" w:rsidRDefault="00000000" w:rsidP="003E1B97">
          <w:pPr>
            <w:pStyle w:val="TOC1"/>
            <w:tabs>
              <w:tab w:val="right" w:leader="dot" w:pos="9350"/>
            </w:tabs>
            <w:spacing w:before="240" w:line="360" w:lineRule="auto"/>
            <w:jc w:val="both"/>
            <w:rPr>
              <w:rFonts w:ascii="Times New Roman" w:eastAsiaTheme="minorEastAsia" w:hAnsi="Times New Roman" w:cs="Times New Roman"/>
              <w:noProof/>
              <w:sz w:val="24"/>
              <w:szCs w:val="30"/>
              <w:lang w:bidi="bn-IN"/>
            </w:rPr>
          </w:pPr>
          <w:hyperlink w:anchor="_Toc143351315" w:history="1">
            <w:r w:rsidR="003E1B97" w:rsidRPr="003655BA">
              <w:rPr>
                <w:rStyle w:val="Hyperlink"/>
                <w:rFonts w:ascii="Times New Roman" w:hAnsi="Times New Roman" w:cs="Times New Roman"/>
                <w:noProof/>
                <w:sz w:val="24"/>
                <w:szCs w:val="24"/>
              </w:rPr>
              <w:t>References</w:t>
            </w:r>
            <w:r w:rsidR="003E1B97" w:rsidRPr="003655BA">
              <w:rPr>
                <w:rFonts w:ascii="Times New Roman" w:hAnsi="Times New Roman" w:cs="Times New Roman"/>
                <w:noProof/>
                <w:webHidden/>
                <w:sz w:val="24"/>
                <w:szCs w:val="24"/>
              </w:rPr>
              <w:tab/>
            </w:r>
            <w:r w:rsidR="003E1B97" w:rsidRPr="003655BA">
              <w:rPr>
                <w:rFonts w:ascii="Times New Roman" w:hAnsi="Times New Roman" w:cs="Times New Roman"/>
                <w:noProof/>
                <w:webHidden/>
                <w:sz w:val="24"/>
                <w:szCs w:val="24"/>
              </w:rPr>
              <w:fldChar w:fldCharType="begin"/>
            </w:r>
            <w:r w:rsidR="003E1B97" w:rsidRPr="003655BA">
              <w:rPr>
                <w:rFonts w:ascii="Times New Roman" w:hAnsi="Times New Roman" w:cs="Times New Roman"/>
                <w:noProof/>
                <w:webHidden/>
                <w:sz w:val="24"/>
                <w:szCs w:val="24"/>
              </w:rPr>
              <w:instrText xml:space="preserve"> PAGEREF _Toc143351315 \h </w:instrText>
            </w:r>
            <w:r w:rsidR="003E1B97" w:rsidRPr="003655BA">
              <w:rPr>
                <w:rFonts w:ascii="Times New Roman" w:hAnsi="Times New Roman" w:cs="Times New Roman"/>
                <w:noProof/>
                <w:webHidden/>
                <w:sz w:val="24"/>
                <w:szCs w:val="24"/>
              </w:rPr>
            </w:r>
            <w:r w:rsidR="003E1B97" w:rsidRPr="003655BA">
              <w:rPr>
                <w:rFonts w:ascii="Times New Roman" w:hAnsi="Times New Roman" w:cs="Times New Roman"/>
                <w:noProof/>
                <w:webHidden/>
                <w:sz w:val="24"/>
                <w:szCs w:val="24"/>
              </w:rPr>
              <w:fldChar w:fldCharType="separate"/>
            </w:r>
            <w:r w:rsidR="003E1B97" w:rsidRPr="003655BA">
              <w:rPr>
                <w:rFonts w:ascii="Times New Roman" w:hAnsi="Times New Roman" w:cs="Times New Roman"/>
                <w:noProof/>
                <w:webHidden/>
                <w:sz w:val="24"/>
                <w:szCs w:val="24"/>
              </w:rPr>
              <w:t>17</w:t>
            </w:r>
            <w:r w:rsidR="003E1B97" w:rsidRPr="003655BA">
              <w:rPr>
                <w:rFonts w:ascii="Times New Roman" w:hAnsi="Times New Roman" w:cs="Times New Roman"/>
                <w:noProof/>
                <w:webHidden/>
                <w:sz w:val="24"/>
                <w:szCs w:val="24"/>
              </w:rPr>
              <w:fldChar w:fldCharType="end"/>
            </w:r>
          </w:hyperlink>
        </w:p>
        <w:p w14:paraId="49FD0AA2" w14:textId="77777777" w:rsidR="005569B3" w:rsidRPr="003655BA" w:rsidRDefault="005569B3" w:rsidP="003E1B97">
          <w:pPr>
            <w:spacing w:before="240" w:line="360" w:lineRule="auto"/>
            <w:jc w:val="both"/>
            <w:rPr>
              <w:rFonts w:ascii="Times New Roman" w:hAnsi="Times New Roman" w:cs="Times New Roman"/>
              <w:sz w:val="24"/>
              <w:szCs w:val="24"/>
            </w:rPr>
          </w:pPr>
          <w:r w:rsidRPr="003655BA">
            <w:rPr>
              <w:rFonts w:ascii="Times New Roman" w:hAnsi="Times New Roman" w:cs="Times New Roman"/>
              <w:b/>
              <w:bCs/>
              <w:noProof/>
              <w:sz w:val="24"/>
              <w:szCs w:val="24"/>
            </w:rPr>
            <w:fldChar w:fldCharType="end"/>
          </w:r>
        </w:p>
      </w:sdtContent>
    </w:sdt>
    <w:p w14:paraId="0B8DC3AB" w14:textId="77777777" w:rsidR="0014254D" w:rsidRPr="003655BA" w:rsidRDefault="0014254D" w:rsidP="00D06125">
      <w:pPr>
        <w:spacing w:before="240" w:line="360" w:lineRule="auto"/>
        <w:jc w:val="center"/>
        <w:rPr>
          <w:rFonts w:ascii="Times New Roman" w:hAnsi="Times New Roman" w:cs="Times New Roman"/>
          <w:sz w:val="24"/>
        </w:rPr>
      </w:pPr>
    </w:p>
    <w:p w14:paraId="5898304A" w14:textId="77777777" w:rsidR="0014254D" w:rsidRPr="003655BA" w:rsidRDefault="0014254D">
      <w:pPr>
        <w:rPr>
          <w:rFonts w:ascii="Times New Roman" w:hAnsi="Times New Roman" w:cs="Times New Roman"/>
          <w:sz w:val="32"/>
        </w:rPr>
      </w:pPr>
      <w:r w:rsidRPr="003655BA">
        <w:rPr>
          <w:rFonts w:ascii="Times New Roman" w:hAnsi="Times New Roman" w:cs="Times New Roman"/>
          <w:sz w:val="32"/>
        </w:rPr>
        <w:br w:type="page"/>
      </w:r>
    </w:p>
    <w:p w14:paraId="6181776C" w14:textId="77777777" w:rsidR="002522B6" w:rsidRPr="003655BA" w:rsidRDefault="00757A88" w:rsidP="008F66FE">
      <w:pPr>
        <w:pStyle w:val="Heading1"/>
        <w:rPr>
          <w:lang w:val="en-GB"/>
        </w:rPr>
      </w:pPr>
      <w:bookmarkStart w:id="0" w:name="_Toc143351287"/>
      <w:r w:rsidRPr="003655BA">
        <w:rPr>
          <w:lang w:val="en-GB"/>
        </w:rPr>
        <w:lastRenderedPageBreak/>
        <w:t xml:space="preserve">1. </w:t>
      </w:r>
      <w:r w:rsidR="002522B6" w:rsidRPr="003655BA">
        <w:rPr>
          <w:lang w:val="en-GB"/>
        </w:rPr>
        <w:t>Introduction</w:t>
      </w:r>
      <w:bookmarkEnd w:id="0"/>
      <w:r w:rsidR="002522B6" w:rsidRPr="003655BA">
        <w:rPr>
          <w:lang w:val="en-GB"/>
        </w:rPr>
        <w:t xml:space="preserve"> </w:t>
      </w:r>
    </w:p>
    <w:p w14:paraId="3ECF63B2" w14:textId="77777777" w:rsidR="00757A88" w:rsidRPr="003655BA" w:rsidRDefault="00757A88" w:rsidP="008F66FE">
      <w:pPr>
        <w:pStyle w:val="Heading2"/>
        <w:rPr>
          <w:lang w:val="en-GB"/>
        </w:rPr>
      </w:pPr>
      <w:bookmarkStart w:id="1" w:name="_Toc143351288"/>
      <w:r w:rsidRPr="003655BA">
        <w:rPr>
          <w:lang w:val="en-GB"/>
        </w:rPr>
        <w:t>1.1 A brief overview of the 2008 financial crisis and its impact on global and UK financial systems.</w:t>
      </w:r>
      <w:bookmarkEnd w:id="1"/>
    </w:p>
    <w:p w14:paraId="35306800" w14:textId="77777777" w:rsidR="0079369E" w:rsidRPr="003655BA"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Global economies were affected by the 2008 financial crisis, which also left a long-lasting mark on financial systems everywhere</w:t>
      </w:r>
      <w:r w:rsidR="000560C0">
        <w:rPr>
          <w:rFonts w:ascii="Times New Roman" w:eastAsia="Times New Roman" w:hAnsi="Times New Roman" w:cs="Times New Roman"/>
          <w:sz w:val="24"/>
          <w:szCs w:val="24"/>
        </w:rPr>
        <w:t xml:space="preserve"> (Marcu, </w:t>
      </w:r>
      <w:r w:rsidR="000560C0" w:rsidRPr="000560C0">
        <w:rPr>
          <w:rFonts w:ascii="Times New Roman" w:eastAsia="Times New Roman" w:hAnsi="Times New Roman" w:cs="Times New Roman"/>
          <w:sz w:val="24"/>
          <w:szCs w:val="24"/>
        </w:rPr>
        <w:t>2021)</w:t>
      </w:r>
      <w:r w:rsidRPr="003655BA">
        <w:rPr>
          <w:rFonts w:ascii="Times New Roman" w:eastAsia="Times New Roman" w:hAnsi="Times New Roman" w:cs="Times New Roman"/>
          <w:sz w:val="24"/>
          <w:szCs w:val="24"/>
        </w:rPr>
        <w:t>. The crisis in the UK highlighted the need for extensive measures to support stability and fend off further unrest. Barclays Plc, a well-known organisation severely impacted by the crisis and subsequent reforms, had a central position in the UK financial landscape.</w:t>
      </w:r>
    </w:p>
    <w:p w14:paraId="1D1294A7" w14:textId="77777777" w:rsidR="0079369E" w:rsidRPr="003655BA"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crisis, which was brought on by the real estate market collapse and made worse by mortgages that had not been properly vetted, sent shockwaves across industrialised countries equal to those seen during the Great Depression. In response, UK government officials immediately passed legislation to strengthen the financial industry</w:t>
      </w:r>
      <w:r w:rsidR="00C70628">
        <w:rPr>
          <w:rFonts w:ascii="Times New Roman" w:eastAsia="Times New Roman" w:hAnsi="Times New Roman" w:cs="Times New Roman"/>
          <w:sz w:val="24"/>
          <w:szCs w:val="24"/>
        </w:rPr>
        <w:t xml:space="preserve"> (</w:t>
      </w:r>
      <w:r w:rsidR="00C70628" w:rsidRPr="00C70628">
        <w:rPr>
          <w:rFonts w:ascii="Times New Roman" w:eastAsia="Times New Roman" w:hAnsi="Times New Roman" w:cs="Times New Roman"/>
          <w:sz w:val="24"/>
          <w:szCs w:val="24"/>
        </w:rPr>
        <w:t>McKillop</w:t>
      </w:r>
      <w:r w:rsidR="00C70628">
        <w:rPr>
          <w:rFonts w:ascii="Times New Roman" w:eastAsia="Times New Roman" w:hAnsi="Times New Roman" w:cs="Times New Roman"/>
          <w:sz w:val="24"/>
          <w:szCs w:val="24"/>
        </w:rPr>
        <w:t xml:space="preserve"> </w:t>
      </w:r>
      <w:r w:rsidR="00C70628">
        <w:rPr>
          <w:rFonts w:ascii="Times New Roman" w:eastAsia="Times New Roman" w:hAnsi="Times New Roman" w:cs="Times New Roman"/>
          <w:i/>
          <w:iCs/>
          <w:sz w:val="24"/>
          <w:szCs w:val="24"/>
        </w:rPr>
        <w:t>et al.</w:t>
      </w:r>
      <w:r w:rsidR="00C70628">
        <w:rPr>
          <w:rFonts w:ascii="Times New Roman" w:eastAsia="Times New Roman" w:hAnsi="Times New Roman" w:cs="Times New Roman"/>
          <w:sz w:val="24"/>
          <w:szCs w:val="24"/>
        </w:rPr>
        <w:t xml:space="preserve"> 2020)</w:t>
      </w:r>
      <w:r w:rsidRPr="003655BA">
        <w:rPr>
          <w:rFonts w:ascii="Times New Roman" w:eastAsia="Times New Roman" w:hAnsi="Times New Roman" w:cs="Times New Roman"/>
          <w:sz w:val="24"/>
          <w:szCs w:val="24"/>
        </w:rPr>
        <w:t>. Rigorous steps to improve resilience were established by the Financial Services Act and Banking Reform Act, including the ring-fencing separation of retail and investment banking</w:t>
      </w:r>
      <w:r w:rsidR="00BA2B1F">
        <w:rPr>
          <w:rFonts w:ascii="Times New Roman" w:eastAsia="Times New Roman" w:hAnsi="Times New Roman" w:cs="Times New Roman"/>
          <w:sz w:val="24"/>
          <w:szCs w:val="24"/>
        </w:rPr>
        <w:t xml:space="preserve"> (</w:t>
      </w:r>
      <w:proofErr w:type="spellStart"/>
      <w:r w:rsidR="00BA2B1F">
        <w:rPr>
          <w:rFonts w:ascii="Times New Roman" w:eastAsia="Times New Roman" w:hAnsi="Times New Roman" w:cs="Times New Roman"/>
          <w:sz w:val="24"/>
          <w:szCs w:val="24"/>
        </w:rPr>
        <w:t>Nabilou</w:t>
      </w:r>
      <w:proofErr w:type="spellEnd"/>
      <w:r w:rsidR="00BA2B1F">
        <w:rPr>
          <w:rFonts w:ascii="Times New Roman" w:eastAsia="Times New Roman" w:hAnsi="Times New Roman" w:cs="Times New Roman"/>
          <w:sz w:val="24"/>
          <w:szCs w:val="24"/>
        </w:rPr>
        <w:t>, 2021</w:t>
      </w:r>
      <w:r w:rsidR="00BA2B1F" w:rsidRPr="00BA2B1F">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When compared to pre-crisis levels, Barclays' capital</w:t>
      </w:r>
      <w:r w:rsidR="00B06D3E">
        <w:rPr>
          <w:rFonts w:ascii="Times New Roman" w:eastAsia="Times New Roman" w:hAnsi="Times New Roman" w:cs="Times New Roman"/>
          <w:sz w:val="24"/>
          <w:szCs w:val="24"/>
        </w:rPr>
        <w:t xml:space="preserve"> adequacy ratio by 2022 was 13.9</w:t>
      </w:r>
      <w:r w:rsidRPr="003655BA">
        <w:rPr>
          <w:rFonts w:ascii="Times New Roman" w:eastAsia="Times New Roman" w:hAnsi="Times New Roman" w:cs="Times New Roman"/>
          <w:sz w:val="24"/>
          <w:szCs w:val="24"/>
        </w:rPr>
        <w:t>%</w:t>
      </w:r>
      <w:r w:rsidR="007A7F40">
        <w:rPr>
          <w:rFonts w:ascii="Times New Roman" w:eastAsia="Times New Roman" w:hAnsi="Times New Roman" w:cs="Times New Roman"/>
          <w:sz w:val="24"/>
          <w:szCs w:val="24"/>
        </w:rPr>
        <w:t xml:space="preserve"> (“</w:t>
      </w:r>
      <w:r w:rsidR="007A7F40" w:rsidRPr="007A7F40">
        <w:rPr>
          <w:rFonts w:ascii="Times New Roman" w:eastAsia="Times New Roman" w:hAnsi="Times New Roman" w:cs="Times New Roman"/>
          <w:sz w:val="24"/>
          <w:szCs w:val="24"/>
        </w:rPr>
        <w:t>13.7% excluding the IFRS 9 transitional relief</w:t>
      </w:r>
      <w:r w:rsidR="007A7F40">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showing a considerable improvement</w:t>
      </w:r>
      <w:r w:rsidR="00824E71">
        <w:rPr>
          <w:rFonts w:ascii="Times New Roman" w:eastAsia="Times New Roman" w:hAnsi="Times New Roman" w:cs="Times New Roman"/>
          <w:sz w:val="24"/>
          <w:szCs w:val="24"/>
        </w:rPr>
        <w:t xml:space="preserve"> (Barclays, 2023)</w:t>
      </w:r>
      <w:r w:rsidRPr="003655BA">
        <w:rPr>
          <w:rFonts w:ascii="Times New Roman" w:eastAsia="Times New Roman" w:hAnsi="Times New Roman" w:cs="Times New Roman"/>
          <w:sz w:val="24"/>
          <w:szCs w:val="24"/>
        </w:rPr>
        <w:t>.</w:t>
      </w:r>
    </w:p>
    <w:p w14:paraId="6CDD9D89" w14:textId="77777777" w:rsidR="0085759B" w:rsidRPr="003655BA" w:rsidRDefault="0085759B" w:rsidP="008F66FE">
      <w:pPr>
        <w:pStyle w:val="Heading2"/>
        <w:rPr>
          <w:lang w:val="en-GB"/>
        </w:rPr>
      </w:pPr>
      <w:bookmarkStart w:id="2" w:name="_Toc143351289"/>
      <w:r w:rsidRPr="003655BA">
        <w:rPr>
          <w:lang w:val="en-GB"/>
        </w:rPr>
        <w:t xml:space="preserve">1.2 Introduction to Barclays Plc and its </w:t>
      </w:r>
      <w:r w:rsidR="00807FA5" w:rsidRPr="003655BA">
        <w:rPr>
          <w:lang w:val="en-GB"/>
        </w:rPr>
        <w:t>role in the UK financial sector</w:t>
      </w:r>
      <w:bookmarkEnd w:id="2"/>
    </w:p>
    <w:p w14:paraId="0CF18CEE" w14:textId="77777777" w:rsidR="0079369E" w:rsidRPr="003655BA"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A major participant in the UK financial sector, Barclays Plc, had to negotiate a new regulatory environment. The bank started a long path to conform to the new standards. It completely changed its business strategy, selling non-core businesses and concentrating on key operations. Significant reorganisation was required to comply with PRA and FCA regulations, creating a more streamlined, risk-aware institution. But this change </w:t>
      </w:r>
      <w:proofErr w:type="gramStart"/>
      <w:r w:rsidRPr="003655BA">
        <w:rPr>
          <w:rFonts w:ascii="Times New Roman" w:eastAsia="Times New Roman" w:hAnsi="Times New Roman" w:cs="Times New Roman"/>
          <w:sz w:val="24"/>
          <w:szCs w:val="24"/>
        </w:rPr>
        <w:t>wasn't</w:t>
      </w:r>
      <w:proofErr w:type="gramEnd"/>
      <w:r w:rsidRPr="003655BA">
        <w:rPr>
          <w:rFonts w:ascii="Times New Roman" w:eastAsia="Times New Roman" w:hAnsi="Times New Roman" w:cs="Times New Roman"/>
          <w:sz w:val="24"/>
          <w:szCs w:val="24"/>
        </w:rPr>
        <w:t xml:space="preserve"> without its difficulties. Barclays </w:t>
      </w:r>
      <w:proofErr w:type="gramStart"/>
      <w:r w:rsidRPr="003655BA">
        <w:rPr>
          <w:rFonts w:ascii="Times New Roman" w:eastAsia="Times New Roman" w:hAnsi="Times New Roman" w:cs="Times New Roman"/>
          <w:sz w:val="24"/>
          <w:szCs w:val="24"/>
        </w:rPr>
        <w:t>has to</w:t>
      </w:r>
      <w:proofErr w:type="gramEnd"/>
      <w:r w:rsidRPr="003655BA">
        <w:rPr>
          <w:rFonts w:ascii="Times New Roman" w:eastAsia="Times New Roman" w:hAnsi="Times New Roman" w:cs="Times New Roman"/>
          <w:sz w:val="24"/>
          <w:szCs w:val="24"/>
        </w:rPr>
        <w:t xml:space="preserve"> strike a careful balance between compliance and competitiveness due to rising operational expenses and complexity.</w:t>
      </w:r>
    </w:p>
    <w:p w14:paraId="29B83930" w14:textId="77777777" w:rsidR="00BC7A41"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changes supported a more stable financial environment by imposing stricter risk management rules and raising capital requirements. Retail businesses' ring-fencing created obstacles to prevent the hazards of investment banking from spreading. </w:t>
      </w:r>
    </w:p>
    <w:p w14:paraId="1B76BF28" w14:textId="77777777" w:rsidR="00BC7A41" w:rsidRDefault="00BC7A41" w:rsidP="00E920B9">
      <w:pPr>
        <w:spacing w:before="200" w:after="200" w:line="360" w:lineRule="auto"/>
        <w:jc w:val="center"/>
        <w:rPr>
          <w:rFonts w:ascii="Times New Roman" w:eastAsia="Times New Roman" w:hAnsi="Times New Roman" w:cs="Times New Roman"/>
          <w:sz w:val="24"/>
          <w:szCs w:val="24"/>
        </w:rPr>
      </w:pPr>
      <w:r w:rsidRPr="00BC7A41">
        <w:rPr>
          <w:rFonts w:ascii="Times New Roman" w:eastAsia="Times New Roman" w:hAnsi="Times New Roman" w:cs="Times New Roman"/>
          <w:noProof/>
          <w:sz w:val="24"/>
          <w:szCs w:val="24"/>
        </w:rPr>
        <w:lastRenderedPageBreak/>
        <w:drawing>
          <wp:inline distT="0" distB="0" distL="0" distR="0" wp14:anchorId="45AA1E17" wp14:editId="2A5138CA">
            <wp:extent cx="5943600" cy="3406775"/>
            <wp:effectExtent l="76200" t="76200" r="133350" b="136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06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901768" w14:textId="77777777" w:rsidR="00BC7A41" w:rsidRPr="00E920B9" w:rsidRDefault="00BC7A41" w:rsidP="00E920B9">
      <w:pPr>
        <w:spacing w:before="200" w:after="200" w:line="360" w:lineRule="auto"/>
        <w:jc w:val="center"/>
        <w:rPr>
          <w:rFonts w:ascii="Times New Roman" w:eastAsia="Times New Roman" w:hAnsi="Times New Roman" w:cs="Times New Roman"/>
          <w:b/>
          <w:bCs/>
          <w:sz w:val="24"/>
          <w:szCs w:val="24"/>
        </w:rPr>
      </w:pPr>
      <w:r w:rsidRPr="00E920B9">
        <w:rPr>
          <w:rFonts w:ascii="Times New Roman" w:eastAsia="Times New Roman" w:hAnsi="Times New Roman" w:cs="Times New Roman"/>
          <w:b/>
          <w:bCs/>
          <w:sz w:val="24"/>
          <w:szCs w:val="24"/>
        </w:rPr>
        <w:t>Figure: The several ration rates of UK banks as per fiscal year 2022</w:t>
      </w:r>
    </w:p>
    <w:p w14:paraId="73DEBB42" w14:textId="77777777" w:rsidR="00BC7A41" w:rsidRDefault="00BC7A41" w:rsidP="00E920B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E920B9" w:rsidRPr="00E920B9">
        <w:rPr>
          <w:rFonts w:ascii="Times New Roman" w:eastAsia="Times New Roman" w:hAnsi="Times New Roman" w:cs="Times New Roman"/>
          <w:sz w:val="24"/>
          <w:szCs w:val="24"/>
        </w:rPr>
        <w:t>Bank of England, 2023</w:t>
      </w:r>
      <w:r>
        <w:rPr>
          <w:rFonts w:ascii="Times New Roman" w:eastAsia="Times New Roman" w:hAnsi="Times New Roman" w:cs="Times New Roman"/>
          <w:sz w:val="24"/>
          <w:szCs w:val="24"/>
        </w:rPr>
        <w:t>)</w:t>
      </w:r>
    </w:p>
    <w:p w14:paraId="42C2C1F2" w14:textId="77777777" w:rsidR="0079369E" w:rsidRPr="003655BA" w:rsidRDefault="001971FD" w:rsidP="0079369E">
      <w:pPr>
        <w:spacing w:before="200" w:after="200" w:line="360" w:lineRule="auto"/>
        <w:jc w:val="both"/>
        <w:rPr>
          <w:rFonts w:ascii="Times New Roman" w:eastAsia="Times New Roman" w:hAnsi="Times New Roman" w:cs="Times New Roman"/>
          <w:sz w:val="24"/>
          <w:szCs w:val="24"/>
        </w:rPr>
      </w:pPr>
      <w:r w:rsidRPr="001971FD">
        <w:rPr>
          <w:rFonts w:ascii="Times New Roman" w:eastAsia="Times New Roman" w:hAnsi="Times New Roman" w:cs="Times New Roman"/>
          <w:sz w:val="24"/>
          <w:szCs w:val="24"/>
        </w:rPr>
        <w:t xml:space="preserve">During the duration of the quarter, British banks saw a rise in their Common Equity Tier 1 (CET1) capital ratio by 0.4 percentage points, resulting in a final value of 16.1 </w:t>
      </w:r>
      <w:r w:rsidR="00E2207E">
        <w:rPr>
          <w:rFonts w:ascii="Times New Roman" w:eastAsia="Times New Roman" w:hAnsi="Times New Roman" w:cs="Times New Roman"/>
          <w:sz w:val="24"/>
          <w:szCs w:val="24"/>
        </w:rPr>
        <w:t>per cent</w:t>
      </w:r>
      <w:r w:rsidRPr="001971F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1971FD">
        <w:rPr>
          <w:rFonts w:ascii="Times New Roman" w:eastAsia="Times New Roman" w:hAnsi="Times New Roman" w:cs="Times New Roman"/>
          <w:sz w:val="24"/>
          <w:szCs w:val="24"/>
        </w:rPr>
        <w:t>During the duration of the quarter, there was a 3.7% decline in CET1 capital</w:t>
      </w:r>
      <w:r w:rsidR="00800483">
        <w:rPr>
          <w:rFonts w:ascii="Times New Roman" w:eastAsia="Times New Roman" w:hAnsi="Times New Roman" w:cs="Times New Roman"/>
          <w:sz w:val="24"/>
          <w:szCs w:val="24"/>
        </w:rPr>
        <w:t xml:space="preserve"> in fiscal year 2022</w:t>
      </w:r>
      <w:r w:rsidRPr="001971FD">
        <w:rPr>
          <w:rFonts w:ascii="Times New Roman" w:eastAsia="Times New Roman" w:hAnsi="Times New Roman" w:cs="Times New Roman"/>
          <w:sz w:val="24"/>
          <w:szCs w:val="24"/>
        </w:rPr>
        <w:t>, which went from £490 billion to £472 billion.</w:t>
      </w:r>
      <w:r>
        <w:rPr>
          <w:rFonts w:ascii="Times New Roman" w:eastAsia="Times New Roman" w:hAnsi="Times New Roman" w:cs="Times New Roman"/>
          <w:sz w:val="24"/>
          <w:szCs w:val="24"/>
        </w:rPr>
        <w:t xml:space="preserve"> </w:t>
      </w:r>
      <w:r w:rsidRPr="001971FD">
        <w:rPr>
          <w:rFonts w:ascii="Times New Roman" w:eastAsia="Times New Roman" w:hAnsi="Times New Roman" w:cs="Times New Roman"/>
          <w:sz w:val="24"/>
          <w:szCs w:val="24"/>
        </w:rPr>
        <w:t>In the third quarter, there was a 6.1% fall in total risk-weighted assets, which declined from £3,132 billion to £2,940 billion</w:t>
      </w:r>
      <w:r w:rsidR="00CE2289">
        <w:rPr>
          <w:rFonts w:ascii="Times New Roman" w:eastAsia="Times New Roman" w:hAnsi="Times New Roman" w:cs="Times New Roman"/>
          <w:sz w:val="24"/>
          <w:szCs w:val="24"/>
        </w:rPr>
        <w:t xml:space="preserve"> (Bank of England, 2023)</w:t>
      </w:r>
      <w:r w:rsidRPr="001971FD">
        <w:rPr>
          <w:rFonts w:ascii="Times New Roman" w:eastAsia="Times New Roman" w:hAnsi="Times New Roman" w:cs="Times New Roman"/>
          <w:sz w:val="24"/>
          <w:szCs w:val="24"/>
        </w:rPr>
        <w:t>.</w:t>
      </w:r>
    </w:p>
    <w:p w14:paraId="44973B34" w14:textId="77777777" w:rsidR="0079369E" w:rsidRPr="003655BA"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post-reform trajectory of Barclays Plc showed appreciable development. The bank's profitability and risk management increased while accepting regulatory changes, which is reflected in its consistent credit ratings and better market position. The changing environment did, however, bring forth enduring difficulties, such as adjusting to shifting regulatory dynamics and technology changes.</w:t>
      </w:r>
    </w:p>
    <w:p w14:paraId="78C70F02" w14:textId="77777777" w:rsidR="0079369E" w:rsidRPr="003655BA" w:rsidRDefault="0079369E" w:rsidP="0079369E">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As a result of the 2008 financial crisis, the UK financial sector underwent </w:t>
      </w:r>
      <w:r w:rsidR="00FF200B" w:rsidRPr="003655BA">
        <w:rPr>
          <w:rFonts w:ascii="Times New Roman" w:eastAsia="Times New Roman" w:hAnsi="Times New Roman" w:cs="Times New Roman"/>
          <w:sz w:val="24"/>
          <w:szCs w:val="24"/>
        </w:rPr>
        <w:t xml:space="preserve">a </w:t>
      </w:r>
      <w:r w:rsidRPr="003655BA">
        <w:rPr>
          <w:rFonts w:ascii="Times New Roman" w:eastAsia="Times New Roman" w:hAnsi="Times New Roman" w:cs="Times New Roman"/>
          <w:sz w:val="24"/>
          <w:szCs w:val="24"/>
        </w:rPr>
        <w:t>significant transformation, which changed organisations like Barclays Plc</w:t>
      </w:r>
      <w:r w:rsidR="00BD6C54">
        <w:rPr>
          <w:rFonts w:ascii="Times New Roman" w:eastAsia="Times New Roman" w:hAnsi="Times New Roman" w:cs="Times New Roman"/>
          <w:sz w:val="24"/>
          <w:szCs w:val="24"/>
        </w:rPr>
        <w:t xml:space="preserve"> (</w:t>
      </w:r>
      <w:proofErr w:type="spellStart"/>
      <w:r w:rsidR="00BD6C54">
        <w:rPr>
          <w:rFonts w:ascii="Times New Roman" w:eastAsia="Times New Roman" w:hAnsi="Times New Roman" w:cs="Times New Roman"/>
          <w:sz w:val="24"/>
          <w:szCs w:val="24"/>
        </w:rPr>
        <w:t>Miklaszewska</w:t>
      </w:r>
      <w:proofErr w:type="spellEnd"/>
      <w:r w:rsidR="00BD6C54">
        <w:rPr>
          <w:rFonts w:ascii="Times New Roman" w:eastAsia="Times New Roman" w:hAnsi="Times New Roman" w:cs="Times New Roman"/>
          <w:sz w:val="24"/>
          <w:szCs w:val="24"/>
        </w:rPr>
        <w:t xml:space="preserve"> </w:t>
      </w:r>
      <w:r w:rsidR="00BD6C54">
        <w:rPr>
          <w:rFonts w:ascii="Times New Roman" w:eastAsia="Times New Roman" w:hAnsi="Times New Roman" w:cs="Times New Roman"/>
          <w:i/>
          <w:iCs/>
          <w:sz w:val="24"/>
          <w:szCs w:val="24"/>
        </w:rPr>
        <w:t>et al.</w:t>
      </w:r>
      <w:r w:rsidR="00BD6C54">
        <w:rPr>
          <w:rFonts w:ascii="Times New Roman" w:eastAsia="Times New Roman" w:hAnsi="Times New Roman" w:cs="Times New Roman"/>
          <w:sz w:val="24"/>
          <w:szCs w:val="24"/>
        </w:rPr>
        <w:t xml:space="preserve"> 2021</w:t>
      </w:r>
      <w:r w:rsidR="00BD6C54" w:rsidRPr="00BD6C54">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The bank's path to compliance and adaptation not only increased its adaptability but also helped achieve </w:t>
      </w:r>
      <w:r w:rsidRPr="003655BA">
        <w:rPr>
          <w:rFonts w:ascii="Times New Roman" w:eastAsia="Times New Roman" w:hAnsi="Times New Roman" w:cs="Times New Roman"/>
          <w:sz w:val="24"/>
          <w:szCs w:val="24"/>
        </w:rPr>
        <w:lastRenderedPageBreak/>
        <w:t xml:space="preserve">the broader objective of bringing stability back to the financial environment. The changes </w:t>
      </w:r>
      <w:r w:rsidR="00D96CCA" w:rsidRPr="003655BA">
        <w:rPr>
          <w:rFonts w:ascii="Times New Roman" w:eastAsia="Times New Roman" w:hAnsi="Times New Roman" w:cs="Times New Roman"/>
          <w:sz w:val="24"/>
          <w:szCs w:val="24"/>
        </w:rPr>
        <w:t>signalled</w:t>
      </w:r>
      <w:r w:rsidRPr="003655BA">
        <w:rPr>
          <w:rFonts w:ascii="Times New Roman" w:eastAsia="Times New Roman" w:hAnsi="Times New Roman" w:cs="Times New Roman"/>
          <w:sz w:val="24"/>
          <w:szCs w:val="24"/>
        </w:rPr>
        <w:t xml:space="preserve"> a sea change by placing an emphasis on caution, openness, and a stronger financial foundation.</w:t>
      </w:r>
    </w:p>
    <w:p w14:paraId="0797A6C2" w14:textId="77777777" w:rsidR="002522B6" w:rsidRPr="003655BA" w:rsidRDefault="00F63FB2" w:rsidP="008F66FE">
      <w:pPr>
        <w:pStyle w:val="Heading1"/>
        <w:rPr>
          <w:lang w:val="en-GB"/>
        </w:rPr>
      </w:pPr>
      <w:bookmarkStart w:id="3" w:name="_Toc143351290"/>
      <w:r w:rsidRPr="003655BA">
        <w:rPr>
          <w:lang w:val="en-GB"/>
        </w:rPr>
        <w:t xml:space="preserve">2. </w:t>
      </w:r>
      <w:r w:rsidR="002522B6" w:rsidRPr="003655BA">
        <w:rPr>
          <w:lang w:val="en-GB"/>
        </w:rPr>
        <w:t xml:space="preserve">Post-Crisis Reforms by UK Authorities </w:t>
      </w:r>
      <w:bookmarkEnd w:id="3"/>
    </w:p>
    <w:p w14:paraId="5FE50AA9" w14:textId="77777777" w:rsidR="002522B6" w:rsidRPr="003655BA" w:rsidRDefault="00F63FB2" w:rsidP="008F66FE">
      <w:pPr>
        <w:pStyle w:val="Heading2"/>
        <w:rPr>
          <w:lang w:val="en-GB"/>
        </w:rPr>
      </w:pPr>
      <w:bookmarkStart w:id="4" w:name="_Toc143351291"/>
      <w:r w:rsidRPr="003655BA">
        <w:rPr>
          <w:lang w:val="en-GB"/>
        </w:rPr>
        <w:t xml:space="preserve">2.1 The </w:t>
      </w:r>
      <w:r w:rsidR="002522B6" w:rsidRPr="003655BA">
        <w:rPr>
          <w:lang w:val="en-GB"/>
        </w:rPr>
        <w:t xml:space="preserve">key reforms enacted by </w:t>
      </w:r>
      <w:r w:rsidR="00B95536" w:rsidRPr="003655BA">
        <w:rPr>
          <w:lang w:val="en-GB"/>
        </w:rPr>
        <w:t>UK authorities post-2008 crisis</w:t>
      </w:r>
      <w:r w:rsidR="00DC44C1">
        <w:rPr>
          <w:lang w:val="en-GB"/>
        </w:rPr>
        <w:t>:</w:t>
      </w:r>
      <w:r w:rsidR="00B95536" w:rsidRPr="003655BA">
        <w:rPr>
          <w:lang w:val="en-GB"/>
        </w:rPr>
        <w:t xml:space="preserve"> </w:t>
      </w:r>
      <w:r w:rsidR="00DC44C1" w:rsidRPr="003655BA">
        <w:rPr>
          <w:lang w:val="en-GB"/>
        </w:rPr>
        <w:t>an</w:t>
      </w:r>
      <w:r w:rsidR="00B95536" w:rsidRPr="003655BA">
        <w:rPr>
          <w:lang w:val="en-GB"/>
        </w:rPr>
        <w:t xml:space="preserve"> overview of the regulations</w:t>
      </w:r>
      <w:bookmarkEnd w:id="4"/>
    </w:p>
    <w:p w14:paraId="70D6D959" w14:textId="77777777" w:rsidR="00B95536" w:rsidRPr="003655BA" w:rsidRDefault="00B95536" w:rsidP="00B95536">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Following the seismic shockwaves of the financial crisis of 2008, UK authorities moved quickly to implement a variety of radical changes in order to restore stability and resilience to the financial industry. The Financial Services Act, the Banking Reform Act, rules imposed by the Prudential Regulation Authority (PRA), and regulations imposed by the Financial Conduct Authority (FCA) will be the primary emphasis areas as a result of these crucial developments, which will pave the way for a banking environment that is more secure and responsible</w:t>
      </w:r>
      <w:r w:rsidR="002740A6">
        <w:rPr>
          <w:rFonts w:ascii="Times New Roman" w:eastAsia="Times New Roman" w:hAnsi="Times New Roman" w:cs="Times New Roman"/>
          <w:sz w:val="24"/>
          <w:szCs w:val="24"/>
        </w:rPr>
        <w:t xml:space="preserve"> (Von Solms, </w:t>
      </w:r>
      <w:r w:rsidR="002740A6" w:rsidRPr="002740A6">
        <w:rPr>
          <w:rFonts w:ascii="Times New Roman" w:eastAsia="Times New Roman" w:hAnsi="Times New Roman" w:cs="Times New Roman"/>
          <w:sz w:val="24"/>
          <w:szCs w:val="24"/>
        </w:rPr>
        <w:t>2021</w:t>
      </w:r>
      <w:r w:rsidR="002740A6">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p>
    <w:p w14:paraId="7D5D1102" w14:textId="77777777" w:rsidR="00B95536" w:rsidRPr="003655BA" w:rsidRDefault="00B95536" w:rsidP="00B95536">
      <w:pPr>
        <w:spacing w:before="200" w:after="200" w:line="360" w:lineRule="auto"/>
        <w:jc w:val="both"/>
        <w:rPr>
          <w:rFonts w:ascii="Times New Roman" w:eastAsia="Times New Roman" w:hAnsi="Times New Roman" w:cs="Times New Roman"/>
          <w:sz w:val="24"/>
          <w:szCs w:val="24"/>
        </w:rPr>
      </w:pPr>
      <w:proofErr w:type="gramStart"/>
      <w:r w:rsidRPr="003655BA">
        <w:rPr>
          <w:rFonts w:ascii="Times New Roman" w:eastAsia="Times New Roman" w:hAnsi="Times New Roman" w:cs="Times New Roman"/>
          <w:sz w:val="24"/>
          <w:szCs w:val="24"/>
        </w:rPr>
        <w:t>In the course of</w:t>
      </w:r>
      <w:proofErr w:type="gramEnd"/>
      <w:r w:rsidRPr="003655BA">
        <w:rPr>
          <w:rFonts w:ascii="Times New Roman" w:eastAsia="Times New Roman" w:hAnsi="Times New Roman" w:cs="Times New Roman"/>
          <w:sz w:val="24"/>
          <w:szCs w:val="24"/>
        </w:rPr>
        <w:t xml:space="preserve"> the process of reformation, the Financial Services Act of 2012 emerged as a crucial pillar because of its ability to strengthen market integrity and improve protections for consumers. This law, which was led by the recommendations of the Financial Stability Board, put major powers onto the Financial Conduct Authority, which had just been founded at the time. The Financial Conduct Authority (FCA) was tasked with ensuring the integrity of the market and protecting customers</w:t>
      </w:r>
      <w:r w:rsidR="008818E3">
        <w:rPr>
          <w:rFonts w:ascii="Times New Roman" w:eastAsia="Times New Roman" w:hAnsi="Times New Roman" w:cs="Times New Roman"/>
          <w:sz w:val="24"/>
          <w:szCs w:val="24"/>
        </w:rPr>
        <w:t xml:space="preserve"> (</w:t>
      </w:r>
      <w:proofErr w:type="spellStart"/>
      <w:r w:rsidR="008818E3" w:rsidRPr="008818E3">
        <w:rPr>
          <w:rFonts w:ascii="Times New Roman" w:eastAsia="Times New Roman" w:hAnsi="Times New Roman" w:cs="Times New Roman"/>
          <w:sz w:val="24"/>
          <w:szCs w:val="24"/>
        </w:rPr>
        <w:t>Shavshu</w:t>
      </w:r>
      <w:r w:rsidR="008818E3">
        <w:rPr>
          <w:rFonts w:ascii="Times New Roman" w:eastAsia="Times New Roman" w:hAnsi="Times New Roman" w:cs="Times New Roman"/>
          <w:sz w:val="24"/>
          <w:szCs w:val="24"/>
        </w:rPr>
        <w:t>kov</w:t>
      </w:r>
      <w:proofErr w:type="spellEnd"/>
      <w:r w:rsidR="008818E3">
        <w:rPr>
          <w:rFonts w:ascii="Times New Roman" w:eastAsia="Times New Roman" w:hAnsi="Times New Roman" w:cs="Times New Roman"/>
          <w:sz w:val="24"/>
          <w:szCs w:val="24"/>
        </w:rPr>
        <w:t xml:space="preserve"> and Zhuravleva, </w:t>
      </w:r>
      <w:r w:rsidR="008818E3" w:rsidRPr="008818E3">
        <w:rPr>
          <w:rFonts w:ascii="Times New Roman" w:eastAsia="Times New Roman" w:hAnsi="Times New Roman" w:cs="Times New Roman"/>
          <w:sz w:val="24"/>
          <w:szCs w:val="24"/>
        </w:rPr>
        <w:t>2023</w:t>
      </w:r>
      <w:r w:rsidR="008818E3">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As part of this mission, the FCA implemented stringent monitoring, which included a crackdown on </w:t>
      </w:r>
      <w:r w:rsidR="0026508B"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xml:space="preserve"> that were deceptive and the promotion of openness among financial goods.</w:t>
      </w:r>
    </w:p>
    <w:p w14:paraId="7662664B" w14:textId="77777777" w:rsidR="00B95536" w:rsidRPr="003655BA" w:rsidRDefault="00B95536" w:rsidP="00B95536">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Concurrently, the </w:t>
      </w:r>
      <w:r w:rsidR="0026508B" w:rsidRPr="003655BA">
        <w:rPr>
          <w:rFonts w:ascii="Times New Roman" w:eastAsia="Times New Roman" w:hAnsi="Times New Roman" w:cs="Times New Roman"/>
          <w:sz w:val="24"/>
          <w:szCs w:val="24"/>
        </w:rPr>
        <w:t>Financial</w:t>
      </w:r>
      <w:r w:rsidRPr="003655BA">
        <w:rPr>
          <w:rFonts w:ascii="Times New Roman" w:eastAsia="Times New Roman" w:hAnsi="Times New Roman" w:cs="Times New Roman"/>
          <w:sz w:val="24"/>
          <w:szCs w:val="24"/>
        </w:rPr>
        <w:t xml:space="preserve"> Reform Act of 2013 ushered in fundamental alterations with the intention of insulating taxpayers and depositors from bearing the brunt of the burden associated with failed financial institutions</w:t>
      </w:r>
      <w:r w:rsidR="00B95508">
        <w:rPr>
          <w:rFonts w:ascii="Times New Roman" w:eastAsia="Times New Roman" w:hAnsi="Times New Roman" w:cs="Times New Roman"/>
          <w:sz w:val="24"/>
          <w:szCs w:val="24"/>
        </w:rPr>
        <w:t xml:space="preserve"> (UK </w:t>
      </w:r>
      <w:r w:rsidR="00101602">
        <w:rPr>
          <w:rFonts w:ascii="Times New Roman" w:eastAsia="Times New Roman" w:hAnsi="Times New Roman" w:cs="Times New Roman"/>
          <w:sz w:val="24"/>
          <w:szCs w:val="24"/>
        </w:rPr>
        <w:t>Legalisation</w:t>
      </w:r>
      <w:r w:rsidR="00B95508">
        <w:rPr>
          <w:rFonts w:ascii="Times New Roman" w:eastAsia="Times New Roman" w:hAnsi="Times New Roman" w:cs="Times New Roman"/>
          <w:sz w:val="24"/>
          <w:szCs w:val="24"/>
        </w:rPr>
        <w:t>, 2013)</w:t>
      </w:r>
      <w:r w:rsidRPr="003655BA">
        <w:rPr>
          <w:rFonts w:ascii="Times New Roman" w:eastAsia="Times New Roman" w:hAnsi="Times New Roman" w:cs="Times New Roman"/>
          <w:sz w:val="24"/>
          <w:szCs w:val="24"/>
        </w:rPr>
        <w:t>. Among its major aspects was the adoption of ring-fencing, a structural division that separated critical retail banking operations from risky investment activities. This was one of its most important provisions. This strategy, which was designed in accordance with the recommendations of the Vickers Report, aims to reduce the potential for systemic risk and improve individual banks' levels of resilience.</w:t>
      </w:r>
    </w:p>
    <w:p w14:paraId="37FB5318" w14:textId="77777777" w:rsidR="008455A9" w:rsidRPr="003655BA" w:rsidRDefault="00B95536" w:rsidP="008455A9">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Prudential Regulation Authority (PRA), which is an independent regulatory organisation housed inside the Bank of England, served as the guiding force behind these changes</w:t>
      </w:r>
      <w:r w:rsidR="00FE505C">
        <w:rPr>
          <w:rFonts w:ascii="Times New Roman" w:eastAsia="Times New Roman" w:hAnsi="Times New Roman" w:cs="Times New Roman"/>
          <w:sz w:val="24"/>
          <w:szCs w:val="24"/>
        </w:rPr>
        <w:t xml:space="preserve"> (</w:t>
      </w:r>
      <w:r w:rsidR="00FE505C" w:rsidRPr="00FE505C">
        <w:rPr>
          <w:rFonts w:ascii="Times New Roman" w:eastAsia="Times New Roman" w:hAnsi="Times New Roman" w:cs="Times New Roman"/>
          <w:sz w:val="24"/>
          <w:szCs w:val="24"/>
        </w:rPr>
        <w:t xml:space="preserve">Authority, </w:t>
      </w:r>
      <w:r w:rsidR="00FE505C">
        <w:rPr>
          <w:rFonts w:ascii="Times New Roman" w:eastAsia="Times New Roman" w:hAnsi="Times New Roman" w:cs="Times New Roman"/>
          <w:sz w:val="24"/>
          <w:szCs w:val="24"/>
        </w:rPr>
        <w:lastRenderedPageBreak/>
        <w:t>2021</w:t>
      </w:r>
      <w:r w:rsidR="00FE505C" w:rsidRPr="00FE505C">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The Prudential Regulation Authority (PRA) was given more authority through its regulatory toolset, which enabled it to implement more stringent capital requirements, more rigorous stress testing, and realigned risk management </w:t>
      </w:r>
      <w:r w:rsidR="00535F48" w:rsidRPr="003655BA">
        <w:rPr>
          <w:rFonts w:ascii="Times New Roman" w:eastAsia="Times New Roman" w:hAnsi="Times New Roman" w:cs="Times New Roman"/>
          <w:sz w:val="24"/>
          <w:szCs w:val="24"/>
        </w:rPr>
        <w:t>practices</w:t>
      </w:r>
      <w:r w:rsidR="006E3367">
        <w:rPr>
          <w:rFonts w:ascii="Times New Roman" w:eastAsia="Times New Roman" w:hAnsi="Times New Roman" w:cs="Times New Roman"/>
          <w:sz w:val="24"/>
          <w:szCs w:val="24"/>
        </w:rPr>
        <w:t xml:space="preserve"> (Buckner </w:t>
      </w:r>
      <w:r w:rsidR="006E3367" w:rsidRPr="006E3367">
        <w:rPr>
          <w:rFonts w:ascii="Times New Roman" w:eastAsia="Times New Roman" w:hAnsi="Times New Roman" w:cs="Times New Roman"/>
          <w:sz w:val="24"/>
          <w:szCs w:val="24"/>
        </w:rPr>
        <w:t>a</w:t>
      </w:r>
      <w:r w:rsidR="006E3367">
        <w:rPr>
          <w:rFonts w:ascii="Times New Roman" w:eastAsia="Times New Roman" w:hAnsi="Times New Roman" w:cs="Times New Roman"/>
          <w:sz w:val="24"/>
          <w:szCs w:val="24"/>
        </w:rPr>
        <w:t>nd Kevin,</w:t>
      </w:r>
      <w:r w:rsidR="006E3367" w:rsidRPr="006E3367">
        <w:rPr>
          <w:rFonts w:ascii="Times New Roman" w:eastAsia="Times New Roman" w:hAnsi="Times New Roman" w:cs="Times New Roman"/>
          <w:sz w:val="24"/>
          <w:szCs w:val="24"/>
        </w:rPr>
        <w:t xml:space="preserve"> 2022</w:t>
      </w:r>
      <w:r w:rsidR="006E3367">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As a result of the PRA's monitoring, the resilience of the financial system was strengthened, which was reflected in the increased capital adequacy ratios of major banks by the year 2021, including Barclays</w:t>
      </w:r>
      <w:r w:rsidR="00621281">
        <w:rPr>
          <w:rFonts w:ascii="Times New Roman" w:eastAsia="Times New Roman" w:hAnsi="Times New Roman" w:cs="Times New Roman"/>
          <w:sz w:val="24"/>
          <w:szCs w:val="24"/>
        </w:rPr>
        <w:t xml:space="preserve"> (Barclays, 2023)</w:t>
      </w:r>
      <w:r w:rsidRPr="003655BA">
        <w:rPr>
          <w:rFonts w:ascii="Times New Roman" w:eastAsia="Times New Roman" w:hAnsi="Times New Roman" w:cs="Times New Roman"/>
          <w:sz w:val="24"/>
          <w:szCs w:val="24"/>
        </w:rPr>
        <w:t>.</w:t>
      </w:r>
      <w:r w:rsidR="0026508B" w:rsidRPr="003655BA">
        <w:rPr>
          <w:rFonts w:ascii="Times New Roman" w:eastAsia="Times New Roman" w:hAnsi="Times New Roman" w:cs="Times New Roman"/>
          <w:sz w:val="24"/>
          <w:szCs w:val="24"/>
        </w:rPr>
        <w:t xml:space="preserve"> </w:t>
      </w:r>
      <w:r w:rsidRPr="003655BA">
        <w:rPr>
          <w:rFonts w:ascii="Times New Roman" w:eastAsia="Times New Roman" w:hAnsi="Times New Roman" w:cs="Times New Roman"/>
          <w:sz w:val="24"/>
          <w:szCs w:val="24"/>
        </w:rPr>
        <w:t>Collectively, these changes built a responsive and responsible structure, which shifted the culture of prudential governance and transparent behaviour inside the UK financial sector. Together, the Financial Services Act, the Banking Reform Act, and the diligent regulatory duties of the PRA and FCA have together created increased investor confidence</w:t>
      </w:r>
      <w:r w:rsidR="007719D4">
        <w:rPr>
          <w:rFonts w:ascii="Times New Roman" w:eastAsia="Times New Roman" w:hAnsi="Times New Roman" w:cs="Times New Roman"/>
          <w:sz w:val="24"/>
          <w:szCs w:val="24"/>
        </w:rPr>
        <w:t xml:space="preserve"> (</w:t>
      </w:r>
      <w:r w:rsidR="007719D4" w:rsidRPr="007719D4">
        <w:rPr>
          <w:rFonts w:ascii="Times New Roman" w:eastAsia="Times New Roman" w:hAnsi="Times New Roman" w:cs="Times New Roman"/>
          <w:sz w:val="24"/>
          <w:szCs w:val="24"/>
        </w:rPr>
        <w:t>Ahmed</w:t>
      </w:r>
      <w:r w:rsidR="007719D4">
        <w:rPr>
          <w:rFonts w:ascii="Times New Roman" w:eastAsia="Times New Roman" w:hAnsi="Times New Roman" w:cs="Times New Roman"/>
          <w:sz w:val="24"/>
          <w:szCs w:val="24"/>
        </w:rPr>
        <w:t xml:space="preserve"> </w:t>
      </w:r>
      <w:r w:rsidR="007719D4">
        <w:rPr>
          <w:rFonts w:ascii="Times New Roman" w:eastAsia="Times New Roman" w:hAnsi="Times New Roman" w:cs="Times New Roman"/>
          <w:i/>
          <w:iCs/>
          <w:sz w:val="24"/>
          <w:szCs w:val="24"/>
        </w:rPr>
        <w:t>et al</w:t>
      </w:r>
      <w:r w:rsidR="007719D4">
        <w:rPr>
          <w:rFonts w:ascii="Times New Roman" w:eastAsia="Times New Roman" w:hAnsi="Times New Roman" w:cs="Times New Roman"/>
          <w:sz w:val="24"/>
          <w:szCs w:val="24"/>
        </w:rPr>
        <w:t xml:space="preserve"> 2020)</w:t>
      </w:r>
      <w:r w:rsidRPr="003655BA">
        <w:rPr>
          <w:rFonts w:ascii="Times New Roman" w:eastAsia="Times New Roman" w:hAnsi="Times New Roman" w:cs="Times New Roman"/>
          <w:sz w:val="24"/>
          <w:szCs w:val="24"/>
        </w:rPr>
        <w:t>. This confidence is supported by a more robust and well-governed financial ecosystem.</w:t>
      </w:r>
    </w:p>
    <w:p w14:paraId="3FAF7F55" w14:textId="77777777" w:rsidR="004B4E97" w:rsidRPr="003655BA" w:rsidRDefault="004B4E97" w:rsidP="008F66FE">
      <w:pPr>
        <w:pStyle w:val="Heading2"/>
        <w:rPr>
          <w:lang w:val="en-GB"/>
        </w:rPr>
      </w:pPr>
      <w:bookmarkStart w:id="5" w:name="_Toc143351292"/>
      <w:r w:rsidRPr="003655BA">
        <w:rPr>
          <w:lang w:val="en-GB"/>
        </w:rPr>
        <w:t>2.2 Enhancing Financial Stability, Risk Management, and Consumer Protection</w:t>
      </w:r>
      <w:bookmarkEnd w:id="5"/>
    </w:p>
    <w:p w14:paraId="4AB4C1E3"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the aftermath of the financial crisis that occurred in 2008, the UK authorities put into place a comprehensive set of policies with the goals of bolstering financial stability, improving risk management procedures, and increasing consumer protection. These steps were intended to address the vulnerabilities that were revealed as a result of the crisis and to establish a financial ecosystem that is more robust.</w:t>
      </w:r>
    </w:p>
    <w:p w14:paraId="137EEB6C"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An increased focus on risk management practices was one of the fundamental principles behind the changes that were implemented. When it comes to monitoring risk assessment and risk mitigation methods inside financial institutions, regulatory authorities such as the Prudential Regulation Authority (PRA) and the Financial Conduct Authority (FCA) have taken a proactive approach in their oversight responsibilities</w:t>
      </w:r>
      <w:r w:rsidR="00411428">
        <w:rPr>
          <w:rFonts w:ascii="Times New Roman" w:eastAsia="Times New Roman" w:hAnsi="Times New Roman" w:cs="Times New Roman"/>
          <w:sz w:val="24"/>
          <w:szCs w:val="24"/>
        </w:rPr>
        <w:t xml:space="preserve"> (</w:t>
      </w:r>
      <w:proofErr w:type="spellStart"/>
      <w:r w:rsidR="00411428">
        <w:rPr>
          <w:rFonts w:ascii="Times New Roman" w:eastAsia="Times New Roman" w:hAnsi="Times New Roman" w:cs="Times New Roman"/>
          <w:sz w:val="24"/>
          <w:szCs w:val="24"/>
        </w:rPr>
        <w:t>Klumpes</w:t>
      </w:r>
      <w:proofErr w:type="spellEnd"/>
      <w:r w:rsidR="00411428">
        <w:rPr>
          <w:rFonts w:ascii="Times New Roman" w:eastAsia="Times New Roman" w:hAnsi="Times New Roman" w:cs="Times New Roman"/>
          <w:sz w:val="24"/>
          <w:szCs w:val="24"/>
        </w:rPr>
        <w:t xml:space="preserve">, </w:t>
      </w:r>
      <w:r w:rsidR="00411428" w:rsidRPr="00411428">
        <w:rPr>
          <w:rFonts w:ascii="Times New Roman" w:eastAsia="Times New Roman" w:hAnsi="Times New Roman" w:cs="Times New Roman"/>
          <w:sz w:val="24"/>
          <w:szCs w:val="24"/>
        </w:rPr>
        <w:t>2023)</w:t>
      </w:r>
      <w:r w:rsidRPr="003655BA">
        <w:rPr>
          <w:rFonts w:ascii="Times New Roman" w:eastAsia="Times New Roman" w:hAnsi="Times New Roman" w:cs="Times New Roman"/>
          <w:sz w:val="24"/>
          <w:szCs w:val="24"/>
        </w:rPr>
        <w:t>. The purpose of stress tests is to analyse the capacity of financial institutions to withstand bad economic conditions, with the goal of ensuring that these institutions have enough capital buffers with which to deal with unanticipated obstacles. Under the scrutiny of these stress tests, for instance, Barclays Plc displayed a heightened emphasis on controlling risk exposures and strengthening capital buffers.</w:t>
      </w:r>
    </w:p>
    <w:p w14:paraId="071A4C6E"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Another essential component of the changes was beefing up the existing consumer protections. Transparency and disclosure standards for financial products were tightened as a direct result of the Financial Services Act and the enhanced powers granted to the Financial Conduct Authority. This helped to empower customers by providing them with greater information, which enabled </w:t>
      </w:r>
      <w:r w:rsidRPr="003655BA">
        <w:rPr>
          <w:rFonts w:ascii="Times New Roman" w:eastAsia="Times New Roman" w:hAnsi="Times New Roman" w:cs="Times New Roman"/>
          <w:sz w:val="24"/>
          <w:szCs w:val="24"/>
        </w:rPr>
        <w:lastRenderedPageBreak/>
        <w:t>them to make educated choices about the investments they made. The Financial Conduct Authority (FCA) also took a strong position against deceptive advertising and unfair practices, which resulted in the creation of an environment that protected customers from the unscrupulous actions that had led to the crisis</w:t>
      </w:r>
      <w:r w:rsidR="00B70069">
        <w:rPr>
          <w:rFonts w:ascii="Times New Roman" w:eastAsia="Times New Roman" w:hAnsi="Times New Roman" w:cs="Times New Roman"/>
          <w:sz w:val="24"/>
          <w:szCs w:val="24"/>
        </w:rPr>
        <w:t xml:space="preserve"> (Lyons and Sugden, </w:t>
      </w:r>
      <w:r w:rsidR="00B70069" w:rsidRPr="00B70069">
        <w:rPr>
          <w:rFonts w:ascii="Times New Roman" w:eastAsia="Times New Roman" w:hAnsi="Times New Roman" w:cs="Times New Roman"/>
          <w:sz w:val="24"/>
          <w:szCs w:val="24"/>
        </w:rPr>
        <w:t>2023</w:t>
      </w:r>
      <w:r w:rsidR="00B70069">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p>
    <w:p w14:paraId="16F2C24C" w14:textId="77777777" w:rsidR="004B4E97" w:rsidRPr="003655BA" w:rsidRDefault="004B4E97" w:rsidP="008F66FE">
      <w:pPr>
        <w:pStyle w:val="Heading2"/>
        <w:rPr>
          <w:lang w:val="en-GB"/>
        </w:rPr>
      </w:pPr>
      <w:bookmarkStart w:id="6" w:name="_Toc143351293"/>
      <w:r w:rsidRPr="003655BA">
        <w:rPr>
          <w:lang w:val="en-GB"/>
        </w:rPr>
        <w:t>2.3 Ring-Fencing, Increased Capital Requirements, and Improved Corporate Governance</w:t>
      </w:r>
      <w:bookmarkEnd w:id="6"/>
    </w:p>
    <w:p w14:paraId="7A14A922"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A new age of separation between retail and investment banking activity was heralded by ring-fencing, which emerged as a key reform. The Banking Reform Act made it a requirement for big banks domiciled in the UK, such as Barclays Plc, to install firewalls between their retail banking operations and the riskier investment banking sections of their businesses</w:t>
      </w:r>
      <w:r w:rsidR="006A7EA9">
        <w:rPr>
          <w:rFonts w:ascii="Times New Roman" w:eastAsia="Times New Roman" w:hAnsi="Times New Roman" w:cs="Times New Roman"/>
          <w:sz w:val="24"/>
          <w:szCs w:val="24"/>
        </w:rPr>
        <w:t xml:space="preserve"> (</w:t>
      </w:r>
      <w:proofErr w:type="spellStart"/>
      <w:r w:rsidR="006A7EA9">
        <w:rPr>
          <w:rFonts w:ascii="Times New Roman" w:eastAsia="Times New Roman" w:hAnsi="Times New Roman" w:cs="Times New Roman"/>
          <w:sz w:val="24"/>
          <w:szCs w:val="24"/>
        </w:rPr>
        <w:t>Chavaz</w:t>
      </w:r>
      <w:proofErr w:type="spellEnd"/>
      <w:r w:rsidR="006A7EA9">
        <w:rPr>
          <w:rFonts w:ascii="Times New Roman" w:eastAsia="Times New Roman" w:hAnsi="Times New Roman" w:cs="Times New Roman"/>
          <w:sz w:val="24"/>
          <w:szCs w:val="24"/>
        </w:rPr>
        <w:t xml:space="preserve"> and Elliott, </w:t>
      </w:r>
      <w:r w:rsidR="006A7EA9" w:rsidRPr="006A7EA9">
        <w:rPr>
          <w:rFonts w:ascii="Times New Roman" w:eastAsia="Times New Roman" w:hAnsi="Times New Roman" w:cs="Times New Roman"/>
          <w:sz w:val="24"/>
          <w:szCs w:val="24"/>
        </w:rPr>
        <w:t>2020</w:t>
      </w:r>
      <w:r w:rsidR="006A7EA9">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This structural separation was intended to prevent risks from spreading from the latter to the former, so protecting essential retail services from the unpredictable dynamics that are inherent in investment banking</w:t>
      </w:r>
      <w:r w:rsidR="00DF15D6">
        <w:rPr>
          <w:rFonts w:ascii="Times New Roman" w:eastAsia="Times New Roman" w:hAnsi="Times New Roman" w:cs="Times New Roman"/>
          <w:sz w:val="24"/>
          <w:szCs w:val="24"/>
        </w:rPr>
        <w:t xml:space="preserve"> (Sikka, </w:t>
      </w:r>
      <w:r w:rsidR="00175707" w:rsidRPr="00DF15D6">
        <w:rPr>
          <w:rFonts w:ascii="Times New Roman" w:eastAsia="Times New Roman" w:hAnsi="Times New Roman" w:cs="Times New Roman"/>
          <w:sz w:val="24"/>
          <w:szCs w:val="24"/>
        </w:rPr>
        <w:t>2015</w:t>
      </w:r>
      <w:r w:rsidR="00DF15D6" w:rsidRPr="00DF15D6">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These obstacles were intended to be erected as part of the reforms so that systemic risk could be reduced and financial stability could be improved.</w:t>
      </w:r>
    </w:p>
    <w:p w14:paraId="05A98128"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addition to the ring-fencing strategy that was being implemented at the same time, increasing capital requirements represented an essential component of the regulatory revamp. Banks were required to have larger levels of capital, which ensured that they had sufficient buffers to take in losses and keep lending money even when circumstances were tough</w:t>
      </w:r>
      <w:r w:rsidR="00EB367E">
        <w:rPr>
          <w:rFonts w:ascii="Times New Roman" w:eastAsia="Times New Roman" w:hAnsi="Times New Roman" w:cs="Times New Roman"/>
          <w:sz w:val="24"/>
          <w:szCs w:val="24"/>
        </w:rPr>
        <w:t xml:space="preserve"> (</w:t>
      </w:r>
      <w:r w:rsidR="00EB367E" w:rsidRPr="00EB367E">
        <w:rPr>
          <w:rFonts w:ascii="Times New Roman" w:eastAsia="Times New Roman" w:hAnsi="Times New Roman" w:cs="Times New Roman"/>
          <w:sz w:val="24"/>
          <w:szCs w:val="24"/>
        </w:rPr>
        <w:t>Cam</w:t>
      </w:r>
      <w:r w:rsidR="00EB367E">
        <w:rPr>
          <w:rFonts w:ascii="Times New Roman" w:eastAsia="Times New Roman" w:hAnsi="Times New Roman" w:cs="Times New Roman"/>
          <w:sz w:val="24"/>
          <w:szCs w:val="24"/>
        </w:rPr>
        <w:t xml:space="preserve">pa and Quagliariello, </w:t>
      </w:r>
      <w:r w:rsidR="00EB367E" w:rsidRPr="00EB367E">
        <w:rPr>
          <w:rFonts w:ascii="Times New Roman" w:eastAsia="Times New Roman" w:hAnsi="Times New Roman" w:cs="Times New Roman"/>
          <w:sz w:val="24"/>
          <w:szCs w:val="24"/>
        </w:rPr>
        <w:t>2021)</w:t>
      </w:r>
      <w:r w:rsidRPr="003655BA">
        <w:rPr>
          <w:rFonts w:ascii="Times New Roman" w:eastAsia="Times New Roman" w:hAnsi="Times New Roman" w:cs="Times New Roman"/>
          <w:sz w:val="24"/>
          <w:szCs w:val="24"/>
        </w:rPr>
        <w:t xml:space="preserve">. In order to meet these criteria, significant efforts to increase capital ratios have been made by Barclays Plc, along with </w:t>
      </w:r>
      <w:proofErr w:type="gramStart"/>
      <w:r w:rsidRPr="003655BA">
        <w:rPr>
          <w:rFonts w:ascii="Times New Roman" w:eastAsia="Times New Roman" w:hAnsi="Times New Roman" w:cs="Times New Roman"/>
          <w:sz w:val="24"/>
          <w:szCs w:val="24"/>
        </w:rPr>
        <w:t>a number of</w:t>
      </w:r>
      <w:proofErr w:type="gramEnd"/>
      <w:r w:rsidRPr="003655BA">
        <w:rPr>
          <w:rFonts w:ascii="Times New Roman" w:eastAsia="Times New Roman" w:hAnsi="Times New Roman" w:cs="Times New Roman"/>
          <w:sz w:val="24"/>
          <w:szCs w:val="24"/>
        </w:rPr>
        <w:t xml:space="preserve"> other large financial institutions. Not only did this help the bank's capacity to resist financial shocks, but it also signalled a larger transition towards a more secure and resilient banking </w:t>
      </w:r>
      <w:proofErr w:type="gramStart"/>
      <w:r w:rsidRPr="003655BA">
        <w:rPr>
          <w:rFonts w:ascii="Times New Roman" w:eastAsia="Times New Roman" w:hAnsi="Times New Roman" w:cs="Times New Roman"/>
          <w:sz w:val="24"/>
          <w:szCs w:val="24"/>
        </w:rPr>
        <w:t>system as a whole</w:t>
      </w:r>
      <w:proofErr w:type="gramEnd"/>
      <w:r w:rsidR="00BD173F">
        <w:rPr>
          <w:rFonts w:ascii="Times New Roman" w:eastAsia="Times New Roman" w:hAnsi="Times New Roman" w:cs="Times New Roman"/>
          <w:sz w:val="24"/>
          <w:szCs w:val="24"/>
        </w:rPr>
        <w:t xml:space="preserve"> (Lui, </w:t>
      </w:r>
      <w:r w:rsidR="00175707" w:rsidRPr="00BD173F">
        <w:rPr>
          <w:rFonts w:ascii="Times New Roman" w:eastAsia="Times New Roman" w:hAnsi="Times New Roman" w:cs="Times New Roman"/>
          <w:sz w:val="24"/>
          <w:szCs w:val="24"/>
        </w:rPr>
        <w:t>2015</w:t>
      </w:r>
      <w:r w:rsidR="00BD173F" w:rsidRPr="00BD173F">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p>
    <w:p w14:paraId="52CC7C20"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In addition, the changes highlighted the need of enhancing the procedures that are used for corporate governance. The Financial Reporting Council (FRC) has changed the UK Corporate Governance Code </w:t>
      </w:r>
      <w:proofErr w:type="gramStart"/>
      <w:r w:rsidRPr="003655BA">
        <w:rPr>
          <w:rFonts w:ascii="Times New Roman" w:eastAsia="Times New Roman" w:hAnsi="Times New Roman" w:cs="Times New Roman"/>
          <w:sz w:val="24"/>
          <w:szCs w:val="24"/>
        </w:rPr>
        <w:t>in an effort to</w:t>
      </w:r>
      <w:proofErr w:type="gramEnd"/>
      <w:r w:rsidRPr="003655BA">
        <w:rPr>
          <w:rFonts w:ascii="Times New Roman" w:eastAsia="Times New Roman" w:hAnsi="Times New Roman" w:cs="Times New Roman"/>
          <w:sz w:val="24"/>
          <w:szCs w:val="24"/>
        </w:rPr>
        <w:t xml:space="preserve"> promote more responsibility, diversity, and openness in boardroom discussions</w:t>
      </w:r>
      <w:r w:rsidR="004B247B">
        <w:rPr>
          <w:rFonts w:ascii="Times New Roman" w:eastAsia="Times New Roman" w:hAnsi="Times New Roman" w:cs="Times New Roman"/>
          <w:sz w:val="24"/>
          <w:szCs w:val="24"/>
        </w:rPr>
        <w:t xml:space="preserve"> (Council, </w:t>
      </w:r>
      <w:r w:rsidR="004B247B" w:rsidRPr="004B247B">
        <w:rPr>
          <w:rFonts w:ascii="Times New Roman" w:eastAsia="Times New Roman" w:hAnsi="Times New Roman" w:cs="Times New Roman"/>
          <w:sz w:val="24"/>
          <w:szCs w:val="24"/>
        </w:rPr>
        <w:t>2021)</w:t>
      </w:r>
      <w:r w:rsidRPr="003655BA">
        <w:rPr>
          <w:rFonts w:ascii="Times New Roman" w:eastAsia="Times New Roman" w:hAnsi="Times New Roman" w:cs="Times New Roman"/>
          <w:sz w:val="24"/>
          <w:szCs w:val="24"/>
        </w:rPr>
        <w:t xml:space="preserve">. The absence of monitoring and accountability that played a role in the crisis was one of the reasons why this revamp was carried out. Fostering a culture of responsible decision-making and risk management was one of the goals that Barclays Plc, along </w:t>
      </w:r>
      <w:r w:rsidRPr="003655BA">
        <w:rPr>
          <w:rFonts w:ascii="Times New Roman" w:eastAsia="Times New Roman" w:hAnsi="Times New Roman" w:cs="Times New Roman"/>
          <w:sz w:val="24"/>
          <w:szCs w:val="24"/>
        </w:rPr>
        <w:lastRenderedPageBreak/>
        <w:t xml:space="preserve">with other institutions, set out to achieve by embarking on a path to align its governance </w:t>
      </w:r>
      <w:r w:rsidR="00200546"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xml:space="preserve"> with the new code.</w:t>
      </w:r>
    </w:p>
    <w:p w14:paraId="09C2B1FE" w14:textId="77777777" w:rsidR="004B4E97" w:rsidRPr="003655BA" w:rsidRDefault="004B4E97" w:rsidP="004B4E97">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conclusion, the post-crisis changes that were undertaken by the UK authorities aimed to address the underlying flaws that contributed to the financial crisis that occurred in 2008. Together, the focus placed on reinforcing financial stability, improving risk management, and protecting consumers, as well as the installation of ring-fencing, increased capital requirements, and greater corporate governance, were all efforts that were made with the intention of reshaping the financial landscape</w:t>
      </w:r>
      <w:r w:rsidR="0086486C">
        <w:rPr>
          <w:rFonts w:ascii="Times New Roman" w:eastAsia="Times New Roman" w:hAnsi="Times New Roman" w:cs="Times New Roman"/>
          <w:sz w:val="24"/>
          <w:szCs w:val="24"/>
        </w:rPr>
        <w:t xml:space="preserve"> (Bell and </w:t>
      </w:r>
      <w:proofErr w:type="spellStart"/>
      <w:r w:rsidR="0086486C">
        <w:rPr>
          <w:rFonts w:ascii="Times New Roman" w:eastAsia="Times New Roman" w:hAnsi="Times New Roman" w:cs="Times New Roman"/>
          <w:sz w:val="24"/>
          <w:szCs w:val="24"/>
        </w:rPr>
        <w:t>Hindmoor</w:t>
      </w:r>
      <w:proofErr w:type="spellEnd"/>
      <w:r w:rsidR="0086486C">
        <w:rPr>
          <w:rFonts w:ascii="Times New Roman" w:eastAsia="Times New Roman" w:hAnsi="Times New Roman" w:cs="Times New Roman"/>
          <w:sz w:val="24"/>
          <w:szCs w:val="24"/>
        </w:rPr>
        <w:t xml:space="preserve">, </w:t>
      </w:r>
      <w:r w:rsidR="00175707" w:rsidRPr="0086486C">
        <w:rPr>
          <w:rFonts w:ascii="Times New Roman" w:eastAsia="Times New Roman" w:hAnsi="Times New Roman" w:cs="Times New Roman"/>
          <w:sz w:val="24"/>
          <w:szCs w:val="24"/>
        </w:rPr>
        <w:t>2017</w:t>
      </w:r>
      <w:r w:rsidR="0086486C">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The </w:t>
      </w:r>
      <w:proofErr w:type="gramStart"/>
      <w:r w:rsidRPr="003655BA">
        <w:rPr>
          <w:rFonts w:ascii="Times New Roman" w:eastAsia="Times New Roman" w:hAnsi="Times New Roman" w:cs="Times New Roman"/>
          <w:sz w:val="24"/>
          <w:szCs w:val="24"/>
        </w:rPr>
        <w:t>manner in which</w:t>
      </w:r>
      <w:proofErr w:type="gramEnd"/>
      <w:r w:rsidRPr="003655BA">
        <w:rPr>
          <w:rFonts w:ascii="Times New Roman" w:eastAsia="Times New Roman" w:hAnsi="Times New Roman" w:cs="Times New Roman"/>
          <w:sz w:val="24"/>
          <w:szCs w:val="24"/>
        </w:rPr>
        <w:t xml:space="preserve"> Barclays Plc responded to these changes not only highlighted the company's dedication to complying with the regulations but also its resiliency in adjusting to a banking environment that is both safer and more responsible.</w:t>
      </w:r>
    </w:p>
    <w:p w14:paraId="0D331300" w14:textId="77777777" w:rsidR="002522B6" w:rsidRPr="003655BA" w:rsidRDefault="00200546" w:rsidP="008F66FE">
      <w:pPr>
        <w:pStyle w:val="Heading1"/>
        <w:rPr>
          <w:lang w:val="en-GB"/>
        </w:rPr>
      </w:pPr>
      <w:bookmarkStart w:id="7" w:name="_Toc143351294"/>
      <w:r w:rsidRPr="003655BA">
        <w:rPr>
          <w:lang w:val="en-GB"/>
        </w:rPr>
        <w:t xml:space="preserve">3. </w:t>
      </w:r>
      <w:r w:rsidR="002522B6" w:rsidRPr="003655BA">
        <w:rPr>
          <w:lang w:val="en-GB"/>
        </w:rPr>
        <w:t>Impact on Barclays Plc: Adaptations and Compliance</w:t>
      </w:r>
      <w:bookmarkEnd w:id="7"/>
      <w:r w:rsidR="002522B6" w:rsidRPr="003655BA">
        <w:rPr>
          <w:lang w:val="en-GB"/>
        </w:rPr>
        <w:t xml:space="preserve"> </w:t>
      </w:r>
    </w:p>
    <w:p w14:paraId="7B6CA38A" w14:textId="77777777" w:rsidR="00200546" w:rsidRPr="003655BA" w:rsidRDefault="00200546" w:rsidP="008F66FE">
      <w:pPr>
        <w:pStyle w:val="Heading2"/>
        <w:rPr>
          <w:lang w:val="en-GB"/>
        </w:rPr>
      </w:pPr>
      <w:bookmarkStart w:id="8" w:name="_Toc143351295"/>
      <w:r w:rsidRPr="003655BA">
        <w:rPr>
          <w:lang w:val="en-GB"/>
        </w:rPr>
        <w:t>3.1 A Comprehensive Analysis of Approaches to Deal with UK Reforms</w:t>
      </w:r>
      <w:bookmarkEnd w:id="8"/>
    </w:p>
    <w:p w14:paraId="11CADC59" w14:textId="77777777" w:rsidR="00200546" w:rsidRPr="003655BA" w:rsidRDefault="00200546" w:rsidP="00200546">
      <w:pPr>
        <w:spacing w:before="200" w:after="200" w:line="360" w:lineRule="auto"/>
        <w:jc w:val="both"/>
        <w:rPr>
          <w:rFonts w:ascii="Times New Roman" w:eastAsia="Times New Roman" w:hAnsi="Times New Roman" w:cs="Times New Roman"/>
          <w:sz w:val="24"/>
          <w:szCs w:val="24"/>
        </w:rPr>
      </w:pPr>
      <w:proofErr w:type="gramStart"/>
      <w:r w:rsidRPr="003655BA">
        <w:rPr>
          <w:rFonts w:ascii="Times New Roman" w:eastAsia="Times New Roman" w:hAnsi="Times New Roman" w:cs="Times New Roman"/>
          <w:sz w:val="24"/>
          <w:szCs w:val="24"/>
        </w:rPr>
        <w:t>In the midst of</w:t>
      </w:r>
      <w:proofErr w:type="gramEnd"/>
      <w:r w:rsidRPr="003655BA">
        <w:rPr>
          <w:rFonts w:ascii="Times New Roman" w:eastAsia="Times New Roman" w:hAnsi="Times New Roman" w:cs="Times New Roman"/>
          <w:sz w:val="24"/>
          <w:szCs w:val="24"/>
        </w:rPr>
        <w:t xml:space="preserve"> the global financial crisis that occurred in 2008, Barclays Plc underwent significant restructuring in order to bring itself into conformity with the far-reaching reforms that were implemented by the authorities in the United Kingdom</w:t>
      </w:r>
      <w:r w:rsidR="004B247B">
        <w:rPr>
          <w:rFonts w:ascii="Times New Roman" w:eastAsia="Times New Roman" w:hAnsi="Times New Roman" w:cs="Times New Roman"/>
          <w:sz w:val="24"/>
          <w:szCs w:val="24"/>
        </w:rPr>
        <w:t xml:space="preserve"> (</w:t>
      </w:r>
      <w:r w:rsidR="004B247B" w:rsidRPr="004B247B">
        <w:rPr>
          <w:rFonts w:ascii="Times New Roman" w:eastAsia="Times New Roman" w:hAnsi="Times New Roman" w:cs="Times New Roman"/>
          <w:sz w:val="24"/>
          <w:szCs w:val="24"/>
        </w:rPr>
        <w:t>Asa</w:t>
      </w:r>
      <w:r w:rsidR="004B247B">
        <w:rPr>
          <w:rFonts w:ascii="Times New Roman" w:eastAsia="Times New Roman" w:hAnsi="Times New Roman" w:cs="Times New Roman"/>
          <w:sz w:val="24"/>
          <w:szCs w:val="24"/>
        </w:rPr>
        <w:t xml:space="preserve">moah and Owusu-Agyei, </w:t>
      </w:r>
      <w:r w:rsidR="004B247B" w:rsidRPr="004B247B">
        <w:rPr>
          <w:rFonts w:ascii="Times New Roman" w:eastAsia="Times New Roman" w:hAnsi="Times New Roman" w:cs="Times New Roman"/>
          <w:sz w:val="24"/>
          <w:szCs w:val="24"/>
        </w:rPr>
        <w:t>2020)</w:t>
      </w:r>
      <w:r w:rsidRPr="003655BA">
        <w:rPr>
          <w:rFonts w:ascii="Times New Roman" w:eastAsia="Times New Roman" w:hAnsi="Times New Roman" w:cs="Times New Roman"/>
          <w:sz w:val="24"/>
          <w:szCs w:val="24"/>
        </w:rPr>
        <w:t>. In order to maintain compliance and successfully navigate the rapidly changing financial environment, the bank devised a strategy that included strategic recalibrations across a variety of parameters.</w:t>
      </w:r>
    </w:p>
    <w:p w14:paraId="2E73F582" w14:textId="77777777" w:rsidR="00200546" w:rsidRPr="003118ED" w:rsidRDefault="00200546" w:rsidP="003118ED">
      <w:pPr>
        <w:pStyle w:val="Heading2"/>
        <w:rPr>
          <w:lang w:val="en-GB"/>
        </w:rPr>
      </w:pPr>
      <w:bookmarkStart w:id="9" w:name="_Toc143351296"/>
      <w:r w:rsidRPr="003655BA">
        <w:rPr>
          <w:lang w:val="en-GB"/>
        </w:rPr>
        <w:t>3.2 Improvements to the Business Model for Compliance</w:t>
      </w:r>
      <w:bookmarkEnd w:id="9"/>
    </w:p>
    <w:p w14:paraId="319E5864" w14:textId="77777777" w:rsidR="00D4693C" w:rsidRPr="00D4693C" w:rsidRDefault="00200546" w:rsidP="00D4693C">
      <w:pPr>
        <w:spacing w:before="200" w:after="200" w:line="360" w:lineRule="auto"/>
        <w:jc w:val="both"/>
        <w:rPr>
          <w:rFonts w:ascii="Times New Roman" w:eastAsia="Times New Roman" w:hAnsi="Times New Roman" w:cs="Times New Roman"/>
          <w:color w:val="0D0D0D" w:themeColor="text1" w:themeTint="F2"/>
          <w:sz w:val="24"/>
          <w:szCs w:val="24"/>
        </w:rPr>
      </w:pPr>
      <w:r w:rsidRPr="003655BA">
        <w:rPr>
          <w:rFonts w:ascii="Times New Roman" w:eastAsia="Times New Roman" w:hAnsi="Times New Roman" w:cs="Times New Roman"/>
          <w:sz w:val="24"/>
          <w:szCs w:val="24"/>
        </w:rPr>
        <w:t>The modification of Barclays's business model in order to fulfil the requirements of the new regulatory environment was the central tenet of the company's reaction. The Banking Reform Act included a provision known as the ring-fencing requirement, which required the separation of investment banking operations from retail banking activities</w:t>
      </w:r>
      <w:r w:rsidR="007852C1">
        <w:rPr>
          <w:rFonts w:ascii="Times New Roman" w:eastAsia="Times New Roman" w:hAnsi="Times New Roman" w:cs="Times New Roman"/>
          <w:sz w:val="24"/>
          <w:szCs w:val="24"/>
        </w:rPr>
        <w:t xml:space="preserve"> (UK legislation, 2013)</w:t>
      </w:r>
      <w:r w:rsidRPr="003655BA">
        <w:rPr>
          <w:rFonts w:ascii="Times New Roman" w:eastAsia="Times New Roman" w:hAnsi="Times New Roman" w:cs="Times New Roman"/>
          <w:sz w:val="24"/>
          <w:szCs w:val="24"/>
        </w:rPr>
        <w:t xml:space="preserve">. As a direct result, Barclays engaged in an intensive process of organisational reorganisation. </w:t>
      </w:r>
      <w:r w:rsidR="00D4693C" w:rsidRPr="00D4693C">
        <w:rPr>
          <w:rFonts w:ascii="Times New Roman" w:eastAsia="Times New Roman" w:hAnsi="Times New Roman" w:cs="Times New Roman"/>
          <w:color w:val="0D0D0D" w:themeColor="text1" w:themeTint="F2"/>
          <w:sz w:val="24"/>
          <w:szCs w:val="24"/>
        </w:rPr>
        <w:t xml:space="preserve">The investment banking activities of the financial institution were maintained as distinct entities from the retail banking operations, which included the provision of routine banking services to individual clients and small businesses. The establishment of this business was driven by the objective of safeguarding client deposits from the inherent volatility associated with investment banking. By </w:t>
      </w:r>
      <w:r w:rsidR="00D4693C" w:rsidRPr="00D4693C">
        <w:rPr>
          <w:rFonts w:ascii="Times New Roman" w:eastAsia="Times New Roman" w:hAnsi="Times New Roman" w:cs="Times New Roman"/>
          <w:color w:val="0D0D0D" w:themeColor="text1" w:themeTint="F2"/>
          <w:sz w:val="24"/>
          <w:szCs w:val="24"/>
        </w:rPr>
        <w:lastRenderedPageBreak/>
        <w:t xml:space="preserve">taking this action, the potential risks associated with contagion and system disruption were reduced (Hall, 2013). </w:t>
      </w:r>
    </w:p>
    <w:p w14:paraId="22B1B7D7" w14:textId="77777777" w:rsidR="00D4693C" w:rsidRPr="00D4693C" w:rsidRDefault="00D4693C" w:rsidP="00D4693C">
      <w:pPr>
        <w:spacing w:before="200" w:after="200" w:line="360" w:lineRule="auto"/>
        <w:jc w:val="both"/>
        <w:rPr>
          <w:rFonts w:ascii="Times New Roman" w:eastAsia="Times New Roman" w:hAnsi="Times New Roman" w:cs="Times New Roman"/>
          <w:color w:val="0D0D0D" w:themeColor="text1" w:themeTint="F2"/>
          <w:sz w:val="24"/>
          <w:szCs w:val="24"/>
        </w:rPr>
      </w:pPr>
      <w:r w:rsidRPr="00D4693C">
        <w:rPr>
          <w:rFonts w:ascii="Times New Roman" w:eastAsia="Times New Roman" w:hAnsi="Times New Roman" w:cs="Times New Roman"/>
          <w:color w:val="0D0D0D" w:themeColor="text1" w:themeTint="F2"/>
          <w:sz w:val="24"/>
          <w:szCs w:val="24"/>
        </w:rPr>
        <w:t xml:space="preserve">During this period, Barclays prioritised the enhancement of its capital reserves to align with the revised capital requirements mandated by the reforms. The implementation of the Prudential Regulation Authority (PRA) led to the introduction of a stringent capital adequacy framework (Feridun and Güngör, 2020). This regulatory framework mandates that financial institutions maintain higher amounts of capital as a precautionary measure to mitigate potential losses. Barclays implemented many initiatives with the objective of augmenting its capital reserves. The </w:t>
      </w:r>
      <w:proofErr w:type="gramStart"/>
      <w:r w:rsidRPr="00D4693C">
        <w:rPr>
          <w:rFonts w:ascii="Times New Roman" w:eastAsia="Times New Roman" w:hAnsi="Times New Roman" w:cs="Times New Roman"/>
          <w:color w:val="0D0D0D" w:themeColor="text1" w:themeTint="F2"/>
          <w:sz w:val="24"/>
          <w:szCs w:val="24"/>
        </w:rPr>
        <w:t>aforementioned strategies</w:t>
      </w:r>
      <w:proofErr w:type="gramEnd"/>
      <w:r w:rsidRPr="00D4693C">
        <w:rPr>
          <w:rFonts w:ascii="Times New Roman" w:eastAsia="Times New Roman" w:hAnsi="Times New Roman" w:cs="Times New Roman"/>
          <w:color w:val="0D0D0D" w:themeColor="text1" w:themeTint="F2"/>
          <w:sz w:val="24"/>
          <w:szCs w:val="24"/>
        </w:rPr>
        <w:t xml:space="preserve"> included rights offers and the divestment of assets (</w:t>
      </w:r>
      <w:proofErr w:type="spellStart"/>
      <w:r w:rsidRPr="00D4693C">
        <w:rPr>
          <w:rFonts w:ascii="Times New Roman" w:eastAsia="Times New Roman" w:hAnsi="Times New Roman" w:cs="Times New Roman"/>
          <w:color w:val="0D0D0D" w:themeColor="text1" w:themeTint="F2"/>
          <w:sz w:val="24"/>
          <w:szCs w:val="24"/>
        </w:rPr>
        <w:t>Lemeshko</w:t>
      </w:r>
      <w:proofErr w:type="spellEnd"/>
      <w:r w:rsidRPr="00D4693C">
        <w:rPr>
          <w:rFonts w:ascii="Times New Roman" w:eastAsia="Times New Roman" w:hAnsi="Times New Roman" w:cs="Times New Roman"/>
          <w:color w:val="0D0D0D" w:themeColor="text1" w:themeTint="F2"/>
          <w:sz w:val="24"/>
          <w:szCs w:val="24"/>
        </w:rPr>
        <w:t xml:space="preserve"> and </w:t>
      </w:r>
      <w:proofErr w:type="spellStart"/>
      <w:r w:rsidRPr="00D4693C">
        <w:rPr>
          <w:rFonts w:ascii="Times New Roman" w:eastAsia="Times New Roman" w:hAnsi="Times New Roman" w:cs="Times New Roman"/>
          <w:color w:val="0D0D0D" w:themeColor="text1" w:themeTint="F2"/>
          <w:sz w:val="24"/>
          <w:szCs w:val="24"/>
        </w:rPr>
        <w:t>Vatsadze</w:t>
      </w:r>
      <w:proofErr w:type="spellEnd"/>
      <w:r w:rsidRPr="00D4693C">
        <w:rPr>
          <w:rFonts w:ascii="Times New Roman" w:eastAsia="Times New Roman" w:hAnsi="Times New Roman" w:cs="Times New Roman"/>
          <w:color w:val="0D0D0D" w:themeColor="text1" w:themeTint="F2"/>
          <w:sz w:val="24"/>
          <w:szCs w:val="24"/>
        </w:rPr>
        <w:t>, 2019). The use of this preventive approach not only ensured adherence to regulations, but also enhanced the bank's ability to endure economic downturns and absorb unforeseen disruptions.</w:t>
      </w:r>
    </w:p>
    <w:p w14:paraId="16E67FD6" w14:textId="77777777" w:rsidR="00D4693C" w:rsidRPr="00D4693C" w:rsidRDefault="00D4693C" w:rsidP="00D4693C">
      <w:pPr>
        <w:spacing w:before="200" w:after="200" w:line="360" w:lineRule="auto"/>
        <w:jc w:val="both"/>
        <w:rPr>
          <w:rFonts w:ascii="Times New Roman" w:eastAsia="Times New Roman" w:hAnsi="Times New Roman" w:cs="Times New Roman"/>
          <w:color w:val="0D0D0D" w:themeColor="text1" w:themeTint="F2"/>
          <w:sz w:val="24"/>
          <w:szCs w:val="24"/>
        </w:rPr>
      </w:pPr>
      <w:r w:rsidRPr="00D4693C">
        <w:rPr>
          <w:rFonts w:ascii="Times New Roman" w:eastAsia="Times New Roman" w:hAnsi="Times New Roman" w:cs="Times New Roman"/>
          <w:color w:val="0D0D0D" w:themeColor="text1" w:themeTint="F2"/>
          <w:sz w:val="24"/>
          <w:szCs w:val="24"/>
        </w:rPr>
        <w:t>Furthermore, Barclays used an enhanced strategy for corporate governance to ensure adherence to the dynamic regulatory demands. In response to the amendments made to the UK Corporate Governance Code, the bank made improvements to its board membership. These improvements included augmenting the diversity of its members and raising their degree of expertise (</w:t>
      </w:r>
      <w:proofErr w:type="spellStart"/>
      <w:r w:rsidRPr="00D4693C">
        <w:rPr>
          <w:rFonts w:ascii="Times New Roman" w:eastAsia="Times New Roman" w:hAnsi="Times New Roman" w:cs="Times New Roman"/>
          <w:color w:val="0D0D0D" w:themeColor="text1" w:themeTint="F2"/>
          <w:sz w:val="24"/>
          <w:szCs w:val="24"/>
        </w:rPr>
        <w:t>Bufarwa</w:t>
      </w:r>
      <w:proofErr w:type="spellEnd"/>
      <w:r w:rsidRPr="00D4693C">
        <w:rPr>
          <w:rFonts w:ascii="Times New Roman" w:eastAsia="Times New Roman" w:hAnsi="Times New Roman" w:cs="Times New Roman"/>
          <w:color w:val="0D0D0D" w:themeColor="text1" w:themeTint="F2"/>
          <w:sz w:val="24"/>
          <w:szCs w:val="24"/>
        </w:rPr>
        <w:t xml:space="preserve"> et al., 2020). The </w:t>
      </w:r>
      <w:proofErr w:type="gramStart"/>
      <w:r w:rsidRPr="00D4693C">
        <w:rPr>
          <w:rFonts w:ascii="Times New Roman" w:eastAsia="Times New Roman" w:hAnsi="Times New Roman" w:cs="Times New Roman"/>
          <w:color w:val="0D0D0D" w:themeColor="text1" w:themeTint="F2"/>
          <w:sz w:val="24"/>
          <w:szCs w:val="24"/>
        </w:rPr>
        <w:t>aforementioned activity</w:t>
      </w:r>
      <w:proofErr w:type="gramEnd"/>
      <w:r w:rsidRPr="00D4693C">
        <w:rPr>
          <w:rFonts w:ascii="Times New Roman" w:eastAsia="Times New Roman" w:hAnsi="Times New Roman" w:cs="Times New Roman"/>
          <w:color w:val="0D0D0D" w:themeColor="text1" w:themeTint="F2"/>
          <w:sz w:val="24"/>
          <w:szCs w:val="24"/>
        </w:rPr>
        <w:t xml:space="preserve"> was implemented with the objective of fostering a culture characterised by responsible decision-making and effective oversight. Furthermore, Barclays has heightened its emphasis on risk management. The bank underwent comprehensive stress testing, which enabled the identification of potential vulnerabilities and the enhancement of risk management protocols to mitigate future incidents (Merck et al., 2012).</w:t>
      </w:r>
    </w:p>
    <w:p w14:paraId="23C2E838" w14:textId="77777777" w:rsidR="00D4693C" w:rsidRPr="00D4693C" w:rsidRDefault="00D4693C" w:rsidP="00D4693C">
      <w:pPr>
        <w:spacing w:before="200" w:after="200" w:line="360" w:lineRule="auto"/>
        <w:jc w:val="both"/>
        <w:rPr>
          <w:rFonts w:ascii="Times New Roman" w:eastAsia="Times New Roman" w:hAnsi="Times New Roman" w:cs="Times New Roman"/>
          <w:color w:val="0D0D0D" w:themeColor="text1" w:themeTint="F2"/>
          <w:sz w:val="24"/>
          <w:szCs w:val="24"/>
        </w:rPr>
      </w:pPr>
      <w:r w:rsidRPr="00D4693C">
        <w:rPr>
          <w:rFonts w:ascii="Times New Roman" w:eastAsia="Times New Roman" w:hAnsi="Times New Roman" w:cs="Times New Roman"/>
          <w:color w:val="0D0D0D" w:themeColor="text1" w:themeTint="F2"/>
          <w:sz w:val="24"/>
          <w:szCs w:val="24"/>
        </w:rPr>
        <w:t xml:space="preserve">Consumer protection emerged as a vital priority for Barclays under the recently reconfigured operational framework. According to Lu et al. (2020), the Financial Services Act mandates more transparency and a greater sense of accountability in client interactions. Barclays undertook a restructuring of its product portfolio, prioritising the provision of comprehensive and user-friendly information to its clients. Enhanced product disclosures were implemented to ensure that customers were adequately informed about the possible advantages and disadvantages connected with the financial alternatives at their disposal. Furthermore, the bank proactively implements measures to mitigate predatory lending and ensure adherence to ethical standards, aligning with </w:t>
      </w:r>
      <w:r w:rsidRPr="00D4693C">
        <w:rPr>
          <w:rFonts w:ascii="Times New Roman" w:eastAsia="Times New Roman" w:hAnsi="Times New Roman" w:cs="Times New Roman"/>
          <w:color w:val="0D0D0D" w:themeColor="text1" w:themeTint="F2"/>
          <w:sz w:val="24"/>
          <w:szCs w:val="24"/>
        </w:rPr>
        <w:lastRenderedPageBreak/>
        <w:t>the consumer protection objectives outlined by the Financial Conduct Authority (FCA) (</w:t>
      </w:r>
      <w:proofErr w:type="spellStart"/>
      <w:r w:rsidRPr="00D4693C">
        <w:rPr>
          <w:rFonts w:ascii="Times New Roman" w:eastAsia="Times New Roman" w:hAnsi="Times New Roman" w:cs="Times New Roman"/>
          <w:color w:val="0D0D0D" w:themeColor="text1" w:themeTint="F2"/>
          <w:sz w:val="24"/>
          <w:szCs w:val="24"/>
        </w:rPr>
        <w:t>Monferrer</w:t>
      </w:r>
      <w:proofErr w:type="spellEnd"/>
      <w:r w:rsidRPr="00D4693C">
        <w:rPr>
          <w:rFonts w:ascii="Times New Roman" w:eastAsia="Times New Roman" w:hAnsi="Times New Roman" w:cs="Times New Roman"/>
          <w:color w:val="0D0D0D" w:themeColor="text1" w:themeTint="F2"/>
          <w:sz w:val="24"/>
          <w:szCs w:val="24"/>
        </w:rPr>
        <w:t xml:space="preserve"> et al., 2023).</w:t>
      </w:r>
    </w:p>
    <w:p w14:paraId="07537E05" w14:textId="77777777" w:rsidR="00200546" w:rsidRPr="003655BA" w:rsidRDefault="00200546" w:rsidP="00D4693C">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conclusion, the reaction that Barclays Plc provided to the reforms that were implemented in the UK is an example of an adaptation that consists of several facets and encompasses structural improvements, enhanced risk mitigation, corporate governance enhancements, and measures to safeguard consumers</w:t>
      </w:r>
      <w:r w:rsidR="001D05BF">
        <w:rPr>
          <w:rFonts w:ascii="Times New Roman" w:eastAsia="Times New Roman" w:hAnsi="Times New Roman" w:cs="Times New Roman"/>
          <w:sz w:val="24"/>
          <w:szCs w:val="24"/>
        </w:rPr>
        <w:t xml:space="preserve"> (Maheswaran, </w:t>
      </w:r>
      <w:r w:rsidR="00175707" w:rsidRPr="001D05BF">
        <w:rPr>
          <w:rFonts w:ascii="Times New Roman" w:eastAsia="Times New Roman" w:hAnsi="Times New Roman" w:cs="Times New Roman"/>
          <w:sz w:val="24"/>
          <w:szCs w:val="24"/>
        </w:rPr>
        <w:t>2011</w:t>
      </w:r>
      <w:r w:rsidR="001D05BF">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Barclays proved its commitment to compliance and resilience by reorienting its business model to adhere to the ring-fencing requirement, enhancing capital sufficiency, strengthening risk management, and prioritising customer interests</w:t>
      </w:r>
      <w:r w:rsidR="00900CB4">
        <w:rPr>
          <w:rFonts w:ascii="Times New Roman" w:eastAsia="Times New Roman" w:hAnsi="Times New Roman" w:cs="Times New Roman"/>
          <w:sz w:val="24"/>
          <w:szCs w:val="24"/>
        </w:rPr>
        <w:t xml:space="preserve"> (UK Legislation, 2013)</w:t>
      </w:r>
      <w:r w:rsidRPr="003655BA">
        <w:rPr>
          <w:rFonts w:ascii="Times New Roman" w:eastAsia="Times New Roman" w:hAnsi="Times New Roman" w:cs="Times New Roman"/>
          <w:sz w:val="24"/>
          <w:szCs w:val="24"/>
        </w:rPr>
        <w:t>. Through the implementation of these changes, Barclays was able to establish itself not just as a responsible financial institution but also as a pioneer in the development of a safer and more accountable financial sector.</w:t>
      </w:r>
    </w:p>
    <w:p w14:paraId="291638D8" w14:textId="77777777" w:rsidR="00100CDD" w:rsidRPr="003655BA" w:rsidRDefault="00100CDD" w:rsidP="008F66FE">
      <w:pPr>
        <w:pStyle w:val="Heading2"/>
        <w:rPr>
          <w:lang w:val="en-GB"/>
        </w:rPr>
      </w:pPr>
      <w:bookmarkStart w:id="10" w:name="_Toc143351297"/>
      <w:r w:rsidRPr="003655BA">
        <w:rPr>
          <w:lang w:val="en-GB"/>
        </w:rPr>
        <w:t>3.3 Case Study Examples of Changes and Challenges</w:t>
      </w:r>
      <w:bookmarkEnd w:id="10"/>
    </w:p>
    <w:p w14:paraId="548F84B1" w14:textId="77777777" w:rsidR="00100CDD" w:rsidRPr="003655BA" w:rsidRDefault="003F5F5D" w:rsidP="008F66FE">
      <w:pPr>
        <w:pStyle w:val="Heading3"/>
        <w:rPr>
          <w:rFonts w:eastAsia="Times New Roman"/>
        </w:rPr>
      </w:pPr>
      <w:bookmarkStart w:id="11" w:name="_Toc143351298"/>
      <w:r w:rsidRPr="003655BA">
        <w:rPr>
          <w:rFonts w:eastAsia="Times New Roman"/>
        </w:rPr>
        <w:t xml:space="preserve">3.3.1 </w:t>
      </w:r>
      <w:r w:rsidR="00100CDD" w:rsidRPr="003655BA">
        <w:rPr>
          <w:rFonts w:eastAsia="Times New Roman"/>
        </w:rPr>
        <w:t>Risk Management: Stress Testing</w:t>
      </w:r>
      <w:bookmarkEnd w:id="11"/>
    </w:p>
    <w:p w14:paraId="20E26C6B" w14:textId="77777777" w:rsidR="003F5F5D"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multinational financial services company Barclays Plc accepted the task of improving risk management by conducting exhaustive stress testing. The bank submitted itself to the stress tests administered by the Bank of England in 2017, which is a perfect illustration of its dedication to bolstering its resilience</w:t>
      </w:r>
      <w:r w:rsidR="00AB27DB">
        <w:rPr>
          <w:rFonts w:ascii="Times New Roman" w:eastAsia="Times New Roman" w:hAnsi="Times New Roman" w:cs="Times New Roman"/>
          <w:sz w:val="24"/>
          <w:szCs w:val="24"/>
        </w:rPr>
        <w:t xml:space="preserve"> (Jackson and Bailey,</w:t>
      </w:r>
      <w:r w:rsidR="00AB27DB" w:rsidRPr="00AB27DB">
        <w:rPr>
          <w:rFonts w:ascii="Times New Roman" w:eastAsia="Times New Roman" w:hAnsi="Times New Roman" w:cs="Times New Roman"/>
          <w:sz w:val="24"/>
          <w:szCs w:val="24"/>
        </w:rPr>
        <w:t xml:space="preserve"> 2023</w:t>
      </w:r>
      <w:r w:rsidR="00AB27DB">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The scenario included a catastrophic economic downturn on a worldwide scale as well as a precipitous drop in property values. The fact that Barclays was able to ride out the hypothetical storm effectively is evidence of the company's increased capacity for capital sufficiency and risk absorption</w:t>
      </w:r>
      <w:r w:rsidR="00193CF1">
        <w:rPr>
          <w:rFonts w:ascii="Times New Roman" w:eastAsia="Times New Roman" w:hAnsi="Times New Roman" w:cs="Times New Roman"/>
          <w:sz w:val="24"/>
          <w:szCs w:val="24"/>
        </w:rPr>
        <w:t xml:space="preserve"> (</w:t>
      </w:r>
      <w:r w:rsidR="00175707" w:rsidRPr="00193CF1">
        <w:rPr>
          <w:rFonts w:ascii="Times New Roman" w:eastAsia="Times New Roman" w:hAnsi="Times New Roman" w:cs="Times New Roman"/>
          <w:sz w:val="24"/>
          <w:szCs w:val="24"/>
        </w:rPr>
        <w:t>Qu</w:t>
      </w:r>
      <w:r w:rsidR="00193CF1">
        <w:rPr>
          <w:rFonts w:ascii="Times New Roman" w:eastAsia="Times New Roman" w:hAnsi="Times New Roman" w:cs="Times New Roman"/>
          <w:sz w:val="24"/>
          <w:szCs w:val="24"/>
        </w:rPr>
        <w:t xml:space="preserve">aglia and </w:t>
      </w:r>
      <w:proofErr w:type="spellStart"/>
      <w:r w:rsidR="00193CF1">
        <w:rPr>
          <w:rFonts w:ascii="Times New Roman" w:eastAsia="Times New Roman" w:hAnsi="Times New Roman" w:cs="Times New Roman"/>
          <w:sz w:val="24"/>
          <w:szCs w:val="24"/>
        </w:rPr>
        <w:t>Spendzharova</w:t>
      </w:r>
      <w:proofErr w:type="spellEnd"/>
      <w:r w:rsidR="00193CF1">
        <w:rPr>
          <w:rFonts w:ascii="Times New Roman" w:eastAsia="Times New Roman" w:hAnsi="Times New Roman" w:cs="Times New Roman"/>
          <w:sz w:val="24"/>
          <w:szCs w:val="24"/>
        </w:rPr>
        <w:t xml:space="preserve">, </w:t>
      </w:r>
      <w:r w:rsidR="00175707" w:rsidRPr="00193CF1">
        <w:rPr>
          <w:rFonts w:ascii="Times New Roman" w:eastAsia="Times New Roman" w:hAnsi="Times New Roman" w:cs="Times New Roman"/>
          <w:sz w:val="24"/>
          <w:szCs w:val="24"/>
        </w:rPr>
        <w:t>2017</w:t>
      </w:r>
      <w:r w:rsidR="00193CF1">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This instance demonstrates the real effect that adapting risk management strategies may have on a bank's capacity to handle challenging economic times.</w:t>
      </w:r>
    </w:p>
    <w:p w14:paraId="296610DA" w14:textId="77777777" w:rsidR="00100CDD" w:rsidRPr="003655BA" w:rsidRDefault="003F5F5D" w:rsidP="008F66FE">
      <w:pPr>
        <w:pStyle w:val="Heading3"/>
        <w:rPr>
          <w:rFonts w:eastAsia="Times New Roman"/>
        </w:rPr>
      </w:pPr>
      <w:bookmarkStart w:id="12" w:name="_Toc143351299"/>
      <w:r w:rsidRPr="003655BA">
        <w:rPr>
          <w:rFonts w:eastAsia="Times New Roman"/>
        </w:rPr>
        <w:t xml:space="preserve">3.3.2 </w:t>
      </w:r>
      <w:r w:rsidR="00100CDD" w:rsidRPr="003655BA">
        <w:rPr>
          <w:rFonts w:eastAsia="Times New Roman"/>
        </w:rPr>
        <w:t>Organizational Structure: Ring-Fencing Implementation</w:t>
      </w:r>
      <w:bookmarkEnd w:id="12"/>
    </w:p>
    <w:p w14:paraId="4BA135B7" w14:textId="77777777" w:rsidR="00100CDD"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w:t>
      </w:r>
      <w:proofErr w:type="gramStart"/>
      <w:r w:rsidRPr="003655BA">
        <w:rPr>
          <w:rFonts w:ascii="Times New Roman" w:eastAsia="Times New Roman" w:hAnsi="Times New Roman" w:cs="Times New Roman"/>
          <w:sz w:val="24"/>
          <w:szCs w:val="24"/>
        </w:rPr>
        <w:t>manner in which</w:t>
      </w:r>
      <w:proofErr w:type="gramEnd"/>
      <w:r w:rsidRPr="003655BA">
        <w:rPr>
          <w:rFonts w:ascii="Times New Roman" w:eastAsia="Times New Roman" w:hAnsi="Times New Roman" w:cs="Times New Roman"/>
          <w:sz w:val="24"/>
          <w:szCs w:val="24"/>
        </w:rPr>
        <w:t xml:space="preserve"> Barclays responded to the ring-fencing directive exemplified the organization's agility in relation to the restructuring of its organisational structure. The activities of the bank were reorganised, and new divisions called Barclays UK and Barclays International were established. Over a thousand branches were rebranded </w:t>
      </w:r>
      <w:proofErr w:type="gramStart"/>
      <w:r w:rsidRPr="003655BA">
        <w:rPr>
          <w:rFonts w:ascii="Times New Roman" w:eastAsia="Times New Roman" w:hAnsi="Times New Roman" w:cs="Times New Roman"/>
          <w:sz w:val="24"/>
          <w:szCs w:val="24"/>
        </w:rPr>
        <w:t>as a consequence of</w:t>
      </w:r>
      <w:proofErr w:type="gramEnd"/>
      <w:r w:rsidRPr="003655BA">
        <w:rPr>
          <w:rFonts w:ascii="Times New Roman" w:eastAsia="Times New Roman" w:hAnsi="Times New Roman" w:cs="Times New Roman"/>
          <w:sz w:val="24"/>
          <w:szCs w:val="24"/>
        </w:rPr>
        <w:t xml:space="preserve"> this structural reform, which also separated retail and investment banking</w:t>
      </w:r>
      <w:r w:rsidR="00282BB8">
        <w:rPr>
          <w:rFonts w:ascii="Times New Roman" w:eastAsia="Times New Roman" w:hAnsi="Times New Roman" w:cs="Times New Roman"/>
          <w:sz w:val="24"/>
          <w:szCs w:val="24"/>
        </w:rPr>
        <w:t xml:space="preserve"> (Vasudev and Rodriguez Guerrero, </w:t>
      </w:r>
      <w:r w:rsidR="00175707" w:rsidRPr="00282BB8">
        <w:rPr>
          <w:rFonts w:ascii="Times New Roman" w:eastAsia="Times New Roman" w:hAnsi="Times New Roman" w:cs="Times New Roman"/>
          <w:sz w:val="24"/>
          <w:szCs w:val="24"/>
        </w:rPr>
        <w:lastRenderedPageBreak/>
        <w:t>2014</w:t>
      </w:r>
      <w:r w:rsidR="00282BB8">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This transition was successfully completed by the bank before the statutory deadline, which demonstrates the bank's proactive stance in terms of aligning itself with the changes.</w:t>
      </w:r>
    </w:p>
    <w:p w14:paraId="02968201" w14:textId="77777777" w:rsidR="00100CDD" w:rsidRPr="003655BA" w:rsidRDefault="003F5F5D" w:rsidP="008F66FE">
      <w:pPr>
        <w:pStyle w:val="Heading3"/>
        <w:rPr>
          <w:rFonts w:eastAsia="Times New Roman"/>
        </w:rPr>
      </w:pPr>
      <w:bookmarkStart w:id="13" w:name="_Toc143351300"/>
      <w:r w:rsidRPr="003655BA">
        <w:rPr>
          <w:rFonts w:eastAsia="Times New Roman"/>
        </w:rPr>
        <w:t xml:space="preserve">3.3.3 </w:t>
      </w:r>
      <w:r w:rsidR="00100CDD" w:rsidRPr="003655BA">
        <w:rPr>
          <w:rFonts w:eastAsia="Times New Roman"/>
        </w:rPr>
        <w:t>Customer Services: Transparency and Product Disclosures</w:t>
      </w:r>
      <w:bookmarkEnd w:id="13"/>
    </w:p>
    <w:p w14:paraId="63060FA4" w14:textId="77777777" w:rsidR="00100CDD"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keeping with the focus placed on consumer protection, Barclays embarked on a series of measures to improve the transparency of its customer service. The bank improved its mortgage offers by making product disclosures more understandable and streamlining the process. Customers were given extensive information about the interest rates, fees, and possible hazards associated with their accounts</w:t>
      </w:r>
      <w:r w:rsidR="00194E50">
        <w:rPr>
          <w:rFonts w:ascii="Times New Roman" w:eastAsia="Times New Roman" w:hAnsi="Times New Roman" w:cs="Times New Roman"/>
          <w:sz w:val="24"/>
          <w:szCs w:val="24"/>
        </w:rPr>
        <w:t xml:space="preserve"> (Mishkin, </w:t>
      </w:r>
      <w:r w:rsidR="00175707" w:rsidRPr="00194E50">
        <w:rPr>
          <w:rFonts w:ascii="Times New Roman" w:eastAsia="Times New Roman" w:hAnsi="Times New Roman" w:cs="Times New Roman"/>
          <w:sz w:val="24"/>
          <w:szCs w:val="24"/>
        </w:rPr>
        <w:t>2011</w:t>
      </w:r>
      <w:r w:rsidR="00194E50">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w:t>
      </w:r>
      <w:r w:rsidR="00E54223">
        <w:rPr>
          <w:rFonts w:ascii="Times New Roman" w:eastAsia="Times New Roman" w:hAnsi="Times New Roman" w:cs="Times New Roman"/>
          <w:sz w:val="24"/>
          <w:szCs w:val="24"/>
        </w:rPr>
        <w:t>It reflects</w:t>
      </w:r>
      <w:r w:rsidRPr="003655BA">
        <w:rPr>
          <w:rFonts w:ascii="Times New Roman" w:eastAsia="Times New Roman" w:hAnsi="Times New Roman" w:cs="Times New Roman"/>
          <w:sz w:val="24"/>
          <w:szCs w:val="24"/>
        </w:rPr>
        <w:t xml:space="preserve"> Barclays' dedication to empowering clients with the knowledge necessary to m</w:t>
      </w:r>
      <w:r w:rsidR="00E011C8">
        <w:rPr>
          <w:rFonts w:ascii="Times New Roman" w:eastAsia="Times New Roman" w:hAnsi="Times New Roman" w:cs="Times New Roman"/>
          <w:sz w:val="24"/>
          <w:szCs w:val="24"/>
        </w:rPr>
        <w:t>ake educated financial choices. It can</w:t>
      </w:r>
      <w:r w:rsidRPr="003655BA">
        <w:rPr>
          <w:rFonts w:ascii="Times New Roman" w:eastAsia="Times New Roman" w:hAnsi="Times New Roman" w:cs="Times New Roman"/>
          <w:sz w:val="24"/>
          <w:szCs w:val="24"/>
        </w:rPr>
        <w:t xml:space="preserve"> lead to the restoration of confidence in the company after the financial crisis.</w:t>
      </w:r>
    </w:p>
    <w:p w14:paraId="7A92F805" w14:textId="77777777" w:rsidR="00100CDD" w:rsidRPr="003655BA" w:rsidRDefault="00100CDD" w:rsidP="008F66FE">
      <w:pPr>
        <w:pStyle w:val="Heading2"/>
        <w:rPr>
          <w:lang w:val="en-GB"/>
        </w:rPr>
      </w:pPr>
      <w:bookmarkStart w:id="14" w:name="_Toc143351301"/>
      <w:r w:rsidRPr="003655BA">
        <w:rPr>
          <w:lang w:val="en-GB"/>
        </w:rPr>
        <w:t>3.4 Challenges and Potential Areas of Non-Compliance</w:t>
      </w:r>
      <w:bookmarkEnd w:id="14"/>
    </w:p>
    <w:p w14:paraId="7341C8CE" w14:textId="77777777" w:rsidR="00100CDD" w:rsidRPr="003655BA" w:rsidRDefault="007E7F4E" w:rsidP="008F66FE">
      <w:pPr>
        <w:pStyle w:val="Heading3"/>
        <w:rPr>
          <w:rFonts w:eastAsia="Times New Roman"/>
        </w:rPr>
      </w:pPr>
      <w:bookmarkStart w:id="15" w:name="_Toc143351302"/>
      <w:r w:rsidRPr="003655BA">
        <w:rPr>
          <w:rFonts w:eastAsia="Times New Roman"/>
        </w:rPr>
        <w:t xml:space="preserve">3.4.1 </w:t>
      </w:r>
      <w:r w:rsidR="00100CDD" w:rsidRPr="003655BA">
        <w:rPr>
          <w:rFonts w:eastAsia="Times New Roman"/>
        </w:rPr>
        <w:t>Structural Adjustments: Ring-Fencing Challenges</w:t>
      </w:r>
      <w:bookmarkEnd w:id="15"/>
    </w:p>
    <w:p w14:paraId="3DC183BE" w14:textId="77777777" w:rsidR="004C55B6"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execution of the ring-fencing mandate </w:t>
      </w:r>
      <w:r w:rsidR="00F33294">
        <w:rPr>
          <w:rFonts w:ascii="Times New Roman" w:eastAsia="Times New Roman" w:hAnsi="Times New Roman" w:cs="Times New Roman"/>
          <w:sz w:val="24"/>
          <w:szCs w:val="24"/>
        </w:rPr>
        <w:t>has resulted</w:t>
      </w:r>
      <w:r w:rsidRPr="003655BA">
        <w:rPr>
          <w:rFonts w:ascii="Times New Roman" w:eastAsia="Times New Roman" w:hAnsi="Times New Roman" w:cs="Times New Roman"/>
          <w:sz w:val="24"/>
          <w:szCs w:val="24"/>
        </w:rPr>
        <w:t xml:space="preserve"> </w:t>
      </w:r>
      <w:proofErr w:type="gramStart"/>
      <w:r w:rsidRPr="003655BA">
        <w:rPr>
          <w:rFonts w:ascii="Times New Roman" w:eastAsia="Times New Roman" w:hAnsi="Times New Roman" w:cs="Times New Roman"/>
          <w:sz w:val="24"/>
          <w:szCs w:val="24"/>
        </w:rPr>
        <w:t>a number of</w:t>
      </w:r>
      <w:proofErr w:type="gramEnd"/>
      <w:r w:rsidRPr="003655BA">
        <w:rPr>
          <w:rFonts w:ascii="Times New Roman" w:eastAsia="Times New Roman" w:hAnsi="Times New Roman" w:cs="Times New Roman"/>
          <w:sz w:val="24"/>
          <w:szCs w:val="24"/>
        </w:rPr>
        <w:t xml:space="preserve"> difficult issues, despite </w:t>
      </w:r>
      <w:r w:rsidR="002301C9">
        <w:rPr>
          <w:rFonts w:ascii="Times New Roman" w:eastAsia="Times New Roman" w:hAnsi="Times New Roman" w:cs="Times New Roman"/>
          <w:sz w:val="24"/>
          <w:szCs w:val="24"/>
        </w:rPr>
        <w:t xml:space="preserve">of maintaining </w:t>
      </w:r>
      <w:r w:rsidRPr="003655BA">
        <w:rPr>
          <w:rFonts w:ascii="Times New Roman" w:eastAsia="Times New Roman" w:hAnsi="Times New Roman" w:cs="Times New Roman"/>
          <w:sz w:val="24"/>
          <w:szCs w:val="24"/>
        </w:rPr>
        <w:t>its primary objective was to improve financial stability. Barclays was faced with the challenging challenge of separating its retail and investment banking operations without causing any interruptions to service</w:t>
      </w:r>
      <w:r w:rsidR="0023012E">
        <w:rPr>
          <w:rFonts w:ascii="Times New Roman" w:eastAsia="Times New Roman" w:hAnsi="Times New Roman" w:cs="Times New Roman"/>
          <w:sz w:val="24"/>
          <w:szCs w:val="24"/>
        </w:rPr>
        <w:t xml:space="preserve"> (De Vito, </w:t>
      </w:r>
      <w:r w:rsidR="00175707" w:rsidRPr="0023012E">
        <w:rPr>
          <w:rFonts w:ascii="Times New Roman" w:eastAsia="Times New Roman" w:hAnsi="Times New Roman" w:cs="Times New Roman"/>
          <w:sz w:val="24"/>
          <w:szCs w:val="24"/>
        </w:rPr>
        <w:t>2017</w:t>
      </w:r>
      <w:r w:rsidR="0023012E">
        <w:rPr>
          <w:rFonts w:ascii="Times New Roman" w:eastAsia="Times New Roman" w:hAnsi="Times New Roman" w:cs="Times New Roman"/>
          <w:sz w:val="24"/>
          <w:szCs w:val="24"/>
        </w:rPr>
        <w:t>) (Barclays, 20</w:t>
      </w:r>
      <w:r w:rsidR="00792D49">
        <w:rPr>
          <w:rFonts w:ascii="Times New Roman" w:eastAsia="Times New Roman" w:hAnsi="Times New Roman" w:cs="Times New Roman"/>
          <w:sz w:val="24"/>
          <w:szCs w:val="24"/>
        </w:rPr>
        <w:t>23</w:t>
      </w:r>
      <w:r w:rsidR="0023012E">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The bank </w:t>
      </w:r>
      <w:proofErr w:type="gramStart"/>
      <w:r w:rsidRPr="003655BA">
        <w:rPr>
          <w:rFonts w:ascii="Times New Roman" w:eastAsia="Times New Roman" w:hAnsi="Times New Roman" w:cs="Times New Roman"/>
          <w:sz w:val="24"/>
          <w:szCs w:val="24"/>
        </w:rPr>
        <w:t>has to</w:t>
      </w:r>
      <w:proofErr w:type="gramEnd"/>
      <w:r w:rsidRPr="003655BA">
        <w:rPr>
          <w:rFonts w:ascii="Times New Roman" w:eastAsia="Times New Roman" w:hAnsi="Times New Roman" w:cs="Times New Roman"/>
          <w:sz w:val="24"/>
          <w:szCs w:val="24"/>
        </w:rPr>
        <w:t xml:space="preserve"> adjust its business </w:t>
      </w:r>
      <w:r w:rsidR="004C55B6"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technological infrastructure, and methods of communicating with customers. The difficulty was in ensuring a smooth transition that maintained the quality of the client experience while also complying with the obligation imposed by the regulatory body.</w:t>
      </w:r>
    </w:p>
    <w:p w14:paraId="43E7E212" w14:textId="77777777" w:rsidR="00100CDD" w:rsidRPr="003655BA" w:rsidRDefault="00686F90" w:rsidP="008F66FE">
      <w:pPr>
        <w:pStyle w:val="Heading3"/>
        <w:rPr>
          <w:rFonts w:eastAsia="Times New Roman"/>
        </w:rPr>
      </w:pPr>
      <w:bookmarkStart w:id="16" w:name="_Toc143351303"/>
      <w:r w:rsidRPr="003655BA">
        <w:rPr>
          <w:rFonts w:eastAsia="Times New Roman"/>
        </w:rPr>
        <w:t xml:space="preserve">3.4.2 </w:t>
      </w:r>
      <w:r w:rsidR="00100CDD" w:rsidRPr="003655BA">
        <w:rPr>
          <w:rFonts w:eastAsia="Times New Roman"/>
        </w:rPr>
        <w:t>Capital Requirements: Balancing Compliance and Investor Confidence</w:t>
      </w:r>
      <w:bookmarkEnd w:id="16"/>
    </w:p>
    <w:p w14:paraId="31D8A268" w14:textId="77777777" w:rsidR="00100CDD"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Due to the increased capital requirements, Barclays was confronted with the problem of successfully raising considerable money while simultaneously preserving the trust of investors. In 2013, </w:t>
      </w:r>
      <w:proofErr w:type="gramStart"/>
      <w:r w:rsidRPr="003655BA">
        <w:rPr>
          <w:rFonts w:ascii="Times New Roman" w:eastAsia="Times New Roman" w:hAnsi="Times New Roman" w:cs="Times New Roman"/>
          <w:sz w:val="24"/>
          <w:szCs w:val="24"/>
        </w:rPr>
        <w:t>in an effort to</w:t>
      </w:r>
      <w:proofErr w:type="gramEnd"/>
      <w:r w:rsidRPr="003655BA">
        <w:rPr>
          <w:rFonts w:ascii="Times New Roman" w:eastAsia="Times New Roman" w:hAnsi="Times New Roman" w:cs="Times New Roman"/>
          <w:sz w:val="24"/>
          <w:szCs w:val="24"/>
        </w:rPr>
        <w:t xml:space="preserve"> increase capital and get closer to meeting the regulatory requirement, the bank issued fresh shares</w:t>
      </w:r>
      <w:r w:rsidR="00D5176E">
        <w:rPr>
          <w:rFonts w:ascii="Times New Roman" w:eastAsia="Times New Roman" w:hAnsi="Times New Roman" w:cs="Times New Roman"/>
          <w:sz w:val="24"/>
          <w:szCs w:val="24"/>
        </w:rPr>
        <w:t xml:space="preserve"> (</w:t>
      </w:r>
      <w:r w:rsidR="00D5176E" w:rsidRPr="00D5176E">
        <w:rPr>
          <w:rFonts w:ascii="Times New Roman" w:eastAsia="Times New Roman" w:hAnsi="Times New Roman" w:cs="Times New Roman"/>
          <w:sz w:val="24"/>
          <w:szCs w:val="24"/>
        </w:rPr>
        <w:t>Acharya</w:t>
      </w:r>
      <w:r w:rsidR="00D5176E">
        <w:rPr>
          <w:rFonts w:ascii="Times New Roman" w:eastAsia="Times New Roman" w:hAnsi="Times New Roman" w:cs="Times New Roman"/>
          <w:sz w:val="24"/>
          <w:szCs w:val="24"/>
        </w:rPr>
        <w:t xml:space="preserve"> </w:t>
      </w:r>
      <w:r w:rsidR="00D5176E">
        <w:rPr>
          <w:rFonts w:ascii="Times New Roman" w:eastAsia="Times New Roman" w:hAnsi="Times New Roman" w:cs="Times New Roman"/>
          <w:i/>
          <w:iCs/>
          <w:sz w:val="24"/>
          <w:szCs w:val="24"/>
        </w:rPr>
        <w:t>et al.</w:t>
      </w:r>
      <w:r w:rsidR="00D5176E">
        <w:rPr>
          <w:rFonts w:ascii="Times New Roman" w:eastAsia="Times New Roman" w:hAnsi="Times New Roman" w:cs="Times New Roman"/>
          <w:sz w:val="24"/>
          <w:szCs w:val="24"/>
        </w:rPr>
        <w:t xml:space="preserve"> 2011</w:t>
      </w:r>
      <w:r w:rsidR="0023012E">
        <w:rPr>
          <w:rFonts w:ascii="Times New Roman" w:eastAsia="Times New Roman" w:hAnsi="Times New Roman" w:cs="Times New Roman"/>
          <w:sz w:val="24"/>
          <w:szCs w:val="24"/>
        </w:rPr>
        <w:tab/>
      </w:r>
      <w:r w:rsidR="00D5176E">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The objective was to make sure that the attempts to raise capital did not result in a reduction in the value of the bank's shareholders or have a negative impact on the market position of the institution. Finding that happy medium was a challenging endeavour.</w:t>
      </w:r>
    </w:p>
    <w:p w14:paraId="5EDB4FC3" w14:textId="77777777" w:rsidR="00100CDD" w:rsidRPr="003655BA" w:rsidRDefault="00686F90" w:rsidP="008F66FE">
      <w:pPr>
        <w:pStyle w:val="Heading3"/>
        <w:rPr>
          <w:rFonts w:eastAsia="Times New Roman"/>
        </w:rPr>
      </w:pPr>
      <w:bookmarkStart w:id="17" w:name="_Toc143351304"/>
      <w:r w:rsidRPr="003655BA">
        <w:rPr>
          <w:rFonts w:eastAsia="Times New Roman"/>
        </w:rPr>
        <w:lastRenderedPageBreak/>
        <w:t xml:space="preserve">3.4.3 </w:t>
      </w:r>
      <w:r w:rsidR="00100CDD" w:rsidRPr="003655BA">
        <w:rPr>
          <w:rFonts w:eastAsia="Times New Roman"/>
        </w:rPr>
        <w:t>Consumer Protection: Ensuring Comprehensive Communication</w:t>
      </w:r>
      <w:bookmarkEnd w:id="17"/>
    </w:p>
    <w:p w14:paraId="1E8FDFD5" w14:textId="77777777" w:rsidR="00100CDD" w:rsidRPr="003655BA" w:rsidRDefault="00100CDD" w:rsidP="00100CDD">
      <w:pPr>
        <w:spacing w:before="200" w:after="200" w:line="360" w:lineRule="auto"/>
        <w:jc w:val="both"/>
        <w:rPr>
          <w:rFonts w:ascii="Times New Roman" w:eastAsia="Times New Roman" w:hAnsi="Times New Roman" w:cs="Times New Roman"/>
          <w:sz w:val="24"/>
          <w:szCs w:val="24"/>
        </w:rPr>
      </w:pPr>
      <w:proofErr w:type="gramStart"/>
      <w:r w:rsidRPr="003655BA">
        <w:rPr>
          <w:rFonts w:ascii="Times New Roman" w:eastAsia="Times New Roman" w:hAnsi="Times New Roman" w:cs="Times New Roman"/>
          <w:sz w:val="24"/>
          <w:szCs w:val="24"/>
        </w:rPr>
        <w:t>In order for</w:t>
      </w:r>
      <w:proofErr w:type="gramEnd"/>
      <w:r w:rsidRPr="003655BA">
        <w:rPr>
          <w:rFonts w:ascii="Times New Roman" w:eastAsia="Times New Roman" w:hAnsi="Times New Roman" w:cs="Times New Roman"/>
          <w:sz w:val="24"/>
          <w:szCs w:val="24"/>
        </w:rPr>
        <w:t xml:space="preserve"> Barclays to fulfil its obligation to safeguard consumers, it was necessary to maintain open lines of contact with clients. The difficulty came in properly communicating the complexity of financial goods, such as derivatives, to clients who were not experts in the subject matter. It was a delicate balancing act that needed rigorous communication tactics in order to ensure that clients understood the risks and rewards associated with the products without overwhelming them with technical language</w:t>
      </w:r>
      <w:r w:rsidR="009B1D71">
        <w:rPr>
          <w:rFonts w:ascii="Times New Roman" w:eastAsia="Times New Roman" w:hAnsi="Times New Roman" w:cs="Times New Roman"/>
          <w:sz w:val="24"/>
          <w:szCs w:val="24"/>
        </w:rPr>
        <w:t xml:space="preserve"> (Howarth and Quaglia, </w:t>
      </w:r>
      <w:r w:rsidR="009B1D71" w:rsidRPr="009B1D71">
        <w:rPr>
          <w:rFonts w:ascii="Times New Roman" w:eastAsia="Times New Roman" w:hAnsi="Times New Roman" w:cs="Times New Roman"/>
          <w:sz w:val="24"/>
          <w:szCs w:val="24"/>
        </w:rPr>
        <w:t>2016)</w:t>
      </w:r>
      <w:r w:rsidRPr="003655BA">
        <w:rPr>
          <w:rFonts w:ascii="Times New Roman" w:eastAsia="Times New Roman" w:hAnsi="Times New Roman" w:cs="Times New Roman"/>
          <w:sz w:val="24"/>
          <w:szCs w:val="24"/>
        </w:rPr>
        <w:t>.</w:t>
      </w:r>
    </w:p>
    <w:p w14:paraId="108AA8C0" w14:textId="77777777" w:rsidR="00100CDD" w:rsidRPr="003655BA" w:rsidRDefault="00100CDD" w:rsidP="00100CDD">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In conclusion, the </w:t>
      </w:r>
      <w:proofErr w:type="gramStart"/>
      <w:r w:rsidRPr="003655BA">
        <w:rPr>
          <w:rFonts w:ascii="Times New Roman" w:eastAsia="Times New Roman" w:hAnsi="Times New Roman" w:cs="Times New Roman"/>
          <w:sz w:val="24"/>
          <w:szCs w:val="24"/>
        </w:rPr>
        <w:t>aforementioned case</w:t>
      </w:r>
      <w:proofErr w:type="gramEnd"/>
      <w:r w:rsidRPr="003655BA">
        <w:rPr>
          <w:rFonts w:ascii="Times New Roman" w:eastAsia="Times New Roman" w:hAnsi="Times New Roman" w:cs="Times New Roman"/>
          <w:sz w:val="24"/>
          <w:szCs w:val="24"/>
        </w:rPr>
        <w:t xml:space="preserve"> study examples demonstrate the real modifications that Barclays Plc has made in response to UK reforms. While deftly navigating these obstacles, the bank exhibited not just its dedication to compliance but also its resiliency in the face of a constantly shifting regulatory framework.</w:t>
      </w:r>
    </w:p>
    <w:p w14:paraId="32789455" w14:textId="77777777" w:rsidR="0047270A" w:rsidRPr="003655BA" w:rsidRDefault="0047270A" w:rsidP="008F66FE">
      <w:pPr>
        <w:pStyle w:val="Heading1"/>
        <w:rPr>
          <w:lang w:val="en-GB"/>
        </w:rPr>
      </w:pPr>
      <w:bookmarkStart w:id="18" w:name="_Toc143351305"/>
      <w:r w:rsidRPr="003655BA">
        <w:rPr>
          <w:lang w:val="en-GB"/>
        </w:rPr>
        <w:t>4. Stabilizing the Financial System: Evaluating the Reforms</w:t>
      </w:r>
      <w:bookmarkEnd w:id="18"/>
    </w:p>
    <w:p w14:paraId="56DF5EC3" w14:textId="77777777" w:rsidR="0047270A" w:rsidRPr="003655BA" w:rsidRDefault="0047270A" w:rsidP="008F66FE">
      <w:pPr>
        <w:pStyle w:val="Heading2"/>
        <w:rPr>
          <w:lang w:val="en-GB"/>
        </w:rPr>
      </w:pPr>
      <w:bookmarkStart w:id="19" w:name="_Toc143351306"/>
      <w:r w:rsidRPr="003655BA">
        <w:rPr>
          <w:lang w:val="en-GB"/>
        </w:rPr>
        <w:t>4.1 Contribution of UK Reforms to Financial Stability</w:t>
      </w:r>
      <w:bookmarkEnd w:id="19"/>
    </w:p>
    <w:p w14:paraId="52434F88"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Restructuring the architecture of the financial system to make it more resilient to shocks, reduce the amount of systemic risk, and regain investor confidence were the goals of the post-2008 financial crisis reforms that were organised by the UK authorities</w:t>
      </w:r>
      <w:r w:rsidR="006904CB">
        <w:rPr>
          <w:rFonts w:ascii="Times New Roman" w:eastAsia="Times New Roman" w:hAnsi="Times New Roman" w:cs="Times New Roman"/>
          <w:sz w:val="24"/>
          <w:szCs w:val="24"/>
        </w:rPr>
        <w:t xml:space="preserve"> (</w:t>
      </w:r>
      <w:r w:rsidR="006904CB" w:rsidRPr="006904CB">
        <w:rPr>
          <w:rFonts w:ascii="Times New Roman" w:eastAsia="Times New Roman" w:hAnsi="Times New Roman" w:cs="Times New Roman"/>
          <w:sz w:val="24"/>
          <w:szCs w:val="24"/>
        </w:rPr>
        <w:t>Davies</w:t>
      </w:r>
      <w:r w:rsidR="006904CB">
        <w:rPr>
          <w:rFonts w:ascii="Times New Roman" w:eastAsia="Times New Roman" w:hAnsi="Times New Roman" w:cs="Times New Roman"/>
          <w:sz w:val="24"/>
          <w:szCs w:val="24"/>
        </w:rPr>
        <w:t xml:space="preserve"> </w:t>
      </w:r>
      <w:r w:rsidR="006904CB">
        <w:rPr>
          <w:rFonts w:ascii="Times New Roman" w:eastAsia="Times New Roman" w:hAnsi="Times New Roman" w:cs="Times New Roman"/>
          <w:i/>
          <w:iCs/>
          <w:sz w:val="24"/>
          <w:szCs w:val="24"/>
        </w:rPr>
        <w:t>et al.</w:t>
      </w:r>
      <w:r w:rsidR="006904CB">
        <w:rPr>
          <w:rFonts w:ascii="Times New Roman" w:eastAsia="Times New Roman" w:hAnsi="Times New Roman" w:cs="Times New Roman"/>
          <w:sz w:val="24"/>
          <w:szCs w:val="24"/>
        </w:rPr>
        <w:t xml:space="preserve"> 2010)</w:t>
      </w:r>
      <w:r w:rsidRPr="003655BA">
        <w:rPr>
          <w:rFonts w:ascii="Times New Roman" w:eastAsia="Times New Roman" w:hAnsi="Times New Roman" w:cs="Times New Roman"/>
          <w:sz w:val="24"/>
          <w:szCs w:val="24"/>
        </w:rPr>
        <w:t xml:space="preserve">. An objective analysis demonstrates that the </w:t>
      </w:r>
      <w:proofErr w:type="gramStart"/>
      <w:r w:rsidRPr="003655BA">
        <w:rPr>
          <w:rFonts w:ascii="Times New Roman" w:eastAsia="Times New Roman" w:hAnsi="Times New Roman" w:cs="Times New Roman"/>
          <w:sz w:val="24"/>
          <w:szCs w:val="24"/>
        </w:rPr>
        <w:t>aforementioned changes</w:t>
      </w:r>
      <w:proofErr w:type="gramEnd"/>
      <w:r w:rsidRPr="003655BA">
        <w:rPr>
          <w:rFonts w:ascii="Times New Roman" w:eastAsia="Times New Roman" w:hAnsi="Times New Roman" w:cs="Times New Roman"/>
          <w:sz w:val="24"/>
          <w:szCs w:val="24"/>
        </w:rPr>
        <w:t xml:space="preserve"> did, in fact, make significant progress towards stabilising the financial system, although with notable caveats.</w:t>
      </w:r>
    </w:p>
    <w:p w14:paraId="7B4EF56F"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Prudential Regulation Authority (PRA) strengthened the financial industry by mandating enhanced capital requirements, which in turn reinforced the sector's resilience</w:t>
      </w:r>
      <w:r w:rsidR="00607513">
        <w:rPr>
          <w:rFonts w:ascii="Times New Roman" w:eastAsia="Times New Roman" w:hAnsi="Times New Roman" w:cs="Times New Roman"/>
          <w:sz w:val="24"/>
          <w:szCs w:val="24"/>
        </w:rPr>
        <w:t xml:space="preserve"> (Ioannou </w:t>
      </w:r>
      <w:r w:rsidR="00607513">
        <w:rPr>
          <w:rFonts w:ascii="Times New Roman" w:eastAsia="Times New Roman" w:hAnsi="Times New Roman" w:cs="Times New Roman"/>
          <w:i/>
          <w:iCs/>
          <w:sz w:val="24"/>
          <w:szCs w:val="24"/>
        </w:rPr>
        <w:t>et al.</w:t>
      </w:r>
      <w:r w:rsidR="00607513">
        <w:rPr>
          <w:rFonts w:ascii="Times New Roman" w:eastAsia="Times New Roman" w:hAnsi="Times New Roman" w:cs="Times New Roman"/>
          <w:sz w:val="24"/>
          <w:szCs w:val="24"/>
        </w:rPr>
        <w:t xml:space="preserve"> 2019</w:t>
      </w:r>
      <w:r w:rsidR="00607513" w:rsidRPr="00607513">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By adhering to greater capital adequacy ratios, financial institutions such as Barclays Plc were able to build stronger buffers that could absorb losses during times of economic hardship. As a result, this helped reduce the possibility that financial institutions would need bailouts paid by taxpayers, which in turn helped reduce the likelihood of systemic concerns</w:t>
      </w:r>
      <w:r w:rsidR="00775056">
        <w:rPr>
          <w:rFonts w:ascii="Times New Roman" w:eastAsia="Times New Roman" w:hAnsi="Times New Roman" w:cs="Times New Roman"/>
          <w:sz w:val="24"/>
          <w:szCs w:val="24"/>
        </w:rPr>
        <w:t xml:space="preserve"> (Pistor, </w:t>
      </w:r>
      <w:r w:rsidR="00775056" w:rsidRPr="00775056">
        <w:rPr>
          <w:rFonts w:ascii="Times New Roman" w:eastAsia="Times New Roman" w:hAnsi="Times New Roman" w:cs="Times New Roman"/>
          <w:sz w:val="24"/>
          <w:szCs w:val="24"/>
        </w:rPr>
        <w:t>2009</w:t>
      </w:r>
      <w:r w:rsidR="00775056">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However, the effectiveness of these rules is predicated on maintaining a careful balance between capital sufficiency and the banks' capacity to lend, with the goal of ensuring that excessive capitalization does not inhibit economic development.</w:t>
      </w:r>
    </w:p>
    <w:p w14:paraId="1F2AAC25"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lastRenderedPageBreak/>
        <w:t>The ring-fencing effort, which was a feature of the Banking Reform Act, was designed to protect retail banking from the ups and downs that are associated with investment banking. The purpose of this division was to avoid the spread of hazards and to safeguard the essential services that are required for economic stability</w:t>
      </w:r>
      <w:r w:rsidR="00DE0892">
        <w:rPr>
          <w:rFonts w:ascii="Times New Roman" w:eastAsia="Times New Roman" w:hAnsi="Times New Roman" w:cs="Times New Roman"/>
          <w:sz w:val="24"/>
          <w:szCs w:val="24"/>
        </w:rPr>
        <w:t xml:space="preserve"> (</w:t>
      </w:r>
      <w:proofErr w:type="spellStart"/>
      <w:r w:rsidR="00DE0892">
        <w:rPr>
          <w:rFonts w:ascii="Times New Roman" w:eastAsia="Times New Roman" w:hAnsi="Times New Roman" w:cs="Times New Roman"/>
          <w:sz w:val="24"/>
          <w:szCs w:val="24"/>
        </w:rPr>
        <w:t>Carè</w:t>
      </w:r>
      <w:proofErr w:type="spellEnd"/>
      <w:r w:rsidR="00DE0892">
        <w:rPr>
          <w:rFonts w:ascii="Times New Roman" w:eastAsia="Times New Roman" w:hAnsi="Times New Roman" w:cs="Times New Roman"/>
          <w:sz w:val="24"/>
          <w:szCs w:val="24"/>
        </w:rPr>
        <w:t xml:space="preserve">, </w:t>
      </w:r>
      <w:r w:rsidR="00DE0892" w:rsidRPr="00DE0892">
        <w:rPr>
          <w:rFonts w:ascii="Times New Roman" w:eastAsia="Times New Roman" w:hAnsi="Times New Roman" w:cs="Times New Roman"/>
          <w:sz w:val="24"/>
          <w:szCs w:val="24"/>
        </w:rPr>
        <w:t>2016)</w:t>
      </w:r>
      <w:r w:rsidRPr="003655BA">
        <w:rPr>
          <w:rFonts w:ascii="Times New Roman" w:eastAsia="Times New Roman" w:hAnsi="Times New Roman" w:cs="Times New Roman"/>
          <w:sz w:val="24"/>
          <w:szCs w:val="24"/>
        </w:rPr>
        <w:t xml:space="preserve">. Even if the reduction of systemic risk demonstrates that ring-fencing was successful, the efficacy of the strategy may be hindered by </w:t>
      </w:r>
      <w:proofErr w:type="gramStart"/>
      <w:r w:rsidRPr="003655BA">
        <w:rPr>
          <w:rFonts w:ascii="Times New Roman" w:eastAsia="Times New Roman" w:hAnsi="Times New Roman" w:cs="Times New Roman"/>
          <w:sz w:val="24"/>
          <w:szCs w:val="24"/>
        </w:rPr>
        <w:t>a number of</w:t>
      </w:r>
      <w:proofErr w:type="gramEnd"/>
      <w:r w:rsidRPr="003655BA">
        <w:rPr>
          <w:rFonts w:ascii="Times New Roman" w:eastAsia="Times New Roman" w:hAnsi="Times New Roman" w:cs="Times New Roman"/>
          <w:sz w:val="24"/>
          <w:szCs w:val="24"/>
        </w:rPr>
        <w:t xml:space="preserve"> obstacles. It is of the utmost importance to make certain that banks do not discover novel methods to get around these restrictions and unintentionally bring about the emergence of new dangers over time.</w:t>
      </w:r>
    </w:p>
    <w:p w14:paraId="431AD4FE" w14:textId="77777777" w:rsidR="0047270A" w:rsidRPr="003655BA" w:rsidRDefault="0047270A" w:rsidP="008F66FE">
      <w:pPr>
        <w:pStyle w:val="Heading2"/>
        <w:rPr>
          <w:lang w:val="en-GB"/>
        </w:rPr>
      </w:pPr>
      <w:bookmarkStart w:id="20" w:name="_Toc143351307"/>
      <w:r w:rsidRPr="003655BA">
        <w:rPr>
          <w:lang w:val="en-GB"/>
        </w:rPr>
        <w:t>4.2 Effectiveness of Ring-Fencing</w:t>
      </w:r>
      <w:bookmarkEnd w:id="20"/>
    </w:p>
    <w:p w14:paraId="7769EE09"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implementation of ring-fencing signified a paradigm shift in banking operations. The change was made with the intention of minimising the possible effect that the volatility of investment banking may have on important retail services. In the process of putting this structural change into effect, there have been some achievements, but there have also been some difficulties.</w:t>
      </w:r>
      <w:r w:rsidR="00F529FC">
        <w:rPr>
          <w:rFonts w:ascii="Times New Roman" w:eastAsia="Times New Roman" w:hAnsi="Times New Roman" w:cs="Times New Roman"/>
          <w:sz w:val="24"/>
          <w:szCs w:val="24"/>
        </w:rPr>
        <w:t xml:space="preserve"> </w:t>
      </w:r>
      <w:r w:rsidRPr="003655BA">
        <w:rPr>
          <w:rFonts w:ascii="Times New Roman" w:eastAsia="Times New Roman" w:hAnsi="Times New Roman" w:cs="Times New Roman"/>
          <w:sz w:val="24"/>
          <w:szCs w:val="24"/>
        </w:rPr>
        <w:t>The efficiency of ring-fencing may be seen in the fact that high-risk investment activities are kept apart from the core retail operations of the company</w:t>
      </w:r>
      <w:r w:rsidR="00E91591">
        <w:rPr>
          <w:rFonts w:ascii="Times New Roman" w:eastAsia="Times New Roman" w:hAnsi="Times New Roman" w:cs="Times New Roman"/>
          <w:sz w:val="24"/>
          <w:szCs w:val="24"/>
        </w:rPr>
        <w:t xml:space="preserve"> (Sikka, </w:t>
      </w:r>
      <w:r w:rsidR="00E91591" w:rsidRPr="00E91591">
        <w:rPr>
          <w:rFonts w:ascii="Times New Roman" w:eastAsia="Times New Roman" w:hAnsi="Times New Roman" w:cs="Times New Roman"/>
          <w:sz w:val="24"/>
          <w:szCs w:val="24"/>
        </w:rPr>
        <w:t>2014</w:t>
      </w:r>
      <w:r w:rsidR="00E91591">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Because of this compartmentalization, day-to-day banking services </w:t>
      </w:r>
      <w:proofErr w:type="gramStart"/>
      <w:r w:rsidRPr="003655BA">
        <w:rPr>
          <w:rFonts w:ascii="Times New Roman" w:eastAsia="Times New Roman" w:hAnsi="Times New Roman" w:cs="Times New Roman"/>
          <w:sz w:val="24"/>
          <w:szCs w:val="24"/>
        </w:rPr>
        <w:t>are able to</w:t>
      </w:r>
      <w:proofErr w:type="gramEnd"/>
      <w:r w:rsidRPr="003655BA">
        <w:rPr>
          <w:rFonts w:ascii="Times New Roman" w:eastAsia="Times New Roman" w:hAnsi="Times New Roman" w:cs="Times New Roman"/>
          <w:sz w:val="24"/>
          <w:szCs w:val="24"/>
        </w:rPr>
        <w:t xml:space="preserve"> continue operating normally, even in the face of turbulence in the financial market</w:t>
      </w:r>
      <w:r w:rsidR="00CE01C7">
        <w:rPr>
          <w:rFonts w:ascii="Times New Roman" w:eastAsia="Times New Roman" w:hAnsi="Times New Roman" w:cs="Times New Roman"/>
          <w:sz w:val="24"/>
          <w:szCs w:val="24"/>
        </w:rPr>
        <w:t xml:space="preserve"> (Arner </w:t>
      </w:r>
      <w:r w:rsidR="00CE01C7">
        <w:rPr>
          <w:rFonts w:ascii="Times New Roman" w:eastAsia="Times New Roman" w:hAnsi="Times New Roman" w:cs="Times New Roman"/>
          <w:i/>
          <w:iCs/>
          <w:sz w:val="24"/>
          <w:szCs w:val="24"/>
        </w:rPr>
        <w:t>et al.</w:t>
      </w:r>
      <w:r w:rsidR="00CE01C7">
        <w:rPr>
          <w:rFonts w:ascii="Times New Roman" w:eastAsia="Times New Roman" w:hAnsi="Times New Roman" w:cs="Times New Roman"/>
          <w:sz w:val="24"/>
          <w:szCs w:val="24"/>
        </w:rPr>
        <w:t xml:space="preserve"> 2016</w:t>
      </w:r>
      <w:r w:rsidR="00CE01C7" w:rsidRPr="00CE01C7">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The implementation of ring-fencing necessitated the implementation of operational improvements at Barclays Plc. These adjustments led to the segregation that ultimately improved the company's financial stability.</w:t>
      </w:r>
    </w:p>
    <w:p w14:paraId="35DDC056"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Despite this, difficulties continue to exist. It is possible that the formation of distinct organisations for retail and investment banking might result in a disjointed approach to risk management, hence reducing responsibility. This would be the case if this possibility were to materialise. In addition, the effectiveness of ring-fencing might be undermined if some actions, which are technically considered to fall outside of retail operations, yet have the potential to cause disruptions in the larger financial system</w:t>
      </w:r>
      <w:r w:rsidR="001E6BF3">
        <w:rPr>
          <w:rFonts w:ascii="Times New Roman" w:eastAsia="Times New Roman" w:hAnsi="Times New Roman" w:cs="Times New Roman"/>
          <w:sz w:val="24"/>
          <w:szCs w:val="24"/>
        </w:rPr>
        <w:t xml:space="preserve"> (Bell and </w:t>
      </w:r>
      <w:proofErr w:type="spellStart"/>
      <w:r w:rsidR="001E6BF3">
        <w:rPr>
          <w:rFonts w:ascii="Times New Roman" w:eastAsia="Times New Roman" w:hAnsi="Times New Roman" w:cs="Times New Roman"/>
          <w:sz w:val="24"/>
          <w:szCs w:val="24"/>
        </w:rPr>
        <w:t>Hindmoor</w:t>
      </w:r>
      <w:proofErr w:type="spellEnd"/>
      <w:r w:rsidR="001E6BF3">
        <w:rPr>
          <w:rFonts w:ascii="Times New Roman" w:eastAsia="Times New Roman" w:hAnsi="Times New Roman" w:cs="Times New Roman"/>
          <w:sz w:val="24"/>
          <w:szCs w:val="24"/>
        </w:rPr>
        <w:t xml:space="preserve">, </w:t>
      </w:r>
      <w:r w:rsidR="001E6BF3" w:rsidRPr="001E6BF3">
        <w:rPr>
          <w:rFonts w:ascii="Times New Roman" w:eastAsia="Times New Roman" w:hAnsi="Times New Roman" w:cs="Times New Roman"/>
          <w:sz w:val="24"/>
          <w:szCs w:val="24"/>
        </w:rPr>
        <w:t>2018</w:t>
      </w:r>
      <w:r w:rsidR="001E6BF3">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r w:rsidR="001E6BF3">
        <w:rPr>
          <w:rFonts w:ascii="Times New Roman" w:eastAsia="Times New Roman" w:hAnsi="Times New Roman" w:cs="Times New Roman"/>
          <w:sz w:val="24"/>
          <w:szCs w:val="24"/>
        </w:rPr>
        <w:t xml:space="preserve"> </w:t>
      </w:r>
      <w:r w:rsidRPr="003655BA">
        <w:rPr>
          <w:rFonts w:ascii="Times New Roman" w:eastAsia="Times New Roman" w:hAnsi="Times New Roman" w:cs="Times New Roman"/>
          <w:sz w:val="24"/>
          <w:szCs w:val="24"/>
        </w:rPr>
        <w:t xml:space="preserve">In order to be comprehensive, a review </w:t>
      </w:r>
      <w:proofErr w:type="gramStart"/>
      <w:r w:rsidRPr="003655BA">
        <w:rPr>
          <w:rFonts w:ascii="Times New Roman" w:eastAsia="Times New Roman" w:hAnsi="Times New Roman" w:cs="Times New Roman"/>
          <w:sz w:val="24"/>
          <w:szCs w:val="24"/>
        </w:rPr>
        <w:t>has to</w:t>
      </w:r>
      <w:proofErr w:type="gramEnd"/>
      <w:r w:rsidRPr="003655BA">
        <w:rPr>
          <w:rFonts w:ascii="Times New Roman" w:eastAsia="Times New Roman" w:hAnsi="Times New Roman" w:cs="Times New Roman"/>
          <w:sz w:val="24"/>
          <w:szCs w:val="24"/>
        </w:rPr>
        <w:t xml:space="preserve"> take into account the bigger picture financially. </w:t>
      </w:r>
      <w:proofErr w:type="gramStart"/>
      <w:r w:rsidRPr="003655BA">
        <w:rPr>
          <w:rFonts w:ascii="Times New Roman" w:eastAsia="Times New Roman" w:hAnsi="Times New Roman" w:cs="Times New Roman"/>
          <w:sz w:val="24"/>
          <w:szCs w:val="24"/>
        </w:rPr>
        <w:t>Despite the fact that</w:t>
      </w:r>
      <w:proofErr w:type="gramEnd"/>
      <w:r w:rsidRPr="003655BA">
        <w:rPr>
          <w:rFonts w:ascii="Times New Roman" w:eastAsia="Times New Roman" w:hAnsi="Times New Roman" w:cs="Times New Roman"/>
          <w:sz w:val="24"/>
          <w:szCs w:val="24"/>
        </w:rPr>
        <w:t xml:space="preserve"> ring-fencing reduces immediate risks, it is necessary to recognise the possibility that systemic risk might develop as a result of linked global financial markets, which would transcend the borders of individual banks. Therefore, ring-fencing is a vital step, but it is not an absolute cure for averting all types of financial upheaval, even if it is an essential one.</w:t>
      </w:r>
    </w:p>
    <w:p w14:paraId="172880D5" w14:textId="77777777" w:rsidR="0047270A" w:rsidRPr="003655BA" w:rsidRDefault="0047270A" w:rsidP="008F66FE">
      <w:pPr>
        <w:pStyle w:val="Heading2"/>
        <w:rPr>
          <w:lang w:val="en-GB"/>
        </w:rPr>
      </w:pPr>
      <w:bookmarkStart w:id="21" w:name="_Toc143351308"/>
      <w:r w:rsidRPr="003655BA">
        <w:rPr>
          <w:lang w:val="en-GB"/>
        </w:rPr>
        <w:lastRenderedPageBreak/>
        <w:t>4.3 Impact of Increased Capital Requirements on Risk Exposure and Financial Resilience</w:t>
      </w:r>
      <w:bookmarkEnd w:id="21"/>
    </w:p>
    <w:p w14:paraId="07E319D7"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post-2008 financial reforms, which included increased capital requirements, had a substantial influence on the risk exposure of Barclays Plc as well as the company's ability to remain financially resilient. The bank was forced to reassess its risk management </w:t>
      </w:r>
      <w:r w:rsidR="008F66FE"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xml:space="preserve"> and the techniques it uses to allocate capital as a result of the adoption of </w:t>
      </w:r>
      <w:r w:rsidR="008F66FE" w:rsidRPr="003655BA">
        <w:rPr>
          <w:rFonts w:ascii="Times New Roman" w:eastAsia="Times New Roman" w:hAnsi="Times New Roman" w:cs="Times New Roman"/>
          <w:sz w:val="24"/>
          <w:szCs w:val="24"/>
        </w:rPr>
        <w:t>stricter</w:t>
      </w:r>
      <w:r w:rsidRPr="003655BA">
        <w:rPr>
          <w:rFonts w:ascii="Times New Roman" w:eastAsia="Times New Roman" w:hAnsi="Times New Roman" w:cs="Times New Roman"/>
          <w:sz w:val="24"/>
          <w:szCs w:val="24"/>
        </w:rPr>
        <w:t xml:space="preserve"> capital rules.</w:t>
      </w:r>
    </w:p>
    <w:p w14:paraId="2E62F1E6"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Barclays was forced to expand the size of its capital buffers </w:t>
      </w:r>
      <w:r w:rsidR="00EF1E58">
        <w:rPr>
          <w:rFonts w:ascii="Times New Roman" w:eastAsia="Times New Roman" w:hAnsi="Times New Roman" w:cs="Times New Roman"/>
          <w:sz w:val="24"/>
          <w:szCs w:val="24"/>
        </w:rPr>
        <w:t>so that it can</w:t>
      </w:r>
      <w:r w:rsidRPr="003655BA">
        <w:rPr>
          <w:rFonts w:ascii="Times New Roman" w:eastAsia="Times New Roman" w:hAnsi="Times New Roman" w:cs="Times New Roman"/>
          <w:sz w:val="24"/>
          <w:szCs w:val="24"/>
        </w:rPr>
        <w:t xml:space="preserve"> comply with the enhanced capital requirements imposed by the Prudential Regulation Authority (PRA).</w:t>
      </w:r>
      <w:r w:rsidR="00E274AF">
        <w:rPr>
          <w:rFonts w:ascii="Times New Roman" w:eastAsia="Times New Roman" w:hAnsi="Times New Roman" w:cs="Times New Roman"/>
          <w:sz w:val="24"/>
          <w:szCs w:val="24"/>
        </w:rPr>
        <w:t xml:space="preserve"> This change had a dual impact such as in </w:t>
      </w:r>
      <w:r w:rsidRPr="003655BA">
        <w:rPr>
          <w:rFonts w:ascii="Times New Roman" w:eastAsia="Times New Roman" w:hAnsi="Times New Roman" w:cs="Times New Roman"/>
          <w:sz w:val="24"/>
          <w:szCs w:val="24"/>
        </w:rPr>
        <w:t>first</w:t>
      </w:r>
      <w:r w:rsidR="00E274AF">
        <w:rPr>
          <w:rFonts w:ascii="Times New Roman" w:eastAsia="Times New Roman" w:hAnsi="Times New Roman" w:cs="Times New Roman"/>
          <w:sz w:val="24"/>
          <w:szCs w:val="24"/>
        </w:rPr>
        <w:t xml:space="preserve"> phase</w:t>
      </w:r>
      <w:r w:rsidRPr="003655BA">
        <w:rPr>
          <w:rFonts w:ascii="Times New Roman" w:eastAsia="Times New Roman" w:hAnsi="Times New Roman" w:cs="Times New Roman"/>
          <w:sz w:val="24"/>
          <w:szCs w:val="24"/>
        </w:rPr>
        <w:t xml:space="preserve">, it lowered the bank's risk exposure by improving its capacity to absorb losses, and </w:t>
      </w:r>
      <w:r w:rsidR="00E274AF">
        <w:rPr>
          <w:rFonts w:ascii="Times New Roman" w:eastAsia="Times New Roman" w:hAnsi="Times New Roman" w:cs="Times New Roman"/>
          <w:sz w:val="24"/>
          <w:szCs w:val="24"/>
        </w:rPr>
        <w:t xml:space="preserve">in </w:t>
      </w:r>
      <w:r w:rsidRPr="003655BA">
        <w:rPr>
          <w:rFonts w:ascii="Times New Roman" w:eastAsia="Times New Roman" w:hAnsi="Times New Roman" w:cs="Times New Roman"/>
          <w:sz w:val="24"/>
          <w:szCs w:val="24"/>
        </w:rPr>
        <w:t>second</w:t>
      </w:r>
      <w:r w:rsidR="00E274AF">
        <w:rPr>
          <w:rFonts w:ascii="Times New Roman" w:eastAsia="Times New Roman" w:hAnsi="Times New Roman" w:cs="Times New Roman"/>
          <w:sz w:val="24"/>
          <w:szCs w:val="24"/>
        </w:rPr>
        <w:t xml:space="preserve"> phase</w:t>
      </w:r>
      <w:r w:rsidRPr="003655BA">
        <w:rPr>
          <w:rFonts w:ascii="Times New Roman" w:eastAsia="Times New Roman" w:hAnsi="Times New Roman" w:cs="Times New Roman"/>
          <w:sz w:val="24"/>
          <w:szCs w:val="24"/>
        </w:rPr>
        <w:t>, it concurrently enhanced the institution's ability to withstand adverse financial conditions</w:t>
      </w:r>
      <w:r w:rsidR="007932F8">
        <w:rPr>
          <w:rFonts w:ascii="Times New Roman" w:eastAsia="Times New Roman" w:hAnsi="Times New Roman" w:cs="Times New Roman"/>
          <w:sz w:val="24"/>
          <w:szCs w:val="24"/>
        </w:rPr>
        <w:t xml:space="preserve"> (Kumi </w:t>
      </w:r>
      <w:r w:rsidR="007932F8">
        <w:rPr>
          <w:rFonts w:ascii="Times New Roman" w:eastAsia="Times New Roman" w:hAnsi="Times New Roman" w:cs="Times New Roman"/>
          <w:i/>
          <w:iCs/>
          <w:sz w:val="24"/>
          <w:szCs w:val="24"/>
        </w:rPr>
        <w:t>et al.</w:t>
      </w:r>
      <w:r w:rsidR="007932F8">
        <w:rPr>
          <w:rFonts w:ascii="Times New Roman" w:eastAsia="Times New Roman" w:hAnsi="Times New Roman" w:cs="Times New Roman"/>
          <w:sz w:val="24"/>
          <w:szCs w:val="24"/>
        </w:rPr>
        <w:t xml:space="preserve"> 2005)</w:t>
      </w:r>
      <w:r w:rsidRPr="003655BA">
        <w:rPr>
          <w:rFonts w:ascii="Times New Roman" w:eastAsia="Times New Roman" w:hAnsi="Times New Roman" w:cs="Times New Roman"/>
          <w:sz w:val="24"/>
          <w:szCs w:val="24"/>
        </w:rPr>
        <w:t xml:space="preserve">. Barclays reduced the likelihood that it would be unduly leveraged and vulnerable to unforeseen declines in market conditions </w:t>
      </w:r>
      <w:r w:rsidR="00841FAC">
        <w:rPr>
          <w:rFonts w:ascii="Times New Roman" w:eastAsia="Times New Roman" w:hAnsi="Times New Roman" w:cs="Times New Roman"/>
          <w:sz w:val="24"/>
          <w:szCs w:val="24"/>
        </w:rPr>
        <w:t>by managing</w:t>
      </w:r>
      <w:r w:rsidRPr="003655BA">
        <w:rPr>
          <w:rFonts w:ascii="Times New Roman" w:eastAsia="Times New Roman" w:hAnsi="Times New Roman" w:cs="Times New Roman"/>
          <w:sz w:val="24"/>
          <w:szCs w:val="24"/>
        </w:rPr>
        <w:t xml:space="preserve"> its capital adequacy ratios higher than industry averages</w:t>
      </w:r>
      <w:r w:rsidR="000428BA">
        <w:rPr>
          <w:rFonts w:ascii="Times New Roman" w:eastAsia="Times New Roman" w:hAnsi="Times New Roman" w:cs="Times New Roman"/>
          <w:sz w:val="24"/>
          <w:szCs w:val="24"/>
        </w:rPr>
        <w:t xml:space="preserve"> (</w:t>
      </w:r>
      <w:r w:rsidR="000428BA" w:rsidRPr="000428BA">
        <w:rPr>
          <w:rFonts w:ascii="Times New Roman" w:eastAsia="Times New Roman" w:hAnsi="Times New Roman" w:cs="Times New Roman"/>
          <w:sz w:val="24"/>
          <w:szCs w:val="24"/>
        </w:rPr>
        <w:t>Barclays</w:t>
      </w:r>
      <w:r w:rsidR="000428BA">
        <w:rPr>
          <w:rFonts w:ascii="Times New Roman" w:eastAsia="Times New Roman" w:hAnsi="Times New Roman" w:cs="Times New Roman"/>
          <w:sz w:val="24"/>
          <w:szCs w:val="24"/>
        </w:rPr>
        <w:t>, 2023</w:t>
      </w:r>
      <w:r w:rsidR="000428BA" w:rsidRPr="000428BA">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p>
    <w:p w14:paraId="24E6BF27"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The effect of increasing capital requirements became especially apparent during stress testing, which</w:t>
      </w:r>
      <w:r w:rsidR="00582E31">
        <w:rPr>
          <w:rFonts w:ascii="Times New Roman" w:eastAsia="Times New Roman" w:hAnsi="Times New Roman" w:cs="Times New Roman"/>
          <w:sz w:val="24"/>
          <w:szCs w:val="24"/>
        </w:rPr>
        <w:t xml:space="preserve"> benefited</w:t>
      </w:r>
      <w:r w:rsidRPr="003655BA">
        <w:rPr>
          <w:rFonts w:ascii="Times New Roman" w:eastAsia="Times New Roman" w:hAnsi="Times New Roman" w:cs="Times New Roman"/>
          <w:sz w:val="24"/>
          <w:szCs w:val="24"/>
        </w:rPr>
        <w:t xml:space="preserve"> Barclays to </w:t>
      </w:r>
      <w:r w:rsidR="00EB0E64">
        <w:rPr>
          <w:rFonts w:ascii="Times New Roman" w:eastAsia="Times New Roman" w:hAnsi="Times New Roman" w:cs="Times New Roman"/>
          <w:sz w:val="24"/>
          <w:szCs w:val="24"/>
        </w:rPr>
        <w:t>manage its</w:t>
      </w:r>
      <w:r w:rsidRPr="003655BA">
        <w:rPr>
          <w:rFonts w:ascii="Times New Roman" w:eastAsia="Times New Roman" w:hAnsi="Times New Roman" w:cs="Times New Roman"/>
          <w:sz w:val="24"/>
          <w:szCs w:val="24"/>
        </w:rPr>
        <w:t xml:space="preserve"> greater resilience. Due to the increased capital position, the bank was able to withstand hypothetically unfavourable events while still retaining a sufficient level of solvency</w:t>
      </w:r>
      <w:r w:rsidR="00612D72">
        <w:rPr>
          <w:rFonts w:ascii="Times New Roman" w:eastAsia="Times New Roman" w:hAnsi="Times New Roman" w:cs="Times New Roman"/>
          <w:sz w:val="24"/>
          <w:szCs w:val="24"/>
        </w:rPr>
        <w:t xml:space="preserve"> (De Haas </w:t>
      </w:r>
      <w:r w:rsidR="00612D72" w:rsidRPr="00612D72">
        <w:rPr>
          <w:rFonts w:ascii="Times New Roman" w:eastAsia="Times New Roman" w:hAnsi="Times New Roman" w:cs="Times New Roman"/>
          <w:sz w:val="24"/>
          <w:szCs w:val="24"/>
        </w:rPr>
        <w:t>a</w:t>
      </w:r>
      <w:r w:rsidR="00612D72">
        <w:rPr>
          <w:rFonts w:ascii="Times New Roman" w:eastAsia="Times New Roman" w:hAnsi="Times New Roman" w:cs="Times New Roman"/>
          <w:sz w:val="24"/>
          <w:szCs w:val="24"/>
        </w:rPr>
        <w:t xml:space="preserve">nd Van </w:t>
      </w:r>
      <w:proofErr w:type="spellStart"/>
      <w:r w:rsidR="00612D72">
        <w:rPr>
          <w:rFonts w:ascii="Times New Roman" w:eastAsia="Times New Roman" w:hAnsi="Times New Roman" w:cs="Times New Roman"/>
          <w:sz w:val="24"/>
          <w:szCs w:val="24"/>
        </w:rPr>
        <w:t>Lelyveld</w:t>
      </w:r>
      <w:proofErr w:type="spellEnd"/>
      <w:r w:rsidR="00612D72">
        <w:rPr>
          <w:rFonts w:ascii="Times New Roman" w:eastAsia="Times New Roman" w:hAnsi="Times New Roman" w:cs="Times New Roman"/>
          <w:sz w:val="24"/>
          <w:szCs w:val="24"/>
        </w:rPr>
        <w:t xml:space="preserve">, </w:t>
      </w:r>
      <w:r w:rsidR="00612D72" w:rsidRPr="00612D72">
        <w:rPr>
          <w:rFonts w:ascii="Times New Roman" w:eastAsia="Times New Roman" w:hAnsi="Times New Roman" w:cs="Times New Roman"/>
          <w:sz w:val="24"/>
          <w:szCs w:val="24"/>
        </w:rPr>
        <w:t>2014)</w:t>
      </w:r>
      <w:r w:rsidRPr="003655BA">
        <w:rPr>
          <w:rFonts w:ascii="Times New Roman" w:eastAsia="Times New Roman" w:hAnsi="Times New Roman" w:cs="Times New Roman"/>
          <w:sz w:val="24"/>
          <w:szCs w:val="24"/>
        </w:rPr>
        <w:t>. Not only did this improve Barclays' capacity to traverse tumultuous economic situations, but it also increased market confidence in the company's ability to maintain its stability.</w:t>
      </w:r>
    </w:p>
    <w:p w14:paraId="433FF04B" w14:textId="77777777" w:rsidR="0047270A" w:rsidRPr="003655BA" w:rsidRDefault="0047270A" w:rsidP="008F66FE">
      <w:pPr>
        <w:pStyle w:val="Heading2"/>
        <w:rPr>
          <w:lang w:val="en-GB"/>
        </w:rPr>
      </w:pPr>
      <w:bookmarkStart w:id="22" w:name="_Toc143351309"/>
      <w:r w:rsidRPr="003655BA">
        <w:rPr>
          <w:lang w:val="en-GB"/>
        </w:rPr>
        <w:t>4.4 Regulatory Oversight and Reduction of Systemic Risk</w:t>
      </w:r>
      <w:bookmarkEnd w:id="22"/>
    </w:p>
    <w:p w14:paraId="06F23EC6"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establishment of stringent regulatory monitoring was a critical factor in the reduction of systemic risk and the development of increased market trust. In order to inculcate more responsibility across the whole financial industry, regulatory authorities such as the Prudential Regulation Authority (PRA) and the Financial Conduct Authority (FCA) take active </w:t>
      </w:r>
      <w:r w:rsidR="008F66FE" w:rsidRPr="003655BA">
        <w:rPr>
          <w:rFonts w:ascii="Times New Roman" w:eastAsia="Times New Roman" w:hAnsi="Times New Roman" w:cs="Times New Roman"/>
          <w:sz w:val="24"/>
          <w:szCs w:val="24"/>
        </w:rPr>
        <w:t>responsibility</w:t>
      </w:r>
      <w:r w:rsidRPr="003655BA">
        <w:rPr>
          <w:rFonts w:ascii="Times New Roman" w:eastAsia="Times New Roman" w:hAnsi="Times New Roman" w:cs="Times New Roman"/>
          <w:sz w:val="24"/>
          <w:szCs w:val="24"/>
        </w:rPr>
        <w:t xml:space="preserve"> in overseeing and enforcing compliance</w:t>
      </w:r>
      <w:r w:rsidR="00CA5462">
        <w:rPr>
          <w:rFonts w:ascii="Times New Roman" w:eastAsia="Times New Roman" w:hAnsi="Times New Roman" w:cs="Times New Roman"/>
          <w:sz w:val="24"/>
          <w:szCs w:val="24"/>
        </w:rPr>
        <w:t xml:space="preserve"> (Ahmed, </w:t>
      </w:r>
      <w:r w:rsidR="00CA5462" w:rsidRPr="00CA5462">
        <w:rPr>
          <w:rFonts w:ascii="Times New Roman" w:eastAsia="Times New Roman" w:hAnsi="Times New Roman" w:cs="Times New Roman"/>
          <w:sz w:val="24"/>
          <w:szCs w:val="24"/>
        </w:rPr>
        <w:t>2010</w:t>
      </w:r>
      <w:r w:rsidR="00CA5462">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w:t>
      </w:r>
    </w:p>
    <w:p w14:paraId="165ED706" w14:textId="77777777" w:rsidR="008C294E"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Because of the tight scrutiny of capital requirements exercised by the PRA, banks, including Barclays, were required to reevaluate their risk management procedures. Barclays was compelled to investigate the existence of possible weaknesses, carry out an analysis of risk exposures, and </w:t>
      </w:r>
      <w:r w:rsidRPr="003655BA">
        <w:rPr>
          <w:rFonts w:ascii="Times New Roman" w:eastAsia="Times New Roman" w:hAnsi="Times New Roman" w:cs="Times New Roman"/>
          <w:sz w:val="24"/>
          <w:szCs w:val="24"/>
        </w:rPr>
        <w:lastRenderedPageBreak/>
        <w:t>devise comprehensive plans for the management and reduction of risks as a result of this direct regulatory intervention</w:t>
      </w:r>
      <w:r w:rsidR="00F003A3">
        <w:rPr>
          <w:rFonts w:ascii="Times New Roman" w:eastAsia="Times New Roman" w:hAnsi="Times New Roman" w:cs="Times New Roman"/>
          <w:sz w:val="24"/>
          <w:szCs w:val="24"/>
        </w:rPr>
        <w:t xml:space="preserve"> (</w:t>
      </w:r>
      <w:r w:rsidR="00F003A3" w:rsidRPr="00F003A3">
        <w:rPr>
          <w:rFonts w:ascii="Times New Roman" w:eastAsia="Times New Roman" w:hAnsi="Times New Roman" w:cs="Times New Roman"/>
          <w:sz w:val="24"/>
          <w:szCs w:val="24"/>
        </w:rPr>
        <w:t>Wójcik</w:t>
      </w:r>
      <w:r w:rsidR="00F003A3">
        <w:rPr>
          <w:rFonts w:ascii="Times New Roman" w:eastAsia="Times New Roman" w:hAnsi="Times New Roman" w:cs="Times New Roman"/>
          <w:sz w:val="24"/>
          <w:szCs w:val="24"/>
        </w:rPr>
        <w:t xml:space="preserve"> </w:t>
      </w:r>
      <w:r w:rsidR="00F003A3">
        <w:rPr>
          <w:rFonts w:ascii="Times New Roman" w:eastAsia="Times New Roman" w:hAnsi="Times New Roman" w:cs="Times New Roman"/>
          <w:i/>
          <w:iCs/>
          <w:sz w:val="24"/>
          <w:szCs w:val="24"/>
        </w:rPr>
        <w:t>et al.</w:t>
      </w:r>
      <w:r w:rsidR="00F003A3">
        <w:rPr>
          <w:rFonts w:ascii="Times New Roman" w:eastAsia="Times New Roman" w:hAnsi="Times New Roman" w:cs="Times New Roman"/>
          <w:sz w:val="24"/>
          <w:szCs w:val="24"/>
        </w:rPr>
        <w:t xml:space="preserve"> 2018)</w:t>
      </w:r>
      <w:r w:rsidRPr="003655BA">
        <w:rPr>
          <w:rFonts w:ascii="Times New Roman" w:eastAsia="Times New Roman" w:hAnsi="Times New Roman" w:cs="Times New Roman"/>
          <w:sz w:val="24"/>
          <w:szCs w:val="24"/>
        </w:rPr>
        <w:t>. The vigilance of the regulatory bodies served as a protection against systemic risk, which contributed to the overall improvement of the financial system's stability.</w:t>
      </w:r>
    </w:p>
    <w:p w14:paraId="4F6BB148"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In addition, regulatory control helped to restore the trust that had been damaged in the market as a result of the 2008 crisis. This confidence had been eroded as a result of the crisis. Investors, depositors, and other stakeholders were comforted by the authorities' adoption of a transparent and stringent regulatory approach, which gave them confidence that banks such as Barclays were functioning within sound frameworks</w:t>
      </w:r>
      <w:r w:rsidR="00715F32">
        <w:rPr>
          <w:rFonts w:ascii="Times New Roman" w:eastAsia="Times New Roman" w:hAnsi="Times New Roman" w:cs="Times New Roman"/>
          <w:sz w:val="24"/>
          <w:szCs w:val="24"/>
        </w:rPr>
        <w:t xml:space="preserve"> (Francis and Ryder, </w:t>
      </w:r>
      <w:r w:rsidR="00715F32" w:rsidRPr="00715F32">
        <w:rPr>
          <w:rFonts w:ascii="Times New Roman" w:eastAsia="Times New Roman" w:hAnsi="Times New Roman" w:cs="Times New Roman"/>
          <w:sz w:val="24"/>
          <w:szCs w:val="24"/>
        </w:rPr>
        <w:t>2019</w:t>
      </w:r>
      <w:r w:rsidR="00715F32">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This </w:t>
      </w:r>
      <w:r w:rsidR="003E1B97" w:rsidRPr="003655BA">
        <w:rPr>
          <w:rFonts w:ascii="Times New Roman" w:eastAsia="Times New Roman" w:hAnsi="Times New Roman" w:cs="Times New Roman"/>
          <w:sz w:val="24"/>
          <w:szCs w:val="24"/>
        </w:rPr>
        <w:t>revitalized</w:t>
      </w:r>
      <w:r w:rsidRPr="003655BA">
        <w:rPr>
          <w:rFonts w:ascii="Times New Roman" w:eastAsia="Times New Roman" w:hAnsi="Times New Roman" w:cs="Times New Roman"/>
          <w:sz w:val="24"/>
          <w:szCs w:val="24"/>
        </w:rPr>
        <w:t xml:space="preserve"> confidence resulted in higher investor trust, increased liquidity, and reduced market volatility, all of which contributed to the development of a more robust financial environment.</w:t>
      </w:r>
    </w:p>
    <w:p w14:paraId="717D0885" w14:textId="77777777" w:rsidR="0047270A" w:rsidRPr="003655BA" w:rsidRDefault="0047270A" w:rsidP="008F66FE">
      <w:pPr>
        <w:pStyle w:val="Heading1"/>
        <w:rPr>
          <w:lang w:val="en-GB"/>
        </w:rPr>
      </w:pPr>
      <w:bookmarkStart w:id="23" w:name="_Toc143351310"/>
      <w:r w:rsidRPr="003655BA">
        <w:rPr>
          <w:lang w:val="en-GB"/>
        </w:rPr>
        <w:t>5. Barclays Plc's Post-Reform Performance</w:t>
      </w:r>
      <w:bookmarkEnd w:id="23"/>
    </w:p>
    <w:p w14:paraId="64BCCFB3" w14:textId="77777777" w:rsidR="0047270A" w:rsidRPr="003655BA" w:rsidRDefault="0047270A" w:rsidP="008F66FE">
      <w:pPr>
        <w:pStyle w:val="Heading2"/>
        <w:rPr>
          <w:lang w:val="en-GB"/>
        </w:rPr>
      </w:pPr>
      <w:bookmarkStart w:id="24" w:name="_Toc143351311"/>
      <w:r w:rsidRPr="003655BA">
        <w:rPr>
          <w:lang w:val="en-GB"/>
        </w:rPr>
        <w:t>5.1 Performance in Profitability, Risk Management, and Public Perception</w:t>
      </w:r>
      <w:bookmarkEnd w:id="24"/>
    </w:p>
    <w:p w14:paraId="3A78E9C2"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After the reforms were implemented, Barclays Plc displayed an altered performance environment, which was characterised by considerable advances in profitability, enhanced risk management, and altering public opinion.</w:t>
      </w:r>
      <w:r w:rsidR="00A92476">
        <w:rPr>
          <w:rFonts w:ascii="Times New Roman" w:eastAsia="Times New Roman" w:hAnsi="Times New Roman" w:cs="Times New Roman"/>
          <w:sz w:val="24"/>
          <w:szCs w:val="24"/>
        </w:rPr>
        <w:t xml:space="preserve"> </w:t>
      </w:r>
      <w:r w:rsidRPr="003655BA">
        <w:rPr>
          <w:rFonts w:ascii="Times New Roman" w:eastAsia="Times New Roman" w:hAnsi="Times New Roman" w:cs="Times New Roman"/>
          <w:sz w:val="24"/>
          <w:szCs w:val="24"/>
        </w:rPr>
        <w:t xml:space="preserve">The bank was able to improve its financial stability by adhering to increasing capital requirements, which also helped the bank raise its </w:t>
      </w:r>
      <w:r w:rsidR="009F077C">
        <w:rPr>
          <w:rFonts w:ascii="Times New Roman" w:eastAsia="Times New Roman" w:hAnsi="Times New Roman" w:cs="Times New Roman"/>
          <w:sz w:val="24"/>
          <w:szCs w:val="24"/>
        </w:rPr>
        <w:t xml:space="preserve">profitability (Wilmarth, </w:t>
      </w:r>
      <w:r w:rsidR="009F077C" w:rsidRPr="009F077C">
        <w:rPr>
          <w:rFonts w:ascii="Times New Roman" w:eastAsia="Times New Roman" w:hAnsi="Times New Roman" w:cs="Times New Roman"/>
          <w:sz w:val="24"/>
          <w:szCs w:val="24"/>
        </w:rPr>
        <w:t>2008)</w:t>
      </w:r>
      <w:r w:rsidRPr="003655BA">
        <w:rPr>
          <w:rFonts w:ascii="Times New Roman" w:eastAsia="Times New Roman" w:hAnsi="Times New Roman" w:cs="Times New Roman"/>
          <w:sz w:val="24"/>
          <w:szCs w:val="24"/>
        </w:rPr>
        <w:t>. This was reflected in its capacity to absorb losses, as proven by improvements in its performance on stress tests. Barclays' long-term profitability picture was improved as a result of increased capital buffers, notwithstanding the indisputable fact that complying with the changes would incur a cost</w:t>
      </w:r>
      <w:r w:rsidR="001D7B19">
        <w:rPr>
          <w:rFonts w:ascii="Times New Roman" w:eastAsia="Times New Roman" w:hAnsi="Times New Roman" w:cs="Times New Roman"/>
          <w:sz w:val="24"/>
          <w:szCs w:val="24"/>
        </w:rPr>
        <w:t xml:space="preserve"> (Marshall </w:t>
      </w:r>
      <w:r w:rsidR="001D7B19">
        <w:rPr>
          <w:rFonts w:ascii="Times New Roman" w:eastAsia="Times New Roman" w:hAnsi="Times New Roman" w:cs="Times New Roman"/>
          <w:i/>
          <w:iCs/>
          <w:sz w:val="24"/>
          <w:szCs w:val="24"/>
        </w:rPr>
        <w:t>et al.</w:t>
      </w:r>
      <w:r w:rsidR="00012C73">
        <w:rPr>
          <w:rFonts w:ascii="Times New Roman" w:eastAsia="Times New Roman" w:hAnsi="Times New Roman" w:cs="Times New Roman"/>
          <w:sz w:val="24"/>
          <w:szCs w:val="24"/>
        </w:rPr>
        <w:t xml:space="preserve"> 2019</w:t>
      </w:r>
      <w:r w:rsidR="001D7B19">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The strategic realignment of the bank helped not only to the improvement of efficiency but also to the streamlining of operational structure, which supported the bank's attempts to reduce costs.</w:t>
      </w:r>
    </w:p>
    <w:p w14:paraId="4BAC8840"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management of risks has also seen noteworthy changes throughout time. Barclays was able to proactively identify and eliminate risks because </w:t>
      </w:r>
      <w:r w:rsidR="003E1B97" w:rsidRPr="003655BA">
        <w:rPr>
          <w:rFonts w:ascii="Times New Roman" w:eastAsia="Times New Roman" w:hAnsi="Times New Roman" w:cs="Times New Roman"/>
          <w:sz w:val="24"/>
          <w:szCs w:val="24"/>
        </w:rPr>
        <w:t>of</w:t>
      </w:r>
      <w:r w:rsidRPr="003655BA">
        <w:rPr>
          <w:rFonts w:ascii="Times New Roman" w:eastAsia="Times New Roman" w:hAnsi="Times New Roman" w:cs="Times New Roman"/>
          <w:sz w:val="24"/>
          <w:szCs w:val="24"/>
        </w:rPr>
        <w:t xml:space="preserve"> the thorough risk assessment systems it has in place. These methods include stress testing and risk modelling. The bank's risk management </w:t>
      </w:r>
      <w:r w:rsidR="003E1B97"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xml:space="preserve"> reflected its commitment to having strong governance since they were in alignment with the regulatory criteria</w:t>
      </w:r>
      <w:r w:rsidR="00012C73">
        <w:rPr>
          <w:rFonts w:ascii="Times New Roman" w:eastAsia="Times New Roman" w:hAnsi="Times New Roman" w:cs="Times New Roman"/>
          <w:sz w:val="24"/>
          <w:szCs w:val="24"/>
        </w:rPr>
        <w:t xml:space="preserve"> (</w:t>
      </w:r>
      <w:r w:rsidR="00012C73" w:rsidRPr="00012C73">
        <w:rPr>
          <w:rFonts w:ascii="Times New Roman" w:eastAsia="Times New Roman" w:hAnsi="Times New Roman" w:cs="Times New Roman"/>
          <w:sz w:val="24"/>
          <w:szCs w:val="24"/>
        </w:rPr>
        <w:t>McCauley</w:t>
      </w:r>
      <w:r w:rsidR="00012C73">
        <w:rPr>
          <w:rFonts w:ascii="Times New Roman" w:eastAsia="Times New Roman" w:hAnsi="Times New Roman" w:cs="Times New Roman"/>
          <w:sz w:val="24"/>
          <w:szCs w:val="24"/>
        </w:rPr>
        <w:t xml:space="preserve"> </w:t>
      </w:r>
      <w:r w:rsidR="00012C73">
        <w:rPr>
          <w:rFonts w:ascii="Times New Roman" w:eastAsia="Times New Roman" w:hAnsi="Times New Roman" w:cs="Times New Roman"/>
          <w:i/>
          <w:iCs/>
          <w:sz w:val="24"/>
          <w:szCs w:val="24"/>
        </w:rPr>
        <w:t>et al.</w:t>
      </w:r>
      <w:r w:rsidR="00012C73">
        <w:rPr>
          <w:rFonts w:ascii="Times New Roman" w:eastAsia="Times New Roman" w:hAnsi="Times New Roman" w:cs="Times New Roman"/>
          <w:sz w:val="24"/>
          <w:szCs w:val="24"/>
        </w:rPr>
        <w:t xml:space="preserve"> 2012)</w:t>
      </w:r>
      <w:r w:rsidRPr="003655BA">
        <w:rPr>
          <w:rFonts w:ascii="Times New Roman" w:eastAsia="Times New Roman" w:hAnsi="Times New Roman" w:cs="Times New Roman"/>
          <w:sz w:val="24"/>
          <w:szCs w:val="24"/>
        </w:rPr>
        <w:t xml:space="preserve">. The bank's resilience was improved as a result of </w:t>
      </w:r>
      <w:r w:rsidRPr="003655BA">
        <w:rPr>
          <w:rFonts w:ascii="Times New Roman" w:eastAsia="Times New Roman" w:hAnsi="Times New Roman" w:cs="Times New Roman"/>
          <w:sz w:val="24"/>
          <w:szCs w:val="24"/>
        </w:rPr>
        <w:lastRenderedPageBreak/>
        <w:t>this increased focus on risk management, which also boosted investor confidence and contributed to market stability.</w:t>
      </w:r>
    </w:p>
    <w:p w14:paraId="34F3D1BF"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There was a discernible change in the general public's opinion. The involvement of the bank in consumer protection measures, clear product disclosures, and enhanced customer service all contributed to the bank's success in regaining customers' confidence. This, together with the bank's shown durability in stress testing, contributed to an increase in the public's </w:t>
      </w:r>
      <w:r w:rsidR="00B82116" w:rsidRPr="003655BA">
        <w:rPr>
          <w:rFonts w:ascii="Times New Roman" w:eastAsia="Times New Roman" w:hAnsi="Times New Roman" w:cs="Times New Roman"/>
          <w:sz w:val="24"/>
          <w:szCs w:val="24"/>
        </w:rPr>
        <w:t>favourability</w:t>
      </w:r>
      <w:r w:rsidRPr="003655BA">
        <w:rPr>
          <w:rFonts w:ascii="Times New Roman" w:eastAsia="Times New Roman" w:hAnsi="Times New Roman" w:cs="Times New Roman"/>
          <w:sz w:val="24"/>
          <w:szCs w:val="24"/>
        </w:rPr>
        <w:t xml:space="preserve"> towards the institution</w:t>
      </w:r>
      <w:r w:rsidR="00B82116">
        <w:rPr>
          <w:rFonts w:ascii="Times New Roman" w:eastAsia="Times New Roman" w:hAnsi="Times New Roman" w:cs="Times New Roman"/>
          <w:sz w:val="24"/>
          <w:szCs w:val="24"/>
        </w:rPr>
        <w:t xml:space="preserve"> (</w:t>
      </w:r>
      <w:proofErr w:type="spellStart"/>
      <w:r w:rsidR="00B82116">
        <w:rPr>
          <w:rFonts w:ascii="Times New Roman" w:eastAsia="Times New Roman" w:hAnsi="Times New Roman" w:cs="Times New Roman"/>
          <w:sz w:val="24"/>
          <w:szCs w:val="24"/>
        </w:rPr>
        <w:t>Ganderson</w:t>
      </w:r>
      <w:proofErr w:type="spellEnd"/>
      <w:r w:rsidR="00B82116">
        <w:rPr>
          <w:rFonts w:ascii="Times New Roman" w:eastAsia="Times New Roman" w:hAnsi="Times New Roman" w:cs="Times New Roman"/>
          <w:sz w:val="24"/>
          <w:szCs w:val="24"/>
        </w:rPr>
        <w:t xml:space="preserve">, </w:t>
      </w:r>
      <w:r w:rsidR="00B82116" w:rsidRPr="00B82116">
        <w:rPr>
          <w:rFonts w:ascii="Times New Roman" w:eastAsia="Times New Roman" w:hAnsi="Times New Roman" w:cs="Times New Roman"/>
          <w:sz w:val="24"/>
          <w:szCs w:val="24"/>
        </w:rPr>
        <w:t>2020</w:t>
      </w:r>
      <w:r w:rsidR="00B82116">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It was clear that Barclays Plc is committed to ethical behaviour and taking steps to reduce risk, which contributed to the company's improved image in the eyes of its stakeholders.</w:t>
      </w:r>
    </w:p>
    <w:p w14:paraId="08C265B4" w14:textId="77777777" w:rsidR="0047270A" w:rsidRPr="003655BA" w:rsidRDefault="0047270A" w:rsidP="008F66FE">
      <w:pPr>
        <w:pStyle w:val="Heading2"/>
        <w:rPr>
          <w:lang w:val="en-GB"/>
        </w:rPr>
      </w:pPr>
      <w:bookmarkStart w:id="25" w:name="_Toc143351312"/>
      <w:r w:rsidRPr="003655BA">
        <w:rPr>
          <w:lang w:val="en-GB"/>
        </w:rPr>
        <w:t>5.2 Changes in Credit Ratings and Market Share</w:t>
      </w:r>
      <w:bookmarkEnd w:id="25"/>
    </w:p>
    <w:p w14:paraId="24C471A6" w14:textId="77777777" w:rsidR="00F70702"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The post-reform trajectory of Barclays was also accompanied by significant shifts in the company's credit ratings and market share. Credit rating </w:t>
      </w:r>
      <w:r w:rsidR="00CC368F" w:rsidRPr="003655BA">
        <w:rPr>
          <w:rFonts w:ascii="Times New Roman" w:eastAsia="Times New Roman" w:hAnsi="Times New Roman" w:cs="Times New Roman"/>
          <w:sz w:val="24"/>
          <w:szCs w:val="24"/>
        </w:rPr>
        <w:t>agencies’</w:t>
      </w:r>
      <w:r w:rsidRPr="003655BA">
        <w:rPr>
          <w:rFonts w:ascii="Times New Roman" w:eastAsia="Times New Roman" w:hAnsi="Times New Roman" w:cs="Times New Roman"/>
          <w:sz w:val="24"/>
          <w:szCs w:val="24"/>
        </w:rPr>
        <w:t xml:space="preserve"> judgements were reflected in the enhanced risk management </w:t>
      </w:r>
      <w:r w:rsidR="008F66FE" w:rsidRPr="003655BA">
        <w:rPr>
          <w:rFonts w:ascii="Times New Roman" w:eastAsia="Times New Roman" w:hAnsi="Times New Roman" w:cs="Times New Roman"/>
          <w:sz w:val="24"/>
          <w:szCs w:val="24"/>
        </w:rPr>
        <w:t>practices</w:t>
      </w:r>
      <w:r w:rsidRPr="003655BA">
        <w:rPr>
          <w:rFonts w:ascii="Times New Roman" w:eastAsia="Times New Roman" w:hAnsi="Times New Roman" w:cs="Times New Roman"/>
          <w:sz w:val="24"/>
          <w:szCs w:val="24"/>
        </w:rPr>
        <w:t xml:space="preserve"> and better capital adequacy ratios. For example, Moody's raised Barclays' rating to A3 because of the company's improved risk management and increased financial stability</w:t>
      </w:r>
      <w:r w:rsidR="00CC09F4">
        <w:rPr>
          <w:rFonts w:ascii="Times New Roman" w:eastAsia="Times New Roman" w:hAnsi="Times New Roman" w:cs="Times New Roman"/>
          <w:sz w:val="24"/>
          <w:szCs w:val="24"/>
        </w:rPr>
        <w:t xml:space="preserve"> (</w:t>
      </w:r>
      <w:r w:rsidR="00CC09F4" w:rsidRPr="00CC09F4">
        <w:rPr>
          <w:rFonts w:ascii="Times New Roman" w:eastAsia="Times New Roman" w:hAnsi="Times New Roman" w:cs="Times New Roman"/>
          <w:sz w:val="24"/>
          <w:szCs w:val="24"/>
        </w:rPr>
        <w:t>Constan</w:t>
      </w:r>
      <w:r w:rsidR="00CC09F4">
        <w:rPr>
          <w:rFonts w:ascii="Times New Roman" w:eastAsia="Times New Roman" w:hAnsi="Times New Roman" w:cs="Times New Roman"/>
          <w:sz w:val="24"/>
          <w:szCs w:val="24"/>
        </w:rPr>
        <w:t xml:space="preserve">tinescu and Dragoi, </w:t>
      </w:r>
      <w:r w:rsidR="00CC09F4" w:rsidRPr="00CC09F4">
        <w:rPr>
          <w:rFonts w:ascii="Times New Roman" w:eastAsia="Times New Roman" w:hAnsi="Times New Roman" w:cs="Times New Roman"/>
          <w:sz w:val="24"/>
          <w:szCs w:val="24"/>
        </w:rPr>
        <w:t>2015</w:t>
      </w:r>
      <w:r w:rsidR="00CC09F4">
        <w:rPr>
          <w:rFonts w:ascii="Times New Roman" w:eastAsia="Times New Roman" w:hAnsi="Times New Roman" w:cs="Times New Roman"/>
          <w:sz w:val="24"/>
          <w:szCs w:val="24"/>
        </w:rPr>
        <w:t>)</w:t>
      </w:r>
      <w:r w:rsidR="008243CD">
        <w:rPr>
          <w:rFonts w:ascii="Times New Roman" w:eastAsia="Times New Roman" w:hAnsi="Times New Roman" w:cs="Times New Roman"/>
          <w:sz w:val="24"/>
          <w:szCs w:val="24"/>
        </w:rPr>
        <w:t xml:space="preserve"> (Cowley and Cummins, </w:t>
      </w:r>
      <w:r w:rsidR="008243CD" w:rsidRPr="008243CD">
        <w:rPr>
          <w:rFonts w:ascii="Times New Roman" w:eastAsia="Times New Roman" w:hAnsi="Times New Roman" w:cs="Times New Roman"/>
          <w:sz w:val="24"/>
          <w:szCs w:val="24"/>
        </w:rPr>
        <w:t>2005)</w:t>
      </w:r>
      <w:r w:rsidRPr="003655BA">
        <w:rPr>
          <w:rFonts w:ascii="Times New Roman" w:eastAsia="Times New Roman" w:hAnsi="Times New Roman" w:cs="Times New Roman"/>
          <w:sz w:val="24"/>
          <w:szCs w:val="24"/>
        </w:rPr>
        <w:t xml:space="preserve">. This upgrade not only strengthened the bank's borrowing capacities and appeal to investors, but it also </w:t>
      </w:r>
      <w:r w:rsidR="003E1B97" w:rsidRPr="003655BA">
        <w:rPr>
          <w:rFonts w:ascii="Times New Roman" w:eastAsia="Times New Roman" w:hAnsi="Times New Roman" w:cs="Times New Roman"/>
          <w:sz w:val="24"/>
          <w:szCs w:val="24"/>
        </w:rPr>
        <w:t>signalled</w:t>
      </w:r>
      <w:r w:rsidRPr="003655BA">
        <w:rPr>
          <w:rFonts w:ascii="Times New Roman" w:eastAsia="Times New Roman" w:hAnsi="Times New Roman" w:cs="Times New Roman"/>
          <w:sz w:val="24"/>
          <w:szCs w:val="24"/>
        </w:rPr>
        <w:t xml:space="preserve"> increasing confidence in the bank's ability to weather economic crises.</w:t>
      </w:r>
    </w:p>
    <w:p w14:paraId="1F48BD2E" w14:textId="77777777" w:rsidR="0047270A" w:rsidRPr="003655BA" w:rsidRDefault="0047270A" w:rsidP="0047270A">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Within the context of Barclays, market share exhibited both preservation and change of its characteristics. Compliance with post-crisis reforms allowed the bank to maintain its market share in core retail banking operations while facing competition from new competitors in the </w:t>
      </w:r>
      <w:r w:rsidR="00CC368F" w:rsidRPr="003655BA">
        <w:rPr>
          <w:rFonts w:ascii="Times New Roman" w:eastAsia="Times New Roman" w:hAnsi="Times New Roman" w:cs="Times New Roman"/>
          <w:sz w:val="24"/>
          <w:szCs w:val="24"/>
        </w:rPr>
        <w:t>FinTech</w:t>
      </w:r>
      <w:r w:rsidRPr="003655BA">
        <w:rPr>
          <w:rFonts w:ascii="Times New Roman" w:eastAsia="Times New Roman" w:hAnsi="Times New Roman" w:cs="Times New Roman"/>
          <w:sz w:val="24"/>
          <w:szCs w:val="24"/>
        </w:rPr>
        <w:t xml:space="preserve"> industry. In addition, as part of the ring-fencing strategy, its investment banking activities were simplified, which made it possible for the company to traverse unpredictable financial markets in a manner that was more focused and risk-aware</w:t>
      </w:r>
      <w:r w:rsidR="006F4BC2">
        <w:rPr>
          <w:rFonts w:ascii="Times New Roman" w:eastAsia="Times New Roman" w:hAnsi="Times New Roman" w:cs="Times New Roman"/>
          <w:sz w:val="24"/>
          <w:szCs w:val="24"/>
        </w:rPr>
        <w:t xml:space="preserve"> (Culpepper and Reinke, </w:t>
      </w:r>
      <w:r w:rsidR="006F4BC2" w:rsidRPr="006F4BC2">
        <w:rPr>
          <w:rFonts w:ascii="Times New Roman" w:eastAsia="Times New Roman" w:hAnsi="Times New Roman" w:cs="Times New Roman"/>
          <w:sz w:val="24"/>
          <w:szCs w:val="24"/>
        </w:rPr>
        <w:t>2014</w:t>
      </w:r>
      <w:r w:rsidR="006F4BC2">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Barclays was able to maintain its market share while simultaneously adapting to the shifting dynamics of the industry because </w:t>
      </w:r>
      <w:r w:rsidR="00CC368F" w:rsidRPr="003655BA">
        <w:rPr>
          <w:rFonts w:ascii="Times New Roman" w:eastAsia="Times New Roman" w:hAnsi="Times New Roman" w:cs="Times New Roman"/>
          <w:sz w:val="24"/>
          <w:szCs w:val="24"/>
        </w:rPr>
        <w:t>of</w:t>
      </w:r>
      <w:r w:rsidRPr="003655BA">
        <w:rPr>
          <w:rFonts w:ascii="Times New Roman" w:eastAsia="Times New Roman" w:hAnsi="Times New Roman" w:cs="Times New Roman"/>
          <w:sz w:val="24"/>
          <w:szCs w:val="24"/>
        </w:rPr>
        <w:t xml:space="preserve"> this complex approach.</w:t>
      </w:r>
    </w:p>
    <w:p w14:paraId="448E5950" w14:textId="77777777" w:rsidR="0047270A" w:rsidRPr="003655BA" w:rsidRDefault="0047270A" w:rsidP="008F66FE">
      <w:pPr>
        <w:pStyle w:val="Heading2"/>
        <w:rPr>
          <w:lang w:val="en-GB"/>
        </w:rPr>
      </w:pPr>
      <w:bookmarkStart w:id="26" w:name="_Toc143351313"/>
      <w:r w:rsidRPr="003655BA">
        <w:rPr>
          <w:lang w:val="en-GB"/>
        </w:rPr>
        <w:t>5.3 Influence of Compliance on Investor Confidence and Economic Uncertainties</w:t>
      </w:r>
      <w:bookmarkEnd w:id="26"/>
    </w:p>
    <w:p w14:paraId="24053678" w14:textId="77777777" w:rsidR="0047270A" w:rsidRPr="003655BA" w:rsidRDefault="0047270A" w:rsidP="00A15AD9">
      <w:pPr>
        <w:spacing w:before="200" w:after="200" w:line="360" w:lineRule="auto"/>
        <w:jc w:val="both"/>
        <w:rPr>
          <w:rFonts w:ascii="Times New Roman" w:eastAsia="Times New Roman" w:hAnsi="Times New Roman" w:cs="Times New Roman"/>
          <w:sz w:val="24"/>
          <w:szCs w:val="24"/>
        </w:rPr>
      </w:pPr>
      <w:r w:rsidRPr="003655BA">
        <w:rPr>
          <w:rFonts w:ascii="Times New Roman" w:eastAsia="Times New Roman" w:hAnsi="Times New Roman" w:cs="Times New Roman"/>
          <w:sz w:val="24"/>
          <w:szCs w:val="24"/>
        </w:rPr>
        <w:t xml:space="preserve">Investor confidence was significantly boosted as a direct result of Barclays' successful implementation of post-crisis reforms, which also contributed to the company's ability to </w:t>
      </w:r>
      <w:r w:rsidRPr="003655BA">
        <w:rPr>
          <w:rFonts w:ascii="Times New Roman" w:eastAsia="Times New Roman" w:hAnsi="Times New Roman" w:cs="Times New Roman"/>
          <w:sz w:val="24"/>
          <w:szCs w:val="24"/>
        </w:rPr>
        <w:lastRenderedPageBreak/>
        <w:t xml:space="preserve">successfully handle economic uncertainty. Investors had a favourable reaction to the bank's stringent adherence to greater capital requirements and better risk management </w:t>
      </w:r>
      <w:r w:rsidR="00CC368F" w:rsidRPr="003655BA">
        <w:rPr>
          <w:rFonts w:ascii="Times New Roman" w:eastAsia="Times New Roman" w:hAnsi="Times New Roman" w:cs="Times New Roman"/>
          <w:sz w:val="24"/>
          <w:szCs w:val="24"/>
        </w:rPr>
        <w:t>practices</w:t>
      </w:r>
      <w:r w:rsidR="00430AD4">
        <w:rPr>
          <w:rFonts w:ascii="Times New Roman" w:eastAsia="Times New Roman" w:hAnsi="Times New Roman" w:cs="Times New Roman"/>
          <w:sz w:val="24"/>
          <w:szCs w:val="24"/>
        </w:rPr>
        <w:t xml:space="preserve"> (</w:t>
      </w:r>
      <w:r w:rsidR="00430AD4" w:rsidRPr="00430AD4">
        <w:rPr>
          <w:rFonts w:ascii="Times New Roman" w:eastAsia="Times New Roman" w:hAnsi="Times New Roman" w:cs="Times New Roman"/>
          <w:sz w:val="24"/>
          <w:szCs w:val="24"/>
        </w:rPr>
        <w:t>Consta</w:t>
      </w:r>
      <w:r w:rsidR="00430AD4">
        <w:rPr>
          <w:rFonts w:ascii="Times New Roman" w:eastAsia="Times New Roman" w:hAnsi="Times New Roman" w:cs="Times New Roman"/>
          <w:sz w:val="24"/>
          <w:szCs w:val="24"/>
        </w:rPr>
        <w:t>ntinescu and Dragoi,</w:t>
      </w:r>
      <w:r w:rsidR="00430AD4" w:rsidRPr="00430AD4">
        <w:rPr>
          <w:rFonts w:ascii="Times New Roman" w:eastAsia="Times New Roman" w:hAnsi="Times New Roman" w:cs="Times New Roman"/>
          <w:sz w:val="24"/>
          <w:szCs w:val="24"/>
        </w:rPr>
        <w:t xml:space="preserve"> 2015</w:t>
      </w:r>
      <w:r w:rsidR="00430AD4">
        <w:rPr>
          <w:rFonts w:ascii="Times New Roman" w:eastAsia="Times New Roman" w:hAnsi="Times New Roman" w:cs="Times New Roman"/>
          <w:sz w:val="24"/>
          <w:szCs w:val="24"/>
        </w:rPr>
        <w:t>)</w:t>
      </w:r>
      <w:r w:rsidRPr="003655BA">
        <w:rPr>
          <w:rFonts w:ascii="Times New Roman" w:eastAsia="Times New Roman" w:hAnsi="Times New Roman" w:cs="Times New Roman"/>
          <w:sz w:val="24"/>
          <w:szCs w:val="24"/>
        </w:rPr>
        <w:t xml:space="preserve">. </w:t>
      </w:r>
    </w:p>
    <w:p w14:paraId="77075C5A" w14:textId="77777777" w:rsidR="0047270A" w:rsidRPr="003655BA" w:rsidRDefault="008F66FE" w:rsidP="008F66FE">
      <w:pPr>
        <w:pStyle w:val="Heading2"/>
        <w:rPr>
          <w:lang w:val="en-GB"/>
        </w:rPr>
      </w:pPr>
      <w:bookmarkStart w:id="27" w:name="_Toc143351314"/>
      <w:r w:rsidRPr="003655BA">
        <w:rPr>
          <w:lang w:val="en-GB"/>
        </w:rPr>
        <w:t>6.</w:t>
      </w:r>
      <w:r w:rsidR="00CA04A6" w:rsidRPr="003655BA">
        <w:rPr>
          <w:lang w:val="en-GB"/>
        </w:rPr>
        <w:t xml:space="preserve"> </w:t>
      </w:r>
      <w:r w:rsidR="0047270A" w:rsidRPr="003655BA">
        <w:rPr>
          <w:lang w:val="en-GB"/>
        </w:rPr>
        <w:t>Conclusion</w:t>
      </w:r>
      <w:bookmarkEnd w:id="27"/>
    </w:p>
    <w:p w14:paraId="706EE2D3" w14:textId="77777777" w:rsidR="005575D1" w:rsidRPr="005575D1" w:rsidRDefault="005575D1" w:rsidP="005575D1">
      <w:pPr>
        <w:spacing w:before="240" w:line="360" w:lineRule="auto"/>
        <w:jc w:val="both"/>
        <w:rPr>
          <w:rFonts w:ascii="Times New Roman" w:eastAsia="Times New Roman" w:hAnsi="Times New Roman" w:cs="Times New Roman"/>
          <w:sz w:val="24"/>
          <w:szCs w:val="24"/>
        </w:rPr>
      </w:pPr>
      <w:bookmarkStart w:id="28" w:name="_Toc143351315"/>
      <w:r w:rsidRPr="005575D1">
        <w:rPr>
          <w:rFonts w:ascii="Times New Roman" w:eastAsia="Times New Roman" w:hAnsi="Times New Roman" w:cs="Times New Roman"/>
          <w:sz w:val="24"/>
          <w:szCs w:val="24"/>
        </w:rPr>
        <w:t xml:space="preserve">The article included a comprehensive examination of the intricate landscape of regulatory changes implemented by UK authorities after the financial crisis of 2008, and the subsequent impact of these reforms on Barclays Plc. One of the modifications implemented was the augmentation of capital requirements, in conjunction with the implementation of ring-fencing, improved risk management practises, and measures aimed at safeguarding consumer interests. The </w:t>
      </w:r>
      <w:proofErr w:type="gramStart"/>
      <w:r w:rsidRPr="005575D1">
        <w:rPr>
          <w:rFonts w:ascii="Times New Roman" w:eastAsia="Times New Roman" w:hAnsi="Times New Roman" w:cs="Times New Roman"/>
          <w:sz w:val="24"/>
          <w:szCs w:val="24"/>
        </w:rPr>
        <w:t>aforementioned alterations</w:t>
      </w:r>
      <w:proofErr w:type="gramEnd"/>
      <w:r w:rsidRPr="005575D1">
        <w:rPr>
          <w:rFonts w:ascii="Times New Roman" w:eastAsia="Times New Roman" w:hAnsi="Times New Roman" w:cs="Times New Roman"/>
          <w:sz w:val="24"/>
          <w:szCs w:val="24"/>
        </w:rPr>
        <w:t xml:space="preserve"> prompted Barclays to adapt its business model, enhance its risk management protocols, and align its operations with the goals set out by regulatory bodies. Barclays Plc's response to the adjustments demonstrated the company's commitment to adhering to regulatory requirements, maintaining stability, and ensuring resilience. The financial institution successfully navigated challenges including the implementation of ring-fencing measures, capital raising initiatives, and the adoption of stronger consumer protection protocols. The </w:t>
      </w:r>
      <w:proofErr w:type="gramStart"/>
      <w:r w:rsidRPr="005575D1">
        <w:rPr>
          <w:rFonts w:ascii="Times New Roman" w:eastAsia="Times New Roman" w:hAnsi="Times New Roman" w:cs="Times New Roman"/>
          <w:sz w:val="24"/>
          <w:szCs w:val="24"/>
        </w:rPr>
        <w:t>aforementioned modifications</w:t>
      </w:r>
      <w:proofErr w:type="gramEnd"/>
      <w:r w:rsidRPr="005575D1">
        <w:rPr>
          <w:rFonts w:ascii="Times New Roman" w:eastAsia="Times New Roman" w:hAnsi="Times New Roman" w:cs="Times New Roman"/>
          <w:sz w:val="24"/>
          <w:szCs w:val="24"/>
        </w:rPr>
        <w:t xml:space="preserve"> enhanced Barclays' resilience against risk, bolstered investor confidence, and contributed to a more positive public perception. The implementation of reforms after the financial crisis has wide-ranging implications that extend beyond the scope of Barclays and include the whole financial industry. These modifications provide the foundation for a financial sector that exhibits enhanced accountability, more transparency, and greater stability. </w:t>
      </w:r>
    </w:p>
    <w:p w14:paraId="6900BBD9" w14:textId="77777777" w:rsidR="005575D1" w:rsidRPr="005575D1" w:rsidRDefault="005575D1" w:rsidP="005575D1">
      <w:pPr>
        <w:rPr>
          <w:rFonts w:ascii="Times New Roman" w:eastAsia="Times New Roman" w:hAnsi="Times New Roman" w:cs="Times New Roman"/>
          <w:sz w:val="24"/>
          <w:szCs w:val="24"/>
        </w:rPr>
      </w:pPr>
    </w:p>
    <w:p w14:paraId="5C337622" w14:textId="77777777" w:rsidR="005575D1" w:rsidRPr="005575D1" w:rsidRDefault="005575D1" w:rsidP="005575D1">
      <w:pPr>
        <w:rPr>
          <w:rFonts w:ascii="Times New Roman" w:eastAsia="Times New Roman" w:hAnsi="Times New Roman" w:cs="Times New Roman"/>
          <w:sz w:val="24"/>
          <w:szCs w:val="24"/>
        </w:rPr>
      </w:pPr>
    </w:p>
    <w:p w14:paraId="3D47CB52" w14:textId="77777777" w:rsidR="005575D1" w:rsidRPr="005575D1" w:rsidRDefault="005575D1" w:rsidP="005575D1">
      <w:pPr>
        <w:rPr>
          <w:rFonts w:ascii="Times New Roman" w:eastAsia="Times New Roman" w:hAnsi="Times New Roman" w:cs="Times New Roman"/>
          <w:sz w:val="24"/>
          <w:szCs w:val="24"/>
        </w:rPr>
      </w:pPr>
    </w:p>
    <w:p w14:paraId="064FE1E2" w14:textId="77777777" w:rsidR="004E411E" w:rsidRDefault="004E411E">
      <w:pPr>
        <w:rPr>
          <w:rFonts w:ascii="Times New Roman" w:eastAsia="Times New Roman" w:hAnsi="Times New Roman" w:cstheme="majorBidi"/>
          <w:b/>
          <w:color w:val="0D0D0D" w:themeColor="text1" w:themeTint="F2"/>
          <w:sz w:val="28"/>
          <w:szCs w:val="32"/>
        </w:rPr>
      </w:pPr>
      <w:r>
        <w:br w:type="page"/>
      </w:r>
    </w:p>
    <w:p w14:paraId="41994D74" w14:textId="77777777" w:rsidR="00D06125" w:rsidRPr="003655BA" w:rsidRDefault="00A81AA4" w:rsidP="008F66FE">
      <w:pPr>
        <w:pStyle w:val="Heading1"/>
        <w:rPr>
          <w:lang w:val="en-GB"/>
        </w:rPr>
      </w:pPr>
      <w:r w:rsidRPr="003655BA">
        <w:rPr>
          <w:lang w:val="en-GB"/>
        </w:rPr>
        <w:lastRenderedPageBreak/>
        <w:t>References</w:t>
      </w:r>
      <w:bookmarkEnd w:id="28"/>
    </w:p>
    <w:p w14:paraId="313D3761"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Acharya, V.V., Gujral, I., Kulkarni, </w:t>
      </w:r>
      <w:proofErr w:type="gramStart"/>
      <w:r w:rsidRPr="002259AD">
        <w:rPr>
          <w:rFonts w:ascii="Times New Roman" w:hAnsi="Times New Roman" w:cs="Times New Roman"/>
          <w:color w:val="000000" w:themeColor="text1"/>
          <w:sz w:val="24"/>
          <w:szCs w:val="24"/>
        </w:rPr>
        <w:t>N.</w:t>
      </w:r>
      <w:proofErr w:type="gramEnd"/>
      <w:r w:rsidRPr="002259AD">
        <w:rPr>
          <w:rFonts w:ascii="Times New Roman" w:hAnsi="Times New Roman" w:cs="Times New Roman"/>
          <w:color w:val="000000" w:themeColor="text1"/>
          <w:sz w:val="24"/>
          <w:szCs w:val="24"/>
        </w:rPr>
        <w:t xml:space="preserve"> and Shin, H.S., 2011. </w:t>
      </w:r>
      <w:r w:rsidRPr="002259AD">
        <w:rPr>
          <w:rFonts w:ascii="Times New Roman" w:hAnsi="Times New Roman" w:cs="Times New Roman"/>
          <w:i/>
          <w:iCs/>
          <w:color w:val="000000" w:themeColor="text1"/>
          <w:sz w:val="24"/>
          <w:szCs w:val="24"/>
        </w:rPr>
        <w:t>Dividends and bank capital in the financial crisis of 2007-2009</w:t>
      </w:r>
      <w:r w:rsidRPr="002259AD">
        <w:rPr>
          <w:rFonts w:ascii="Times New Roman" w:hAnsi="Times New Roman" w:cs="Times New Roman"/>
          <w:color w:val="000000" w:themeColor="text1"/>
          <w:sz w:val="24"/>
          <w:szCs w:val="24"/>
        </w:rPr>
        <w:t> (No. w16896). National Bureau of Economic Research.</w:t>
      </w:r>
    </w:p>
    <w:p w14:paraId="14824EB8"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Ahmed, A., 2010. Global financial crisis: an Islamic finance perspective. </w:t>
      </w:r>
      <w:r w:rsidRPr="002259AD">
        <w:rPr>
          <w:rFonts w:ascii="Times New Roman" w:hAnsi="Times New Roman" w:cs="Times New Roman"/>
          <w:i/>
          <w:iCs/>
          <w:color w:val="000000" w:themeColor="text1"/>
          <w:sz w:val="24"/>
          <w:szCs w:val="24"/>
        </w:rPr>
        <w:t>International Journal of Islamic and Middle Eastern Finance and Management</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w:t>
      </w:r>
      <w:r w:rsidRPr="002259AD">
        <w:rPr>
          <w:rFonts w:ascii="Times New Roman" w:hAnsi="Times New Roman" w:cs="Times New Roman"/>
          <w:color w:val="000000" w:themeColor="text1"/>
          <w:sz w:val="24"/>
          <w:szCs w:val="24"/>
        </w:rPr>
        <w:t>(4), pp.306-320.</w:t>
      </w:r>
    </w:p>
    <w:p w14:paraId="6612B173"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Ahmed, S., </w:t>
      </w:r>
      <w:proofErr w:type="spellStart"/>
      <w:r w:rsidRPr="002259AD">
        <w:rPr>
          <w:rFonts w:ascii="Times New Roman" w:hAnsi="Times New Roman" w:cs="Times New Roman"/>
          <w:color w:val="000000" w:themeColor="text1"/>
          <w:sz w:val="24"/>
          <w:szCs w:val="24"/>
        </w:rPr>
        <w:t>Bangassa</w:t>
      </w:r>
      <w:proofErr w:type="spellEnd"/>
      <w:r w:rsidRPr="002259AD">
        <w:rPr>
          <w:rFonts w:ascii="Times New Roman" w:hAnsi="Times New Roman" w:cs="Times New Roman"/>
          <w:color w:val="000000" w:themeColor="text1"/>
          <w:sz w:val="24"/>
          <w:szCs w:val="24"/>
        </w:rPr>
        <w:t>, K. and Akbar, S., 2020. A study on trust restoration efforts in the UK retail banking industry. </w:t>
      </w:r>
      <w:r w:rsidRPr="002259AD">
        <w:rPr>
          <w:rFonts w:ascii="Times New Roman" w:hAnsi="Times New Roman" w:cs="Times New Roman"/>
          <w:i/>
          <w:iCs/>
          <w:color w:val="000000" w:themeColor="text1"/>
          <w:sz w:val="24"/>
          <w:szCs w:val="24"/>
        </w:rPr>
        <w:t>The British Accounting Review</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52</w:t>
      </w:r>
      <w:r w:rsidRPr="002259AD">
        <w:rPr>
          <w:rFonts w:ascii="Times New Roman" w:hAnsi="Times New Roman" w:cs="Times New Roman"/>
          <w:color w:val="000000" w:themeColor="text1"/>
          <w:sz w:val="24"/>
          <w:szCs w:val="24"/>
        </w:rPr>
        <w:t>(1), p.100871.</w:t>
      </w:r>
    </w:p>
    <w:p w14:paraId="762E62FD"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Arner, D.W., Barberis, J. and Buckey, R.P., 2016. FinTech, </w:t>
      </w:r>
      <w:proofErr w:type="spellStart"/>
      <w:r w:rsidRPr="002259AD">
        <w:rPr>
          <w:rFonts w:ascii="Times New Roman" w:hAnsi="Times New Roman" w:cs="Times New Roman"/>
          <w:color w:val="000000" w:themeColor="text1"/>
          <w:sz w:val="24"/>
          <w:szCs w:val="24"/>
        </w:rPr>
        <w:t>RegTech</w:t>
      </w:r>
      <w:proofErr w:type="spellEnd"/>
      <w:r w:rsidRPr="002259AD">
        <w:rPr>
          <w:rFonts w:ascii="Times New Roman" w:hAnsi="Times New Roman" w:cs="Times New Roman"/>
          <w:color w:val="000000" w:themeColor="text1"/>
          <w:sz w:val="24"/>
          <w:szCs w:val="24"/>
        </w:rPr>
        <w:t>, and the reconceptualization of financial regulation. </w:t>
      </w:r>
      <w:r w:rsidRPr="002259AD">
        <w:rPr>
          <w:rFonts w:ascii="Times New Roman" w:hAnsi="Times New Roman" w:cs="Times New Roman"/>
          <w:i/>
          <w:iCs/>
          <w:color w:val="000000" w:themeColor="text1"/>
          <w:sz w:val="24"/>
          <w:szCs w:val="24"/>
        </w:rPr>
        <w:t>Nw. J. Int'l L. &amp; Bus.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37</w:t>
      </w:r>
      <w:r w:rsidRPr="002259AD">
        <w:rPr>
          <w:rFonts w:ascii="Times New Roman" w:hAnsi="Times New Roman" w:cs="Times New Roman"/>
          <w:color w:val="000000" w:themeColor="text1"/>
          <w:sz w:val="24"/>
          <w:szCs w:val="24"/>
        </w:rPr>
        <w:t>, p.371.</w:t>
      </w:r>
    </w:p>
    <w:p w14:paraId="6C98786C"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Asamoah, J.Y. and Owusu-Agyei, L., 2020. The impact of ICT on Financial Sector Policy Reforms in Post-Financial crisis era in </w:t>
      </w:r>
      <w:proofErr w:type="gramStart"/>
      <w:r w:rsidRPr="002259AD">
        <w:rPr>
          <w:rFonts w:ascii="Times New Roman" w:hAnsi="Times New Roman" w:cs="Times New Roman"/>
          <w:color w:val="000000" w:themeColor="text1"/>
          <w:sz w:val="24"/>
          <w:szCs w:val="24"/>
        </w:rPr>
        <w:t>Ghana::</w:t>
      </w:r>
      <w:proofErr w:type="gramEnd"/>
      <w:r w:rsidRPr="002259AD">
        <w:rPr>
          <w:rFonts w:ascii="Times New Roman" w:hAnsi="Times New Roman" w:cs="Times New Roman"/>
          <w:color w:val="000000" w:themeColor="text1"/>
          <w:sz w:val="24"/>
          <w:szCs w:val="24"/>
        </w:rPr>
        <w:t xml:space="preserve"> An institutional theory perspective. </w:t>
      </w:r>
      <w:r w:rsidRPr="002259AD">
        <w:rPr>
          <w:rFonts w:ascii="Times New Roman" w:hAnsi="Times New Roman" w:cs="Times New Roman"/>
          <w:i/>
          <w:iCs/>
          <w:color w:val="000000" w:themeColor="text1"/>
          <w:sz w:val="24"/>
          <w:szCs w:val="24"/>
        </w:rPr>
        <w:t>International Journal of Finance &amp; Banking Studies (2147-4486)</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9</w:t>
      </w:r>
      <w:r w:rsidRPr="002259AD">
        <w:rPr>
          <w:rFonts w:ascii="Times New Roman" w:hAnsi="Times New Roman" w:cs="Times New Roman"/>
          <w:color w:val="000000" w:themeColor="text1"/>
          <w:sz w:val="24"/>
          <w:szCs w:val="24"/>
        </w:rPr>
        <w:t>(2), pp.82-100.</w:t>
      </w:r>
    </w:p>
    <w:p w14:paraId="3050B275"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Authority, P.R., 2021. Climate-related financial risk management and the role of capital requirements. </w:t>
      </w:r>
      <w:r w:rsidRPr="002259AD">
        <w:rPr>
          <w:rFonts w:ascii="Times New Roman" w:hAnsi="Times New Roman" w:cs="Times New Roman"/>
          <w:i/>
          <w:iCs/>
          <w:color w:val="000000" w:themeColor="text1"/>
          <w:sz w:val="24"/>
          <w:szCs w:val="24"/>
        </w:rPr>
        <w:t>Bank of England</w:t>
      </w:r>
      <w:r w:rsidRPr="002259AD">
        <w:rPr>
          <w:rFonts w:ascii="Times New Roman" w:hAnsi="Times New Roman" w:cs="Times New Roman"/>
          <w:color w:val="000000" w:themeColor="text1"/>
          <w:sz w:val="24"/>
          <w:szCs w:val="24"/>
        </w:rPr>
        <w:t>.</w:t>
      </w:r>
    </w:p>
    <w:p w14:paraId="22DB09A6"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Bank of England, 2023. </w:t>
      </w:r>
      <w:r w:rsidRPr="002259AD">
        <w:rPr>
          <w:rFonts w:ascii="Times New Roman" w:hAnsi="Times New Roman" w:cs="Times New Roman"/>
          <w:i/>
          <w:iCs/>
          <w:color w:val="000000" w:themeColor="text1"/>
          <w:sz w:val="24"/>
          <w:szCs w:val="24"/>
        </w:rPr>
        <w:t>Banking sector regulatory capital - 2022 Q4.</w:t>
      </w:r>
      <w:r w:rsidRPr="002259AD">
        <w:rPr>
          <w:rFonts w:ascii="Times New Roman" w:hAnsi="Times New Roman" w:cs="Times New Roman"/>
          <w:color w:val="000000" w:themeColor="text1"/>
          <w:sz w:val="24"/>
          <w:szCs w:val="24"/>
        </w:rPr>
        <w:t xml:space="preserve"> Available at: </w:t>
      </w:r>
      <w:hyperlink r:id="rId9" w:history="1">
        <w:r w:rsidRPr="002259AD">
          <w:rPr>
            <w:rStyle w:val="Hyperlink"/>
            <w:rFonts w:ascii="Times New Roman" w:hAnsi="Times New Roman" w:cs="Times New Roman"/>
            <w:color w:val="000000" w:themeColor="text1"/>
            <w:sz w:val="24"/>
            <w:szCs w:val="24"/>
          </w:rPr>
          <w:t>https://www.bankofengland.co.uk/statistics/banking-sector-regulatory-capital/2022/2022-q4</w:t>
        </w:r>
      </w:hyperlink>
      <w:r w:rsidRPr="002259AD">
        <w:rPr>
          <w:rFonts w:ascii="Times New Roman" w:hAnsi="Times New Roman" w:cs="Times New Roman"/>
          <w:color w:val="000000" w:themeColor="text1"/>
          <w:sz w:val="24"/>
          <w:szCs w:val="24"/>
        </w:rPr>
        <w:t xml:space="preserve"> [Accessed on: 19.08.2023]</w:t>
      </w:r>
    </w:p>
    <w:p w14:paraId="480DE24C"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Barclays plc, 2023. </w:t>
      </w:r>
      <w:r w:rsidRPr="002259AD">
        <w:rPr>
          <w:rFonts w:ascii="Times New Roman" w:hAnsi="Times New Roman" w:cs="Times New Roman"/>
          <w:i/>
          <w:iCs/>
          <w:color w:val="000000" w:themeColor="text1"/>
          <w:sz w:val="24"/>
          <w:szCs w:val="24"/>
        </w:rPr>
        <w:t>Fitch Ratings</w:t>
      </w:r>
      <w:r w:rsidRPr="002259AD">
        <w:rPr>
          <w:rFonts w:ascii="Times New Roman" w:hAnsi="Times New Roman" w:cs="Times New Roman"/>
          <w:color w:val="000000" w:themeColor="text1"/>
          <w:sz w:val="24"/>
          <w:szCs w:val="24"/>
        </w:rPr>
        <w:t xml:space="preserve">. Available at: </w:t>
      </w:r>
      <w:hyperlink r:id="rId10" w:history="1">
        <w:r w:rsidRPr="002259AD">
          <w:rPr>
            <w:rStyle w:val="Hyperlink"/>
            <w:rFonts w:ascii="Times New Roman" w:hAnsi="Times New Roman" w:cs="Times New Roman"/>
            <w:color w:val="000000" w:themeColor="text1"/>
            <w:sz w:val="24"/>
            <w:szCs w:val="24"/>
          </w:rPr>
          <w:t>https://home.barclays/content/dam/home-barclays/documents/investor-relations/fixed-income-investors/2023/230405-Fitch-BPLC-Credit-Opinion.pdf</w:t>
        </w:r>
      </w:hyperlink>
      <w:r w:rsidRPr="002259AD">
        <w:rPr>
          <w:rFonts w:ascii="Times New Roman" w:hAnsi="Times New Roman" w:cs="Times New Roman"/>
          <w:color w:val="000000" w:themeColor="text1"/>
          <w:sz w:val="24"/>
          <w:szCs w:val="24"/>
        </w:rPr>
        <w:t xml:space="preserve"> [Accessed on: 19.08.2023]</w:t>
      </w:r>
    </w:p>
    <w:p w14:paraId="57AF51E7"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Barclays, 2023. </w:t>
      </w:r>
      <w:r w:rsidRPr="002259AD">
        <w:rPr>
          <w:rFonts w:ascii="Times New Roman" w:hAnsi="Times New Roman" w:cs="Times New Roman"/>
          <w:i/>
          <w:iCs/>
          <w:color w:val="000000" w:themeColor="text1"/>
          <w:sz w:val="24"/>
          <w:szCs w:val="24"/>
        </w:rPr>
        <w:t>Annual Report 2023.</w:t>
      </w:r>
      <w:r w:rsidRPr="002259AD">
        <w:rPr>
          <w:rFonts w:ascii="Times New Roman" w:hAnsi="Times New Roman" w:cs="Times New Roman"/>
          <w:color w:val="000000" w:themeColor="text1"/>
          <w:sz w:val="24"/>
          <w:szCs w:val="24"/>
        </w:rPr>
        <w:t xml:space="preserve"> Available at: </w:t>
      </w:r>
      <w:hyperlink r:id="rId11" w:history="1">
        <w:r w:rsidRPr="002259AD">
          <w:rPr>
            <w:rStyle w:val="Hyperlink"/>
            <w:rFonts w:ascii="Times New Roman" w:hAnsi="Times New Roman" w:cs="Times New Roman"/>
            <w:color w:val="000000" w:themeColor="text1"/>
            <w:sz w:val="24"/>
            <w:szCs w:val="24"/>
          </w:rPr>
          <w:t>https://home.barclays/content/dam/home-barclays/documents/investor-relations/reports-and-events/annual-reports/2022/AR/Barclays-PLC-Annual-Report-2022.pdf</w:t>
        </w:r>
      </w:hyperlink>
      <w:r w:rsidRPr="002259AD">
        <w:rPr>
          <w:rFonts w:ascii="Times New Roman" w:hAnsi="Times New Roman" w:cs="Times New Roman"/>
          <w:color w:val="000000" w:themeColor="text1"/>
          <w:sz w:val="24"/>
          <w:szCs w:val="24"/>
        </w:rPr>
        <w:t xml:space="preserve"> [Accessed on: 19.08.2023]</w:t>
      </w:r>
    </w:p>
    <w:p w14:paraId="7BE5F204"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Béland</w:t>
      </w:r>
      <w:proofErr w:type="spellEnd"/>
      <w:r w:rsidRPr="002259AD">
        <w:rPr>
          <w:rFonts w:ascii="Times New Roman" w:hAnsi="Times New Roman" w:cs="Times New Roman"/>
          <w:color w:val="000000" w:themeColor="text1"/>
          <w:sz w:val="24"/>
          <w:szCs w:val="24"/>
        </w:rPr>
        <w:t>, D., Cantillon, B., Hick, R. and Moreira, A., 2021. Social policy in the face of a global pandemic: Policy responses to the COVID‐19 crisis. </w:t>
      </w:r>
      <w:r w:rsidRPr="002259AD">
        <w:rPr>
          <w:rFonts w:ascii="Times New Roman" w:hAnsi="Times New Roman" w:cs="Times New Roman"/>
          <w:i/>
          <w:iCs/>
          <w:color w:val="000000" w:themeColor="text1"/>
          <w:sz w:val="24"/>
          <w:szCs w:val="24"/>
        </w:rPr>
        <w:t>Social Policy &amp; Administration</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55</w:t>
      </w:r>
      <w:r w:rsidRPr="002259AD">
        <w:rPr>
          <w:rFonts w:ascii="Times New Roman" w:hAnsi="Times New Roman" w:cs="Times New Roman"/>
          <w:color w:val="000000" w:themeColor="text1"/>
          <w:sz w:val="24"/>
          <w:szCs w:val="24"/>
        </w:rPr>
        <w:t>(2), pp.249-260.</w:t>
      </w:r>
    </w:p>
    <w:p w14:paraId="3F82814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lastRenderedPageBreak/>
        <w:t xml:space="preserve">Bell, S. and </w:t>
      </w:r>
      <w:proofErr w:type="spellStart"/>
      <w:r w:rsidRPr="002259AD">
        <w:rPr>
          <w:rFonts w:ascii="Times New Roman" w:hAnsi="Times New Roman" w:cs="Times New Roman"/>
          <w:color w:val="000000" w:themeColor="text1"/>
          <w:sz w:val="24"/>
          <w:szCs w:val="24"/>
        </w:rPr>
        <w:t>Hindmoor</w:t>
      </w:r>
      <w:proofErr w:type="spellEnd"/>
      <w:r w:rsidRPr="002259AD">
        <w:rPr>
          <w:rFonts w:ascii="Times New Roman" w:hAnsi="Times New Roman" w:cs="Times New Roman"/>
          <w:color w:val="000000" w:themeColor="text1"/>
          <w:sz w:val="24"/>
          <w:szCs w:val="24"/>
        </w:rPr>
        <w:t>, A., 2017. Structural power and the politics of bank capital regulation in the United Kingdom. </w:t>
      </w:r>
      <w:r w:rsidRPr="002259AD">
        <w:rPr>
          <w:rFonts w:ascii="Times New Roman" w:hAnsi="Times New Roman" w:cs="Times New Roman"/>
          <w:i/>
          <w:iCs/>
          <w:color w:val="000000" w:themeColor="text1"/>
          <w:sz w:val="24"/>
          <w:szCs w:val="24"/>
        </w:rPr>
        <w:t>Political studies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65</w:t>
      </w:r>
      <w:r w:rsidRPr="002259AD">
        <w:rPr>
          <w:rFonts w:ascii="Times New Roman" w:hAnsi="Times New Roman" w:cs="Times New Roman"/>
          <w:color w:val="000000" w:themeColor="text1"/>
          <w:sz w:val="24"/>
          <w:szCs w:val="24"/>
        </w:rPr>
        <w:t>(1), pp.103-121.</w:t>
      </w:r>
    </w:p>
    <w:p w14:paraId="0CA599EB"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Bell, S. and </w:t>
      </w:r>
      <w:proofErr w:type="spellStart"/>
      <w:r w:rsidRPr="002259AD">
        <w:rPr>
          <w:rFonts w:ascii="Times New Roman" w:hAnsi="Times New Roman" w:cs="Times New Roman"/>
          <w:color w:val="000000" w:themeColor="text1"/>
          <w:sz w:val="24"/>
          <w:szCs w:val="24"/>
        </w:rPr>
        <w:t>Hindmoor</w:t>
      </w:r>
      <w:proofErr w:type="spellEnd"/>
      <w:r w:rsidRPr="002259AD">
        <w:rPr>
          <w:rFonts w:ascii="Times New Roman" w:hAnsi="Times New Roman" w:cs="Times New Roman"/>
          <w:color w:val="000000" w:themeColor="text1"/>
          <w:sz w:val="24"/>
          <w:szCs w:val="24"/>
        </w:rPr>
        <w:t>, A., 2018. Are the major global banks now safer? Structural continuities and change in banking and finance since the 2008 crisis. </w:t>
      </w:r>
      <w:r w:rsidRPr="002259AD">
        <w:rPr>
          <w:rFonts w:ascii="Times New Roman" w:hAnsi="Times New Roman" w:cs="Times New Roman"/>
          <w:i/>
          <w:iCs/>
          <w:color w:val="000000" w:themeColor="text1"/>
          <w:sz w:val="24"/>
          <w:szCs w:val="24"/>
        </w:rPr>
        <w:t>Review of International Political Economy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25</w:t>
      </w:r>
      <w:r w:rsidRPr="002259AD">
        <w:rPr>
          <w:rFonts w:ascii="Times New Roman" w:hAnsi="Times New Roman" w:cs="Times New Roman"/>
          <w:color w:val="000000" w:themeColor="text1"/>
          <w:sz w:val="24"/>
          <w:szCs w:val="24"/>
        </w:rPr>
        <w:t>(1), pp.1-27.</w:t>
      </w:r>
    </w:p>
    <w:p w14:paraId="480E9726"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Buckner, </w:t>
      </w:r>
      <w:proofErr w:type="gramStart"/>
      <w:r w:rsidRPr="002259AD">
        <w:rPr>
          <w:rFonts w:ascii="Times New Roman" w:hAnsi="Times New Roman" w:cs="Times New Roman"/>
          <w:color w:val="000000" w:themeColor="text1"/>
          <w:sz w:val="24"/>
          <w:szCs w:val="24"/>
        </w:rPr>
        <w:t>D.</w:t>
      </w:r>
      <w:proofErr w:type="gramEnd"/>
      <w:r w:rsidRPr="002259AD">
        <w:rPr>
          <w:rFonts w:ascii="Times New Roman" w:hAnsi="Times New Roman" w:cs="Times New Roman"/>
          <w:color w:val="000000" w:themeColor="text1"/>
          <w:sz w:val="24"/>
          <w:szCs w:val="24"/>
        </w:rPr>
        <w:t xml:space="preserve"> and Kevin, D.O.W.D., 2022. The UK prudential regulation authority’s valuation principles for equity release. </w:t>
      </w:r>
      <w:r w:rsidRPr="002259AD">
        <w:rPr>
          <w:rFonts w:ascii="Times New Roman" w:hAnsi="Times New Roman" w:cs="Times New Roman"/>
          <w:i/>
          <w:iCs/>
          <w:color w:val="000000" w:themeColor="text1"/>
          <w:sz w:val="24"/>
          <w:szCs w:val="24"/>
        </w:rPr>
        <w:t>Turkish Economic Review</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9</w:t>
      </w:r>
      <w:r w:rsidRPr="002259AD">
        <w:rPr>
          <w:rFonts w:ascii="Times New Roman" w:hAnsi="Times New Roman" w:cs="Times New Roman"/>
          <w:color w:val="000000" w:themeColor="text1"/>
          <w:sz w:val="24"/>
          <w:szCs w:val="24"/>
        </w:rPr>
        <w:t>(1), pp.1-14.</w:t>
      </w:r>
    </w:p>
    <w:p w14:paraId="72C97148"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Bufarwa</w:t>
      </w:r>
      <w:proofErr w:type="spellEnd"/>
      <w:r w:rsidRPr="002259AD">
        <w:rPr>
          <w:rFonts w:ascii="Times New Roman" w:hAnsi="Times New Roman" w:cs="Times New Roman"/>
          <w:color w:val="000000" w:themeColor="text1"/>
          <w:sz w:val="24"/>
          <w:szCs w:val="24"/>
        </w:rPr>
        <w:t xml:space="preserve">, I.M., Elamer, A.A., Ntim, C.G. and </w:t>
      </w:r>
      <w:proofErr w:type="spellStart"/>
      <w:r w:rsidRPr="002259AD">
        <w:rPr>
          <w:rFonts w:ascii="Times New Roman" w:hAnsi="Times New Roman" w:cs="Times New Roman"/>
          <w:color w:val="000000" w:themeColor="text1"/>
          <w:sz w:val="24"/>
          <w:szCs w:val="24"/>
        </w:rPr>
        <w:t>AlHares</w:t>
      </w:r>
      <w:proofErr w:type="spellEnd"/>
      <w:r w:rsidRPr="002259AD">
        <w:rPr>
          <w:rFonts w:ascii="Times New Roman" w:hAnsi="Times New Roman" w:cs="Times New Roman"/>
          <w:color w:val="000000" w:themeColor="text1"/>
          <w:sz w:val="24"/>
          <w:szCs w:val="24"/>
        </w:rPr>
        <w:t xml:space="preserve">, A., 2020. Gender diversity, corporate </w:t>
      </w:r>
      <w:proofErr w:type="gramStart"/>
      <w:r w:rsidRPr="002259AD">
        <w:rPr>
          <w:rFonts w:ascii="Times New Roman" w:hAnsi="Times New Roman" w:cs="Times New Roman"/>
          <w:color w:val="000000" w:themeColor="text1"/>
          <w:sz w:val="24"/>
          <w:szCs w:val="24"/>
        </w:rPr>
        <w:t>governance</w:t>
      </w:r>
      <w:proofErr w:type="gramEnd"/>
      <w:r w:rsidRPr="002259AD">
        <w:rPr>
          <w:rFonts w:ascii="Times New Roman" w:hAnsi="Times New Roman" w:cs="Times New Roman"/>
          <w:color w:val="000000" w:themeColor="text1"/>
          <w:sz w:val="24"/>
          <w:szCs w:val="24"/>
        </w:rPr>
        <w:t xml:space="preserve"> and financial risk disclosure in the UK. </w:t>
      </w:r>
      <w:r w:rsidRPr="002259AD">
        <w:rPr>
          <w:rFonts w:ascii="Times New Roman" w:hAnsi="Times New Roman" w:cs="Times New Roman"/>
          <w:i/>
          <w:iCs/>
          <w:color w:val="000000" w:themeColor="text1"/>
          <w:sz w:val="24"/>
          <w:szCs w:val="24"/>
        </w:rPr>
        <w:t>International Journal of Law and Management</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62</w:t>
      </w:r>
      <w:r w:rsidRPr="002259AD">
        <w:rPr>
          <w:rFonts w:ascii="Times New Roman" w:hAnsi="Times New Roman" w:cs="Times New Roman"/>
          <w:color w:val="000000" w:themeColor="text1"/>
          <w:sz w:val="24"/>
          <w:szCs w:val="24"/>
        </w:rPr>
        <w:t>(6), pp.521-538.</w:t>
      </w:r>
    </w:p>
    <w:p w14:paraId="350BC740"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Campa, J.M. and Quagliariello, M., 2021. Lessons from the regulatory response to the Covid-19 crisis. </w:t>
      </w:r>
      <w:r w:rsidRPr="002259AD">
        <w:rPr>
          <w:rFonts w:ascii="Times New Roman" w:hAnsi="Times New Roman" w:cs="Times New Roman"/>
          <w:i/>
          <w:iCs/>
          <w:color w:val="000000" w:themeColor="text1"/>
          <w:sz w:val="24"/>
          <w:szCs w:val="24"/>
        </w:rPr>
        <w:t>European Economy</w:t>
      </w:r>
      <w:r w:rsidRPr="002259AD">
        <w:rPr>
          <w:rFonts w:ascii="Times New Roman" w:hAnsi="Times New Roman" w:cs="Times New Roman"/>
          <w:color w:val="000000" w:themeColor="text1"/>
          <w:sz w:val="24"/>
          <w:szCs w:val="24"/>
        </w:rPr>
        <w:t>, (1), pp.89-106.</w:t>
      </w:r>
    </w:p>
    <w:p w14:paraId="1FE7B1E7"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Carè</w:t>
      </w:r>
      <w:proofErr w:type="spellEnd"/>
      <w:r w:rsidRPr="002259AD">
        <w:rPr>
          <w:rFonts w:ascii="Times New Roman" w:hAnsi="Times New Roman" w:cs="Times New Roman"/>
          <w:color w:val="000000" w:themeColor="text1"/>
          <w:sz w:val="24"/>
          <w:szCs w:val="24"/>
        </w:rPr>
        <w:t>, R., 2016. The Libor Case: A Focus on Barclays. </w:t>
      </w:r>
      <w:r w:rsidRPr="002259AD">
        <w:rPr>
          <w:rFonts w:ascii="Times New Roman" w:hAnsi="Times New Roman" w:cs="Times New Roman"/>
          <w:i/>
          <w:iCs/>
          <w:color w:val="000000" w:themeColor="text1"/>
          <w:sz w:val="24"/>
          <w:szCs w:val="24"/>
        </w:rPr>
        <w:t>Managing Reputation in The Banking Industry: Theory and Practice</w:t>
      </w:r>
      <w:r w:rsidRPr="002259AD">
        <w:rPr>
          <w:rFonts w:ascii="Times New Roman" w:hAnsi="Times New Roman" w:cs="Times New Roman"/>
          <w:color w:val="000000" w:themeColor="text1"/>
          <w:sz w:val="24"/>
          <w:szCs w:val="24"/>
        </w:rPr>
        <w:t>, pp.59-78.</w:t>
      </w:r>
    </w:p>
    <w:p w14:paraId="16A0A19E"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Chavaz</w:t>
      </w:r>
      <w:proofErr w:type="spellEnd"/>
      <w:r w:rsidRPr="002259AD">
        <w:rPr>
          <w:rFonts w:ascii="Times New Roman" w:hAnsi="Times New Roman" w:cs="Times New Roman"/>
          <w:color w:val="000000" w:themeColor="text1"/>
          <w:sz w:val="24"/>
          <w:szCs w:val="24"/>
        </w:rPr>
        <w:t>, M. and Elliott, D., 2020. Separating retail and investment banking: Evidence from the UK.</w:t>
      </w:r>
    </w:p>
    <w:p w14:paraId="2B64F4CE"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Constantinescu, L.M. and Dragoi, V.E., 2015. An assessments of the banking system </w:t>
      </w:r>
      <w:proofErr w:type="spellStart"/>
      <w:r w:rsidRPr="002259AD">
        <w:rPr>
          <w:rFonts w:ascii="Times New Roman" w:hAnsi="Times New Roman" w:cs="Times New Roman"/>
          <w:color w:val="000000" w:themeColor="text1"/>
          <w:sz w:val="24"/>
          <w:szCs w:val="24"/>
        </w:rPr>
        <w:t>performence</w:t>
      </w:r>
      <w:proofErr w:type="spellEnd"/>
      <w:r w:rsidRPr="002259AD">
        <w:rPr>
          <w:rFonts w:ascii="Times New Roman" w:hAnsi="Times New Roman" w:cs="Times New Roman"/>
          <w:color w:val="000000" w:themeColor="text1"/>
          <w:sz w:val="24"/>
          <w:szCs w:val="24"/>
        </w:rPr>
        <w:t xml:space="preserve"> of Romania &amp; United Kingdom during the last financial crisis. </w:t>
      </w:r>
      <w:r w:rsidRPr="002259AD">
        <w:rPr>
          <w:rFonts w:ascii="Times New Roman" w:hAnsi="Times New Roman" w:cs="Times New Roman"/>
          <w:i/>
          <w:iCs/>
          <w:color w:val="000000" w:themeColor="text1"/>
          <w:sz w:val="24"/>
          <w:szCs w:val="24"/>
        </w:rPr>
        <w:t>Polish Journal of Management Studies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11</w:t>
      </w:r>
      <w:r w:rsidRPr="002259AD">
        <w:rPr>
          <w:rFonts w:ascii="Times New Roman" w:hAnsi="Times New Roman" w:cs="Times New Roman"/>
          <w:color w:val="000000" w:themeColor="text1"/>
          <w:sz w:val="24"/>
          <w:szCs w:val="24"/>
        </w:rPr>
        <w:t>(1), pp.17-27.</w:t>
      </w:r>
    </w:p>
    <w:p w14:paraId="5B104479"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Council, F.R., 2021. Review of Corporate Governance Reporting. </w:t>
      </w:r>
      <w:r w:rsidRPr="002259AD">
        <w:rPr>
          <w:rFonts w:ascii="Times New Roman" w:hAnsi="Times New Roman" w:cs="Times New Roman"/>
          <w:i/>
          <w:iCs/>
          <w:color w:val="000000" w:themeColor="text1"/>
          <w:sz w:val="24"/>
          <w:szCs w:val="24"/>
        </w:rPr>
        <w:t xml:space="preserve">November 2021) 9, Sir David </w:t>
      </w:r>
      <w:proofErr w:type="spellStart"/>
      <w:proofErr w:type="gramStart"/>
      <w:r w:rsidRPr="002259AD">
        <w:rPr>
          <w:rFonts w:ascii="Times New Roman" w:hAnsi="Times New Roman" w:cs="Times New Roman"/>
          <w:i/>
          <w:iCs/>
          <w:color w:val="000000" w:themeColor="text1"/>
          <w:sz w:val="24"/>
          <w:szCs w:val="24"/>
        </w:rPr>
        <w:t>Walker,‘</w:t>
      </w:r>
      <w:proofErr w:type="gramEnd"/>
      <w:r w:rsidRPr="002259AD">
        <w:rPr>
          <w:rFonts w:ascii="Times New Roman" w:hAnsi="Times New Roman" w:cs="Times New Roman"/>
          <w:i/>
          <w:iCs/>
          <w:color w:val="000000" w:themeColor="text1"/>
          <w:sz w:val="24"/>
          <w:szCs w:val="24"/>
        </w:rPr>
        <w:t>A</w:t>
      </w:r>
      <w:proofErr w:type="spellEnd"/>
      <w:r w:rsidRPr="002259AD">
        <w:rPr>
          <w:rFonts w:ascii="Times New Roman" w:hAnsi="Times New Roman" w:cs="Times New Roman"/>
          <w:i/>
          <w:iCs/>
          <w:color w:val="000000" w:themeColor="text1"/>
          <w:sz w:val="24"/>
          <w:szCs w:val="24"/>
        </w:rPr>
        <w:t xml:space="preserve"> Review Of Corporate Governance In UK Banks and Other Financial Industry Entities–Final Recommendations’(Online Report) 26 November 2009</w:t>
      </w:r>
      <w:r w:rsidRPr="002259AD">
        <w:rPr>
          <w:rFonts w:ascii="Times New Roman" w:hAnsi="Times New Roman" w:cs="Times New Roman"/>
          <w:color w:val="000000" w:themeColor="text1"/>
          <w:sz w:val="24"/>
          <w:szCs w:val="24"/>
        </w:rPr>
        <w:t>.</w:t>
      </w:r>
    </w:p>
    <w:p w14:paraId="1A1FB44B"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Cowley, A. and Cummins, J.D., 2005. Securitization of life insurance assets and liabilities. </w:t>
      </w:r>
      <w:r w:rsidRPr="002259AD">
        <w:rPr>
          <w:rFonts w:ascii="Times New Roman" w:hAnsi="Times New Roman" w:cs="Times New Roman"/>
          <w:i/>
          <w:iCs/>
          <w:color w:val="000000" w:themeColor="text1"/>
          <w:sz w:val="24"/>
          <w:szCs w:val="24"/>
        </w:rPr>
        <w:t>Journal of Risk and Insurance</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72</w:t>
      </w:r>
      <w:r w:rsidRPr="002259AD">
        <w:rPr>
          <w:rFonts w:ascii="Times New Roman" w:hAnsi="Times New Roman" w:cs="Times New Roman"/>
          <w:color w:val="000000" w:themeColor="text1"/>
          <w:sz w:val="24"/>
          <w:szCs w:val="24"/>
        </w:rPr>
        <w:t>(2), pp.193-226.</w:t>
      </w:r>
    </w:p>
    <w:p w14:paraId="4D546F05"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Culpepper, P.D. and Reinke, R., 2014. Structural power and bank bailouts in the United Kingdom and the United States. </w:t>
      </w:r>
      <w:r w:rsidRPr="002259AD">
        <w:rPr>
          <w:rFonts w:ascii="Times New Roman" w:hAnsi="Times New Roman" w:cs="Times New Roman"/>
          <w:i/>
          <w:iCs/>
          <w:color w:val="000000" w:themeColor="text1"/>
          <w:sz w:val="24"/>
          <w:szCs w:val="24"/>
        </w:rPr>
        <w:t>Politics &amp; society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42</w:t>
      </w:r>
      <w:r w:rsidRPr="002259AD">
        <w:rPr>
          <w:rFonts w:ascii="Times New Roman" w:hAnsi="Times New Roman" w:cs="Times New Roman"/>
          <w:color w:val="000000" w:themeColor="text1"/>
          <w:sz w:val="24"/>
          <w:szCs w:val="24"/>
        </w:rPr>
        <w:t>(4), pp.427-454.</w:t>
      </w:r>
    </w:p>
    <w:p w14:paraId="3B34017C"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lastRenderedPageBreak/>
        <w:t xml:space="preserve">Davies, R., Richardson, P., </w:t>
      </w:r>
      <w:proofErr w:type="spellStart"/>
      <w:r w:rsidRPr="002259AD">
        <w:rPr>
          <w:rFonts w:ascii="Times New Roman" w:hAnsi="Times New Roman" w:cs="Times New Roman"/>
          <w:color w:val="000000" w:themeColor="text1"/>
          <w:sz w:val="24"/>
          <w:szCs w:val="24"/>
        </w:rPr>
        <w:t>Katinaite</w:t>
      </w:r>
      <w:proofErr w:type="spellEnd"/>
      <w:r w:rsidRPr="002259AD">
        <w:rPr>
          <w:rFonts w:ascii="Times New Roman" w:hAnsi="Times New Roman" w:cs="Times New Roman"/>
          <w:color w:val="000000" w:themeColor="text1"/>
          <w:sz w:val="24"/>
          <w:szCs w:val="24"/>
        </w:rPr>
        <w:t>, V. and Manning, M.J., 2010. Evolution of the UK banking system. </w:t>
      </w:r>
      <w:r w:rsidRPr="002259AD">
        <w:rPr>
          <w:rFonts w:ascii="Times New Roman" w:hAnsi="Times New Roman" w:cs="Times New Roman"/>
          <w:i/>
          <w:iCs/>
          <w:color w:val="000000" w:themeColor="text1"/>
          <w:sz w:val="24"/>
          <w:szCs w:val="24"/>
        </w:rPr>
        <w:t>Bank of England Quarterly Bulletin</w:t>
      </w:r>
      <w:r w:rsidRPr="002259AD">
        <w:rPr>
          <w:rFonts w:ascii="Times New Roman" w:hAnsi="Times New Roman" w:cs="Times New Roman"/>
          <w:color w:val="000000" w:themeColor="text1"/>
          <w:sz w:val="24"/>
          <w:szCs w:val="24"/>
        </w:rPr>
        <w:t>, p.Q4.</w:t>
      </w:r>
    </w:p>
    <w:p w14:paraId="5529D6C0"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De Haas, R. and Van </w:t>
      </w:r>
      <w:proofErr w:type="spellStart"/>
      <w:r w:rsidRPr="002259AD">
        <w:rPr>
          <w:rFonts w:ascii="Times New Roman" w:hAnsi="Times New Roman" w:cs="Times New Roman"/>
          <w:color w:val="000000" w:themeColor="text1"/>
          <w:sz w:val="24"/>
          <w:szCs w:val="24"/>
        </w:rPr>
        <w:t>Lelyveld</w:t>
      </w:r>
      <w:proofErr w:type="spellEnd"/>
      <w:r w:rsidRPr="002259AD">
        <w:rPr>
          <w:rFonts w:ascii="Times New Roman" w:hAnsi="Times New Roman" w:cs="Times New Roman"/>
          <w:color w:val="000000" w:themeColor="text1"/>
          <w:sz w:val="24"/>
          <w:szCs w:val="24"/>
        </w:rPr>
        <w:t xml:space="preserve">, I., 2014. Multinational banks and the global financial crisis: Weathering the perfect </w:t>
      </w:r>
      <w:proofErr w:type="gramStart"/>
      <w:r w:rsidRPr="002259AD">
        <w:rPr>
          <w:rFonts w:ascii="Times New Roman" w:hAnsi="Times New Roman" w:cs="Times New Roman"/>
          <w:color w:val="000000" w:themeColor="text1"/>
          <w:sz w:val="24"/>
          <w:szCs w:val="24"/>
        </w:rPr>
        <w:t>storm?.</w:t>
      </w:r>
      <w:proofErr w:type="gramEnd"/>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Journal of Money, Credit and Banking</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46</w:t>
      </w:r>
      <w:r w:rsidRPr="002259AD">
        <w:rPr>
          <w:rFonts w:ascii="Times New Roman" w:hAnsi="Times New Roman" w:cs="Times New Roman"/>
          <w:color w:val="000000" w:themeColor="text1"/>
          <w:sz w:val="24"/>
          <w:szCs w:val="24"/>
        </w:rPr>
        <w:t>(s1), pp.333-364.</w:t>
      </w:r>
    </w:p>
    <w:p w14:paraId="4120626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De Vito, J., 2017. Discretion to Act: How the Federal Reserve's Decisions Whether to Provide Emergency Loans during the Financial Crisis Were Discretionary and Why Dodd-Drank Falls Short of Preventing Future Bailouts. </w:t>
      </w:r>
      <w:r w:rsidRPr="002259AD">
        <w:rPr>
          <w:rFonts w:ascii="Times New Roman" w:hAnsi="Times New Roman" w:cs="Times New Roman"/>
          <w:i/>
          <w:iCs/>
          <w:color w:val="000000" w:themeColor="text1"/>
          <w:sz w:val="24"/>
          <w:szCs w:val="24"/>
        </w:rPr>
        <w:t>J. Bus. Entrepreneurship &amp; L.</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10</w:t>
      </w:r>
      <w:r w:rsidRPr="002259AD">
        <w:rPr>
          <w:rFonts w:ascii="Times New Roman" w:hAnsi="Times New Roman" w:cs="Times New Roman"/>
          <w:color w:val="000000" w:themeColor="text1"/>
          <w:sz w:val="24"/>
          <w:szCs w:val="24"/>
        </w:rPr>
        <w:t>, p.295.</w:t>
      </w:r>
    </w:p>
    <w:p w14:paraId="126B3341"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Feridun, M. and Güngör, H., 2020. Climate-related prudential risks in the banking sector: A review of the emerging regulatory and supervisory practices. </w:t>
      </w:r>
      <w:r w:rsidRPr="002259AD">
        <w:rPr>
          <w:rFonts w:ascii="Times New Roman" w:hAnsi="Times New Roman" w:cs="Times New Roman"/>
          <w:i/>
          <w:iCs/>
          <w:color w:val="000000" w:themeColor="text1"/>
          <w:sz w:val="24"/>
          <w:szCs w:val="24"/>
        </w:rPr>
        <w:t>Sustainability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12</w:t>
      </w:r>
      <w:r w:rsidRPr="002259AD">
        <w:rPr>
          <w:rFonts w:ascii="Times New Roman" w:hAnsi="Times New Roman" w:cs="Times New Roman"/>
          <w:color w:val="000000" w:themeColor="text1"/>
          <w:sz w:val="24"/>
          <w:szCs w:val="24"/>
        </w:rPr>
        <w:t>(13), p.5325.</w:t>
      </w:r>
    </w:p>
    <w:p w14:paraId="3599FC70"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Francis, A. and Ryder, N., 2019. Preventing and Intervening in White Collar Crimes: The Role of Regulatory Agencies. </w:t>
      </w:r>
      <w:r w:rsidRPr="002259AD">
        <w:rPr>
          <w:rFonts w:ascii="Times New Roman" w:hAnsi="Times New Roman" w:cs="Times New Roman"/>
          <w:i/>
          <w:iCs/>
          <w:color w:val="000000" w:themeColor="text1"/>
          <w:sz w:val="24"/>
          <w:szCs w:val="24"/>
        </w:rPr>
        <w:t>The Handbook of White‐Collar Crime</w:t>
      </w:r>
      <w:r w:rsidRPr="002259AD">
        <w:rPr>
          <w:rFonts w:ascii="Times New Roman" w:hAnsi="Times New Roman" w:cs="Times New Roman"/>
          <w:color w:val="000000" w:themeColor="text1"/>
          <w:sz w:val="24"/>
          <w:szCs w:val="24"/>
        </w:rPr>
        <w:t>, pp.262-278.</w:t>
      </w:r>
    </w:p>
    <w:p w14:paraId="6F761486"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Ganderson</w:t>
      </w:r>
      <w:proofErr w:type="spellEnd"/>
      <w:r w:rsidRPr="002259AD">
        <w:rPr>
          <w:rFonts w:ascii="Times New Roman" w:hAnsi="Times New Roman" w:cs="Times New Roman"/>
          <w:color w:val="000000" w:themeColor="text1"/>
          <w:sz w:val="24"/>
          <w:szCs w:val="24"/>
        </w:rPr>
        <w:t>, J., 2020. To change banks or bankers? Systemic political (in) action and post-crisis banking reform in the UK and the Netherlands. </w:t>
      </w:r>
      <w:r w:rsidRPr="002259AD">
        <w:rPr>
          <w:rFonts w:ascii="Times New Roman" w:hAnsi="Times New Roman" w:cs="Times New Roman"/>
          <w:i/>
          <w:iCs/>
          <w:color w:val="000000" w:themeColor="text1"/>
          <w:sz w:val="24"/>
          <w:szCs w:val="24"/>
        </w:rPr>
        <w:t>Business and Politics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22</w:t>
      </w:r>
      <w:r w:rsidRPr="002259AD">
        <w:rPr>
          <w:rFonts w:ascii="Times New Roman" w:hAnsi="Times New Roman" w:cs="Times New Roman"/>
          <w:color w:val="000000" w:themeColor="text1"/>
          <w:sz w:val="24"/>
          <w:szCs w:val="24"/>
        </w:rPr>
        <w:t>(1), pp.196-223.</w:t>
      </w:r>
    </w:p>
    <w:p w14:paraId="1FFE4F98"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Hall, C., 2013. Anything for </w:t>
      </w:r>
      <w:proofErr w:type="gramStart"/>
      <w:r w:rsidRPr="002259AD">
        <w:rPr>
          <w:rFonts w:ascii="Times New Roman" w:hAnsi="Times New Roman" w:cs="Times New Roman"/>
          <w:color w:val="000000" w:themeColor="text1"/>
          <w:sz w:val="24"/>
          <w:szCs w:val="24"/>
        </w:rPr>
        <w:t>you</w:t>
      </w:r>
      <w:proofErr w:type="gramEnd"/>
      <w:r w:rsidRPr="002259AD">
        <w:rPr>
          <w:rFonts w:ascii="Times New Roman" w:hAnsi="Times New Roman" w:cs="Times New Roman"/>
          <w:color w:val="000000" w:themeColor="text1"/>
          <w:sz w:val="24"/>
          <w:szCs w:val="24"/>
        </w:rPr>
        <w:t xml:space="preserve"> big boy: A comparative analysis of banking regulation in the United States and the United Kingdom in light of the LIBOR scandal. </w:t>
      </w:r>
      <w:r w:rsidRPr="002259AD">
        <w:rPr>
          <w:rFonts w:ascii="Times New Roman" w:hAnsi="Times New Roman" w:cs="Times New Roman"/>
          <w:i/>
          <w:iCs/>
          <w:color w:val="000000" w:themeColor="text1"/>
          <w:sz w:val="24"/>
          <w:szCs w:val="24"/>
        </w:rPr>
        <w:t>Nw. J. Int'l L. &amp; Bus.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34</w:t>
      </w:r>
      <w:r w:rsidRPr="002259AD">
        <w:rPr>
          <w:rFonts w:ascii="Times New Roman" w:hAnsi="Times New Roman" w:cs="Times New Roman"/>
          <w:color w:val="000000" w:themeColor="text1"/>
          <w:sz w:val="24"/>
          <w:szCs w:val="24"/>
        </w:rPr>
        <w:t>, p.153.</w:t>
      </w:r>
    </w:p>
    <w:p w14:paraId="7A4037E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Howarth, D. and Quaglia, L., 2016. The comparative political economy of Basel III in Europe. </w:t>
      </w:r>
      <w:r w:rsidRPr="002259AD">
        <w:rPr>
          <w:rFonts w:ascii="Times New Roman" w:hAnsi="Times New Roman" w:cs="Times New Roman"/>
          <w:i/>
          <w:iCs/>
          <w:color w:val="000000" w:themeColor="text1"/>
          <w:sz w:val="24"/>
          <w:szCs w:val="24"/>
        </w:rPr>
        <w:t>Policy and Society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35</w:t>
      </w:r>
      <w:r w:rsidRPr="002259AD">
        <w:rPr>
          <w:rFonts w:ascii="Times New Roman" w:hAnsi="Times New Roman" w:cs="Times New Roman"/>
          <w:color w:val="000000" w:themeColor="text1"/>
          <w:sz w:val="24"/>
          <w:szCs w:val="24"/>
        </w:rPr>
        <w:t>(3), pp.205-214.</w:t>
      </w:r>
    </w:p>
    <w:p w14:paraId="0CACC5C0"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Ioannou, S., Wójcik, D. and </w:t>
      </w:r>
      <w:proofErr w:type="spellStart"/>
      <w:r w:rsidRPr="002259AD">
        <w:rPr>
          <w:rFonts w:ascii="Times New Roman" w:hAnsi="Times New Roman" w:cs="Times New Roman"/>
          <w:color w:val="000000" w:themeColor="text1"/>
          <w:sz w:val="24"/>
          <w:szCs w:val="24"/>
        </w:rPr>
        <w:t>Dymski</w:t>
      </w:r>
      <w:proofErr w:type="spellEnd"/>
      <w:r w:rsidRPr="002259AD">
        <w:rPr>
          <w:rFonts w:ascii="Times New Roman" w:hAnsi="Times New Roman" w:cs="Times New Roman"/>
          <w:color w:val="000000" w:themeColor="text1"/>
          <w:sz w:val="24"/>
          <w:szCs w:val="24"/>
        </w:rPr>
        <w:t xml:space="preserve">, G., 2019. Too-big-to-fail: why megabanks have not become smaller since the global financial </w:t>
      </w:r>
      <w:proofErr w:type="gramStart"/>
      <w:r w:rsidRPr="002259AD">
        <w:rPr>
          <w:rFonts w:ascii="Times New Roman" w:hAnsi="Times New Roman" w:cs="Times New Roman"/>
          <w:color w:val="000000" w:themeColor="text1"/>
          <w:sz w:val="24"/>
          <w:szCs w:val="24"/>
        </w:rPr>
        <w:t>crisis?.</w:t>
      </w:r>
      <w:proofErr w:type="gramEnd"/>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Review of Political Economy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31</w:t>
      </w:r>
      <w:r w:rsidRPr="002259AD">
        <w:rPr>
          <w:rFonts w:ascii="Times New Roman" w:hAnsi="Times New Roman" w:cs="Times New Roman"/>
          <w:color w:val="000000" w:themeColor="text1"/>
          <w:sz w:val="24"/>
          <w:szCs w:val="24"/>
        </w:rPr>
        <w:t>(3), pp.356-381.</w:t>
      </w:r>
    </w:p>
    <w:p w14:paraId="5B2B18E9"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Jackson, J. and Bailey, D., 2023. ‘Facilitating the transition to net </w:t>
      </w:r>
      <w:proofErr w:type="spellStart"/>
      <w:r w:rsidRPr="002259AD">
        <w:rPr>
          <w:rFonts w:ascii="Times New Roman" w:hAnsi="Times New Roman" w:cs="Times New Roman"/>
          <w:color w:val="000000" w:themeColor="text1"/>
          <w:sz w:val="24"/>
          <w:szCs w:val="24"/>
        </w:rPr>
        <w:t>zero’and</w:t>
      </w:r>
      <w:proofErr w:type="spellEnd"/>
      <w:r w:rsidRPr="002259AD">
        <w:rPr>
          <w:rFonts w:ascii="Times New Roman" w:hAnsi="Times New Roman" w:cs="Times New Roman"/>
          <w:color w:val="000000" w:themeColor="text1"/>
          <w:sz w:val="24"/>
          <w:szCs w:val="24"/>
        </w:rPr>
        <w:t xml:space="preserve"> institutional change in the Bank of England: Perceptions of the environmental mandate and its policy implications within the British state. </w:t>
      </w:r>
      <w:r w:rsidRPr="002259AD">
        <w:rPr>
          <w:rFonts w:ascii="Times New Roman" w:hAnsi="Times New Roman" w:cs="Times New Roman"/>
          <w:i/>
          <w:iCs/>
          <w:color w:val="000000" w:themeColor="text1"/>
          <w:sz w:val="24"/>
          <w:szCs w:val="24"/>
        </w:rPr>
        <w:t>The British Journal of Politics and International Relations</w:t>
      </w:r>
      <w:r w:rsidRPr="002259AD">
        <w:rPr>
          <w:rFonts w:ascii="Times New Roman" w:hAnsi="Times New Roman" w:cs="Times New Roman"/>
          <w:color w:val="000000" w:themeColor="text1"/>
          <w:sz w:val="24"/>
          <w:szCs w:val="24"/>
        </w:rPr>
        <w:t>, p.13691481231189382.</w:t>
      </w:r>
    </w:p>
    <w:p w14:paraId="1F678B66"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Klumpes</w:t>
      </w:r>
      <w:proofErr w:type="spellEnd"/>
      <w:r w:rsidRPr="002259AD">
        <w:rPr>
          <w:rFonts w:ascii="Times New Roman" w:hAnsi="Times New Roman" w:cs="Times New Roman"/>
          <w:color w:val="000000" w:themeColor="text1"/>
          <w:sz w:val="24"/>
          <w:szCs w:val="24"/>
        </w:rPr>
        <w:t>, P., 2023. Coordination of cybersecurity risk management in the UK insurance sector. </w:t>
      </w:r>
      <w:r w:rsidRPr="002259AD">
        <w:rPr>
          <w:rFonts w:ascii="Times New Roman" w:hAnsi="Times New Roman" w:cs="Times New Roman"/>
          <w:i/>
          <w:iCs/>
          <w:color w:val="000000" w:themeColor="text1"/>
          <w:sz w:val="24"/>
          <w:szCs w:val="24"/>
        </w:rPr>
        <w:t>The Geneva Papers on Risk and Insurance-Issues and Practice</w:t>
      </w:r>
      <w:r w:rsidRPr="002259AD">
        <w:rPr>
          <w:rFonts w:ascii="Times New Roman" w:hAnsi="Times New Roman" w:cs="Times New Roman"/>
          <w:color w:val="000000" w:themeColor="text1"/>
          <w:sz w:val="24"/>
          <w:szCs w:val="24"/>
        </w:rPr>
        <w:t>, pp.1-40.</w:t>
      </w:r>
    </w:p>
    <w:p w14:paraId="625B78FB"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lastRenderedPageBreak/>
        <w:t xml:space="preserve">Kumi, P.K., </w:t>
      </w:r>
      <w:proofErr w:type="spellStart"/>
      <w:r w:rsidRPr="002259AD">
        <w:rPr>
          <w:rFonts w:ascii="Times New Roman" w:hAnsi="Times New Roman" w:cs="Times New Roman"/>
          <w:color w:val="000000" w:themeColor="text1"/>
          <w:sz w:val="24"/>
          <w:szCs w:val="24"/>
        </w:rPr>
        <w:t>Amoamah</w:t>
      </w:r>
      <w:proofErr w:type="spellEnd"/>
      <w:r w:rsidRPr="002259AD">
        <w:rPr>
          <w:rFonts w:ascii="Times New Roman" w:hAnsi="Times New Roman" w:cs="Times New Roman"/>
          <w:color w:val="000000" w:themeColor="text1"/>
          <w:sz w:val="24"/>
          <w:szCs w:val="24"/>
        </w:rPr>
        <w:t xml:space="preserve">, M.O. and </w:t>
      </w:r>
      <w:proofErr w:type="spellStart"/>
      <w:r w:rsidRPr="002259AD">
        <w:rPr>
          <w:rFonts w:ascii="Times New Roman" w:hAnsi="Times New Roman" w:cs="Times New Roman"/>
          <w:color w:val="000000" w:themeColor="text1"/>
          <w:sz w:val="24"/>
          <w:szCs w:val="24"/>
        </w:rPr>
        <w:t>Winful</w:t>
      </w:r>
      <w:proofErr w:type="spellEnd"/>
      <w:r w:rsidRPr="002259AD">
        <w:rPr>
          <w:rFonts w:ascii="Times New Roman" w:hAnsi="Times New Roman" w:cs="Times New Roman"/>
          <w:color w:val="000000" w:themeColor="text1"/>
          <w:sz w:val="24"/>
          <w:szCs w:val="24"/>
        </w:rPr>
        <w:t>, E., 2005. Evaluation of the Performance of Banks in Ghana Using Financial Ratios: A Case Study of Barclays Bank Ghana Limited (BBGL), Ghana Commercial Bank (GCB) and Agricultural Development Bank (ADB). </w:t>
      </w:r>
      <w:r w:rsidRPr="002259AD">
        <w:rPr>
          <w:rFonts w:ascii="Times New Roman" w:hAnsi="Times New Roman" w:cs="Times New Roman"/>
          <w:i/>
          <w:iCs/>
          <w:color w:val="000000" w:themeColor="text1"/>
          <w:sz w:val="24"/>
          <w:szCs w:val="24"/>
        </w:rPr>
        <w:t>European Journal of Business and Management</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5</w:t>
      </w:r>
      <w:r w:rsidRPr="002259AD">
        <w:rPr>
          <w:rFonts w:ascii="Times New Roman" w:hAnsi="Times New Roman" w:cs="Times New Roman"/>
          <w:color w:val="000000" w:themeColor="text1"/>
          <w:sz w:val="24"/>
          <w:szCs w:val="24"/>
        </w:rPr>
        <w:t>(28), pp.126-138.</w:t>
      </w:r>
    </w:p>
    <w:p w14:paraId="6A3D2679"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Lemeshko</w:t>
      </w:r>
      <w:proofErr w:type="spellEnd"/>
      <w:r w:rsidRPr="002259AD">
        <w:rPr>
          <w:rFonts w:ascii="Times New Roman" w:hAnsi="Times New Roman" w:cs="Times New Roman"/>
          <w:color w:val="000000" w:themeColor="text1"/>
          <w:sz w:val="24"/>
          <w:szCs w:val="24"/>
        </w:rPr>
        <w:t xml:space="preserve">, O. and </w:t>
      </w:r>
      <w:proofErr w:type="spellStart"/>
      <w:r w:rsidRPr="002259AD">
        <w:rPr>
          <w:rFonts w:ascii="Times New Roman" w:hAnsi="Times New Roman" w:cs="Times New Roman"/>
          <w:color w:val="000000" w:themeColor="text1"/>
          <w:sz w:val="24"/>
          <w:szCs w:val="24"/>
        </w:rPr>
        <w:t>Vatsadze</w:t>
      </w:r>
      <w:proofErr w:type="spellEnd"/>
      <w:r w:rsidRPr="002259AD">
        <w:rPr>
          <w:rFonts w:ascii="Times New Roman" w:hAnsi="Times New Roman" w:cs="Times New Roman"/>
          <w:color w:val="000000" w:themeColor="text1"/>
          <w:sz w:val="24"/>
          <w:szCs w:val="24"/>
        </w:rPr>
        <w:t>, N., 2019. Fair value accounting for financial instruments under IFRS: before and after the financial crisis. Evidence from the United Kingdom.</w:t>
      </w:r>
    </w:p>
    <w:p w14:paraId="46F9E25F"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Lu, V.N., Wirtz, J., Kunz, W.H., Paluch, S., Gruber, T., Martins, </w:t>
      </w:r>
      <w:proofErr w:type="gramStart"/>
      <w:r w:rsidRPr="002259AD">
        <w:rPr>
          <w:rFonts w:ascii="Times New Roman" w:hAnsi="Times New Roman" w:cs="Times New Roman"/>
          <w:color w:val="000000" w:themeColor="text1"/>
          <w:sz w:val="24"/>
          <w:szCs w:val="24"/>
        </w:rPr>
        <w:t>A.</w:t>
      </w:r>
      <w:proofErr w:type="gramEnd"/>
      <w:r w:rsidRPr="002259AD">
        <w:rPr>
          <w:rFonts w:ascii="Times New Roman" w:hAnsi="Times New Roman" w:cs="Times New Roman"/>
          <w:color w:val="000000" w:themeColor="text1"/>
          <w:sz w:val="24"/>
          <w:szCs w:val="24"/>
        </w:rPr>
        <w:t xml:space="preserve"> and Patterson, P.G., 2020. Service robots, customers and service employees: what can we learn from the academic literature and where are the </w:t>
      </w:r>
      <w:proofErr w:type="gramStart"/>
      <w:r w:rsidRPr="002259AD">
        <w:rPr>
          <w:rFonts w:ascii="Times New Roman" w:hAnsi="Times New Roman" w:cs="Times New Roman"/>
          <w:color w:val="000000" w:themeColor="text1"/>
          <w:sz w:val="24"/>
          <w:szCs w:val="24"/>
        </w:rPr>
        <w:t>gaps?.</w:t>
      </w:r>
      <w:proofErr w:type="gramEnd"/>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Journal of Service Theory and Practice</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30</w:t>
      </w:r>
      <w:r w:rsidRPr="002259AD">
        <w:rPr>
          <w:rFonts w:ascii="Times New Roman" w:hAnsi="Times New Roman" w:cs="Times New Roman"/>
          <w:color w:val="000000" w:themeColor="text1"/>
          <w:sz w:val="24"/>
          <w:szCs w:val="24"/>
        </w:rPr>
        <w:t>(3), pp.361-391.</w:t>
      </w:r>
    </w:p>
    <w:p w14:paraId="7B6E3E5C"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Lui, A., 2015. Greed, recklessness and/or dishonesty? An investigation into the culture of five UK banks between 2004 and 2009. </w:t>
      </w:r>
      <w:r w:rsidRPr="002259AD">
        <w:rPr>
          <w:rFonts w:ascii="Times New Roman" w:hAnsi="Times New Roman" w:cs="Times New Roman"/>
          <w:i/>
          <w:iCs/>
          <w:color w:val="000000" w:themeColor="text1"/>
          <w:sz w:val="24"/>
          <w:szCs w:val="24"/>
        </w:rPr>
        <w:t>Journal of Banking Regulation</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16</w:t>
      </w:r>
      <w:r w:rsidRPr="002259AD">
        <w:rPr>
          <w:rFonts w:ascii="Times New Roman" w:hAnsi="Times New Roman" w:cs="Times New Roman"/>
          <w:color w:val="000000" w:themeColor="text1"/>
          <w:sz w:val="24"/>
          <w:szCs w:val="24"/>
        </w:rPr>
        <w:t>, pp.106-129.</w:t>
      </w:r>
    </w:p>
    <w:p w14:paraId="4F5B462F"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Lyons, B. and Sugden, R., 2023. Transactional fairness in consumer markets. </w:t>
      </w:r>
      <w:r w:rsidRPr="002259AD">
        <w:rPr>
          <w:rFonts w:ascii="Times New Roman" w:hAnsi="Times New Roman" w:cs="Times New Roman"/>
          <w:i/>
          <w:iCs/>
          <w:color w:val="000000" w:themeColor="text1"/>
          <w:sz w:val="24"/>
          <w:szCs w:val="24"/>
        </w:rPr>
        <w:t>Behavioural Public Policy</w:t>
      </w:r>
      <w:r w:rsidRPr="002259AD">
        <w:rPr>
          <w:rFonts w:ascii="Times New Roman" w:hAnsi="Times New Roman" w:cs="Times New Roman"/>
          <w:color w:val="000000" w:themeColor="text1"/>
          <w:sz w:val="24"/>
          <w:szCs w:val="24"/>
        </w:rPr>
        <w:t>, pp.1-23.</w:t>
      </w:r>
    </w:p>
    <w:p w14:paraId="7BA04F2A"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Maheswaran, S., 2011. Lifting the Shroud: Government, Investment </w:t>
      </w:r>
      <w:proofErr w:type="gramStart"/>
      <w:r w:rsidRPr="002259AD">
        <w:rPr>
          <w:rFonts w:ascii="Times New Roman" w:hAnsi="Times New Roman" w:cs="Times New Roman"/>
          <w:color w:val="000000" w:themeColor="text1"/>
          <w:sz w:val="24"/>
          <w:szCs w:val="24"/>
        </w:rPr>
        <w:t>Banks</w:t>
      </w:r>
      <w:proofErr w:type="gramEnd"/>
      <w:r w:rsidRPr="002259AD">
        <w:rPr>
          <w:rFonts w:ascii="Times New Roman" w:hAnsi="Times New Roman" w:cs="Times New Roman"/>
          <w:color w:val="000000" w:themeColor="text1"/>
          <w:sz w:val="24"/>
          <w:szCs w:val="24"/>
        </w:rPr>
        <w:t xml:space="preserve"> and Power in Post Financial Crisis United Kingdom-A critical deconstruction of the relationship between government and investment banks in the United Kingdom post global financial crisis (2007–2011).</w:t>
      </w:r>
    </w:p>
    <w:p w14:paraId="5009F325"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Marcu, M.R., 2021. The impact of the COVID-19 pandemic on the banking sector. </w:t>
      </w:r>
      <w:r w:rsidRPr="002259AD">
        <w:rPr>
          <w:rFonts w:ascii="Times New Roman" w:hAnsi="Times New Roman" w:cs="Times New Roman"/>
          <w:i/>
          <w:iCs/>
          <w:color w:val="000000" w:themeColor="text1"/>
          <w:sz w:val="24"/>
          <w:szCs w:val="24"/>
        </w:rPr>
        <w:t>Management Dynamics in the Knowledge Economy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9</w:t>
      </w:r>
      <w:r w:rsidRPr="002259AD">
        <w:rPr>
          <w:rFonts w:ascii="Times New Roman" w:hAnsi="Times New Roman" w:cs="Times New Roman"/>
          <w:color w:val="000000" w:themeColor="text1"/>
          <w:sz w:val="24"/>
          <w:szCs w:val="24"/>
        </w:rPr>
        <w:t>(2), pp.205-223.</w:t>
      </w:r>
    </w:p>
    <w:p w14:paraId="28C1BA1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Marshall, A., McCann, L. and McColgan, P., 2019. The market reaction to debt announcements: UK evidence surrounding the global financial crisis. </w:t>
      </w:r>
      <w:r w:rsidRPr="002259AD">
        <w:rPr>
          <w:rFonts w:ascii="Times New Roman" w:hAnsi="Times New Roman" w:cs="Times New Roman"/>
          <w:i/>
          <w:iCs/>
          <w:color w:val="000000" w:themeColor="text1"/>
          <w:sz w:val="24"/>
          <w:szCs w:val="24"/>
        </w:rPr>
        <w:t>The British Accounting Review</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51</w:t>
      </w:r>
      <w:r w:rsidRPr="002259AD">
        <w:rPr>
          <w:rFonts w:ascii="Times New Roman" w:hAnsi="Times New Roman" w:cs="Times New Roman"/>
          <w:color w:val="000000" w:themeColor="text1"/>
          <w:sz w:val="24"/>
          <w:szCs w:val="24"/>
        </w:rPr>
        <w:t>(1), pp.92-109.</w:t>
      </w:r>
    </w:p>
    <w:p w14:paraId="2B0C0009"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McCauley, R., McGuire, P. and von Peter, G., 2012. After the global financial crisis: From international to multinational </w:t>
      </w:r>
      <w:proofErr w:type="gramStart"/>
      <w:r w:rsidRPr="002259AD">
        <w:rPr>
          <w:rFonts w:ascii="Times New Roman" w:hAnsi="Times New Roman" w:cs="Times New Roman"/>
          <w:color w:val="000000" w:themeColor="text1"/>
          <w:sz w:val="24"/>
          <w:szCs w:val="24"/>
        </w:rPr>
        <w:t>banking?.</w:t>
      </w:r>
      <w:proofErr w:type="gramEnd"/>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Journal of Economics and Business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64</w:t>
      </w:r>
      <w:r w:rsidRPr="002259AD">
        <w:rPr>
          <w:rFonts w:ascii="Times New Roman" w:hAnsi="Times New Roman" w:cs="Times New Roman"/>
          <w:color w:val="000000" w:themeColor="text1"/>
          <w:sz w:val="24"/>
          <w:szCs w:val="24"/>
        </w:rPr>
        <w:t>(1), pp.7-23.</w:t>
      </w:r>
    </w:p>
    <w:p w14:paraId="066A154A"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McKillop, D., French, D., Quinn, B., Sobiech, A.L. and Wilson, J.O., 2020. Cooperative financial institutions: A review of the literature. </w:t>
      </w:r>
      <w:r w:rsidRPr="002259AD">
        <w:rPr>
          <w:rFonts w:ascii="Times New Roman" w:hAnsi="Times New Roman" w:cs="Times New Roman"/>
          <w:i/>
          <w:iCs/>
          <w:color w:val="000000" w:themeColor="text1"/>
          <w:sz w:val="24"/>
          <w:szCs w:val="24"/>
        </w:rPr>
        <w:t>International Review of Financial Analysis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71</w:t>
      </w:r>
      <w:r w:rsidRPr="002259AD">
        <w:rPr>
          <w:rFonts w:ascii="Times New Roman" w:hAnsi="Times New Roman" w:cs="Times New Roman"/>
          <w:color w:val="000000" w:themeColor="text1"/>
          <w:sz w:val="24"/>
          <w:szCs w:val="24"/>
        </w:rPr>
        <w:t>, p.101520.</w:t>
      </w:r>
    </w:p>
    <w:p w14:paraId="2EBF7E51"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lastRenderedPageBreak/>
        <w:t xml:space="preserve">Merck, M., </w:t>
      </w:r>
      <w:proofErr w:type="spellStart"/>
      <w:r w:rsidRPr="002259AD">
        <w:rPr>
          <w:rFonts w:ascii="Times New Roman" w:hAnsi="Times New Roman" w:cs="Times New Roman"/>
          <w:color w:val="000000" w:themeColor="text1"/>
          <w:sz w:val="24"/>
          <w:szCs w:val="24"/>
        </w:rPr>
        <w:t>Rixtel</w:t>
      </w:r>
      <w:proofErr w:type="spellEnd"/>
      <w:r w:rsidRPr="002259AD">
        <w:rPr>
          <w:rFonts w:ascii="Times New Roman" w:hAnsi="Times New Roman" w:cs="Times New Roman"/>
          <w:color w:val="000000" w:themeColor="text1"/>
          <w:sz w:val="24"/>
          <w:szCs w:val="24"/>
        </w:rPr>
        <w:t>, A.V. and González Mota, E., 2012. Business models of international banks in the wake of the 2007-2009 global financial crisis. </w:t>
      </w:r>
      <w:proofErr w:type="spellStart"/>
      <w:r w:rsidRPr="002259AD">
        <w:rPr>
          <w:rFonts w:ascii="Times New Roman" w:hAnsi="Times New Roman" w:cs="Times New Roman"/>
          <w:i/>
          <w:iCs/>
          <w:color w:val="000000" w:themeColor="text1"/>
          <w:sz w:val="24"/>
          <w:szCs w:val="24"/>
        </w:rPr>
        <w:t>Estabilidad</w:t>
      </w:r>
      <w:proofErr w:type="spellEnd"/>
      <w:r w:rsidRPr="002259AD">
        <w:rPr>
          <w:rFonts w:ascii="Times New Roman" w:hAnsi="Times New Roman" w:cs="Times New Roman"/>
          <w:i/>
          <w:iCs/>
          <w:color w:val="000000" w:themeColor="text1"/>
          <w:sz w:val="24"/>
          <w:szCs w:val="24"/>
        </w:rPr>
        <w:t xml:space="preserve"> </w:t>
      </w:r>
      <w:proofErr w:type="spellStart"/>
      <w:r w:rsidRPr="002259AD">
        <w:rPr>
          <w:rFonts w:ascii="Times New Roman" w:hAnsi="Times New Roman" w:cs="Times New Roman"/>
          <w:i/>
          <w:iCs/>
          <w:color w:val="000000" w:themeColor="text1"/>
          <w:sz w:val="24"/>
          <w:szCs w:val="24"/>
        </w:rPr>
        <w:t>financiera</w:t>
      </w:r>
      <w:proofErr w:type="spellEnd"/>
      <w:r w:rsidRPr="002259AD">
        <w:rPr>
          <w:rFonts w:ascii="Times New Roman" w:hAnsi="Times New Roman" w:cs="Times New Roman"/>
          <w:i/>
          <w:iCs/>
          <w:color w:val="000000" w:themeColor="text1"/>
          <w:sz w:val="24"/>
          <w:szCs w:val="24"/>
        </w:rPr>
        <w:t>. Nº 22 (mayo 2012), p. 97-121</w:t>
      </w:r>
      <w:r w:rsidRPr="002259AD">
        <w:rPr>
          <w:rFonts w:ascii="Times New Roman" w:hAnsi="Times New Roman" w:cs="Times New Roman"/>
          <w:color w:val="000000" w:themeColor="text1"/>
          <w:sz w:val="24"/>
          <w:szCs w:val="24"/>
        </w:rPr>
        <w:t>.</w:t>
      </w:r>
    </w:p>
    <w:p w14:paraId="035DB961"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Miklaszewska</w:t>
      </w:r>
      <w:proofErr w:type="spellEnd"/>
      <w:r w:rsidRPr="002259AD">
        <w:rPr>
          <w:rFonts w:ascii="Times New Roman" w:hAnsi="Times New Roman" w:cs="Times New Roman"/>
          <w:color w:val="000000" w:themeColor="text1"/>
          <w:sz w:val="24"/>
          <w:szCs w:val="24"/>
        </w:rPr>
        <w:t>, E., Kil, K. and Idzik, M., 2021. How the COVID-19 pandemic affects bank risks and returns: evidence from EU members in central, eastern, and northern Europe. </w:t>
      </w:r>
      <w:r w:rsidRPr="002259AD">
        <w:rPr>
          <w:rFonts w:ascii="Times New Roman" w:hAnsi="Times New Roman" w:cs="Times New Roman"/>
          <w:i/>
          <w:iCs/>
          <w:color w:val="000000" w:themeColor="text1"/>
          <w:sz w:val="24"/>
          <w:szCs w:val="24"/>
        </w:rPr>
        <w:t>Risks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9</w:t>
      </w:r>
      <w:r w:rsidRPr="002259AD">
        <w:rPr>
          <w:rFonts w:ascii="Times New Roman" w:hAnsi="Times New Roman" w:cs="Times New Roman"/>
          <w:color w:val="000000" w:themeColor="text1"/>
          <w:sz w:val="24"/>
          <w:szCs w:val="24"/>
        </w:rPr>
        <w:t>(10), p.180.</w:t>
      </w:r>
    </w:p>
    <w:p w14:paraId="3D9D6A7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Mishkin, F.S., 2011. Over the cliff: From the subprime to the global financial crisis. </w:t>
      </w:r>
      <w:r w:rsidRPr="002259AD">
        <w:rPr>
          <w:rFonts w:ascii="Times New Roman" w:hAnsi="Times New Roman" w:cs="Times New Roman"/>
          <w:i/>
          <w:iCs/>
          <w:color w:val="000000" w:themeColor="text1"/>
          <w:sz w:val="24"/>
          <w:szCs w:val="24"/>
        </w:rPr>
        <w:t>Journal of Economic Perspectives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25</w:t>
      </w:r>
      <w:r w:rsidRPr="002259AD">
        <w:rPr>
          <w:rFonts w:ascii="Times New Roman" w:hAnsi="Times New Roman" w:cs="Times New Roman"/>
          <w:color w:val="000000" w:themeColor="text1"/>
          <w:sz w:val="24"/>
          <w:szCs w:val="24"/>
        </w:rPr>
        <w:t>(1), pp.49-70.</w:t>
      </w:r>
    </w:p>
    <w:p w14:paraId="5B0977B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Monferrer</w:t>
      </w:r>
      <w:proofErr w:type="spellEnd"/>
      <w:r w:rsidRPr="002259AD">
        <w:rPr>
          <w:rFonts w:ascii="Times New Roman" w:hAnsi="Times New Roman" w:cs="Times New Roman"/>
          <w:color w:val="000000" w:themeColor="text1"/>
          <w:sz w:val="24"/>
          <w:szCs w:val="24"/>
        </w:rPr>
        <w:t xml:space="preserve"> Tirado, D., Vidal-Meliá, L., Cardiff, J. and Quille, K., 2023. Vulnerable customers' perception of corporate social responsibility in the banking sector in a post-crisis context. </w:t>
      </w:r>
      <w:r w:rsidRPr="002259AD">
        <w:rPr>
          <w:rFonts w:ascii="Times New Roman" w:hAnsi="Times New Roman" w:cs="Times New Roman"/>
          <w:i/>
          <w:iCs/>
          <w:color w:val="000000" w:themeColor="text1"/>
          <w:sz w:val="24"/>
          <w:szCs w:val="24"/>
        </w:rPr>
        <w:t>International Journal of Bank Marketing</w:t>
      </w:r>
      <w:r w:rsidRPr="002259AD">
        <w:rPr>
          <w:rFonts w:ascii="Times New Roman" w:hAnsi="Times New Roman" w:cs="Times New Roman"/>
          <w:color w:val="000000" w:themeColor="text1"/>
          <w:sz w:val="24"/>
          <w:szCs w:val="24"/>
        </w:rPr>
        <w:t>.</w:t>
      </w:r>
    </w:p>
    <w:p w14:paraId="1541D12B"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Nabilou</w:t>
      </w:r>
      <w:proofErr w:type="spellEnd"/>
      <w:r w:rsidRPr="002259AD">
        <w:rPr>
          <w:rFonts w:ascii="Times New Roman" w:hAnsi="Times New Roman" w:cs="Times New Roman"/>
          <w:color w:val="000000" w:themeColor="text1"/>
          <w:sz w:val="24"/>
          <w:szCs w:val="24"/>
        </w:rPr>
        <w:t>, H., 2021. Can the Plight of the European Banking Structural Reforms be a Blessing in Disguise? </w:t>
      </w:r>
      <w:r w:rsidRPr="002259AD">
        <w:rPr>
          <w:rFonts w:ascii="Times New Roman" w:hAnsi="Times New Roman" w:cs="Times New Roman"/>
          <w:i/>
          <w:iCs/>
          <w:color w:val="000000" w:themeColor="text1"/>
          <w:sz w:val="24"/>
          <w:szCs w:val="24"/>
        </w:rPr>
        <w:t>European Business Organization Law Review</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22</w:t>
      </w:r>
      <w:r w:rsidRPr="002259AD">
        <w:rPr>
          <w:rFonts w:ascii="Times New Roman" w:hAnsi="Times New Roman" w:cs="Times New Roman"/>
          <w:color w:val="000000" w:themeColor="text1"/>
          <w:sz w:val="24"/>
          <w:szCs w:val="24"/>
        </w:rPr>
        <w:t>, pp.241-281.</w:t>
      </w:r>
    </w:p>
    <w:p w14:paraId="19020882"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Pistor, K., 2009. Global network finance: Institutional innovation in the global financial market place. </w:t>
      </w:r>
      <w:r w:rsidRPr="002259AD">
        <w:rPr>
          <w:rFonts w:ascii="Times New Roman" w:hAnsi="Times New Roman" w:cs="Times New Roman"/>
          <w:i/>
          <w:iCs/>
          <w:color w:val="000000" w:themeColor="text1"/>
          <w:sz w:val="24"/>
          <w:szCs w:val="24"/>
        </w:rPr>
        <w:t>Journal of Comparative Economics</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37</w:t>
      </w:r>
      <w:r w:rsidRPr="002259AD">
        <w:rPr>
          <w:rFonts w:ascii="Times New Roman" w:hAnsi="Times New Roman" w:cs="Times New Roman"/>
          <w:color w:val="000000" w:themeColor="text1"/>
          <w:sz w:val="24"/>
          <w:szCs w:val="24"/>
        </w:rPr>
        <w:t>(4), pp.552-567.</w:t>
      </w:r>
    </w:p>
    <w:p w14:paraId="7E0D2B4E"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Quaglia, L. and </w:t>
      </w:r>
      <w:proofErr w:type="spellStart"/>
      <w:r w:rsidRPr="002259AD">
        <w:rPr>
          <w:rFonts w:ascii="Times New Roman" w:hAnsi="Times New Roman" w:cs="Times New Roman"/>
          <w:color w:val="000000" w:themeColor="text1"/>
          <w:sz w:val="24"/>
          <w:szCs w:val="24"/>
        </w:rPr>
        <w:t>Spendzharova</w:t>
      </w:r>
      <w:proofErr w:type="spellEnd"/>
      <w:r w:rsidRPr="002259AD">
        <w:rPr>
          <w:rFonts w:ascii="Times New Roman" w:hAnsi="Times New Roman" w:cs="Times New Roman"/>
          <w:color w:val="000000" w:themeColor="text1"/>
          <w:sz w:val="24"/>
          <w:szCs w:val="24"/>
        </w:rPr>
        <w:t>, A., 2017. Post‐crisis reforms in banking: Regulators at the interface between domestic and international governance. </w:t>
      </w:r>
      <w:r w:rsidRPr="002259AD">
        <w:rPr>
          <w:rFonts w:ascii="Times New Roman" w:hAnsi="Times New Roman" w:cs="Times New Roman"/>
          <w:i/>
          <w:iCs/>
          <w:color w:val="000000" w:themeColor="text1"/>
          <w:sz w:val="24"/>
          <w:szCs w:val="24"/>
        </w:rPr>
        <w:t>Regulation &amp; Governance</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11</w:t>
      </w:r>
      <w:r w:rsidRPr="002259AD">
        <w:rPr>
          <w:rFonts w:ascii="Times New Roman" w:hAnsi="Times New Roman" w:cs="Times New Roman"/>
          <w:color w:val="000000" w:themeColor="text1"/>
          <w:sz w:val="24"/>
          <w:szCs w:val="24"/>
        </w:rPr>
        <w:t>(4), pp.422-437.</w:t>
      </w:r>
    </w:p>
    <w:p w14:paraId="5A43457F"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Ringe, W.G., 2016. Regulatory competition in global financial markets—the case for a special resolution regime. </w:t>
      </w:r>
      <w:r w:rsidRPr="002259AD">
        <w:rPr>
          <w:rFonts w:ascii="Times New Roman" w:hAnsi="Times New Roman" w:cs="Times New Roman"/>
          <w:i/>
          <w:iCs/>
          <w:color w:val="000000" w:themeColor="text1"/>
          <w:sz w:val="24"/>
          <w:szCs w:val="24"/>
        </w:rPr>
        <w:t>Annals of Corporate Governance</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w:t>
      </w:r>
      <w:r w:rsidRPr="002259AD">
        <w:rPr>
          <w:rFonts w:ascii="Times New Roman" w:hAnsi="Times New Roman" w:cs="Times New Roman"/>
          <w:color w:val="000000" w:themeColor="text1"/>
          <w:sz w:val="24"/>
          <w:szCs w:val="24"/>
        </w:rPr>
        <w:t>(3), pp.175-247.</w:t>
      </w:r>
    </w:p>
    <w:p w14:paraId="61CE0435"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proofErr w:type="spellStart"/>
      <w:r w:rsidRPr="002259AD">
        <w:rPr>
          <w:rFonts w:ascii="Times New Roman" w:hAnsi="Times New Roman" w:cs="Times New Roman"/>
          <w:color w:val="000000" w:themeColor="text1"/>
          <w:sz w:val="24"/>
          <w:szCs w:val="24"/>
        </w:rPr>
        <w:t>Shavshukov</w:t>
      </w:r>
      <w:proofErr w:type="spellEnd"/>
      <w:r w:rsidRPr="002259AD">
        <w:rPr>
          <w:rFonts w:ascii="Times New Roman" w:hAnsi="Times New Roman" w:cs="Times New Roman"/>
          <w:color w:val="000000" w:themeColor="text1"/>
          <w:sz w:val="24"/>
          <w:szCs w:val="24"/>
        </w:rPr>
        <w:t>, V.M. and Zhuravleva, N.A., 2023. National and International Financial Market Regulation and Supervision Systems: Challenges and Solutions. </w:t>
      </w:r>
      <w:r w:rsidRPr="002259AD">
        <w:rPr>
          <w:rFonts w:ascii="Times New Roman" w:hAnsi="Times New Roman" w:cs="Times New Roman"/>
          <w:i/>
          <w:iCs/>
          <w:color w:val="000000" w:themeColor="text1"/>
          <w:sz w:val="24"/>
          <w:szCs w:val="24"/>
        </w:rPr>
        <w:t>Journal of Risk and Financial Management</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16</w:t>
      </w:r>
      <w:r w:rsidRPr="002259AD">
        <w:rPr>
          <w:rFonts w:ascii="Times New Roman" w:hAnsi="Times New Roman" w:cs="Times New Roman"/>
          <w:color w:val="000000" w:themeColor="text1"/>
          <w:sz w:val="24"/>
          <w:szCs w:val="24"/>
        </w:rPr>
        <w:t>(6), p.289.</w:t>
      </w:r>
    </w:p>
    <w:p w14:paraId="378454BF"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Sikka, P., 2014. Policy Paper-Banking in the public interest: Progressive reform of the financial sector.</w:t>
      </w:r>
    </w:p>
    <w:p w14:paraId="6AB40803"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Sikka, P., 2015, March. The corrosive effects of neoliberalism on the UK financial crises and auditing practices: A dead-end for reforms. In </w:t>
      </w:r>
      <w:r w:rsidRPr="002259AD">
        <w:rPr>
          <w:rFonts w:ascii="Times New Roman" w:hAnsi="Times New Roman" w:cs="Times New Roman"/>
          <w:i/>
          <w:iCs/>
          <w:color w:val="000000" w:themeColor="text1"/>
          <w:sz w:val="24"/>
          <w:szCs w:val="24"/>
        </w:rPr>
        <w:t>Accounting Forum</w:t>
      </w:r>
      <w:r w:rsidRPr="002259AD">
        <w:rPr>
          <w:rFonts w:ascii="Times New Roman" w:hAnsi="Times New Roman" w:cs="Times New Roman"/>
          <w:color w:val="000000" w:themeColor="text1"/>
          <w:sz w:val="24"/>
          <w:szCs w:val="24"/>
        </w:rPr>
        <w:t> (Vol. 39, No. 1, pp. 1-18). No longer published by Elsevier.</w:t>
      </w:r>
    </w:p>
    <w:p w14:paraId="17A4591F"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lastRenderedPageBreak/>
        <w:t>UK Legislation, 2013</w:t>
      </w:r>
      <w:r w:rsidRPr="002259AD">
        <w:rPr>
          <w:rFonts w:ascii="Times New Roman" w:hAnsi="Times New Roman" w:cs="Times New Roman"/>
          <w:i/>
          <w:iCs/>
          <w:color w:val="000000" w:themeColor="text1"/>
          <w:sz w:val="24"/>
          <w:szCs w:val="24"/>
        </w:rPr>
        <w:t>. Financial Services (Banking Reform) Act 2013.</w:t>
      </w:r>
      <w:r w:rsidRPr="002259AD">
        <w:rPr>
          <w:rFonts w:ascii="Times New Roman" w:hAnsi="Times New Roman" w:cs="Times New Roman"/>
          <w:color w:val="000000" w:themeColor="text1"/>
          <w:sz w:val="24"/>
          <w:szCs w:val="24"/>
        </w:rPr>
        <w:t xml:space="preserve"> Available at: </w:t>
      </w:r>
      <w:hyperlink r:id="rId12" w:history="1">
        <w:r w:rsidRPr="002259AD">
          <w:rPr>
            <w:rStyle w:val="Hyperlink"/>
            <w:rFonts w:ascii="Times New Roman" w:hAnsi="Times New Roman" w:cs="Times New Roman"/>
            <w:color w:val="000000" w:themeColor="text1"/>
            <w:sz w:val="24"/>
            <w:szCs w:val="24"/>
          </w:rPr>
          <w:t>https://www.legislation.gov.uk/ukpga/2013/33/contents/enacted</w:t>
        </w:r>
      </w:hyperlink>
      <w:r w:rsidRPr="002259AD">
        <w:rPr>
          <w:rFonts w:ascii="Times New Roman" w:hAnsi="Times New Roman" w:cs="Times New Roman"/>
          <w:color w:val="000000" w:themeColor="text1"/>
          <w:sz w:val="24"/>
          <w:szCs w:val="24"/>
        </w:rPr>
        <w:t xml:space="preserve"> [Accessed on: 19.08.2023]</w:t>
      </w:r>
    </w:p>
    <w:p w14:paraId="16FBC1AC"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Vasudev, P.M. and Rodriguez Guerrero, D., 2014. Corporate governance in banks–A view through the LIBOR lens. </w:t>
      </w:r>
      <w:r w:rsidRPr="002259AD">
        <w:rPr>
          <w:rFonts w:ascii="Times New Roman" w:hAnsi="Times New Roman" w:cs="Times New Roman"/>
          <w:i/>
          <w:iCs/>
          <w:color w:val="000000" w:themeColor="text1"/>
          <w:sz w:val="24"/>
          <w:szCs w:val="24"/>
        </w:rPr>
        <w:t>Journal of Banking Regulation</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15</w:t>
      </w:r>
      <w:r w:rsidRPr="002259AD">
        <w:rPr>
          <w:rFonts w:ascii="Times New Roman" w:hAnsi="Times New Roman" w:cs="Times New Roman"/>
          <w:color w:val="000000" w:themeColor="text1"/>
          <w:sz w:val="24"/>
          <w:szCs w:val="24"/>
        </w:rPr>
        <w:t>, pp.325-336.</w:t>
      </w:r>
    </w:p>
    <w:p w14:paraId="53419AEE"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Von Solms, J., 2021. Integrating Regulatory Technology (</w:t>
      </w:r>
      <w:proofErr w:type="spellStart"/>
      <w:r w:rsidRPr="002259AD">
        <w:rPr>
          <w:rFonts w:ascii="Times New Roman" w:hAnsi="Times New Roman" w:cs="Times New Roman"/>
          <w:color w:val="000000" w:themeColor="text1"/>
          <w:sz w:val="24"/>
          <w:szCs w:val="24"/>
        </w:rPr>
        <w:t>RegTech</w:t>
      </w:r>
      <w:proofErr w:type="spellEnd"/>
      <w:r w:rsidRPr="002259AD">
        <w:rPr>
          <w:rFonts w:ascii="Times New Roman" w:hAnsi="Times New Roman" w:cs="Times New Roman"/>
          <w:color w:val="000000" w:themeColor="text1"/>
          <w:sz w:val="24"/>
          <w:szCs w:val="24"/>
        </w:rPr>
        <w:t>) into the digital transformation of a bank Treasury. </w:t>
      </w:r>
      <w:r w:rsidRPr="002259AD">
        <w:rPr>
          <w:rFonts w:ascii="Times New Roman" w:hAnsi="Times New Roman" w:cs="Times New Roman"/>
          <w:i/>
          <w:iCs/>
          <w:color w:val="000000" w:themeColor="text1"/>
          <w:sz w:val="24"/>
          <w:szCs w:val="24"/>
        </w:rPr>
        <w:t>Journal of Banking Regulation</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22</w:t>
      </w:r>
      <w:r w:rsidRPr="002259AD">
        <w:rPr>
          <w:rFonts w:ascii="Times New Roman" w:hAnsi="Times New Roman" w:cs="Times New Roman"/>
          <w:color w:val="000000" w:themeColor="text1"/>
          <w:sz w:val="24"/>
          <w:szCs w:val="24"/>
        </w:rPr>
        <w:t>, pp.152-168.</w:t>
      </w:r>
    </w:p>
    <w:p w14:paraId="16E18630"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Wilmarth Jr, A.E., 2008. The dark side of universal banking: Financial conglomerates and the origins of the subprime financial crisis. </w:t>
      </w:r>
      <w:r w:rsidRPr="002259AD">
        <w:rPr>
          <w:rFonts w:ascii="Times New Roman" w:hAnsi="Times New Roman" w:cs="Times New Roman"/>
          <w:i/>
          <w:iCs/>
          <w:color w:val="000000" w:themeColor="text1"/>
          <w:sz w:val="24"/>
          <w:szCs w:val="24"/>
        </w:rPr>
        <w:t>Conn. L. Rev.</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41</w:t>
      </w:r>
      <w:r w:rsidRPr="002259AD">
        <w:rPr>
          <w:rFonts w:ascii="Times New Roman" w:hAnsi="Times New Roman" w:cs="Times New Roman"/>
          <w:color w:val="000000" w:themeColor="text1"/>
          <w:sz w:val="24"/>
          <w:szCs w:val="24"/>
        </w:rPr>
        <w:t>, p.963.</w:t>
      </w:r>
    </w:p>
    <w:p w14:paraId="64E59E3A" w14:textId="77777777" w:rsidR="00F75DC4" w:rsidRPr="002259AD" w:rsidRDefault="00F75DC4" w:rsidP="00F75DC4">
      <w:pPr>
        <w:spacing w:line="360" w:lineRule="auto"/>
        <w:jc w:val="both"/>
        <w:rPr>
          <w:rFonts w:ascii="Times New Roman" w:hAnsi="Times New Roman" w:cs="Times New Roman"/>
          <w:color w:val="000000" w:themeColor="text1"/>
          <w:sz w:val="24"/>
          <w:szCs w:val="24"/>
        </w:rPr>
      </w:pPr>
      <w:r w:rsidRPr="002259AD">
        <w:rPr>
          <w:rFonts w:ascii="Times New Roman" w:hAnsi="Times New Roman" w:cs="Times New Roman"/>
          <w:color w:val="000000" w:themeColor="text1"/>
          <w:sz w:val="24"/>
          <w:szCs w:val="24"/>
        </w:rPr>
        <w:t xml:space="preserve">Wójcik, D., Knight, E., O’Neill, P. and </w:t>
      </w:r>
      <w:proofErr w:type="spellStart"/>
      <w:r w:rsidRPr="002259AD">
        <w:rPr>
          <w:rFonts w:ascii="Times New Roman" w:hAnsi="Times New Roman" w:cs="Times New Roman"/>
          <w:color w:val="000000" w:themeColor="text1"/>
          <w:sz w:val="24"/>
          <w:szCs w:val="24"/>
        </w:rPr>
        <w:t>Pažitka</w:t>
      </w:r>
      <w:proofErr w:type="spellEnd"/>
      <w:r w:rsidRPr="002259AD">
        <w:rPr>
          <w:rFonts w:ascii="Times New Roman" w:hAnsi="Times New Roman" w:cs="Times New Roman"/>
          <w:color w:val="000000" w:themeColor="text1"/>
          <w:sz w:val="24"/>
          <w:szCs w:val="24"/>
        </w:rPr>
        <w:t>, V., 2018. The economic geography of investment banking since 2008: The geography of shrinkage and shift. </w:t>
      </w:r>
      <w:r w:rsidRPr="002259AD">
        <w:rPr>
          <w:rFonts w:ascii="Times New Roman" w:hAnsi="Times New Roman" w:cs="Times New Roman"/>
          <w:i/>
          <w:iCs/>
          <w:color w:val="000000" w:themeColor="text1"/>
          <w:sz w:val="24"/>
          <w:szCs w:val="24"/>
        </w:rPr>
        <w:t>Economic Geography</w:t>
      </w:r>
      <w:r w:rsidRPr="002259AD">
        <w:rPr>
          <w:rFonts w:ascii="Times New Roman" w:hAnsi="Times New Roman" w:cs="Times New Roman"/>
          <w:color w:val="000000" w:themeColor="text1"/>
          <w:sz w:val="24"/>
          <w:szCs w:val="24"/>
        </w:rPr>
        <w:t>, </w:t>
      </w:r>
      <w:r w:rsidRPr="002259AD">
        <w:rPr>
          <w:rFonts w:ascii="Times New Roman" w:hAnsi="Times New Roman" w:cs="Times New Roman"/>
          <w:i/>
          <w:iCs/>
          <w:color w:val="000000" w:themeColor="text1"/>
          <w:sz w:val="24"/>
          <w:szCs w:val="24"/>
        </w:rPr>
        <w:t>94</w:t>
      </w:r>
      <w:r w:rsidRPr="002259AD">
        <w:rPr>
          <w:rFonts w:ascii="Times New Roman" w:hAnsi="Times New Roman" w:cs="Times New Roman"/>
          <w:color w:val="000000" w:themeColor="text1"/>
          <w:sz w:val="24"/>
          <w:szCs w:val="24"/>
        </w:rPr>
        <w:t>(4), pp.376-399.</w:t>
      </w:r>
    </w:p>
    <w:p w14:paraId="57F3F926" w14:textId="77777777" w:rsidR="00371DDC" w:rsidRPr="002259AD" w:rsidRDefault="00371DDC" w:rsidP="00A81AA4">
      <w:pPr>
        <w:spacing w:before="240" w:line="360" w:lineRule="auto"/>
        <w:rPr>
          <w:rFonts w:ascii="Times New Roman" w:hAnsi="Times New Roman" w:cs="Times New Roman"/>
          <w:b/>
          <w:color w:val="000000" w:themeColor="text1"/>
          <w:sz w:val="28"/>
        </w:rPr>
      </w:pPr>
    </w:p>
    <w:sectPr w:rsidR="00371DDC" w:rsidRPr="002259AD" w:rsidSect="0014254D">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63D45" w14:textId="77777777" w:rsidR="00DE061F" w:rsidRDefault="00DE061F" w:rsidP="0014254D">
      <w:pPr>
        <w:spacing w:after="0" w:line="240" w:lineRule="auto"/>
      </w:pPr>
      <w:r>
        <w:separator/>
      </w:r>
    </w:p>
  </w:endnote>
  <w:endnote w:type="continuationSeparator" w:id="0">
    <w:p w14:paraId="1C6893C4" w14:textId="77777777" w:rsidR="00DE061F" w:rsidRDefault="00DE061F" w:rsidP="00142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960814"/>
      <w:docPartObj>
        <w:docPartGallery w:val="Page Numbers (Bottom of Page)"/>
        <w:docPartUnique/>
      </w:docPartObj>
    </w:sdtPr>
    <w:sdtEndPr>
      <w:rPr>
        <w:rFonts w:ascii="Times New Roman" w:hAnsi="Times New Roman" w:cs="Times New Roman"/>
        <w:color w:val="7F7F7F" w:themeColor="background1" w:themeShade="7F"/>
        <w:spacing w:val="60"/>
        <w:sz w:val="20"/>
      </w:rPr>
    </w:sdtEndPr>
    <w:sdtContent>
      <w:p w14:paraId="40BF23D0" w14:textId="77777777" w:rsidR="0014254D" w:rsidRPr="0014254D" w:rsidRDefault="0014254D">
        <w:pPr>
          <w:pStyle w:val="Footer"/>
          <w:pBdr>
            <w:top w:val="single" w:sz="4" w:space="1" w:color="D9D9D9" w:themeColor="background1" w:themeShade="D9"/>
          </w:pBdr>
          <w:jc w:val="right"/>
          <w:rPr>
            <w:rFonts w:ascii="Times New Roman" w:hAnsi="Times New Roman" w:cs="Times New Roman"/>
            <w:sz w:val="20"/>
          </w:rPr>
        </w:pPr>
        <w:r w:rsidRPr="0014254D">
          <w:rPr>
            <w:rFonts w:ascii="Times New Roman" w:hAnsi="Times New Roman" w:cs="Times New Roman"/>
            <w:sz w:val="20"/>
          </w:rPr>
          <w:fldChar w:fldCharType="begin"/>
        </w:r>
        <w:r w:rsidRPr="0014254D">
          <w:rPr>
            <w:rFonts w:ascii="Times New Roman" w:hAnsi="Times New Roman" w:cs="Times New Roman"/>
            <w:sz w:val="20"/>
          </w:rPr>
          <w:instrText xml:space="preserve"> PAGE   \* MERGEFORMAT </w:instrText>
        </w:r>
        <w:r w:rsidRPr="0014254D">
          <w:rPr>
            <w:rFonts w:ascii="Times New Roman" w:hAnsi="Times New Roman" w:cs="Times New Roman"/>
            <w:sz w:val="20"/>
          </w:rPr>
          <w:fldChar w:fldCharType="separate"/>
        </w:r>
        <w:r w:rsidR="00D4693C">
          <w:rPr>
            <w:rFonts w:ascii="Times New Roman" w:hAnsi="Times New Roman" w:cs="Times New Roman"/>
            <w:noProof/>
            <w:sz w:val="20"/>
          </w:rPr>
          <w:t>9</w:t>
        </w:r>
        <w:r w:rsidRPr="0014254D">
          <w:rPr>
            <w:rFonts w:ascii="Times New Roman" w:hAnsi="Times New Roman" w:cs="Times New Roman"/>
            <w:noProof/>
            <w:sz w:val="20"/>
          </w:rPr>
          <w:fldChar w:fldCharType="end"/>
        </w:r>
        <w:r w:rsidRPr="0014254D">
          <w:rPr>
            <w:rFonts w:ascii="Times New Roman" w:hAnsi="Times New Roman" w:cs="Times New Roman"/>
            <w:sz w:val="20"/>
          </w:rPr>
          <w:t xml:space="preserve"> | </w:t>
        </w:r>
      </w:p>
    </w:sdtContent>
  </w:sdt>
  <w:p w14:paraId="7FCDC863" w14:textId="77777777" w:rsidR="0014254D" w:rsidRDefault="00142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16902" w14:textId="77777777" w:rsidR="00DE061F" w:rsidRDefault="00DE061F" w:rsidP="0014254D">
      <w:pPr>
        <w:spacing w:after="0" w:line="240" w:lineRule="auto"/>
      </w:pPr>
      <w:r>
        <w:separator/>
      </w:r>
    </w:p>
  </w:footnote>
  <w:footnote w:type="continuationSeparator" w:id="0">
    <w:p w14:paraId="3DC2074C" w14:textId="77777777" w:rsidR="00DE061F" w:rsidRDefault="00DE061F" w:rsidP="00142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12903"/>
    <w:multiLevelType w:val="multilevel"/>
    <w:tmpl w:val="48B4A5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DB5C45"/>
    <w:multiLevelType w:val="hybridMultilevel"/>
    <w:tmpl w:val="FE42F7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E52591A"/>
    <w:multiLevelType w:val="multilevel"/>
    <w:tmpl w:val="21D407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1D17C66"/>
    <w:multiLevelType w:val="multilevel"/>
    <w:tmpl w:val="54187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3015B0"/>
    <w:multiLevelType w:val="hybridMultilevel"/>
    <w:tmpl w:val="8BE67D9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A53379"/>
    <w:multiLevelType w:val="multilevel"/>
    <w:tmpl w:val="AE4418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C542B5"/>
    <w:multiLevelType w:val="hybridMultilevel"/>
    <w:tmpl w:val="B36A9C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8069187">
    <w:abstractNumId w:val="6"/>
  </w:num>
  <w:num w:numId="2" w16cid:durableId="1560166775">
    <w:abstractNumId w:val="2"/>
  </w:num>
  <w:num w:numId="3" w16cid:durableId="1372538164">
    <w:abstractNumId w:val="3"/>
  </w:num>
  <w:num w:numId="4" w16cid:durableId="1426074644">
    <w:abstractNumId w:val="5"/>
  </w:num>
  <w:num w:numId="5" w16cid:durableId="1563103422">
    <w:abstractNumId w:val="4"/>
  </w:num>
  <w:num w:numId="6" w16cid:durableId="1934241176">
    <w:abstractNumId w:val="1"/>
  </w:num>
  <w:num w:numId="7" w16cid:durableId="1416394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468"/>
    <w:rsid w:val="0000685D"/>
    <w:rsid w:val="00012C73"/>
    <w:rsid w:val="000143E0"/>
    <w:rsid w:val="000276C2"/>
    <w:rsid w:val="000428BA"/>
    <w:rsid w:val="00051588"/>
    <w:rsid w:val="000547F2"/>
    <w:rsid w:val="000560C0"/>
    <w:rsid w:val="0008307D"/>
    <w:rsid w:val="00086BDE"/>
    <w:rsid w:val="000A2B00"/>
    <w:rsid w:val="000B68EA"/>
    <w:rsid w:val="000C477C"/>
    <w:rsid w:val="00100CDD"/>
    <w:rsid w:val="00101602"/>
    <w:rsid w:val="0014254D"/>
    <w:rsid w:val="00175707"/>
    <w:rsid w:val="00193CF1"/>
    <w:rsid w:val="00194E50"/>
    <w:rsid w:val="001971FD"/>
    <w:rsid w:val="001A2272"/>
    <w:rsid w:val="001D05BF"/>
    <w:rsid w:val="001D7B19"/>
    <w:rsid w:val="001E6BF3"/>
    <w:rsid w:val="00200546"/>
    <w:rsid w:val="002259AD"/>
    <w:rsid w:val="0023012E"/>
    <w:rsid w:val="002301C9"/>
    <w:rsid w:val="002346AA"/>
    <w:rsid w:val="002522B6"/>
    <w:rsid w:val="0026508B"/>
    <w:rsid w:val="00265BC9"/>
    <w:rsid w:val="002740A6"/>
    <w:rsid w:val="00282BB8"/>
    <w:rsid w:val="002B27D8"/>
    <w:rsid w:val="002D39C2"/>
    <w:rsid w:val="003118ED"/>
    <w:rsid w:val="003655BA"/>
    <w:rsid w:val="00371DDC"/>
    <w:rsid w:val="003C5336"/>
    <w:rsid w:val="003E1B97"/>
    <w:rsid w:val="003F5F5D"/>
    <w:rsid w:val="00411428"/>
    <w:rsid w:val="0042670A"/>
    <w:rsid w:val="00430AD4"/>
    <w:rsid w:val="004364A3"/>
    <w:rsid w:val="00453389"/>
    <w:rsid w:val="0047270A"/>
    <w:rsid w:val="004911E0"/>
    <w:rsid w:val="00493757"/>
    <w:rsid w:val="004B247B"/>
    <w:rsid w:val="004B4E97"/>
    <w:rsid w:val="004C55B6"/>
    <w:rsid w:val="004E411E"/>
    <w:rsid w:val="00520BF1"/>
    <w:rsid w:val="00535F48"/>
    <w:rsid w:val="005569B3"/>
    <w:rsid w:val="005575D1"/>
    <w:rsid w:val="00582E31"/>
    <w:rsid w:val="005C045D"/>
    <w:rsid w:val="00607513"/>
    <w:rsid w:val="00612D72"/>
    <w:rsid w:val="00621281"/>
    <w:rsid w:val="00636036"/>
    <w:rsid w:val="00636B35"/>
    <w:rsid w:val="0065494F"/>
    <w:rsid w:val="0065643D"/>
    <w:rsid w:val="00685BC6"/>
    <w:rsid w:val="00686F90"/>
    <w:rsid w:val="006904CB"/>
    <w:rsid w:val="006A7EA9"/>
    <w:rsid w:val="006E09C0"/>
    <w:rsid w:val="006E3367"/>
    <w:rsid w:val="006F4BC2"/>
    <w:rsid w:val="00715F32"/>
    <w:rsid w:val="00757A88"/>
    <w:rsid w:val="00765374"/>
    <w:rsid w:val="007719D4"/>
    <w:rsid w:val="0077405D"/>
    <w:rsid w:val="00775056"/>
    <w:rsid w:val="007852C1"/>
    <w:rsid w:val="00792D49"/>
    <w:rsid w:val="007932F8"/>
    <w:rsid w:val="0079369E"/>
    <w:rsid w:val="007A7F40"/>
    <w:rsid w:val="007D07B0"/>
    <w:rsid w:val="007E7B8E"/>
    <w:rsid w:val="007E7F4E"/>
    <w:rsid w:val="007F31FC"/>
    <w:rsid w:val="00800483"/>
    <w:rsid w:val="00807FA5"/>
    <w:rsid w:val="008243CD"/>
    <w:rsid w:val="00824E71"/>
    <w:rsid w:val="00841FAC"/>
    <w:rsid w:val="008455A9"/>
    <w:rsid w:val="0085759B"/>
    <w:rsid w:val="008639E0"/>
    <w:rsid w:val="0086486C"/>
    <w:rsid w:val="008818E3"/>
    <w:rsid w:val="008C294E"/>
    <w:rsid w:val="008D31A7"/>
    <w:rsid w:val="008F66FE"/>
    <w:rsid w:val="00900CB4"/>
    <w:rsid w:val="009B1585"/>
    <w:rsid w:val="009B1D71"/>
    <w:rsid w:val="009D785B"/>
    <w:rsid w:val="009F077C"/>
    <w:rsid w:val="009F4BB7"/>
    <w:rsid w:val="00A15AD9"/>
    <w:rsid w:val="00A81AA4"/>
    <w:rsid w:val="00A92476"/>
    <w:rsid w:val="00AB27DB"/>
    <w:rsid w:val="00AE3C1B"/>
    <w:rsid w:val="00B06D3E"/>
    <w:rsid w:val="00B35468"/>
    <w:rsid w:val="00B47592"/>
    <w:rsid w:val="00B50266"/>
    <w:rsid w:val="00B70069"/>
    <w:rsid w:val="00B82116"/>
    <w:rsid w:val="00B95508"/>
    <w:rsid w:val="00B95536"/>
    <w:rsid w:val="00BA2B1F"/>
    <w:rsid w:val="00BC55CE"/>
    <w:rsid w:val="00BC7A41"/>
    <w:rsid w:val="00BD173F"/>
    <w:rsid w:val="00BD6C54"/>
    <w:rsid w:val="00BF1886"/>
    <w:rsid w:val="00C34531"/>
    <w:rsid w:val="00C55FFF"/>
    <w:rsid w:val="00C70628"/>
    <w:rsid w:val="00CA04A6"/>
    <w:rsid w:val="00CA5462"/>
    <w:rsid w:val="00CC09F4"/>
    <w:rsid w:val="00CC368F"/>
    <w:rsid w:val="00CE01C7"/>
    <w:rsid w:val="00CE2289"/>
    <w:rsid w:val="00CE2D98"/>
    <w:rsid w:val="00D02892"/>
    <w:rsid w:val="00D04292"/>
    <w:rsid w:val="00D05A11"/>
    <w:rsid w:val="00D06125"/>
    <w:rsid w:val="00D14969"/>
    <w:rsid w:val="00D4693C"/>
    <w:rsid w:val="00D5176E"/>
    <w:rsid w:val="00D957A7"/>
    <w:rsid w:val="00D96CCA"/>
    <w:rsid w:val="00DA13EE"/>
    <w:rsid w:val="00DA22D1"/>
    <w:rsid w:val="00DB60CA"/>
    <w:rsid w:val="00DC44C1"/>
    <w:rsid w:val="00DE061F"/>
    <w:rsid w:val="00DE0892"/>
    <w:rsid w:val="00DF15D6"/>
    <w:rsid w:val="00E011C8"/>
    <w:rsid w:val="00E12188"/>
    <w:rsid w:val="00E204D3"/>
    <w:rsid w:val="00E2207E"/>
    <w:rsid w:val="00E274AF"/>
    <w:rsid w:val="00E31DF3"/>
    <w:rsid w:val="00E46E3B"/>
    <w:rsid w:val="00E54223"/>
    <w:rsid w:val="00E56CC4"/>
    <w:rsid w:val="00E64304"/>
    <w:rsid w:val="00E85A8E"/>
    <w:rsid w:val="00E91591"/>
    <w:rsid w:val="00E920B9"/>
    <w:rsid w:val="00EB0E64"/>
    <w:rsid w:val="00EB367E"/>
    <w:rsid w:val="00EE594C"/>
    <w:rsid w:val="00EE620B"/>
    <w:rsid w:val="00EF1E58"/>
    <w:rsid w:val="00F003A3"/>
    <w:rsid w:val="00F33294"/>
    <w:rsid w:val="00F407FE"/>
    <w:rsid w:val="00F529FC"/>
    <w:rsid w:val="00F63FB2"/>
    <w:rsid w:val="00F70702"/>
    <w:rsid w:val="00F75DC4"/>
    <w:rsid w:val="00FB08A2"/>
    <w:rsid w:val="00FB42FB"/>
    <w:rsid w:val="00FC6DE4"/>
    <w:rsid w:val="00FE505C"/>
    <w:rsid w:val="00FF200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BFE9C"/>
  <w15:chartTrackingRefBased/>
  <w15:docId w15:val="{9BBAFA6F-BCF7-4E8F-B537-5308F6C4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8F66FE"/>
    <w:pPr>
      <w:keepNext/>
      <w:keepLines/>
      <w:spacing w:before="360" w:after="120" w:line="360" w:lineRule="auto"/>
      <w:jc w:val="both"/>
      <w:outlineLvl w:val="0"/>
    </w:pPr>
    <w:rPr>
      <w:rFonts w:ascii="Times New Roman" w:eastAsia="Times New Roman" w:hAnsi="Times New Roman" w:cstheme="majorBidi"/>
      <w:b/>
      <w:color w:val="0D0D0D" w:themeColor="text1" w:themeTint="F2"/>
      <w:sz w:val="28"/>
      <w:szCs w:val="32"/>
      <w:lang w:val="en-US"/>
    </w:rPr>
  </w:style>
  <w:style w:type="paragraph" w:styleId="Heading2">
    <w:name w:val="heading 2"/>
    <w:basedOn w:val="Normal"/>
    <w:next w:val="Normal"/>
    <w:link w:val="Heading2Char"/>
    <w:autoRedefine/>
    <w:uiPriority w:val="9"/>
    <w:unhideWhenUsed/>
    <w:qFormat/>
    <w:rsid w:val="008F66FE"/>
    <w:pPr>
      <w:keepNext/>
      <w:keepLines/>
      <w:spacing w:before="40" w:after="0" w:line="360" w:lineRule="auto"/>
      <w:jc w:val="both"/>
      <w:outlineLvl w:val="1"/>
    </w:pPr>
    <w:rPr>
      <w:rFonts w:ascii="Times New Roman" w:eastAsia="Times New Roman" w:hAnsi="Times New Roman" w:cstheme="majorBidi"/>
      <w:b/>
      <w:color w:val="0D0D0D" w:themeColor="text1" w:themeTint="F2"/>
      <w:sz w:val="26"/>
      <w:szCs w:val="26"/>
      <w:lang w:val="en-US"/>
    </w:rPr>
  </w:style>
  <w:style w:type="paragraph" w:styleId="Heading3">
    <w:name w:val="heading 3"/>
    <w:basedOn w:val="Normal"/>
    <w:next w:val="Normal"/>
    <w:link w:val="Heading3Char"/>
    <w:autoRedefine/>
    <w:uiPriority w:val="9"/>
    <w:unhideWhenUsed/>
    <w:qFormat/>
    <w:rsid w:val="008F66FE"/>
    <w:pPr>
      <w:keepNext/>
      <w:keepLines/>
      <w:spacing w:before="40" w:after="0" w:line="360" w:lineRule="auto"/>
      <w:jc w:val="both"/>
      <w:outlineLvl w:val="2"/>
    </w:pPr>
    <w:rPr>
      <w:rFonts w:ascii="Times New Roman" w:eastAsiaTheme="majorEastAsia" w:hAnsi="Times New Roman" w:cstheme="majorBidi"/>
      <w:b/>
      <w:i/>
      <w:color w:val="0D0D0D" w:themeColor="text1" w:themeTint="F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5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54D"/>
  </w:style>
  <w:style w:type="paragraph" w:styleId="Footer">
    <w:name w:val="footer"/>
    <w:basedOn w:val="Normal"/>
    <w:link w:val="FooterChar"/>
    <w:uiPriority w:val="99"/>
    <w:unhideWhenUsed/>
    <w:rsid w:val="001425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54D"/>
  </w:style>
  <w:style w:type="paragraph" w:styleId="ListParagraph">
    <w:name w:val="List Paragraph"/>
    <w:basedOn w:val="Normal"/>
    <w:uiPriority w:val="34"/>
    <w:qFormat/>
    <w:rsid w:val="00371DDC"/>
    <w:pPr>
      <w:ind w:left="720"/>
      <w:contextualSpacing/>
    </w:pPr>
  </w:style>
  <w:style w:type="character" w:customStyle="1" w:styleId="Heading1Char">
    <w:name w:val="Heading 1 Char"/>
    <w:basedOn w:val="DefaultParagraphFont"/>
    <w:link w:val="Heading1"/>
    <w:uiPriority w:val="9"/>
    <w:rsid w:val="008F66FE"/>
    <w:rPr>
      <w:rFonts w:ascii="Times New Roman" w:eastAsia="Times New Roman" w:hAnsi="Times New Roman" w:cstheme="majorBidi"/>
      <w:b/>
      <w:color w:val="0D0D0D" w:themeColor="text1" w:themeTint="F2"/>
      <w:sz w:val="28"/>
      <w:szCs w:val="32"/>
    </w:rPr>
  </w:style>
  <w:style w:type="paragraph" w:styleId="TOCHeading">
    <w:name w:val="TOC Heading"/>
    <w:basedOn w:val="Heading1"/>
    <w:next w:val="Normal"/>
    <w:uiPriority w:val="39"/>
    <w:unhideWhenUsed/>
    <w:qFormat/>
    <w:rsid w:val="005569B3"/>
    <w:pPr>
      <w:outlineLvl w:val="9"/>
    </w:pPr>
  </w:style>
  <w:style w:type="character" w:customStyle="1" w:styleId="Heading2Char">
    <w:name w:val="Heading 2 Char"/>
    <w:basedOn w:val="DefaultParagraphFont"/>
    <w:link w:val="Heading2"/>
    <w:uiPriority w:val="9"/>
    <w:rsid w:val="008F66FE"/>
    <w:rPr>
      <w:rFonts w:ascii="Times New Roman" w:eastAsia="Times New Roman" w:hAnsi="Times New Roman" w:cstheme="majorBidi"/>
      <w:b/>
      <w:color w:val="0D0D0D" w:themeColor="text1" w:themeTint="F2"/>
      <w:sz w:val="26"/>
      <w:szCs w:val="26"/>
    </w:rPr>
  </w:style>
  <w:style w:type="paragraph" w:styleId="TOC1">
    <w:name w:val="toc 1"/>
    <w:basedOn w:val="Normal"/>
    <w:next w:val="Normal"/>
    <w:autoRedefine/>
    <w:uiPriority w:val="39"/>
    <w:unhideWhenUsed/>
    <w:rsid w:val="0065494F"/>
    <w:pPr>
      <w:spacing w:after="100"/>
    </w:pPr>
  </w:style>
  <w:style w:type="paragraph" w:styleId="TOC2">
    <w:name w:val="toc 2"/>
    <w:basedOn w:val="Normal"/>
    <w:next w:val="Normal"/>
    <w:autoRedefine/>
    <w:uiPriority w:val="39"/>
    <w:unhideWhenUsed/>
    <w:rsid w:val="0065494F"/>
    <w:pPr>
      <w:spacing w:after="100"/>
      <w:ind w:left="220"/>
    </w:pPr>
  </w:style>
  <w:style w:type="character" w:styleId="Hyperlink">
    <w:name w:val="Hyperlink"/>
    <w:basedOn w:val="DefaultParagraphFont"/>
    <w:uiPriority w:val="99"/>
    <w:unhideWhenUsed/>
    <w:rsid w:val="0065494F"/>
    <w:rPr>
      <w:color w:val="0563C1" w:themeColor="hyperlink"/>
      <w:u w:val="single"/>
    </w:rPr>
  </w:style>
  <w:style w:type="character" w:customStyle="1" w:styleId="Heading3Char">
    <w:name w:val="Heading 3 Char"/>
    <w:basedOn w:val="DefaultParagraphFont"/>
    <w:link w:val="Heading3"/>
    <w:uiPriority w:val="9"/>
    <w:rsid w:val="008F66FE"/>
    <w:rPr>
      <w:rFonts w:ascii="Times New Roman" w:eastAsiaTheme="majorEastAsia" w:hAnsi="Times New Roman" w:cstheme="majorBidi"/>
      <w:b/>
      <w:i/>
      <w:color w:val="0D0D0D" w:themeColor="text1" w:themeTint="F2"/>
      <w:sz w:val="24"/>
      <w:szCs w:val="24"/>
      <w:lang w:val="en-GB"/>
    </w:rPr>
  </w:style>
  <w:style w:type="paragraph" w:styleId="TOC3">
    <w:name w:val="toc 3"/>
    <w:basedOn w:val="Normal"/>
    <w:next w:val="Normal"/>
    <w:autoRedefine/>
    <w:uiPriority w:val="39"/>
    <w:unhideWhenUsed/>
    <w:rsid w:val="003E1B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3380">
      <w:bodyDiv w:val="1"/>
      <w:marLeft w:val="0"/>
      <w:marRight w:val="0"/>
      <w:marTop w:val="0"/>
      <w:marBottom w:val="0"/>
      <w:divBdr>
        <w:top w:val="none" w:sz="0" w:space="0" w:color="auto"/>
        <w:left w:val="none" w:sz="0" w:space="0" w:color="auto"/>
        <w:bottom w:val="none" w:sz="0" w:space="0" w:color="auto"/>
        <w:right w:val="none" w:sz="0" w:space="0" w:color="auto"/>
      </w:divBdr>
    </w:div>
    <w:div w:id="90708403">
      <w:bodyDiv w:val="1"/>
      <w:marLeft w:val="0"/>
      <w:marRight w:val="0"/>
      <w:marTop w:val="0"/>
      <w:marBottom w:val="0"/>
      <w:divBdr>
        <w:top w:val="none" w:sz="0" w:space="0" w:color="auto"/>
        <w:left w:val="none" w:sz="0" w:space="0" w:color="auto"/>
        <w:bottom w:val="none" w:sz="0" w:space="0" w:color="auto"/>
        <w:right w:val="none" w:sz="0" w:space="0" w:color="auto"/>
      </w:divBdr>
    </w:div>
    <w:div w:id="937447171">
      <w:bodyDiv w:val="1"/>
      <w:marLeft w:val="0"/>
      <w:marRight w:val="0"/>
      <w:marTop w:val="0"/>
      <w:marBottom w:val="0"/>
      <w:divBdr>
        <w:top w:val="none" w:sz="0" w:space="0" w:color="auto"/>
        <w:left w:val="none" w:sz="0" w:space="0" w:color="auto"/>
        <w:bottom w:val="none" w:sz="0" w:space="0" w:color="auto"/>
        <w:right w:val="none" w:sz="0" w:space="0" w:color="auto"/>
      </w:divBdr>
    </w:div>
    <w:div w:id="1371687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3/33/contents/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me.barclays/content/dam/home-barclays/documents/investor-relations/reports-and-events/annual-reports/2022/AR/Barclays-PLC-Annual-Report-2022.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ome.barclays/content/dam/home-barclays/documents/investor-relations/fixed-income-investors/2023/230405-Fitch-BPLC-Credit-Opinion.pdf" TargetMode="External"/><Relationship Id="rId4" Type="http://schemas.openxmlformats.org/officeDocument/2006/relationships/webSettings" Target="webSettings.xml"/><Relationship Id="rId9" Type="http://schemas.openxmlformats.org/officeDocument/2006/relationships/hyperlink" Target="https://www.bankofengland.co.uk/statistics/banking-sector-regulatory-capital/2022/2022-q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24</Pages>
  <Words>7411</Words>
  <Characters>42249</Characters>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2023-07-06T14:14:00Z</dcterms:created>
  <dcterms:modified xsi:type="dcterms:W3CDTF">2023-08-21T04:37:00Z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927ed8288922bebb5072ff27df88aed3c33a227718434321dcb076a6a2b03333</vt:lpwstr>
  </property>
</Properties>
</file>