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47ED639" w14:textId="21FCA623" w:rsidR="004E2304" w:rsidRDefault="005715AD" w:rsidP="00907ECE">
      <w:pPr>
        <w:ind w:left="720" w:firstLine="720"/>
        <w:rPr>
          <w:rFonts w:ascii="Times New Roman" w:eastAsia="Times New Roman" w:hAnsi="Times New Roman" w:cs="Times New Roman"/>
          <w:b/>
          <w:sz w:val="24"/>
          <w:szCs w:val="24"/>
        </w:rPr>
      </w:pPr>
      <w:r>
        <w:rPr>
          <w:noProof/>
        </w:rPr>
        <w:drawing>
          <wp:inline distT="0" distB="0" distL="0" distR="0" wp14:anchorId="747E4103" wp14:editId="2A91138E">
            <wp:extent cx="3784127" cy="1257143"/>
            <wp:effectExtent l="0" t="0" r="6985" b="635"/>
            <wp:docPr id="3" name="Picture 3" descr="A black background with a black squa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background with a black square&#10;&#10;Description automatically generated with medium confidence"/>
                    <pic:cNvPicPr/>
                  </pic:nvPicPr>
                  <pic:blipFill>
                    <a:blip r:embed="rId6">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p w14:paraId="30ECFE95" w14:textId="77777777" w:rsidR="004E2304" w:rsidRDefault="00EE5CC0">
      <w:pPr>
        <w:spacing w:before="240" w:after="240"/>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tbl>
      <w:tblPr>
        <w:tblStyle w:val="a"/>
        <w:tblW w:w="9363" w:type="dxa"/>
        <w:tblBorders>
          <w:top w:val="nil"/>
          <w:left w:val="nil"/>
          <w:bottom w:val="nil"/>
          <w:right w:val="nil"/>
          <w:insideH w:val="nil"/>
          <w:insideV w:val="nil"/>
        </w:tblBorders>
        <w:tblLayout w:type="fixed"/>
        <w:tblLook w:val="0600" w:firstRow="0" w:lastRow="0" w:firstColumn="0" w:lastColumn="0" w:noHBand="1" w:noVBand="1"/>
      </w:tblPr>
      <w:tblGrid>
        <w:gridCol w:w="9363"/>
      </w:tblGrid>
      <w:tr w:rsidR="004E2304" w14:paraId="10F37D48" w14:textId="77777777" w:rsidTr="00907ECE">
        <w:trPr>
          <w:trHeight w:val="705"/>
        </w:trPr>
        <w:tc>
          <w:tcPr>
            <w:tcW w:w="9363" w:type="dxa"/>
            <w:tcBorders>
              <w:top w:val="single" w:sz="5" w:space="0" w:color="000000"/>
              <w:left w:val="single" w:sz="5" w:space="0" w:color="000000"/>
              <w:bottom w:val="single" w:sz="5" w:space="0" w:color="000000"/>
              <w:right w:val="single" w:sz="5" w:space="0" w:color="000000"/>
            </w:tcBorders>
            <w:tcMar>
              <w:top w:w="0" w:type="dxa"/>
              <w:left w:w="100" w:type="dxa"/>
              <w:bottom w:w="0" w:type="dxa"/>
              <w:right w:w="100" w:type="dxa"/>
            </w:tcMar>
          </w:tcPr>
          <w:p w14:paraId="0EEF649C" w14:textId="77777777" w:rsidR="004E2304" w:rsidRDefault="00EE5CC0">
            <w:pPr>
              <w:pStyle w:val="Heading4"/>
              <w:keepNext w:val="0"/>
              <w:keepLines w:val="0"/>
              <w:spacing w:before="240" w:after="40"/>
              <w:ind w:left="400"/>
              <w:rPr>
                <w:rFonts w:ascii="Times New Roman" w:eastAsia="Times New Roman" w:hAnsi="Times New Roman" w:cs="Times New Roman"/>
                <w:b/>
                <w:color w:val="000000"/>
                <w:sz w:val="22"/>
                <w:szCs w:val="22"/>
              </w:rPr>
            </w:pPr>
            <w:bookmarkStart w:id="0" w:name="_9bf20ui6gukl" w:colFirst="0" w:colLast="0"/>
            <w:bookmarkEnd w:id="0"/>
            <w:r>
              <w:rPr>
                <w:rFonts w:ascii="Times New Roman" w:eastAsia="Times New Roman" w:hAnsi="Times New Roman" w:cs="Times New Roman"/>
                <w:b/>
                <w:color w:val="000000"/>
                <w:sz w:val="22"/>
                <w:szCs w:val="22"/>
              </w:rPr>
              <w:t>LEVEL 5 ASSESSMENT SPECIFICATION</w:t>
            </w:r>
          </w:p>
        </w:tc>
      </w:tr>
    </w:tbl>
    <w:p w14:paraId="6819E701" w14:textId="77777777" w:rsidR="004E2304" w:rsidRDefault="00EE5CC0">
      <w:pPr>
        <w:spacing w:before="240" w:after="240"/>
        <w:jc w:val="center"/>
        <w:rPr>
          <w:rFonts w:ascii="Times New Roman" w:eastAsia="Times New Roman" w:hAnsi="Times New Roman" w:cs="Times New Roman"/>
          <w:b/>
          <w:i/>
          <w:sz w:val="32"/>
          <w:szCs w:val="32"/>
        </w:rPr>
      </w:pPr>
      <w:r>
        <w:rPr>
          <w:rFonts w:ascii="Times New Roman" w:eastAsia="Times New Roman" w:hAnsi="Times New Roman" w:cs="Times New Roman"/>
          <w:b/>
          <w:i/>
          <w:sz w:val="32"/>
          <w:szCs w:val="32"/>
        </w:rPr>
        <w:t xml:space="preserve"> </w:t>
      </w:r>
    </w:p>
    <w:tbl>
      <w:tblPr>
        <w:tblStyle w:val="a0"/>
        <w:tblW w:w="9360" w:type="dxa"/>
        <w:tblBorders>
          <w:top w:val="nil"/>
          <w:left w:val="nil"/>
          <w:bottom w:val="nil"/>
          <w:right w:val="nil"/>
          <w:insideH w:val="nil"/>
          <w:insideV w:val="nil"/>
        </w:tblBorders>
        <w:tblLayout w:type="fixed"/>
        <w:tblLook w:val="0600" w:firstRow="0" w:lastRow="0" w:firstColumn="0" w:lastColumn="0" w:noHBand="1" w:noVBand="1"/>
      </w:tblPr>
      <w:tblGrid>
        <w:gridCol w:w="2040"/>
        <w:gridCol w:w="3002"/>
        <w:gridCol w:w="2180"/>
        <w:gridCol w:w="2138"/>
      </w:tblGrid>
      <w:tr w:rsidR="004E2304" w14:paraId="10D0BF84" w14:textId="77777777">
        <w:trPr>
          <w:trHeight w:val="1125"/>
        </w:trPr>
        <w:tc>
          <w:tcPr>
            <w:tcW w:w="2039" w:type="dxa"/>
            <w:tcBorders>
              <w:top w:val="single" w:sz="5" w:space="0" w:color="000000"/>
              <w:left w:val="single" w:sz="5" w:space="0" w:color="000000"/>
              <w:bottom w:val="single" w:sz="5" w:space="0" w:color="000000"/>
              <w:right w:val="single" w:sz="5" w:space="0" w:color="000000"/>
            </w:tcBorders>
            <w:shd w:val="clear" w:color="auto" w:fill="D9D9D9"/>
            <w:tcMar>
              <w:top w:w="0" w:type="dxa"/>
              <w:left w:w="100" w:type="dxa"/>
              <w:bottom w:w="0" w:type="dxa"/>
              <w:right w:w="100" w:type="dxa"/>
            </w:tcMar>
          </w:tcPr>
          <w:p w14:paraId="44C005E0"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Student name:</w:t>
            </w:r>
          </w:p>
        </w:tc>
        <w:tc>
          <w:tcPr>
            <w:tcW w:w="3001"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15AE4D86" w14:textId="77777777" w:rsidR="004E2304" w:rsidRDefault="00EE5CC0">
            <w:pPr>
              <w:spacing w:before="120" w:after="120"/>
              <w:ind w:left="400"/>
              <w:rPr>
                <w:rFonts w:ascii="Times New Roman" w:eastAsia="Times New Roman" w:hAnsi="Times New Roman" w:cs="Times New Roman"/>
                <w:b/>
              </w:rPr>
            </w:pPr>
            <w:r>
              <w:rPr>
                <w:rFonts w:ascii="Times New Roman" w:eastAsia="Times New Roman" w:hAnsi="Times New Roman" w:cs="Times New Roman"/>
                <w:b/>
              </w:rPr>
              <w:t xml:space="preserve">     Muhammad Irfaan Bin Razak</w:t>
            </w:r>
          </w:p>
        </w:tc>
        <w:tc>
          <w:tcPr>
            <w:tcW w:w="2180" w:type="dxa"/>
            <w:tcBorders>
              <w:top w:val="single" w:sz="5" w:space="0" w:color="000000"/>
              <w:left w:val="nil"/>
              <w:bottom w:val="single" w:sz="5" w:space="0" w:color="000000"/>
              <w:right w:val="single" w:sz="5" w:space="0" w:color="000000"/>
            </w:tcBorders>
            <w:shd w:val="clear" w:color="auto" w:fill="D9D9D9"/>
            <w:tcMar>
              <w:top w:w="0" w:type="dxa"/>
              <w:left w:w="100" w:type="dxa"/>
              <w:bottom w:w="0" w:type="dxa"/>
              <w:right w:w="100" w:type="dxa"/>
            </w:tcMar>
          </w:tcPr>
          <w:p w14:paraId="5AE0DDC7"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Student ID number:</w:t>
            </w:r>
          </w:p>
        </w:tc>
        <w:tc>
          <w:tcPr>
            <w:tcW w:w="2138" w:type="dxa"/>
            <w:tcBorders>
              <w:top w:val="single" w:sz="5" w:space="0" w:color="000000"/>
              <w:left w:val="nil"/>
              <w:bottom w:val="single" w:sz="5" w:space="0" w:color="000000"/>
              <w:right w:val="single" w:sz="5" w:space="0" w:color="000000"/>
            </w:tcBorders>
            <w:tcMar>
              <w:top w:w="0" w:type="dxa"/>
              <w:left w:w="100" w:type="dxa"/>
              <w:bottom w:w="0" w:type="dxa"/>
              <w:right w:w="100" w:type="dxa"/>
            </w:tcMar>
          </w:tcPr>
          <w:p w14:paraId="7FA8FBCC"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2227187</w:t>
            </w:r>
          </w:p>
        </w:tc>
      </w:tr>
      <w:tr w:rsidR="004E2304" w14:paraId="7556672F" w14:textId="77777777">
        <w:trPr>
          <w:trHeight w:val="690"/>
        </w:trPr>
        <w:tc>
          <w:tcPr>
            <w:tcW w:w="2039" w:type="dxa"/>
            <w:tcBorders>
              <w:top w:val="nil"/>
              <w:left w:val="single" w:sz="5" w:space="0" w:color="000000"/>
              <w:bottom w:val="single" w:sz="5" w:space="0" w:color="000000"/>
              <w:right w:val="single" w:sz="5" w:space="0" w:color="000000"/>
            </w:tcBorders>
            <w:shd w:val="clear" w:color="auto" w:fill="D9D9D9"/>
            <w:tcMar>
              <w:top w:w="0" w:type="dxa"/>
              <w:left w:w="100" w:type="dxa"/>
              <w:bottom w:w="0" w:type="dxa"/>
              <w:right w:w="100" w:type="dxa"/>
            </w:tcMar>
          </w:tcPr>
          <w:p w14:paraId="334FEEEA"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Programme:</w:t>
            </w:r>
          </w:p>
        </w:tc>
        <w:tc>
          <w:tcPr>
            <w:tcW w:w="7319" w:type="dxa"/>
            <w:gridSpan w:val="3"/>
            <w:tcBorders>
              <w:top w:val="nil"/>
              <w:left w:val="nil"/>
              <w:bottom w:val="single" w:sz="5" w:space="0" w:color="000000"/>
              <w:right w:val="single" w:sz="5" w:space="0" w:color="000000"/>
            </w:tcBorders>
            <w:tcMar>
              <w:top w:w="0" w:type="dxa"/>
              <w:left w:w="100" w:type="dxa"/>
              <w:bottom w:w="0" w:type="dxa"/>
              <w:right w:w="100" w:type="dxa"/>
            </w:tcMar>
          </w:tcPr>
          <w:p w14:paraId="1C8D572F"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IUMW Business Administration (Dual Award)</w:t>
            </w:r>
          </w:p>
        </w:tc>
      </w:tr>
      <w:tr w:rsidR="004E2304" w14:paraId="5A4B2842" w14:textId="77777777">
        <w:trPr>
          <w:trHeight w:val="690"/>
        </w:trPr>
        <w:tc>
          <w:tcPr>
            <w:tcW w:w="2039" w:type="dxa"/>
            <w:tcBorders>
              <w:top w:val="nil"/>
              <w:left w:val="single" w:sz="5" w:space="0" w:color="000000"/>
              <w:bottom w:val="single" w:sz="5" w:space="0" w:color="000000"/>
              <w:right w:val="single" w:sz="5" w:space="0" w:color="000000"/>
            </w:tcBorders>
            <w:shd w:val="clear" w:color="auto" w:fill="D9D9D9"/>
            <w:tcMar>
              <w:top w:w="0" w:type="dxa"/>
              <w:left w:w="100" w:type="dxa"/>
              <w:bottom w:w="0" w:type="dxa"/>
              <w:right w:w="100" w:type="dxa"/>
            </w:tcMar>
          </w:tcPr>
          <w:p w14:paraId="0EC1705C"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Module:</w:t>
            </w:r>
          </w:p>
        </w:tc>
        <w:tc>
          <w:tcPr>
            <w:tcW w:w="7319" w:type="dxa"/>
            <w:gridSpan w:val="3"/>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2E003DAF"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Changemakers: Creativity and Value Creation</w:t>
            </w:r>
          </w:p>
        </w:tc>
      </w:tr>
      <w:tr w:rsidR="004E2304" w14:paraId="1BF86D4F" w14:textId="77777777">
        <w:trPr>
          <w:trHeight w:val="1635"/>
        </w:trPr>
        <w:tc>
          <w:tcPr>
            <w:tcW w:w="2039" w:type="dxa"/>
            <w:tcBorders>
              <w:top w:val="nil"/>
              <w:left w:val="single" w:sz="5" w:space="0" w:color="000000"/>
              <w:bottom w:val="single" w:sz="5" w:space="0" w:color="000000"/>
              <w:right w:val="single" w:sz="5" w:space="0" w:color="000000"/>
            </w:tcBorders>
            <w:shd w:val="clear" w:color="auto" w:fill="D9D9D9"/>
            <w:tcMar>
              <w:top w:w="0" w:type="dxa"/>
              <w:left w:w="100" w:type="dxa"/>
              <w:bottom w:w="0" w:type="dxa"/>
              <w:right w:w="100" w:type="dxa"/>
            </w:tcMar>
          </w:tcPr>
          <w:p w14:paraId="105442F9"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Module code:</w:t>
            </w:r>
          </w:p>
        </w:tc>
        <w:tc>
          <w:tcPr>
            <w:tcW w:w="300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B99F984"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IUBA5002</w:t>
            </w:r>
          </w:p>
        </w:tc>
        <w:tc>
          <w:tcPr>
            <w:tcW w:w="2180" w:type="dxa"/>
            <w:tcBorders>
              <w:top w:val="nil"/>
              <w:left w:val="nil"/>
              <w:bottom w:val="single" w:sz="5" w:space="0" w:color="000000"/>
              <w:right w:val="single" w:sz="5" w:space="0" w:color="000000"/>
            </w:tcBorders>
            <w:shd w:val="clear" w:color="auto" w:fill="D9D9D9"/>
            <w:tcMar>
              <w:top w:w="0" w:type="dxa"/>
              <w:left w:w="100" w:type="dxa"/>
              <w:bottom w:w="0" w:type="dxa"/>
              <w:right w:w="100" w:type="dxa"/>
            </w:tcMar>
          </w:tcPr>
          <w:p w14:paraId="2D05F321" w14:textId="77777777" w:rsidR="004E2304" w:rsidRDefault="00EE5CC0">
            <w:pPr>
              <w:pStyle w:val="Heading2"/>
              <w:keepNext w:val="0"/>
              <w:keepLines w:val="0"/>
              <w:spacing w:after="80"/>
              <w:ind w:left="400"/>
              <w:rPr>
                <w:rFonts w:ascii="Times New Roman" w:eastAsia="Times New Roman" w:hAnsi="Times New Roman" w:cs="Times New Roman"/>
                <w:b/>
                <w:sz w:val="22"/>
                <w:szCs w:val="22"/>
              </w:rPr>
            </w:pPr>
            <w:bookmarkStart w:id="1" w:name="_y39shg4n9a0r" w:colFirst="0" w:colLast="0"/>
            <w:bookmarkEnd w:id="1"/>
            <w:r>
              <w:rPr>
                <w:rFonts w:ascii="Times New Roman" w:eastAsia="Times New Roman" w:hAnsi="Times New Roman" w:cs="Times New Roman"/>
                <w:b/>
                <w:sz w:val="22"/>
                <w:szCs w:val="22"/>
              </w:rPr>
              <w:t>Contribution to Overall Module Assessment (%):</w:t>
            </w:r>
          </w:p>
        </w:tc>
        <w:tc>
          <w:tcPr>
            <w:tcW w:w="2138"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584CF8FA"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50%</w:t>
            </w:r>
          </w:p>
        </w:tc>
      </w:tr>
      <w:tr w:rsidR="004E2304" w14:paraId="43D329BC" w14:textId="77777777">
        <w:trPr>
          <w:trHeight w:val="690"/>
        </w:trPr>
        <w:tc>
          <w:tcPr>
            <w:tcW w:w="2039" w:type="dxa"/>
            <w:tcBorders>
              <w:top w:val="nil"/>
              <w:left w:val="single" w:sz="5" w:space="0" w:color="000000"/>
              <w:bottom w:val="single" w:sz="5" w:space="0" w:color="000000"/>
              <w:right w:val="single" w:sz="5" w:space="0" w:color="000000"/>
            </w:tcBorders>
            <w:shd w:val="clear" w:color="auto" w:fill="D9D9D9"/>
            <w:tcMar>
              <w:top w:w="0" w:type="dxa"/>
              <w:left w:w="100" w:type="dxa"/>
              <w:bottom w:w="0" w:type="dxa"/>
              <w:right w:w="100" w:type="dxa"/>
            </w:tcMar>
          </w:tcPr>
          <w:p w14:paraId="2486250D"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Lecturer:</w:t>
            </w:r>
          </w:p>
        </w:tc>
        <w:tc>
          <w:tcPr>
            <w:tcW w:w="300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494823C9"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Emma Roberts</w:t>
            </w:r>
          </w:p>
        </w:tc>
        <w:tc>
          <w:tcPr>
            <w:tcW w:w="2180" w:type="dxa"/>
            <w:tcBorders>
              <w:top w:val="nil"/>
              <w:left w:val="nil"/>
              <w:bottom w:val="single" w:sz="5" w:space="0" w:color="000000"/>
              <w:right w:val="single" w:sz="5" w:space="0" w:color="000000"/>
            </w:tcBorders>
            <w:shd w:val="clear" w:color="auto" w:fill="D9D9D9"/>
            <w:tcMar>
              <w:top w:w="0" w:type="dxa"/>
              <w:left w:w="100" w:type="dxa"/>
              <w:bottom w:w="0" w:type="dxa"/>
              <w:right w:w="100" w:type="dxa"/>
            </w:tcMar>
          </w:tcPr>
          <w:p w14:paraId="6F91BB78"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Internal Verifier:</w:t>
            </w:r>
          </w:p>
        </w:tc>
        <w:tc>
          <w:tcPr>
            <w:tcW w:w="2138"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44D1E88C"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Vic Saunders</w:t>
            </w:r>
          </w:p>
        </w:tc>
      </w:tr>
      <w:tr w:rsidR="004E2304" w14:paraId="5B0C7470" w14:textId="77777777">
        <w:trPr>
          <w:trHeight w:val="1125"/>
        </w:trPr>
        <w:tc>
          <w:tcPr>
            <w:tcW w:w="2039" w:type="dxa"/>
            <w:tcBorders>
              <w:top w:val="nil"/>
              <w:left w:val="single" w:sz="5" w:space="0" w:color="000000"/>
              <w:bottom w:val="single" w:sz="5" w:space="0" w:color="000000"/>
              <w:right w:val="single" w:sz="5" w:space="0" w:color="000000"/>
            </w:tcBorders>
            <w:shd w:val="clear" w:color="auto" w:fill="D9D9D9"/>
            <w:tcMar>
              <w:top w:w="0" w:type="dxa"/>
              <w:left w:w="100" w:type="dxa"/>
              <w:bottom w:w="0" w:type="dxa"/>
              <w:right w:w="100" w:type="dxa"/>
            </w:tcMar>
          </w:tcPr>
          <w:p w14:paraId="16F4FA33"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Assignment Title:</w:t>
            </w:r>
          </w:p>
        </w:tc>
        <w:tc>
          <w:tcPr>
            <w:tcW w:w="300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4F2F3564"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E-Portfolio Evidence of Learning</w:t>
            </w:r>
          </w:p>
        </w:tc>
        <w:tc>
          <w:tcPr>
            <w:tcW w:w="2180" w:type="dxa"/>
            <w:tcBorders>
              <w:top w:val="nil"/>
              <w:left w:val="nil"/>
              <w:bottom w:val="single" w:sz="5" w:space="0" w:color="000000"/>
              <w:right w:val="single" w:sz="5" w:space="0" w:color="000000"/>
            </w:tcBorders>
            <w:shd w:val="clear" w:color="auto" w:fill="D9D9D9"/>
            <w:tcMar>
              <w:top w:w="0" w:type="dxa"/>
              <w:left w:w="100" w:type="dxa"/>
              <w:bottom w:w="0" w:type="dxa"/>
              <w:right w:w="100" w:type="dxa"/>
            </w:tcMar>
          </w:tcPr>
          <w:p w14:paraId="61202660"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Word count (or equivalent):</w:t>
            </w:r>
          </w:p>
        </w:tc>
        <w:tc>
          <w:tcPr>
            <w:tcW w:w="2138"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296D240B"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2000 words or equivalent</w:t>
            </w:r>
          </w:p>
        </w:tc>
      </w:tr>
      <w:tr w:rsidR="004E2304" w14:paraId="36A67853" w14:textId="77777777">
        <w:trPr>
          <w:trHeight w:val="1575"/>
        </w:trPr>
        <w:tc>
          <w:tcPr>
            <w:tcW w:w="2039" w:type="dxa"/>
            <w:tcBorders>
              <w:top w:val="nil"/>
              <w:left w:val="single" w:sz="5" w:space="0" w:color="000000"/>
              <w:bottom w:val="single" w:sz="5" w:space="0" w:color="000000"/>
              <w:right w:val="single" w:sz="5" w:space="0" w:color="000000"/>
            </w:tcBorders>
            <w:shd w:val="clear" w:color="auto" w:fill="D9D9D9"/>
            <w:tcMar>
              <w:top w:w="0" w:type="dxa"/>
              <w:left w:w="100" w:type="dxa"/>
              <w:bottom w:w="0" w:type="dxa"/>
              <w:right w:w="100" w:type="dxa"/>
            </w:tcMar>
          </w:tcPr>
          <w:p w14:paraId="07DBE09B"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Submission deadline:</w:t>
            </w:r>
          </w:p>
        </w:tc>
        <w:tc>
          <w:tcPr>
            <w:tcW w:w="3001"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19444DB6"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30</w:t>
            </w:r>
            <w:r>
              <w:rPr>
                <w:rFonts w:ascii="Times New Roman" w:eastAsia="Times New Roman" w:hAnsi="Times New Roman" w:cs="Times New Roman"/>
                <w:b/>
                <w:vertAlign w:val="superscript"/>
              </w:rPr>
              <w:t>th</w:t>
            </w:r>
            <w:r>
              <w:rPr>
                <w:rFonts w:ascii="Times New Roman" w:eastAsia="Times New Roman" w:hAnsi="Times New Roman" w:cs="Times New Roman"/>
                <w:b/>
              </w:rPr>
              <w:t xml:space="preserve"> July 2024</w:t>
            </w:r>
          </w:p>
        </w:tc>
        <w:tc>
          <w:tcPr>
            <w:tcW w:w="2180" w:type="dxa"/>
            <w:tcBorders>
              <w:top w:val="nil"/>
              <w:left w:val="nil"/>
              <w:bottom w:val="single" w:sz="5" w:space="0" w:color="000000"/>
              <w:right w:val="single" w:sz="5" w:space="0" w:color="000000"/>
            </w:tcBorders>
            <w:shd w:val="clear" w:color="auto" w:fill="D9D9D9"/>
            <w:tcMar>
              <w:top w:w="0" w:type="dxa"/>
              <w:left w:w="100" w:type="dxa"/>
              <w:bottom w:w="0" w:type="dxa"/>
              <w:right w:w="100" w:type="dxa"/>
            </w:tcMar>
          </w:tcPr>
          <w:p w14:paraId="6C6609D1"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Return date of provisional marks &amp; written feedback:</w:t>
            </w:r>
          </w:p>
        </w:tc>
        <w:tc>
          <w:tcPr>
            <w:tcW w:w="2138" w:type="dxa"/>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21939ACD"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50%</w:t>
            </w:r>
          </w:p>
        </w:tc>
      </w:tr>
      <w:tr w:rsidR="004E2304" w14:paraId="46A1A446" w14:textId="77777777">
        <w:trPr>
          <w:trHeight w:val="6450"/>
        </w:trPr>
        <w:tc>
          <w:tcPr>
            <w:tcW w:w="2039" w:type="dxa"/>
            <w:tcBorders>
              <w:top w:val="nil"/>
              <w:left w:val="single" w:sz="5" w:space="0" w:color="000000"/>
              <w:bottom w:val="single" w:sz="5" w:space="0" w:color="000000"/>
              <w:right w:val="single" w:sz="5" w:space="0" w:color="000000"/>
            </w:tcBorders>
            <w:shd w:val="clear" w:color="auto" w:fill="D9D9D9"/>
            <w:tcMar>
              <w:top w:w="0" w:type="dxa"/>
              <w:left w:w="100" w:type="dxa"/>
              <w:bottom w:w="0" w:type="dxa"/>
              <w:right w:w="100" w:type="dxa"/>
            </w:tcMar>
          </w:tcPr>
          <w:p w14:paraId="2B62D76E"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lastRenderedPageBreak/>
              <w:t>Submission method:</w:t>
            </w:r>
          </w:p>
        </w:tc>
        <w:tc>
          <w:tcPr>
            <w:tcW w:w="7319" w:type="dxa"/>
            <w:gridSpan w:val="3"/>
            <w:tcBorders>
              <w:top w:val="nil"/>
              <w:left w:val="nil"/>
              <w:bottom w:val="single" w:sz="5" w:space="0" w:color="000000"/>
              <w:right w:val="single" w:sz="5" w:space="0" w:color="000000"/>
            </w:tcBorders>
            <w:shd w:val="clear" w:color="auto" w:fill="auto"/>
            <w:tcMar>
              <w:top w:w="0" w:type="dxa"/>
              <w:left w:w="100" w:type="dxa"/>
              <w:bottom w:w="0" w:type="dxa"/>
              <w:right w:w="100" w:type="dxa"/>
            </w:tcMar>
          </w:tcPr>
          <w:p w14:paraId="09EF512F" w14:textId="77777777" w:rsidR="004E2304" w:rsidRDefault="00EE5CC0">
            <w:pPr>
              <w:spacing w:before="240" w:after="240"/>
              <w:ind w:left="400"/>
              <w:rPr>
                <w:rFonts w:ascii="Times New Roman" w:eastAsia="Times New Roman" w:hAnsi="Times New Roman" w:cs="Times New Roman"/>
                <w:b/>
                <w:sz w:val="24"/>
                <w:szCs w:val="24"/>
              </w:rPr>
            </w:pPr>
            <w:r>
              <w:rPr>
                <w:rFonts w:ascii="Times New Roman" w:eastAsia="Times New Roman" w:hAnsi="Times New Roman" w:cs="Times New Roman"/>
                <w:b/>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D0A30B8"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Alternative submission method (if applicable):</w:t>
            </w:r>
          </w:p>
          <w:p w14:paraId="4AFBE8F8"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Late submission of the assessment will result in a late penalty mark:</w:t>
            </w:r>
          </w:p>
          <w:p w14:paraId="3D25620A"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Work which is submitted up to 1 week late will be capped at 40% for the first attempt and will be awarded a mark of 0% for re-assessment. Late submission penalties may be lifted only if there is an approved extenuating circumstances claim.</w:t>
            </w:r>
          </w:p>
          <w:p w14:paraId="5E2EDB58" w14:textId="77777777" w:rsidR="004E2304" w:rsidRDefault="00EE5CC0">
            <w:pPr>
              <w:spacing w:before="120" w:after="120"/>
              <w:ind w:left="400"/>
              <w:jc w:val="both"/>
              <w:rPr>
                <w:rFonts w:ascii="Times New Roman" w:eastAsia="Times New Roman" w:hAnsi="Times New Roman" w:cs="Times New Roman"/>
                <w:b/>
              </w:rPr>
            </w:pPr>
            <w:r>
              <w:rPr>
                <w:rFonts w:ascii="Times New Roman" w:eastAsia="Times New Roman" w:hAnsi="Times New Roman" w:cs="Times New Roman"/>
                <w:b/>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bl>
    <w:p w14:paraId="4227DB16" w14:textId="77777777" w:rsidR="004E2304" w:rsidRDefault="004E2304">
      <w:pPr>
        <w:rPr>
          <w:rFonts w:ascii="Times New Roman" w:eastAsia="Times New Roman" w:hAnsi="Times New Roman" w:cs="Times New Roman"/>
          <w:b/>
          <w:sz w:val="24"/>
          <w:szCs w:val="24"/>
        </w:rPr>
      </w:pPr>
    </w:p>
    <w:p w14:paraId="0E0CA3AD" w14:textId="77777777" w:rsidR="004E2304" w:rsidRDefault="004E2304">
      <w:pPr>
        <w:rPr>
          <w:rFonts w:ascii="Times New Roman" w:eastAsia="Times New Roman" w:hAnsi="Times New Roman" w:cs="Times New Roman"/>
          <w:b/>
          <w:sz w:val="24"/>
          <w:szCs w:val="24"/>
        </w:rPr>
      </w:pPr>
    </w:p>
    <w:p w14:paraId="15EFDEAB" w14:textId="77777777" w:rsidR="004E2304" w:rsidRDefault="004E2304">
      <w:pPr>
        <w:rPr>
          <w:rFonts w:ascii="Times New Roman" w:eastAsia="Times New Roman" w:hAnsi="Times New Roman" w:cs="Times New Roman"/>
          <w:b/>
          <w:sz w:val="24"/>
          <w:szCs w:val="24"/>
        </w:rPr>
      </w:pPr>
    </w:p>
    <w:p w14:paraId="2E3E1027" w14:textId="77777777" w:rsidR="004E2304" w:rsidRDefault="004E2304">
      <w:pPr>
        <w:rPr>
          <w:rFonts w:ascii="Times New Roman" w:eastAsia="Times New Roman" w:hAnsi="Times New Roman" w:cs="Times New Roman"/>
          <w:b/>
          <w:sz w:val="24"/>
          <w:szCs w:val="24"/>
        </w:rPr>
      </w:pPr>
    </w:p>
    <w:p w14:paraId="1DFE6D54" w14:textId="77777777" w:rsidR="004E2304" w:rsidRDefault="004E2304">
      <w:pPr>
        <w:rPr>
          <w:rFonts w:ascii="Times New Roman" w:eastAsia="Times New Roman" w:hAnsi="Times New Roman" w:cs="Times New Roman"/>
          <w:b/>
          <w:sz w:val="24"/>
          <w:szCs w:val="24"/>
        </w:rPr>
      </w:pPr>
    </w:p>
    <w:p w14:paraId="44B4FC18" w14:textId="77777777" w:rsidR="004E2304" w:rsidRDefault="004E2304">
      <w:pPr>
        <w:rPr>
          <w:rFonts w:ascii="Times New Roman" w:eastAsia="Times New Roman" w:hAnsi="Times New Roman" w:cs="Times New Roman"/>
          <w:b/>
          <w:sz w:val="24"/>
          <w:szCs w:val="24"/>
        </w:rPr>
      </w:pPr>
    </w:p>
    <w:p w14:paraId="6E37F09E" w14:textId="77777777" w:rsidR="004E2304" w:rsidRDefault="004E2304">
      <w:pPr>
        <w:rPr>
          <w:rFonts w:ascii="Times New Roman" w:eastAsia="Times New Roman" w:hAnsi="Times New Roman" w:cs="Times New Roman"/>
          <w:b/>
          <w:sz w:val="24"/>
          <w:szCs w:val="24"/>
        </w:rPr>
      </w:pPr>
    </w:p>
    <w:p w14:paraId="7316DDAC" w14:textId="77777777" w:rsidR="004E2304" w:rsidRDefault="004E2304">
      <w:pPr>
        <w:rPr>
          <w:rFonts w:ascii="Times New Roman" w:eastAsia="Times New Roman" w:hAnsi="Times New Roman" w:cs="Times New Roman"/>
          <w:b/>
          <w:sz w:val="24"/>
          <w:szCs w:val="24"/>
        </w:rPr>
      </w:pPr>
    </w:p>
    <w:p w14:paraId="4F430E7D" w14:textId="77777777" w:rsidR="004E2304" w:rsidRDefault="004E2304">
      <w:pPr>
        <w:rPr>
          <w:rFonts w:ascii="Times New Roman" w:eastAsia="Times New Roman" w:hAnsi="Times New Roman" w:cs="Times New Roman"/>
          <w:b/>
          <w:sz w:val="24"/>
          <w:szCs w:val="24"/>
        </w:rPr>
      </w:pPr>
    </w:p>
    <w:p w14:paraId="5A8FA6C1" w14:textId="77777777" w:rsidR="004E2304" w:rsidRDefault="004E2304">
      <w:pPr>
        <w:rPr>
          <w:rFonts w:ascii="Times New Roman" w:eastAsia="Times New Roman" w:hAnsi="Times New Roman" w:cs="Times New Roman"/>
          <w:b/>
          <w:sz w:val="24"/>
          <w:szCs w:val="24"/>
        </w:rPr>
      </w:pPr>
    </w:p>
    <w:p w14:paraId="53FD0FAE" w14:textId="77777777" w:rsidR="004E2304" w:rsidRDefault="004E2304">
      <w:pPr>
        <w:rPr>
          <w:rFonts w:ascii="Times New Roman" w:eastAsia="Times New Roman" w:hAnsi="Times New Roman" w:cs="Times New Roman"/>
          <w:b/>
          <w:sz w:val="24"/>
          <w:szCs w:val="24"/>
        </w:rPr>
      </w:pPr>
    </w:p>
    <w:p w14:paraId="2E4F70AF" w14:textId="77777777" w:rsidR="004E2304" w:rsidRDefault="004E2304">
      <w:pPr>
        <w:rPr>
          <w:rFonts w:ascii="Times New Roman" w:eastAsia="Times New Roman" w:hAnsi="Times New Roman" w:cs="Times New Roman"/>
          <w:b/>
          <w:sz w:val="24"/>
          <w:szCs w:val="24"/>
        </w:rPr>
      </w:pPr>
    </w:p>
    <w:p w14:paraId="38A2C7AF" w14:textId="77777777" w:rsidR="004E2304" w:rsidRDefault="004E2304">
      <w:pPr>
        <w:rPr>
          <w:rFonts w:ascii="Times New Roman" w:eastAsia="Times New Roman" w:hAnsi="Times New Roman" w:cs="Times New Roman"/>
          <w:b/>
          <w:sz w:val="24"/>
          <w:szCs w:val="24"/>
        </w:rPr>
      </w:pPr>
    </w:p>
    <w:p w14:paraId="57D363CF" w14:textId="77777777" w:rsidR="004E2304" w:rsidRDefault="004E2304">
      <w:pPr>
        <w:rPr>
          <w:rFonts w:ascii="Times New Roman" w:eastAsia="Times New Roman" w:hAnsi="Times New Roman" w:cs="Times New Roman"/>
          <w:b/>
          <w:sz w:val="24"/>
          <w:szCs w:val="24"/>
        </w:rPr>
      </w:pPr>
    </w:p>
    <w:p w14:paraId="63A8D0DE" w14:textId="77777777" w:rsidR="004E2304" w:rsidRDefault="004E2304">
      <w:pPr>
        <w:rPr>
          <w:rFonts w:ascii="Times New Roman" w:eastAsia="Times New Roman" w:hAnsi="Times New Roman" w:cs="Times New Roman"/>
          <w:b/>
          <w:sz w:val="24"/>
          <w:szCs w:val="24"/>
        </w:rPr>
      </w:pPr>
    </w:p>
    <w:p w14:paraId="5E61B83A" w14:textId="77777777" w:rsidR="004E2304" w:rsidRDefault="004E2304">
      <w:pPr>
        <w:rPr>
          <w:rFonts w:ascii="Times New Roman" w:eastAsia="Times New Roman" w:hAnsi="Times New Roman" w:cs="Times New Roman"/>
          <w:b/>
          <w:sz w:val="24"/>
          <w:szCs w:val="24"/>
        </w:rPr>
      </w:pPr>
    </w:p>
    <w:p w14:paraId="65E57245" w14:textId="77777777" w:rsidR="004E2304" w:rsidRDefault="004E2304">
      <w:pPr>
        <w:rPr>
          <w:rFonts w:ascii="Times New Roman" w:eastAsia="Times New Roman" w:hAnsi="Times New Roman" w:cs="Times New Roman"/>
          <w:b/>
          <w:sz w:val="24"/>
          <w:szCs w:val="24"/>
        </w:rPr>
      </w:pPr>
    </w:p>
    <w:p w14:paraId="2E5D9BCE" w14:textId="77777777" w:rsidR="004E2304" w:rsidRDefault="004E2304">
      <w:pPr>
        <w:rPr>
          <w:rFonts w:ascii="Times New Roman" w:eastAsia="Times New Roman" w:hAnsi="Times New Roman" w:cs="Times New Roman"/>
          <w:b/>
          <w:sz w:val="24"/>
          <w:szCs w:val="24"/>
        </w:rPr>
      </w:pPr>
    </w:p>
    <w:p w14:paraId="582F0666" w14:textId="77777777" w:rsidR="004E2304" w:rsidRDefault="004E2304">
      <w:pPr>
        <w:rPr>
          <w:rFonts w:ascii="Times New Roman" w:eastAsia="Times New Roman" w:hAnsi="Times New Roman" w:cs="Times New Roman"/>
          <w:b/>
          <w:sz w:val="24"/>
          <w:szCs w:val="24"/>
        </w:rPr>
      </w:pPr>
    </w:p>
    <w:p w14:paraId="1F156BB8" w14:textId="77777777" w:rsidR="004E2304" w:rsidRDefault="004E2304">
      <w:pPr>
        <w:rPr>
          <w:rFonts w:ascii="Times New Roman" w:eastAsia="Times New Roman" w:hAnsi="Times New Roman" w:cs="Times New Roman"/>
          <w:b/>
          <w:sz w:val="24"/>
          <w:szCs w:val="24"/>
        </w:rPr>
      </w:pPr>
    </w:p>
    <w:p w14:paraId="13D24491" w14:textId="4A10D601" w:rsidR="004E2304" w:rsidRDefault="0003319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Task-Formulate a Research Question</w:t>
      </w:r>
    </w:p>
    <w:p w14:paraId="049D3689" w14:textId="77777777" w:rsidR="004E2304" w:rsidRDefault="00EE5CC0">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t>1.0 Introduction</w:t>
      </w:r>
    </w:p>
    <w:p w14:paraId="1E41E0AA" w14:textId="77777777" w:rsidR="004E2304" w:rsidRDefault="004E2304">
      <w:pPr>
        <w:spacing w:line="360" w:lineRule="auto"/>
        <w:jc w:val="both"/>
        <w:rPr>
          <w:rFonts w:ascii="Times New Roman" w:eastAsia="Times New Roman" w:hAnsi="Times New Roman" w:cs="Times New Roman"/>
          <w:sz w:val="24"/>
          <w:szCs w:val="24"/>
        </w:rPr>
      </w:pPr>
    </w:p>
    <w:p w14:paraId="02DF44F7" w14:textId="77777777" w:rsidR="00B06F00" w:rsidRPr="00B06F00" w:rsidRDefault="00B06F00">
      <w:pPr>
        <w:spacing w:line="360" w:lineRule="auto"/>
        <w:jc w:val="both"/>
        <w:rPr>
          <w:rFonts w:ascii="Times New Roman" w:eastAsia="Times New Roman" w:hAnsi="Times New Roman" w:cs="Times New Roman"/>
          <w:bCs/>
          <w:sz w:val="24"/>
          <w:szCs w:val="24"/>
        </w:rPr>
      </w:pPr>
      <w:r w:rsidRPr="00B06F00">
        <w:rPr>
          <w:rFonts w:ascii="Times New Roman" w:eastAsia="Times New Roman" w:hAnsi="Times New Roman" w:cs="Times New Roman"/>
          <w:bCs/>
          <w:sz w:val="24"/>
          <w:szCs w:val="24"/>
        </w:rPr>
        <w:t>Good studying habits are strongly linked to higher education achievement. Although the value of hard study is generally accepted, there is still a rather limited understanding of the specific methods that students use, in particular within private universities. Many private universities are characterized by strong academic requirements and competition, which may trigger students to adapt different styles of studying. This research on how private college students approach their studies will be very instrumental in aiding educators, administrators, and policymakers to improve academic support services, optimize educational settings, and hence student outcomes.</w:t>
      </w:r>
    </w:p>
    <w:p w14:paraId="2B279584" w14:textId="27D0732D" w:rsidR="004E2304" w:rsidRDefault="00EE5CC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1.1 Background </w:t>
      </w:r>
      <w:r w:rsidR="00AD5274">
        <w:rPr>
          <w:rFonts w:ascii="Times New Roman" w:eastAsia="Times New Roman" w:hAnsi="Times New Roman" w:cs="Times New Roman"/>
          <w:b/>
          <w:sz w:val="24"/>
          <w:szCs w:val="24"/>
        </w:rPr>
        <w:t>of</w:t>
      </w:r>
      <w:r>
        <w:rPr>
          <w:rFonts w:ascii="Times New Roman" w:eastAsia="Times New Roman" w:hAnsi="Times New Roman" w:cs="Times New Roman"/>
          <w:b/>
          <w:sz w:val="24"/>
          <w:szCs w:val="24"/>
        </w:rPr>
        <w:t xml:space="preserve"> The Study</w:t>
      </w:r>
    </w:p>
    <w:p w14:paraId="289FB5E8" w14:textId="77777777" w:rsidR="004E2304" w:rsidRDefault="004E2304">
      <w:pPr>
        <w:jc w:val="both"/>
        <w:rPr>
          <w:rFonts w:ascii="Times New Roman" w:eastAsia="Times New Roman" w:hAnsi="Times New Roman" w:cs="Times New Roman"/>
          <w:b/>
          <w:sz w:val="24"/>
          <w:szCs w:val="24"/>
        </w:rPr>
      </w:pPr>
    </w:p>
    <w:p w14:paraId="633A3811" w14:textId="74253023" w:rsidR="004E2304" w:rsidRPr="00B06F00" w:rsidRDefault="00B06F00" w:rsidP="00B06F00">
      <w:pPr>
        <w:spacing w:line="360" w:lineRule="auto"/>
        <w:jc w:val="both"/>
        <w:rPr>
          <w:rFonts w:ascii="Times New Roman" w:eastAsia="Times New Roman" w:hAnsi="Times New Roman" w:cs="Times New Roman"/>
          <w:bCs/>
          <w:sz w:val="24"/>
          <w:szCs w:val="24"/>
        </w:rPr>
      </w:pPr>
      <w:r w:rsidRPr="00B06F00">
        <w:rPr>
          <w:rFonts w:ascii="Times New Roman" w:eastAsia="Times New Roman" w:hAnsi="Times New Roman" w:cs="Times New Roman"/>
          <w:bCs/>
          <w:sz w:val="24"/>
          <w:szCs w:val="24"/>
        </w:rPr>
        <w:t>Effective study habits are a critical element of academic success. Though there is much research done on a good many study strategy, very few of them have been solely focused on private university students. These universities are primarily marked by high academic rigor, so it would be assumed that the demographics and study strategies differ from other groups of students. Identifying these strategies is important in pinpointing areas where improvement can be made and targeting academic support services that would be effective in promoting student success. This paper fills this knowledge gap by specifically studying the students' learning habits at a private university. Thus, this project hopes to add to the growing body of literature about the creation of evidence-based solutions toward improved student learning and achievement by interrogating how study methods impact academic outcomes.</w:t>
      </w:r>
    </w:p>
    <w:p w14:paraId="4B85BEB0" w14:textId="77777777" w:rsidR="004E2304" w:rsidRDefault="004E2304">
      <w:pPr>
        <w:jc w:val="both"/>
        <w:rPr>
          <w:rFonts w:ascii="Times New Roman" w:eastAsia="Times New Roman" w:hAnsi="Times New Roman" w:cs="Times New Roman"/>
          <w:b/>
          <w:sz w:val="24"/>
          <w:szCs w:val="24"/>
        </w:rPr>
      </w:pPr>
    </w:p>
    <w:p w14:paraId="64F14FF6" w14:textId="77777777" w:rsidR="004E2304" w:rsidRDefault="004E2304">
      <w:pPr>
        <w:jc w:val="both"/>
        <w:rPr>
          <w:rFonts w:ascii="Times New Roman" w:eastAsia="Times New Roman" w:hAnsi="Times New Roman" w:cs="Times New Roman"/>
          <w:b/>
          <w:sz w:val="24"/>
          <w:szCs w:val="24"/>
        </w:rPr>
      </w:pPr>
    </w:p>
    <w:p w14:paraId="18956B08" w14:textId="77777777" w:rsidR="004E2304" w:rsidRDefault="004E2304">
      <w:pPr>
        <w:jc w:val="both"/>
        <w:rPr>
          <w:rFonts w:ascii="Times New Roman" w:eastAsia="Times New Roman" w:hAnsi="Times New Roman" w:cs="Times New Roman"/>
          <w:b/>
          <w:sz w:val="24"/>
          <w:szCs w:val="24"/>
        </w:rPr>
      </w:pPr>
    </w:p>
    <w:p w14:paraId="3737E381" w14:textId="77777777" w:rsidR="004E2304" w:rsidRDefault="00EE5CC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1.2 Problem Statement</w:t>
      </w:r>
    </w:p>
    <w:p w14:paraId="761F9E48" w14:textId="77777777" w:rsidR="004E2304" w:rsidRDefault="004E2304">
      <w:pPr>
        <w:jc w:val="both"/>
        <w:rPr>
          <w:rFonts w:ascii="Times New Roman" w:eastAsia="Times New Roman" w:hAnsi="Times New Roman" w:cs="Times New Roman"/>
          <w:b/>
          <w:sz w:val="24"/>
          <w:szCs w:val="24"/>
        </w:rPr>
      </w:pPr>
    </w:p>
    <w:p w14:paraId="75D353A9" w14:textId="77777777" w:rsidR="00B06F00" w:rsidRPr="00B06F00" w:rsidRDefault="00B06F00" w:rsidP="00B06F00">
      <w:pPr>
        <w:spacing w:line="360" w:lineRule="auto"/>
        <w:jc w:val="both"/>
        <w:rPr>
          <w:rFonts w:ascii="Times New Roman" w:eastAsia="Times New Roman" w:hAnsi="Times New Roman" w:cs="Times New Roman"/>
          <w:bCs/>
          <w:sz w:val="24"/>
          <w:szCs w:val="24"/>
        </w:rPr>
      </w:pPr>
      <w:r w:rsidRPr="00B06F00">
        <w:rPr>
          <w:rFonts w:ascii="Times New Roman" w:eastAsia="Times New Roman" w:hAnsi="Times New Roman" w:cs="Times New Roman"/>
          <w:bCs/>
          <w:sz w:val="24"/>
          <w:szCs w:val="24"/>
        </w:rPr>
        <w:t>Regarding the academic quality underscored by private colleges, there is concern growing significantly as to whether the study practices among students have become effective. The inability to acquire adequate information about the common study methods among this demographic is one great challenge. This ignorance, in one way or the other, cripples the way focused treatments are developed aimed at realizing increased academic performance among the victims.</w:t>
      </w:r>
    </w:p>
    <w:p w14:paraId="473D72CE" w14:textId="77777777" w:rsidR="00B06F00" w:rsidRPr="00B06F00" w:rsidRDefault="00B06F00" w:rsidP="00B06F00">
      <w:pPr>
        <w:spacing w:line="360" w:lineRule="auto"/>
        <w:jc w:val="both"/>
        <w:rPr>
          <w:rFonts w:ascii="Times New Roman" w:eastAsia="Times New Roman" w:hAnsi="Times New Roman" w:cs="Times New Roman"/>
          <w:bCs/>
          <w:sz w:val="24"/>
          <w:szCs w:val="24"/>
        </w:rPr>
      </w:pPr>
    </w:p>
    <w:p w14:paraId="1A69232A" w14:textId="416279C0" w:rsidR="004E2304" w:rsidRDefault="00B06F00" w:rsidP="00B06F00">
      <w:pPr>
        <w:spacing w:line="360" w:lineRule="auto"/>
        <w:jc w:val="both"/>
        <w:rPr>
          <w:rFonts w:ascii="Times New Roman" w:eastAsia="Times New Roman" w:hAnsi="Times New Roman" w:cs="Times New Roman"/>
          <w:bCs/>
          <w:sz w:val="24"/>
          <w:szCs w:val="24"/>
        </w:rPr>
      </w:pPr>
      <w:r w:rsidRPr="00B06F00">
        <w:rPr>
          <w:rFonts w:ascii="Times New Roman" w:eastAsia="Times New Roman" w:hAnsi="Times New Roman" w:cs="Times New Roman"/>
          <w:bCs/>
          <w:sz w:val="24"/>
          <w:szCs w:val="24"/>
        </w:rPr>
        <w:lastRenderedPageBreak/>
        <w:t>Furthermore, no concrete evidence has been established to connect the study methods and academic outcomes. Despite the fact that a few studies can indicate relation between specific study habits and academic achievement, the multiplicity of learners' characteristics and styles of learning complicates the identification of causal relationships. The present study overcomes these by attempting to research the study habits students adopt in a private university setting and how these impacts academic attainment. The present study is going to contribute to the evidence-based establishment of methods to improve the performance of students.</w:t>
      </w:r>
    </w:p>
    <w:p w14:paraId="79E58407" w14:textId="77777777" w:rsidR="00B06F00" w:rsidRPr="00B06F00" w:rsidRDefault="00B06F00" w:rsidP="00B06F00">
      <w:pPr>
        <w:spacing w:line="360" w:lineRule="auto"/>
        <w:jc w:val="both"/>
        <w:rPr>
          <w:rFonts w:ascii="Times New Roman" w:eastAsia="Times New Roman" w:hAnsi="Times New Roman" w:cs="Times New Roman"/>
          <w:bCs/>
          <w:sz w:val="24"/>
          <w:szCs w:val="24"/>
        </w:rPr>
      </w:pPr>
    </w:p>
    <w:p w14:paraId="3C37D2AF" w14:textId="56C81808" w:rsidR="004E2304" w:rsidRPr="00B06F00" w:rsidRDefault="00B06F00">
      <w:pPr>
        <w:spacing w:line="360" w:lineRule="auto"/>
        <w:jc w:val="both"/>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Universities</w:t>
      </w:r>
      <w:r w:rsidRPr="00B06F00">
        <w:rPr>
          <w:rFonts w:ascii="Times New Roman" w:eastAsia="Times New Roman" w:hAnsi="Times New Roman" w:cs="Times New Roman"/>
          <w:bCs/>
          <w:sz w:val="24"/>
          <w:szCs w:val="24"/>
        </w:rPr>
        <w:t xml:space="preserve"> will be able to carry out the required changes in academic support amenities and tools that are requisite to the study patterns of students. Universities could, for their part, emulate effective study practices as an artifact of their curriculum model, thereby giving students the direction and tools to make headway in academics. Finally, this study seeks to close the gap between existing study practices and ideal learning outcomes, thereby allowing more collaboration on and effectiveness of learning by students.</w:t>
      </w:r>
    </w:p>
    <w:p w14:paraId="449A5519" w14:textId="77777777" w:rsidR="004E2304" w:rsidRDefault="00EE5CC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1.3 Research Questions</w:t>
      </w:r>
    </w:p>
    <w:p w14:paraId="6FBF6B88" w14:textId="77777777" w:rsidR="004E2304" w:rsidRDefault="004E2304">
      <w:pPr>
        <w:jc w:val="both"/>
        <w:rPr>
          <w:rFonts w:ascii="Times New Roman" w:eastAsia="Times New Roman" w:hAnsi="Times New Roman" w:cs="Times New Roman"/>
          <w:b/>
          <w:sz w:val="24"/>
          <w:szCs w:val="24"/>
        </w:rPr>
      </w:pPr>
    </w:p>
    <w:p w14:paraId="1D8D3D3D" w14:textId="77777777" w:rsidR="004E2304" w:rsidRDefault="00EE5CC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What are the most prevalent study methods utilized by students at this private university?</w:t>
      </w:r>
    </w:p>
    <w:p w14:paraId="4E731850" w14:textId="77777777" w:rsidR="004E2304" w:rsidRDefault="004E2304">
      <w:pPr>
        <w:jc w:val="both"/>
        <w:rPr>
          <w:rFonts w:ascii="Times New Roman" w:eastAsia="Times New Roman" w:hAnsi="Times New Roman" w:cs="Times New Roman"/>
          <w:sz w:val="24"/>
          <w:szCs w:val="24"/>
        </w:rPr>
      </w:pPr>
    </w:p>
    <w:p w14:paraId="30789605" w14:textId="77777777" w:rsidR="004E2304" w:rsidRDefault="00EE5CC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How effective are these study methods in promoting academic performance among students?</w:t>
      </w:r>
    </w:p>
    <w:p w14:paraId="1D20194E" w14:textId="77777777" w:rsidR="004E2304" w:rsidRDefault="004E2304">
      <w:pPr>
        <w:jc w:val="both"/>
        <w:rPr>
          <w:rFonts w:ascii="Times New Roman" w:eastAsia="Times New Roman" w:hAnsi="Times New Roman" w:cs="Times New Roman"/>
          <w:sz w:val="24"/>
          <w:szCs w:val="24"/>
        </w:rPr>
      </w:pPr>
    </w:p>
    <w:p w14:paraId="737796DB" w14:textId="77777777" w:rsidR="004E2304" w:rsidRDefault="00EE5CC0">
      <w:pPr>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3. Is there a correlation between specific study methods and academic performance among students?</w:t>
      </w:r>
    </w:p>
    <w:p w14:paraId="4DE34160" w14:textId="77777777" w:rsidR="004E2304" w:rsidRDefault="004E2304">
      <w:pPr>
        <w:jc w:val="both"/>
        <w:rPr>
          <w:rFonts w:ascii="Times New Roman" w:eastAsia="Times New Roman" w:hAnsi="Times New Roman" w:cs="Times New Roman"/>
          <w:sz w:val="24"/>
          <w:szCs w:val="24"/>
        </w:rPr>
      </w:pPr>
    </w:p>
    <w:p w14:paraId="224FD66B" w14:textId="77777777" w:rsidR="004E2304" w:rsidRDefault="004E2304">
      <w:pPr>
        <w:jc w:val="both"/>
        <w:rPr>
          <w:rFonts w:ascii="Times New Roman" w:eastAsia="Times New Roman" w:hAnsi="Times New Roman" w:cs="Times New Roman"/>
          <w:b/>
          <w:sz w:val="24"/>
          <w:szCs w:val="24"/>
        </w:rPr>
      </w:pPr>
    </w:p>
    <w:p w14:paraId="6BE198D7" w14:textId="77777777" w:rsidR="004E2304" w:rsidRDefault="00EE5CC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1.3.1 Value of the Research</w:t>
      </w:r>
    </w:p>
    <w:p w14:paraId="48B1655E" w14:textId="77777777" w:rsidR="004E2304" w:rsidRDefault="004E2304">
      <w:pPr>
        <w:jc w:val="both"/>
        <w:rPr>
          <w:rFonts w:ascii="Times New Roman" w:eastAsia="Times New Roman" w:hAnsi="Times New Roman" w:cs="Times New Roman"/>
          <w:b/>
          <w:sz w:val="24"/>
          <w:szCs w:val="24"/>
        </w:rPr>
      </w:pPr>
    </w:p>
    <w:p w14:paraId="5ADB89BC" w14:textId="2C7809AC" w:rsidR="004E2304" w:rsidRDefault="00107BB0" w:rsidP="00AA2957">
      <w:pPr>
        <w:spacing w:line="360" w:lineRule="auto"/>
        <w:jc w:val="both"/>
        <w:rPr>
          <w:rFonts w:ascii="Times New Roman" w:eastAsia="Times New Roman" w:hAnsi="Times New Roman" w:cs="Times New Roman"/>
          <w:sz w:val="24"/>
          <w:szCs w:val="24"/>
        </w:rPr>
      </w:pPr>
      <w:r w:rsidRPr="00107BB0">
        <w:rPr>
          <w:rFonts w:ascii="Times New Roman" w:eastAsia="Times New Roman" w:hAnsi="Times New Roman" w:cs="Times New Roman"/>
          <w:sz w:val="24"/>
          <w:szCs w:val="24"/>
        </w:rPr>
        <w:t>In this way, the study will greatly contribute to the subject under discussion: higher learning. First, the identification of common study strategies will introduce how students approach their academic endeavors, thus pointing out areas whereby support or intervention may be necessary. More than this, reviewing the effects of study techniques will have direct implications for how academic support is designed and interventions implemented to enhance student achievement.</w:t>
      </w:r>
    </w:p>
    <w:p w14:paraId="1417DA03" w14:textId="7213665A" w:rsidR="00107BB0" w:rsidRDefault="00107BB0" w:rsidP="00AA2957">
      <w:pPr>
        <w:spacing w:line="360" w:lineRule="auto"/>
        <w:jc w:val="both"/>
        <w:rPr>
          <w:rFonts w:ascii="Times New Roman" w:eastAsia="Times New Roman" w:hAnsi="Times New Roman" w:cs="Times New Roman"/>
          <w:sz w:val="24"/>
          <w:szCs w:val="24"/>
        </w:rPr>
      </w:pPr>
    </w:p>
    <w:p w14:paraId="6D4A6C8D" w14:textId="77777777" w:rsidR="00107BB0" w:rsidRDefault="00107BB0">
      <w:pPr>
        <w:spacing w:line="360" w:lineRule="auto"/>
        <w:jc w:val="both"/>
        <w:rPr>
          <w:rFonts w:ascii="Times New Roman" w:eastAsia="Times New Roman" w:hAnsi="Times New Roman" w:cs="Times New Roman"/>
          <w:sz w:val="24"/>
          <w:szCs w:val="24"/>
        </w:rPr>
      </w:pPr>
    </w:p>
    <w:p w14:paraId="19ADBDA2" w14:textId="77777777" w:rsidR="00107BB0" w:rsidRPr="00107BB0" w:rsidRDefault="00107BB0" w:rsidP="00107BB0">
      <w:pPr>
        <w:spacing w:before="240" w:after="240" w:line="360" w:lineRule="auto"/>
        <w:jc w:val="both"/>
        <w:rPr>
          <w:rFonts w:ascii="Times New Roman" w:eastAsia="Times New Roman" w:hAnsi="Times New Roman" w:cs="Times New Roman"/>
          <w:bCs/>
          <w:sz w:val="24"/>
          <w:szCs w:val="24"/>
        </w:rPr>
      </w:pPr>
      <w:r w:rsidRPr="00107BB0">
        <w:rPr>
          <w:rFonts w:ascii="Times New Roman" w:eastAsia="Times New Roman" w:hAnsi="Times New Roman" w:cs="Times New Roman"/>
          <w:bCs/>
          <w:sz w:val="24"/>
          <w:szCs w:val="24"/>
        </w:rPr>
        <w:lastRenderedPageBreak/>
        <w:t>It will finally provide real proof to justify deployment by developing correlations between methods of learning and academic performance, hence improving student success. The present research is looking to assist teachers, managers, and policymakers in maximizing the environment for learning and student accomplishment.</w:t>
      </w:r>
    </w:p>
    <w:p w14:paraId="2C402A79" w14:textId="77777777" w:rsidR="00107BB0" w:rsidRDefault="00EE5CC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1.4 Research Design</w:t>
      </w:r>
    </w:p>
    <w:p w14:paraId="191BA12C" w14:textId="6A893196" w:rsidR="004E2304" w:rsidRDefault="00EE5CC0">
      <w:pPr>
        <w:spacing w:before="240" w:after="240"/>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1.4.1 Research Approach</w:t>
      </w:r>
    </w:p>
    <w:p w14:paraId="0CCAE645" w14:textId="10E5896F" w:rsidR="004E2304" w:rsidRDefault="00107BB0">
      <w:pPr>
        <w:spacing w:line="360" w:lineRule="auto"/>
        <w:jc w:val="both"/>
        <w:rPr>
          <w:rFonts w:ascii="Times New Roman" w:eastAsia="Times New Roman" w:hAnsi="Times New Roman" w:cs="Times New Roman"/>
          <w:sz w:val="24"/>
          <w:szCs w:val="24"/>
        </w:rPr>
      </w:pPr>
      <w:r w:rsidRPr="00107BB0">
        <w:rPr>
          <w:rFonts w:ascii="Times New Roman" w:eastAsia="Times New Roman" w:hAnsi="Times New Roman" w:cs="Times New Roman"/>
          <w:sz w:val="24"/>
          <w:szCs w:val="24"/>
        </w:rPr>
        <w:t>For this research study, numerical data collected using only a quantitative approach will suffice. By examining variables, researchers would be in a good position to establish various patterns, trends, and relationships pertinent to the use of specific approaches to study, academic performance indicators, and students' demographic backgrounds. In this way, this strategy will permit statistical analysis for testing various theories that relate study approaches to academic outcomes. This strategy of the study is aimed at coming up with actual evidence to inform the development of effective academic support solutions.</w:t>
      </w:r>
    </w:p>
    <w:p w14:paraId="50D62477" w14:textId="77777777" w:rsidR="00107BB0" w:rsidRDefault="00107BB0">
      <w:pPr>
        <w:spacing w:line="360" w:lineRule="auto"/>
        <w:jc w:val="both"/>
        <w:rPr>
          <w:rFonts w:ascii="Times New Roman" w:eastAsia="Times New Roman" w:hAnsi="Times New Roman" w:cs="Times New Roman"/>
          <w:sz w:val="24"/>
          <w:szCs w:val="24"/>
        </w:rPr>
      </w:pPr>
    </w:p>
    <w:p w14:paraId="52185BA3" w14:textId="2F21E798" w:rsidR="004E2304" w:rsidRDefault="00107BB0" w:rsidP="00107BB0">
      <w:pPr>
        <w:spacing w:line="360" w:lineRule="auto"/>
        <w:jc w:val="both"/>
        <w:rPr>
          <w:rFonts w:ascii="Times New Roman" w:eastAsia="Times New Roman" w:hAnsi="Times New Roman" w:cs="Times New Roman"/>
          <w:sz w:val="24"/>
          <w:szCs w:val="24"/>
        </w:rPr>
      </w:pPr>
      <w:r w:rsidRPr="00107BB0">
        <w:rPr>
          <w:rFonts w:ascii="Times New Roman" w:eastAsia="Times New Roman" w:hAnsi="Times New Roman" w:cs="Times New Roman"/>
          <w:sz w:val="24"/>
          <w:szCs w:val="24"/>
        </w:rPr>
        <w:t>The quantitative method allows for generalization of findings to the larger population of students. Statistical approaches permit assessing the significance of the relationship between variables and eventually contribute to the base of knowledge concerning student study practices and academic achievement.</w:t>
      </w:r>
    </w:p>
    <w:p w14:paraId="0B8061D2" w14:textId="77777777" w:rsidR="004E2304" w:rsidRDefault="004E2304">
      <w:pPr>
        <w:jc w:val="both"/>
        <w:rPr>
          <w:rFonts w:ascii="Times New Roman" w:eastAsia="Times New Roman" w:hAnsi="Times New Roman" w:cs="Times New Roman"/>
          <w:sz w:val="24"/>
          <w:szCs w:val="24"/>
        </w:rPr>
      </w:pPr>
    </w:p>
    <w:p w14:paraId="57357474" w14:textId="77777777" w:rsidR="004E2304" w:rsidRDefault="00EE5CC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1.5 Data Collection Method </w:t>
      </w:r>
    </w:p>
    <w:p w14:paraId="38C164B3" w14:textId="77777777" w:rsidR="004E2304" w:rsidRDefault="00EE5CC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1.5.1 Survey</w:t>
      </w:r>
    </w:p>
    <w:p w14:paraId="6E4109B5" w14:textId="77777777" w:rsidR="004E2304" w:rsidRDefault="004E2304">
      <w:pPr>
        <w:jc w:val="both"/>
        <w:rPr>
          <w:rFonts w:ascii="Times New Roman" w:eastAsia="Times New Roman" w:hAnsi="Times New Roman" w:cs="Times New Roman"/>
          <w:sz w:val="24"/>
          <w:szCs w:val="24"/>
        </w:rPr>
      </w:pPr>
    </w:p>
    <w:p w14:paraId="2220BF1D" w14:textId="77777777" w:rsidR="00107BB0" w:rsidRPr="00107BB0" w:rsidRDefault="00107BB0" w:rsidP="00107BB0">
      <w:pPr>
        <w:spacing w:line="360" w:lineRule="auto"/>
        <w:jc w:val="both"/>
        <w:rPr>
          <w:rFonts w:ascii="Times New Roman" w:eastAsia="Times New Roman" w:hAnsi="Times New Roman" w:cs="Times New Roman"/>
          <w:sz w:val="24"/>
          <w:szCs w:val="24"/>
        </w:rPr>
      </w:pPr>
      <w:r w:rsidRPr="00107BB0">
        <w:rPr>
          <w:rFonts w:ascii="Times New Roman" w:eastAsia="Times New Roman" w:hAnsi="Times New Roman" w:cs="Times New Roman"/>
          <w:sz w:val="24"/>
          <w:szCs w:val="24"/>
        </w:rPr>
        <w:t>To elicit the full picture of how students at our university approach their studies, this research will be based on a well-designed questionnaire. The views expressed in this survey shall be captured from a diverse student body through samples from the different years and majors to arrive at a comprehensive view of study methods in the university.</w:t>
      </w:r>
    </w:p>
    <w:p w14:paraId="57A3223D" w14:textId="77777777" w:rsidR="00AD5274" w:rsidRDefault="00AD5274" w:rsidP="00107BB0">
      <w:pPr>
        <w:spacing w:line="360" w:lineRule="auto"/>
        <w:jc w:val="both"/>
        <w:rPr>
          <w:rFonts w:ascii="Times New Roman" w:eastAsia="Times New Roman" w:hAnsi="Times New Roman" w:cs="Times New Roman"/>
          <w:sz w:val="24"/>
          <w:szCs w:val="24"/>
        </w:rPr>
      </w:pPr>
    </w:p>
    <w:p w14:paraId="56CD7D0E" w14:textId="77777777" w:rsidR="00AD5274" w:rsidRDefault="00AD5274">
      <w:pPr>
        <w:spacing w:line="360" w:lineRule="auto"/>
        <w:jc w:val="both"/>
        <w:rPr>
          <w:rFonts w:ascii="Times New Roman" w:eastAsia="Times New Roman" w:hAnsi="Times New Roman" w:cs="Times New Roman"/>
          <w:sz w:val="24"/>
          <w:szCs w:val="24"/>
        </w:rPr>
      </w:pPr>
    </w:p>
    <w:p w14:paraId="46C0098E" w14:textId="77777777" w:rsidR="00AD5274" w:rsidRDefault="00AD5274">
      <w:pPr>
        <w:spacing w:line="360" w:lineRule="auto"/>
        <w:jc w:val="both"/>
        <w:rPr>
          <w:rFonts w:ascii="Times New Roman" w:eastAsia="Times New Roman" w:hAnsi="Times New Roman" w:cs="Times New Roman"/>
          <w:sz w:val="24"/>
          <w:szCs w:val="24"/>
        </w:rPr>
      </w:pPr>
    </w:p>
    <w:p w14:paraId="119E97BB" w14:textId="77777777" w:rsidR="00AD5274" w:rsidRDefault="00AD5274">
      <w:pPr>
        <w:spacing w:line="360" w:lineRule="auto"/>
        <w:jc w:val="both"/>
        <w:rPr>
          <w:rFonts w:ascii="Times New Roman" w:eastAsia="Times New Roman" w:hAnsi="Times New Roman" w:cs="Times New Roman"/>
          <w:sz w:val="24"/>
          <w:szCs w:val="24"/>
        </w:rPr>
      </w:pPr>
    </w:p>
    <w:p w14:paraId="33A29B7C" w14:textId="7439D4D9" w:rsidR="004E2304" w:rsidRDefault="00107BB0">
      <w:pPr>
        <w:spacing w:line="360" w:lineRule="auto"/>
        <w:jc w:val="both"/>
        <w:rPr>
          <w:rFonts w:ascii="Times New Roman" w:eastAsia="Times New Roman" w:hAnsi="Times New Roman" w:cs="Times New Roman"/>
          <w:sz w:val="24"/>
          <w:szCs w:val="24"/>
        </w:rPr>
      </w:pPr>
      <w:r w:rsidRPr="00107BB0">
        <w:rPr>
          <w:rFonts w:ascii="Times New Roman" w:eastAsia="Times New Roman" w:hAnsi="Times New Roman" w:cs="Times New Roman"/>
          <w:sz w:val="24"/>
          <w:szCs w:val="24"/>
        </w:rPr>
        <w:lastRenderedPageBreak/>
        <w:t>It will use varying styles of questions in order to provide a set of quantitative data. There will also be demographic information that is collected in order to check for potential differences based on items such as year of study and major, but to go beyond mere demographics, the research will push further. It will ask questions that pertain to the learners' preferred study methods and frequency and length of study time, as well as how well they do on exams. The analysis of this data will allow for the investigation of possible links between different learning styles and levels of academic performance.</w:t>
      </w:r>
    </w:p>
    <w:p w14:paraId="69A77F4B" w14:textId="77777777" w:rsidR="00107BB0" w:rsidRDefault="00107BB0">
      <w:pPr>
        <w:spacing w:line="360" w:lineRule="auto"/>
        <w:jc w:val="both"/>
        <w:rPr>
          <w:rFonts w:ascii="Times New Roman" w:eastAsia="Times New Roman" w:hAnsi="Times New Roman" w:cs="Times New Roman"/>
          <w:sz w:val="24"/>
          <w:szCs w:val="24"/>
        </w:rPr>
      </w:pPr>
    </w:p>
    <w:p w14:paraId="57C71026" w14:textId="65E94BDE" w:rsidR="004E2304" w:rsidRDefault="00107BB0">
      <w:pPr>
        <w:spacing w:line="360" w:lineRule="auto"/>
        <w:jc w:val="both"/>
        <w:rPr>
          <w:rFonts w:ascii="Times New Roman" w:eastAsia="Times New Roman" w:hAnsi="Times New Roman" w:cs="Times New Roman"/>
          <w:sz w:val="24"/>
          <w:szCs w:val="24"/>
        </w:rPr>
      </w:pPr>
      <w:r w:rsidRPr="00107BB0">
        <w:rPr>
          <w:rFonts w:ascii="Times New Roman" w:eastAsia="Times New Roman" w:hAnsi="Times New Roman" w:cs="Times New Roman"/>
          <w:sz w:val="24"/>
          <w:szCs w:val="24"/>
        </w:rPr>
        <w:t>In this quantitative approach, we will look to determine developments in student study patterns. This knowledge will prove critical in determining how students learn best and providing the appropriate tools and assistance systems so that they can improve their academic experience at our university.</w:t>
      </w:r>
    </w:p>
    <w:p w14:paraId="0AC3768C" w14:textId="77777777" w:rsidR="004E2304" w:rsidRDefault="004E2304">
      <w:pPr>
        <w:jc w:val="both"/>
        <w:rPr>
          <w:rFonts w:ascii="Times New Roman" w:eastAsia="Times New Roman" w:hAnsi="Times New Roman" w:cs="Times New Roman"/>
          <w:b/>
          <w:sz w:val="24"/>
          <w:szCs w:val="24"/>
        </w:rPr>
      </w:pPr>
    </w:p>
    <w:p w14:paraId="07A79A93" w14:textId="77777777" w:rsidR="004E2304" w:rsidRDefault="00EE5CC0">
      <w:pPr>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1.5.2 Sampling Techniques</w:t>
      </w:r>
    </w:p>
    <w:p w14:paraId="43E1B858" w14:textId="77777777" w:rsidR="004E2304" w:rsidRDefault="004E2304">
      <w:pPr>
        <w:jc w:val="both"/>
        <w:rPr>
          <w:rFonts w:ascii="Times New Roman" w:eastAsia="Times New Roman" w:hAnsi="Times New Roman" w:cs="Times New Roman"/>
          <w:sz w:val="24"/>
          <w:szCs w:val="24"/>
        </w:rPr>
      </w:pPr>
    </w:p>
    <w:p w14:paraId="4569D1A0" w14:textId="77777777" w:rsidR="004E2304" w:rsidRDefault="00EE5CC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sample size of about 50 people can serve as a good beginning point for a quantitative study on student study habits at the University of Malaya Wales. While this figure allows for preliminary data analysis and the discovery of early trends, it may not accurately represent the whole student population. To gain a more thorough and accurate understanding, the sample size should be proportionate to the total student population. The research can produce more trustworthy and generalizable results by including a diverse variety of students from various academic years and majors. The broader perspective will help the study better capture the intricacies of student study practices and offer successful academic support initiatives.</w:t>
      </w:r>
    </w:p>
    <w:p w14:paraId="079BAFCF" w14:textId="77777777" w:rsidR="004E2304" w:rsidRDefault="004E2304">
      <w:pPr>
        <w:spacing w:line="360" w:lineRule="auto"/>
        <w:jc w:val="both"/>
        <w:rPr>
          <w:rFonts w:ascii="Times New Roman" w:eastAsia="Times New Roman" w:hAnsi="Times New Roman" w:cs="Times New Roman"/>
          <w:sz w:val="24"/>
          <w:szCs w:val="24"/>
        </w:rPr>
      </w:pPr>
    </w:p>
    <w:p w14:paraId="7AB45304" w14:textId="7799F5B9" w:rsidR="004E2304" w:rsidRDefault="004E2304">
      <w:pPr>
        <w:jc w:val="both"/>
        <w:rPr>
          <w:rFonts w:ascii="Times New Roman" w:eastAsia="Times New Roman" w:hAnsi="Times New Roman" w:cs="Times New Roman"/>
          <w:sz w:val="24"/>
          <w:szCs w:val="24"/>
        </w:rPr>
      </w:pPr>
    </w:p>
    <w:p w14:paraId="6874A461" w14:textId="5DD305E9" w:rsidR="000A3EDE" w:rsidRDefault="000A3EDE">
      <w:pPr>
        <w:jc w:val="both"/>
        <w:rPr>
          <w:rFonts w:ascii="Times New Roman" w:eastAsia="Times New Roman" w:hAnsi="Times New Roman" w:cs="Times New Roman"/>
          <w:sz w:val="24"/>
          <w:szCs w:val="24"/>
        </w:rPr>
      </w:pPr>
    </w:p>
    <w:p w14:paraId="0396B256" w14:textId="474435EE" w:rsidR="000A3EDE" w:rsidRDefault="000A3EDE">
      <w:pPr>
        <w:jc w:val="both"/>
        <w:rPr>
          <w:rFonts w:ascii="Times New Roman" w:eastAsia="Times New Roman" w:hAnsi="Times New Roman" w:cs="Times New Roman"/>
          <w:sz w:val="24"/>
          <w:szCs w:val="24"/>
        </w:rPr>
      </w:pPr>
    </w:p>
    <w:p w14:paraId="1ED5B724" w14:textId="07DFA517" w:rsidR="000A3EDE" w:rsidRDefault="000A3EDE">
      <w:pPr>
        <w:jc w:val="both"/>
        <w:rPr>
          <w:rFonts w:ascii="Times New Roman" w:eastAsia="Times New Roman" w:hAnsi="Times New Roman" w:cs="Times New Roman"/>
          <w:sz w:val="24"/>
          <w:szCs w:val="24"/>
        </w:rPr>
      </w:pPr>
    </w:p>
    <w:p w14:paraId="29CD21FF" w14:textId="3D9E07C8" w:rsidR="000A3EDE" w:rsidRDefault="000A3EDE">
      <w:pPr>
        <w:jc w:val="both"/>
        <w:rPr>
          <w:rFonts w:ascii="Times New Roman" w:eastAsia="Times New Roman" w:hAnsi="Times New Roman" w:cs="Times New Roman"/>
          <w:sz w:val="24"/>
          <w:szCs w:val="24"/>
        </w:rPr>
      </w:pPr>
    </w:p>
    <w:p w14:paraId="729D5CD1" w14:textId="19FEC3FA" w:rsidR="000A3EDE" w:rsidRDefault="000A3EDE">
      <w:pPr>
        <w:jc w:val="both"/>
        <w:rPr>
          <w:rFonts w:ascii="Times New Roman" w:eastAsia="Times New Roman" w:hAnsi="Times New Roman" w:cs="Times New Roman"/>
          <w:sz w:val="24"/>
          <w:szCs w:val="24"/>
        </w:rPr>
      </w:pPr>
    </w:p>
    <w:p w14:paraId="5DB0FFA5" w14:textId="6A4C5520" w:rsidR="000A3EDE" w:rsidRDefault="000A3EDE">
      <w:pPr>
        <w:jc w:val="both"/>
        <w:rPr>
          <w:rFonts w:ascii="Times New Roman" w:eastAsia="Times New Roman" w:hAnsi="Times New Roman" w:cs="Times New Roman"/>
          <w:sz w:val="24"/>
          <w:szCs w:val="24"/>
        </w:rPr>
      </w:pPr>
    </w:p>
    <w:p w14:paraId="0D6A93F4" w14:textId="4CBABDA0" w:rsidR="000A3EDE" w:rsidRDefault="000A3EDE">
      <w:pPr>
        <w:jc w:val="both"/>
        <w:rPr>
          <w:rFonts w:ascii="Times New Roman" w:eastAsia="Times New Roman" w:hAnsi="Times New Roman" w:cs="Times New Roman"/>
          <w:sz w:val="24"/>
          <w:szCs w:val="24"/>
        </w:rPr>
      </w:pPr>
    </w:p>
    <w:p w14:paraId="33096FA1" w14:textId="0C0C386D" w:rsidR="000A3EDE" w:rsidRDefault="000A3EDE">
      <w:pPr>
        <w:jc w:val="both"/>
        <w:rPr>
          <w:rFonts w:ascii="Times New Roman" w:eastAsia="Times New Roman" w:hAnsi="Times New Roman" w:cs="Times New Roman"/>
          <w:sz w:val="24"/>
          <w:szCs w:val="24"/>
        </w:rPr>
      </w:pPr>
    </w:p>
    <w:p w14:paraId="20BE2E9B" w14:textId="77777777" w:rsidR="00BD1458" w:rsidRDefault="00BD1458">
      <w:pPr>
        <w:jc w:val="both"/>
        <w:rPr>
          <w:rFonts w:ascii="Times New Roman" w:eastAsia="Times New Roman" w:hAnsi="Times New Roman" w:cs="Times New Roman"/>
          <w:b/>
          <w:bCs/>
          <w:sz w:val="24"/>
          <w:szCs w:val="24"/>
        </w:rPr>
      </w:pPr>
    </w:p>
    <w:p w14:paraId="29687A18" w14:textId="2FD1DAA8" w:rsidR="00033190" w:rsidRDefault="00F351C4">
      <w:pPr>
        <w:jc w:val="both"/>
        <w:rPr>
          <w:rFonts w:ascii="Times New Roman" w:eastAsia="Times New Roman" w:hAnsi="Times New Roman" w:cs="Times New Roman"/>
          <w:b/>
          <w:bCs/>
          <w:sz w:val="24"/>
          <w:szCs w:val="24"/>
        </w:rPr>
      </w:pPr>
      <w:r w:rsidRPr="00F351C4">
        <w:rPr>
          <w:rFonts w:ascii="Times New Roman" w:eastAsia="Times New Roman" w:hAnsi="Times New Roman" w:cs="Times New Roman"/>
          <w:b/>
          <w:bCs/>
          <w:sz w:val="24"/>
          <w:szCs w:val="24"/>
        </w:rPr>
        <w:lastRenderedPageBreak/>
        <w:t>Task 2-Primary and Secondary Research Techniques</w:t>
      </w:r>
    </w:p>
    <w:p w14:paraId="30CC4FC5" w14:textId="77777777" w:rsidR="00544F9B" w:rsidRPr="002B75A4" w:rsidRDefault="00544F9B">
      <w:pPr>
        <w:jc w:val="both"/>
        <w:rPr>
          <w:rFonts w:ascii="Times New Roman" w:eastAsia="Times New Roman" w:hAnsi="Times New Roman" w:cs="Times New Roman"/>
          <w:b/>
          <w:bCs/>
          <w:sz w:val="24"/>
          <w:szCs w:val="24"/>
        </w:rPr>
      </w:pPr>
    </w:p>
    <w:p w14:paraId="6C624170" w14:textId="5F08D66E" w:rsidR="00544F9B" w:rsidRPr="002B75A4" w:rsidRDefault="00544F9B" w:rsidP="00DA7B2E">
      <w:pPr>
        <w:jc w:val="both"/>
        <w:rPr>
          <w:rFonts w:ascii="Times New Roman" w:eastAsia="Times New Roman" w:hAnsi="Times New Roman" w:cs="Times New Roman"/>
          <w:b/>
          <w:bCs/>
          <w:sz w:val="24"/>
          <w:szCs w:val="24"/>
        </w:rPr>
      </w:pPr>
      <w:r w:rsidRPr="002B75A4">
        <w:rPr>
          <w:rFonts w:ascii="Times New Roman" w:eastAsia="Times New Roman" w:hAnsi="Times New Roman" w:cs="Times New Roman"/>
          <w:b/>
          <w:bCs/>
          <w:sz w:val="24"/>
          <w:szCs w:val="24"/>
        </w:rPr>
        <w:t>Research Approach-Quantitative</w:t>
      </w:r>
    </w:p>
    <w:p w14:paraId="5B983483" w14:textId="6B4185A0" w:rsidR="00544F9B" w:rsidRPr="00AA2957" w:rsidRDefault="00AA2957" w:rsidP="00544F9B">
      <w:pPr>
        <w:spacing w:line="360" w:lineRule="auto"/>
        <w:jc w:val="both"/>
        <w:rPr>
          <w:rFonts w:ascii="Times New Roman" w:eastAsia="Times New Roman" w:hAnsi="Times New Roman" w:cs="Times New Roman"/>
          <w:sz w:val="24"/>
          <w:szCs w:val="24"/>
          <w:lang w:val="en-MY"/>
        </w:rPr>
      </w:pPr>
      <w:r w:rsidRPr="00AA2957">
        <w:rPr>
          <w:rFonts w:ascii="Times New Roman" w:eastAsia="Times New Roman" w:hAnsi="Times New Roman" w:cs="Times New Roman"/>
          <w:sz w:val="24"/>
          <w:szCs w:val="24"/>
          <w:lang w:val="en-MY"/>
        </w:rPr>
        <w:t>Given the research questions around prevalence, effectiveness, and relations of study methods to academic accomplishment, a quantitative methodology is most appropriate. This will allow for the structured collection and analysis of numerical data, critical in trend and pattern detection across a large student population. Statistical techniques can, therefore, be applied to estimate the prevalence of various learning strategies and their relation to academic performance, along with possible correlations of specific techniques with student outcomes. Quantitative methods thus provide firm ground for making generalizable, objective insights to be used in guiding academic support plans and interventions.</w:t>
      </w:r>
    </w:p>
    <w:p w14:paraId="4BB03094" w14:textId="77777777" w:rsidR="00AA2957" w:rsidRPr="00DA7B2E" w:rsidRDefault="00AA2957" w:rsidP="00544F9B">
      <w:pPr>
        <w:spacing w:line="360" w:lineRule="auto"/>
        <w:jc w:val="both"/>
        <w:rPr>
          <w:rFonts w:ascii="Times New Roman" w:eastAsia="Times New Roman" w:hAnsi="Times New Roman" w:cs="Times New Roman"/>
          <w:b/>
          <w:bCs/>
          <w:sz w:val="24"/>
          <w:szCs w:val="24"/>
          <w:lang w:val="en-MY"/>
        </w:rPr>
      </w:pPr>
    </w:p>
    <w:p w14:paraId="604F8B42" w14:textId="439C2DD6" w:rsidR="00544F9B" w:rsidRPr="00DA7B2E" w:rsidRDefault="00ED344A" w:rsidP="00544F9B">
      <w:pPr>
        <w:spacing w:line="360" w:lineRule="auto"/>
        <w:jc w:val="both"/>
        <w:rPr>
          <w:rFonts w:ascii="Times New Roman" w:eastAsia="Times New Roman" w:hAnsi="Times New Roman" w:cs="Times New Roman"/>
          <w:b/>
          <w:bCs/>
          <w:sz w:val="24"/>
          <w:szCs w:val="24"/>
          <w:lang w:val="en-MY"/>
        </w:rPr>
      </w:pPr>
      <w:r w:rsidRPr="00DA7B2E">
        <w:rPr>
          <w:rFonts w:ascii="Times New Roman" w:eastAsia="Times New Roman" w:hAnsi="Times New Roman" w:cs="Times New Roman"/>
          <w:b/>
          <w:bCs/>
          <w:sz w:val="24"/>
          <w:szCs w:val="24"/>
          <w:lang w:val="en-MY"/>
        </w:rPr>
        <w:t>Primary Research Technique-Survey and Interviews</w:t>
      </w:r>
    </w:p>
    <w:p w14:paraId="36BD14E1" w14:textId="613EF242" w:rsidR="002B75A4" w:rsidRDefault="00AA2957" w:rsidP="00ED344A">
      <w:pPr>
        <w:spacing w:line="360" w:lineRule="auto"/>
        <w:jc w:val="both"/>
        <w:rPr>
          <w:rFonts w:ascii="Times New Roman" w:eastAsia="Times New Roman" w:hAnsi="Times New Roman" w:cs="Times New Roman"/>
          <w:sz w:val="24"/>
          <w:szCs w:val="24"/>
          <w:lang w:val="en-MY"/>
        </w:rPr>
      </w:pPr>
      <w:r w:rsidRPr="00AA2957">
        <w:rPr>
          <w:rFonts w:ascii="Times New Roman" w:eastAsia="Times New Roman" w:hAnsi="Times New Roman" w:cs="Times New Roman"/>
          <w:sz w:val="24"/>
          <w:szCs w:val="24"/>
          <w:lang w:val="en-MY"/>
        </w:rPr>
        <w:t>Responses to the primary research data will be collected through two main approaches: questionnaires and interviews. The questionnaires are designed to source quantitative data through a standard set of questions regarding students' network usage, ways of studying, and academic success rates. Still, some open-ended items are used to allow for qualitative responses. Furthermore, deep interviews with a small group of students would help to provide deeper insights into students' experiences of using digital learning platforms. Such a mixed-method approach will help gain in-depth knowledge about how digital platforms influence the study habits and academic achievement of students.</w:t>
      </w:r>
    </w:p>
    <w:p w14:paraId="46E0BFA5" w14:textId="77777777" w:rsidR="00AA2957" w:rsidRDefault="00AA2957" w:rsidP="00ED344A">
      <w:pPr>
        <w:spacing w:line="360" w:lineRule="auto"/>
        <w:jc w:val="both"/>
        <w:rPr>
          <w:rFonts w:ascii="Times New Roman" w:eastAsia="Times New Roman" w:hAnsi="Times New Roman" w:cs="Times New Roman"/>
          <w:sz w:val="24"/>
          <w:szCs w:val="24"/>
          <w:lang w:val="en-MY"/>
        </w:rPr>
      </w:pPr>
    </w:p>
    <w:p w14:paraId="24B90C9F" w14:textId="29BA8A75" w:rsidR="00ED344A" w:rsidRPr="00ED344A" w:rsidRDefault="00ED344A" w:rsidP="00ED344A">
      <w:pPr>
        <w:spacing w:line="360" w:lineRule="auto"/>
        <w:jc w:val="both"/>
        <w:rPr>
          <w:rFonts w:ascii="Times New Roman" w:eastAsia="Times New Roman" w:hAnsi="Times New Roman" w:cs="Times New Roman"/>
          <w:b/>
          <w:bCs/>
          <w:sz w:val="24"/>
          <w:szCs w:val="24"/>
          <w:lang w:val="en-MY"/>
        </w:rPr>
      </w:pPr>
      <w:r w:rsidRPr="002B75A4">
        <w:rPr>
          <w:rFonts w:ascii="Times New Roman" w:eastAsia="Times New Roman" w:hAnsi="Times New Roman" w:cs="Times New Roman"/>
          <w:b/>
          <w:bCs/>
          <w:sz w:val="24"/>
          <w:szCs w:val="24"/>
          <w:lang w:val="en-MY"/>
        </w:rPr>
        <w:t>Secondary Research Technique-</w:t>
      </w:r>
      <w:r w:rsidR="00DA7B2E" w:rsidRPr="002B75A4">
        <w:rPr>
          <w:rFonts w:ascii="Times New Roman" w:eastAsia="Times New Roman" w:hAnsi="Times New Roman" w:cs="Times New Roman"/>
          <w:b/>
          <w:bCs/>
          <w:sz w:val="24"/>
          <w:szCs w:val="24"/>
          <w:lang w:val="en-MY"/>
        </w:rPr>
        <w:t>Literature Review and Data Analysis</w:t>
      </w:r>
    </w:p>
    <w:p w14:paraId="71BA6B29" w14:textId="77777777" w:rsidR="00AA2957" w:rsidRPr="00DA7B2E" w:rsidRDefault="00AA2957" w:rsidP="00AA2957">
      <w:pPr>
        <w:spacing w:line="360" w:lineRule="auto"/>
        <w:jc w:val="both"/>
        <w:rPr>
          <w:rFonts w:ascii="Times New Roman" w:eastAsia="Times New Roman" w:hAnsi="Times New Roman" w:cs="Times New Roman"/>
          <w:sz w:val="24"/>
          <w:szCs w:val="24"/>
          <w:lang w:val="en-MY"/>
        </w:rPr>
      </w:pPr>
      <w:r w:rsidRPr="00DA7B2E">
        <w:rPr>
          <w:rFonts w:ascii="Times New Roman" w:eastAsia="Times New Roman" w:hAnsi="Times New Roman" w:cs="Times New Roman"/>
          <w:sz w:val="24"/>
          <w:szCs w:val="24"/>
          <w:lang w:val="en-MY"/>
        </w:rPr>
        <w:t>The secondary research will have two major components</w:t>
      </w:r>
      <w:r>
        <w:rPr>
          <w:rFonts w:ascii="Times New Roman" w:eastAsia="Times New Roman" w:hAnsi="Times New Roman" w:cs="Times New Roman"/>
          <w:sz w:val="24"/>
          <w:szCs w:val="24"/>
          <w:lang w:val="en-MY"/>
        </w:rPr>
        <w:t xml:space="preserve"> which is</w:t>
      </w:r>
      <w:r w:rsidRPr="00DA7B2E">
        <w:rPr>
          <w:rFonts w:ascii="Times New Roman" w:eastAsia="Times New Roman" w:hAnsi="Times New Roman" w:cs="Times New Roman"/>
          <w:sz w:val="24"/>
          <w:szCs w:val="24"/>
          <w:lang w:val="en-MY"/>
        </w:rPr>
        <w:t xml:space="preserve"> literature review and data analysis. A thorough literature analysis will be undertaken to analyse current research on digital learning, studying patterns, and academic achievement, providing a theoretical structure and contextual awareness for the study. In addition, university-provided data on utilization of platforms and student academic records will be reviewed to supplement the primary research findings. The combination of examining scholarship work and analysing data collected by institutions will help put into context the study's findings and provide a more thorough understanding of how digital learning platforms affect academic performance.</w:t>
      </w:r>
    </w:p>
    <w:p w14:paraId="599735E5" w14:textId="688D8AF1" w:rsidR="00ED344A" w:rsidRDefault="00ED344A" w:rsidP="00DA7B2E">
      <w:pPr>
        <w:spacing w:line="360" w:lineRule="auto"/>
        <w:jc w:val="both"/>
        <w:rPr>
          <w:rFonts w:ascii="Times New Roman" w:eastAsia="Times New Roman" w:hAnsi="Times New Roman" w:cs="Times New Roman"/>
          <w:sz w:val="24"/>
          <w:szCs w:val="24"/>
          <w:lang w:val="en-MY"/>
        </w:rPr>
      </w:pPr>
    </w:p>
    <w:p w14:paraId="1918387D" w14:textId="4A95C558" w:rsidR="00B554BF" w:rsidRDefault="00D81260" w:rsidP="00DA7B2E">
      <w:pPr>
        <w:spacing w:line="360" w:lineRule="auto"/>
        <w:jc w:val="both"/>
        <w:rPr>
          <w:rFonts w:ascii="Times New Roman" w:eastAsia="Times New Roman" w:hAnsi="Times New Roman" w:cs="Times New Roman"/>
          <w:b/>
          <w:bCs/>
          <w:sz w:val="24"/>
          <w:szCs w:val="24"/>
          <w:lang w:val="en-MY"/>
        </w:rPr>
      </w:pPr>
      <w:r w:rsidRPr="00D81260">
        <w:rPr>
          <w:rFonts w:ascii="Times New Roman" w:eastAsia="Times New Roman" w:hAnsi="Times New Roman" w:cs="Times New Roman"/>
          <w:b/>
          <w:bCs/>
          <w:sz w:val="24"/>
          <w:szCs w:val="24"/>
          <w:lang w:val="en-MY"/>
        </w:rPr>
        <w:lastRenderedPageBreak/>
        <w:t>Task 3-Present Your Ideas</w:t>
      </w:r>
    </w:p>
    <w:p w14:paraId="6EC09376" w14:textId="4C03B2B0" w:rsidR="00D81260" w:rsidRPr="00C15715" w:rsidRDefault="00D81260" w:rsidP="00DA7B2E">
      <w:pPr>
        <w:spacing w:line="360" w:lineRule="auto"/>
        <w:jc w:val="both"/>
        <w:rPr>
          <w:rFonts w:ascii="Times New Roman" w:eastAsia="Times New Roman" w:hAnsi="Times New Roman" w:cs="Times New Roman"/>
          <w:b/>
          <w:bCs/>
          <w:sz w:val="24"/>
          <w:szCs w:val="24"/>
          <w:lang w:val="en-MY"/>
        </w:rPr>
      </w:pPr>
      <w:r w:rsidRPr="00C15715">
        <w:rPr>
          <w:rFonts w:ascii="Times New Roman" w:eastAsia="Times New Roman" w:hAnsi="Times New Roman" w:cs="Times New Roman"/>
          <w:b/>
          <w:bCs/>
          <w:sz w:val="24"/>
          <w:szCs w:val="24"/>
          <w:lang w:val="en-MY"/>
        </w:rPr>
        <w:t>Elevator Pitch</w:t>
      </w:r>
    </w:p>
    <w:p w14:paraId="44EAE2A7" w14:textId="0CBD3C81" w:rsidR="00D81260" w:rsidRDefault="00465488" w:rsidP="00DA7B2E">
      <w:pPr>
        <w:spacing w:line="360" w:lineRule="auto"/>
        <w:jc w:val="both"/>
        <w:rPr>
          <w:rFonts w:ascii="Times New Roman" w:eastAsia="Times New Roman" w:hAnsi="Times New Roman" w:cs="Times New Roman"/>
          <w:sz w:val="24"/>
          <w:szCs w:val="24"/>
          <w:lang w:val="en-MY"/>
        </w:rPr>
      </w:pPr>
      <w:r w:rsidRPr="00465488">
        <w:rPr>
          <w:rFonts w:ascii="Times New Roman" w:eastAsia="Times New Roman" w:hAnsi="Times New Roman" w:cs="Times New Roman"/>
          <w:sz w:val="24"/>
          <w:szCs w:val="24"/>
          <w:lang w:val="en-MY"/>
        </w:rPr>
        <w:t>"Imagine a future where private college students are equipped with the best study habits possible. That is what my research aims to do. I am investigating how students at a private university study and how those methods impact their grades. Understanding their studying patterns will help us find the gaps and give appropriate interventions to enhance academic achievement. In doing so, the research shall aid students, educators, and even the entire university by enhancing learning experiences and outcomes.".</w:t>
      </w:r>
    </w:p>
    <w:p w14:paraId="52C6C700" w14:textId="77777777" w:rsidR="00465488" w:rsidRDefault="00465488" w:rsidP="00DA7B2E">
      <w:pPr>
        <w:spacing w:line="360" w:lineRule="auto"/>
        <w:jc w:val="both"/>
        <w:rPr>
          <w:rFonts w:ascii="Times New Roman" w:eastAsia="Times New Roman" w:hAnsi="Times New Roman" w:cs="Times New Roman"/>
          <w:sz w:val="24"/>
          <w:szCs w:val="24"/>
          <w:lang w:val="en-MY"/>
        </w:rPr>
      </w:pPr>
    </w:p>
    <w:p w14:paraId="1181758E" w14:textId="1D8E18CE" w:rsidR="00465488" w:rsidRPr="00C15715" w:rsidRDefault="00465488" w:rsidP="00DA7B2E">
      <w:pPr>
        <w:spacing w:line="360" w:lineRule="auto"/>
        <w:jc w:val="both"/>
        <w:rPr>
          <w:rFonts w:ascii="Times New Roman" w:eastAsia="Times New Roman" w:hAnsi="Times New Roman" w:cs="Times New Roman"/>
          <w:b/>
          <w:bCs/>
          <w:sz w:val="24"/>
          <w:szCs w:val="24"/>
          <w:lang w:val="en-MY"/>
        </w:rPr>
      </w:pPr>
      <w:r w:rsidRPr="00C15715">
        <w:rPr>
          <w:rFonts w:ascii="Times New Roman" w:eastAsia="Times New Roman" w:hAnsi="Times New Roman" w:cs="Times New Roman"/>
          <w:b/>
          <w:bCs/>
          <w:sz w:val="24"/>
          <w:szCs w:val="24"/>
          <w:lang w:val="en-MY"/>
        </w:rPr>
        <w:t>Potential Stakeholders</w:t>
      </w:r>
    </w:p>
    <w:p w14:paraId="6F5A55B3" w14:textId="1665E834" w:rsidR="00465488" w:rsidRDefault="00465488" w:rsidP="00DA7B2E">
      <w:pPr>
        <w:spacing w:line="360" w:lineRule="auto"/>
        <w:jc w:val="both"/>
        <w:rPr>
          <w:rFonts w:ascii="Times New Roman" w:eastAsia="Times New Roman" w:hAnsi="Times New Roman" w:cs="Times New Roman"/>
          <w:sz w:val="24"/>
          <w:szCs w:val="24"/>
          <w:lang w:val="en-MY"/>
        </w:rPr>
      </w:pPr>
      <w:r w:rsidRPr="00465488">
        <w:rPr>
          <w:rFonts w:ascii="Times New Roman" w:eastAsia="Times New Roman" w:hAnsi="Times New Roman" w:cs="Times New Roman"/>
          <w:sz w:val="24"/>
          <w:szCs w:val="24"/>
          <w:lang w:val="en-MY"/>
        </w:rPr>
        <w:t>University administration and staff, instructors, students, and academic support services.</w:t>
      </w:r>
    </w:p>
    <w:p w14:paraId="5E89D93F" w14:textId="77777777" w:rsidR="00465488" w:rsidRDefault="00465488" w:rsidP="00DA7B2E">
      <w:pPr>
        <w:spacing w:line="360" w:lineRule="auto"/>
        <w:jc w:val="both"/>
        <w:rPr>
          <w:rFonts w:ascii="Times New Roman" w:eastAsia="Times New Roman" w:hAnsi="Times New Roman" w:cs="Times New Roman"/>
          <w:sz w:val="24"/>
          <w:szCs w:val="24"/>
          <w:lang w:val="en-MY"/>
        </w:rPr>
      </w:pPr>
    </w:p>
    <w:p w14:paraId="41E12D41" w14:textId="5065DA2D" w:rsidR="00465488" w:rsidRPr="00C15715" w:rsidRDefault="00465488" w:rsidP="00DA7B2E">
      <w:pPr>
        <w:spacing w:line="360" w:lineRule="auto"/>
        <w:jc w:val="both"/>
        <w:rPr>
          <w:rFonts w:ascii="Times New Roman" w:eastAsia="Times New Roman" w:hAnsi="Times New Roman" w:cs="Times New Roman"/>
          <w:b/>
          <w:bCs/>
          <w:sz w:val="24"/>
          <w:szCs w:val="24"/>
          <w:lang w:val="en-MY"/>
        </w:rPr>
      </w:pPr>
      <w:r w:rsidRPr="00C15715">
        <w:rPr>
          <w:rFonts w:ascii="Times New Roman" w:eastAsia="Times New Roman" w:hAnsi="Times New Roman" w:cs="Times New Roman"/>
          <w:b/>
          <w:bCs/>
          <w:sz w:val="24"/>
          <w:szCs w:val="24"/>
          <w:lang w:val="en-MY"/>
        </w:rPr>
        <w:t>Feedback and Reflections</w:t>
      </w:r>
    </w:p>
    <w:p w14:paraId="6E6FC7A3" w14:textId="2E2917A2" w:rsidR="00465488" w:rsidRDefault="00465488" w:rsidP="00DA7B2E">
      <w:pPr>
        <w:spacing w:line="360" w:lineRule="auto"/>
        <w:jc w:val="both"/>
        <w:rPr>
          <w:rFonts w:ascii="Times New Roman" w:eastAsia="Times New Roman" w:hAnsi="Times New Roman" w:cs="Times New Roman"/>
          <w:sz w:val="24"/>
          <w:szCs w:val="24"/>
          <w:lang w:val="en-MY"/>
        </w:rPr>
      </w:pPr>
      <w:r w:rsidRPr="00465488">
        <w:rPr>
          <w:rFonts w:ascii="Times New Roman" w:eastAsia="Times New Roman" w:hAnsi="Times New Roman" w:cs="Times New Roman"/>
          <w:sz w:val="24"/>
          <w:szCs w:val="24"/>
          <w:lang w:val="en-MY"/>
        </w:rPr>
        <w:t>Comments from stakeholders might be more focused on the practical outputs of the research, such as the potential to implement academic support initiatives or to develop curriculum design. Comments associated with improving the research questions in order to achieve better results in terms of certain needs of the institution would be valuable. Comments on the feasibility of the data collection process, including any impediments to conducting the research, would be helpful. That way the study could be linked better with the aims and priorities of the university by incorporating the feedback of the stakeholders.</w:t>
      </w:r>
    </w:p>
    <w:p w14:paraId="797C5ADE" w14:textId="32B6FF9E" w:rsidR="00465488" w:rsidRDefault="00465488" w:rsidP="00DA7B2E">
      <w:pPr>
        <w:spacing w:line="360" w:lineRule="auto"/>
        <w:jc w:val="both"/>
        <w:rPr>
          <w:rFonts w:ascii="Times New Roman" w:eastAsia="Times New Roman" w:hAnsi="Times New Roman" w:cs="Times New Roman"/>
          <w:sz w:val="24"/>
          <w:szCs w:val="24"/>
          <w:lang w:val="en-MY"/>
        </w:rPr>
      </w:pPr>
    </w:p>
    <w:p w14:paraId="44C18F42" w14:textId="77777777" w:rsidR="005B7792" w:rsidRPr="0085144E" w:rsidRDefault="005B7792" w:rsidP="005B7792">
      <w:pPr>
        <w:spacing w:line="360" w:lineRule="auto"/>
        <w:jc w:val="both"/>
        <w:rPr>
          <w:rFonts w:ascii="Times New Roman" w:eastAsia="Times New Roman" w:hAnsi="Times New Roman" w:cs="Times New Roman"/>
          <w:b/>
          <w:bCs/>
          <w:sz w:val="24"/>
          <w:szCs w:val="24"/>
          <w:lang w:val="en-MY"/>
        </w:rPr>
      </w:pPr>
      <w:r w:rsidRPr="0085144E">
        <w:rPr>
          <w:rFonts w:ascii="Times New Roman" w:eastAsia="Times New Roman" w:hAnsi="Times New Roman" w:cs="Times New Roman"/>
          <w:b/>
          <w:bCs/>
          <w:sz w:val="24"/>
          <w:szCs w:val="24"/>
          <w:lang w:val="en-MY"/>
        </w:rPr>
        <w:t>3-minute Video Elevator Pitch</w:t>
      </w:r>
    </w:p>
    <w:p w14:paraId="50A1AF77" w14:textId="77777777" w:rsidR="005B7792" w:rsidRDefault="005B7792" w:rsidP="005B7792">
      <w:pPr>
        <w:spacing w:line="360" w:lineRule="auto"/>
        <w:jc w:val="both"/>
        <w:rPr>
          <w:rFonts w:ascii="Times New Roman" w:eastAsia="Times New Roman" w:hAnsi="Times New Roman" w:cs="Times New Roman"/>
          <w:sz w:val="24"/>
          <w:szCs w:val="24"/>
          <w:lang w:val="en-MY"/>
        </w:rPr>
      </w:pPr>
      <w:r>
        <w:object w:dxaOrig="1520" w:dyaOrig="987" w14:anchorId="6B58B26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8pt;height:48pt" o:ole="">
            <v:imagedata r:id="rId7" o:title=""/>
          </v:shape>
          <o:OLEObject Type="Embed" ProgID="PowerPoint.Show.12" ShapeID="_x0000_i1025" DrawAspect="Icon" ObjectID="_1785614830" r:id="rId8"/>
        </w:object>
      </w:r>
    </w:p>
    <w:p w14:paraId="1932F185" w14:textId="356195AD" w:rsidR="00465488" w:rsidRDefault="00465488" w:rsidP="00DA7B2E">
      <w:pPr>
        <w:spacing w:line="360" w:lineRule="auto"/>
        <w:jc w:val="both"/>
        <w:rPr>
          <w:rFonts w:ascii="Times New Roman" w:eastAsia="Times New Roman" w:hAnsi="Times New Roman" w:cs="Times New Roman"/>
          <w:sz w:val="24"/>
          <w:szCs w:val="24"/>
          <w:lang w:val="en-MY"/>
        </w:rPr>
      </w:pPr>
    </w:p>
    <w:p w14:paraId="041F792B" w14:textId="46782111" w:rsidR="00465488" w:rsidRDefault="00465488" w:rsidP="00DA7B2E">
      <w:pPr>
        <w:spacing w:line="360" w:lineRule="auto"/>
        <w:jc w:val="both"/>
        <w:rPr>
          <w:rFonts w:ascii="Times New Roman" w:eastAsia="Times New Roman" w:hAnsi="Times New Roman" w:cs="Times New Roman"/>
          <w:sz w:val="24"/>
          <w:szCs w:val="24"/>
          <w:lang w:val="en-MY"/>
        </w:rPr>
      </w:pPr>
    </w:p>
    <w:p w14:paraId="099956BB" w14:textId="5AA0F755" w:rsidR="00465488" w:rsidRDefault="00465488" w:rsidP="00DA7B2E">
      <w:pPr>
        <w:spacing w:line="360" w:lineRule="auto"/>
        <w:jc w:val="both"/>
        <w:rPr>
          <w:rFonts w:ascii="Times New Roman" w:eastAsia="Times New Roman" w:hAnsi="Times New Roman" w:cs="Times New Roman"/>
          <w:sz w:val="24"/>
          <w:szCs w:val="24"/>
          <w:lang w:val="en-MY"/>
        </w:rPr>
      </w:pPr>
    </w:p>
    <w:p w14:paraId="6C3D68F1" w14:textId="0AEFE96E" w:rsidR="00465488" w:rsidRDefault="00465488" w:rsidP="00DA7B2E">
      <w:pPr>
        <w:spacing w:line="360" w:lineRule="auto"/>
        <w:jc w:val="both"/>
        <w:rPr>
          <w:rFonts w:ascii="Times New Roman" w:eastAsia="Times New Roman" w:hAnsi="Times New Roman" w:cs="Times New Roman"/>
          <w:sz w:val="24"/>
          <w:szCs w:val="24"/>
          <w:lang w:val="en-MY"/>
        </w:rPr>
      </w:pPr>
    </w:p>
    <w:p w14:paraId="30DAC873" w14:textId="5448B30D" w:rsidR="00465488" w:rsidRDefault="00465488" w:rsidP="00DA7B2E">
      <w:pPr>
        <w:spacing w:line="360" w:lineRule="auto"/>
        <w:jc w:val="both"/>
        <w:rPr>
          <w:rFonts w:ascii="Times New Roman" w:eastAsia="Times New Roman" w:hAnsi="Times New Roman" w:cs="Times New Roman"/>
          <w:sz w:val="24"/>
          <w:szCs w:val="24"/>
          <w:lang w:val="en-MY"/>
        </w:rPr>
      </w:pPr>
    </w:p>
    <w:p w14:paraId="4588766E" w14:textId="1F342544" w:rsidR="00465488" w:rsidRDefault="00465488" w:rsidP="00DA7B2E">
      <w:pPr>
        <w:spacing w:line="360" w:lineRule="auto"/>
        <w:jc w:val="both"/>
        <w:rPr>
          <w:rFonts w:ascii="Times New Roman" w:eastAsia="Times New Roman" w:hAnsi="Times New Roman" w:cs="Times New Roman"/>
          <w:sz w:val="24"/>
          <w:szCs w:val="24"/>
          <w:lang w:val="en-MY"/>
        </w:rPr>
      </w:pPr>
    </w:p>
    <w:p w14:paraId="2AB142C3" w14:textId="77777777" w:rsidR="00866E46" w:rsidRDefault="00866E46" w:rsidP="00DA7B2E">
      <w:pPr>
        <w:spacing w:line="360" w:lineRule="auto"/>
        <w:jc w:val="both"/>
        <w:rPr>
          <w:rFonts w:ascii="Times New Roman" w:eastAsia="Times New Roman" w:hAnsi="Times New Roman" w:cs="Times New Roman"/>
          <w:b/>
          <w:bCs/>
          <w:sz w:val="24"/>
          <w:szCs w:val="24"/>
          <w:lang w:val="en-MY"/>
        </w:rPr>
      </w:pPr>
    </w:p>
    <w:p w14:paraId="2E866A3C" w14:textId="26DDEBF1" w:rsidR="00465488" w:rsidRPr="00397AA0" w:rsidRDefault="00465488" w:rsidP="00DA7B2E">
      <w:pPr>
        <w:spacing w:line="360" w:lineRule="auto"/>
        <w:jc w:val="both"/>
        <w:rPr>
          <w:rFonts w:ascii="Times New Roman" w:eastAsia="Times New Roman" w:hAnsi="Times New Roman" w:cs="Times New Roman"/>
          <w:b/>
          <w:bCs/>
          <w:sz w:val="24"/>
          <w:szCs w:val="24"/>
          <w:lang w:val="en-MY"/>
        </w:rPr>
      </w:pPr>
      <w:bookmarkStart w:id="2" w:name="_GoBack"/>
      <w:bookmarkEnd w:id="2"/>
      <w:r w:rsidRPr="00397AA0">
        <w:rPr>
          <w:rFonts w:ascii="Times New Roman" w:eastAsia="Times New Roman" w:hAnsi="Times New Roman" w:cs="Times New Roman"/>
          <w:b/>
          <w:bCs/>
          <w:sz w:val="24"/>
          <w:szCs w:val="24"/>
          <w:lang w:val="en-MY"/>
        </w:rPr>
        <w:lastRenderedPageBreak/>
        <w:t>Task 4-Data Analysis</w:t>
      </w:r>
    </w:p>
    <w:p w14:paraId="68EE1C77" w14:textId="4FA22D4C" w:rsid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An attractive poster is instrumental in effectively communicating research findings at a conference. For research on the methods of study among private university students, the poster must clearly indicate the intentions of the research, methodology, main findings, and consequences. The introduction of the poster should be a brief statement of a problem where it indicates the information gap about the study methods in private colleges and how the study will help solve the problem. In this section, one needs to introduce the questions that will guide the investigation.</w:t>
      </w:r>
    </w:p>
    <w:p w14:paraId="1BB0A3A3" w14:textId="77777777" w:rsidR="00397AA0" w:rsidRDefault="00397AA0" w:rsidP="00397AA0">
      <w:pPr>
        <w:spacing w:line="360" w:lineRule="auto"/>
        <w:jc w:val="both"/>
        <w:rPr>
          <w:rFonts w:ascii="Times New Roman" w:eastAsia="Times New Roman" w:hAnsi="Times New Roman" w:cs="Times New Roman"/>
          <w:sz w:val="24"/>
          <w:szCs w:val="24"/>
          <w:lang w:val="en-MY"/>
        </w:rPr>
      </w:pPr>
    </w:p>
    <w:p w14:paraId="50187F41" w14:textId="4B674E32" w:rsid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The methodology section has to give a brief insight into the design, the sample size, data collection, and tools of analysis used. There should be small narration on the sampling procedure followed in the selection of the subjects. It is in this area that the results section highlights the poster. Graphs, charts, and tables may be presented with a brief explanation for the major findings. For example, one graph was a bar graph showing the rate of each method used, the other was a scatter plot resulting in a correlation between hours of study and academic grades. All graphs have labels that are legible and succinct.</w:t>
      </w:r>
    </w:p>
    <w:p w14:paraId="552FB75E" w14:textId="77777777" w:rsidR="00397AA0" w:rsidRPr="00465488" w:rsidRDefault="00397AA0" w:rsidP="00397AA0">
      <w:pPr>
        <w:spacing w:line="360" w:lineRule="auto"/>
        <w:jc w:val="both"/>
        <w:rPr>
          <w:rFonts w:ascii="Times New Roman" w:eastAsia="Times New Roman" w:hAnsi="Times New Roman" w:cs="Times New Roman"/>
          <w:sz w:val="24"/>
          <w:szCs w:val="24"/>
          <w:lang w:val="en-MY"/>
        </w:rPr>
      </w:pPr>
    </w:p>
    <w:p w14:paraId="09138F21" w14:textId="5DB611BF" w:rsid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Major results that emerge from the data analysis should be highlighted in capital letters on the poster. Such conclusions need to clearly answer the mentioned research questions, but at the same time, be very focused on demonstrating what novelty the study is going to bring to the knowledge area. For example, if the strategies of time management are found to be highly related to academic achievement, then it has to be stated. To sum up, a short explanation concerning the implications of the findings for students, instructors, and administrators should be placed on the poster. This section may also include some recommendations for further research.</w:t>
      </w:r>
    </w:p>
    <w:p w14:paraId="3DDF98C2" w14:textId="77777777" w:rsidR="00397AA0" w:rsidRDefault="00397AA0" w:rsidP="00397AA0">
      <w:pPr>
        <w:spacing w:line="360" w:lineRule="auto"/>
        <w:jc w:val="both"/>
        <w:rPr>
          <w:rFonts w:ascii="Times New Roman" w:eastAsia="Times New Roman" w:hAnsi="Times New Roman" w:cs="Times New Roman"/>
          <w:sz w:val="24"/>
          <w:szCs w:val="24"/>
          <w:lang w:val="en-MY"/>
        </w:rPr>
      </w:pPr>
    </w:p>
    <w:p w14:paraId="4913CFE6" w14:textId="6A2C3AFB" w:rsid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One needs to use consistent design and structure throughout the poster for more visual appeal and readability. White space, appropriate text size, and good contrast colours will further develop a display of the content. Incorporating high-quality photos or graphics about the research topic could be quite helpful in improving the engagement rate of the poster. A visually appealing and very informative poster can be designed following these guidelines, articulating practice research findings that will be conducted among students at a private institution.</w:t>
      </w:r>
    </w:p>
    <w:p w14:paraId="615CD7A5" w14:textId="77777777" w:rsidR="005B4AE2" w:rsidRDefault="005B4AE2" w:rsidP="00397AA0">
      <w:pPr>
        <w:spacing w:line="360" w:lineRule="auto"/>
        <w:jc w:val="both"/>
        <w:rPr>
          <w:rFonts w:ascii="Times New Roman" w:eastAsia="Times New Roman" w:hAnsi="Times New Roman" w:cs="Times New Roman"/>
          <w:noProof/>
          <w:sz w:val="24"/>
          <w:szCs w:val="24"/>
          <w:lang w:val="en-MY"/>
        </w:rPr>
      </w:pPr>
    </w:p>
    <w:p w14:paraId="41BD6DA0" w14:textId="1492DE0A" w:rsidR="00397AA0" w:rsidRDefault="00FE089B" w:rsidP="00397AA0">
      <w:pPr>
        <w:spacing w:line="360" w:lineRule="auto"/>
        <w:jc w:val="both"/>
        <w:rPr>
          <w:rFonts w:ascii="Times New Roman" w:eastAsia="Times New Roman" w:hAnsi="Times New Roman" w:cs="Times New Roman"/>
          <w:sz w:val="24"/>
          <w:szCs w:val="24"/>
          <w:lang w:val="en-MY"/>
        </w:rPr>
      </w:pPr>
      <w:r>
        <w:rPr>
          <w:rFonts w:ascii="Times New Roman" w:eastAsia="Times New Roman" w:hAnsi="Times New Roman" w:cs="Times New Roman"/>
          <w:noProof/>
          <w:sz w:val="24"/>
          <w:szCs w:val="24"/>
          <w:lang w:val="en-MY"/>
        </w:rPr>
        <w:lastRenderedPageBreak/>
        <w:drawing>
          <wp:inline distT="0" distB="0" distL="0" distR="0" wp14:anchorId="6AC3E2B8" wp14:editId="6CF56A71">
            <wp:extent cx="6027420" cy="8229600"/>
            <wp:effectExtent l="0" t="0" r="0" b="0"/>
            <wp:docPr id="6045709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570986" name="Picture 604570986"/>
                    <pic:cNvPicPr/>
                  </pic:nvPicPr>
                  <pic:blipFill>
                    <a:blip r:embed="rId9" cstate="print">
                      <a:extLst>
                        <a:ext uri="{28A0092B-C50C-407E-A947-70E740481C1C}">
                          <a14:useLocalDpi xmlns:a14="http://schemas.microsoft.com/office/drawing/2010/main" val="0"/>
                        </a:ext>
                      </a:extLst>
                    </a:blip>
                    <a:stretch>
                      <a:fillRect/>
                    </a:stretch>
                  </pic:blipFill>
                  <pic:spPr>
                    <a:xfrm>
                      <a:off x="0" y="0"/>
                      <a:ext cx="6027420" cy="8229600"/>
                    </a:xfrm>
                    <a:prstGeom prst="rect">
                      <a:avLst/>
                    </a:prstGeom>
                  </pic:spPr>
                </pic:pic>
              </a:graphicData>
            </a:graphic>
          </wp:inline>
        </w:drawing>
      </w:r>
    </w:p>
    <w:p w14:paraId="46C5E300" w14:textId="45F421B1"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lastRenderedPageBreak/>
        <w:t>References</w:t>
      </w:r>
    </w:p>
    <w:p w14:paraId="54321BD2" w14:textId="0EEF1E2E"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Becker, W. E., &amp; Watts, M. (2001). Teaching economics to undergraduates. Journal of Economic Perspectives, 15(2), 89-102. </w:t>
      </w:r>
      <w:hyperlink r:id="rId10" w:history="1">
        <w:r w:rsidRPr="005C60A7">
          <w:rPr>
            <w:rStyle w:val="Hyperlink"/>
            <w:rFonts w:ascii="Times New Roman" w:eastAsia="Times New Roman" w:hAnsi="Times New Roman" w:cs="Times New Roman"/>
            <w:sz w:val="24"/>
            <w:szCs w:val="24"/>
            <w:lang w:val="en-MY"/>
          </w:rPr>
          <w:t>https://doi.org/10.1257/jep.15.2.89</w:t>
        </w:r>
      </w:hyperlink>
    </w:p>
    <w:p w14:paraId="34A1F4F2" w14:textId="13466721"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Hattie, J., &amp; Timperley, H. (2007). The power of feedback. Review of Educational Research, 77(1), 81-112. </w:t>
      </w:r>
      <w:hyperlink r:id="rId11" w:history="1">
        <w:r w:rsidRPr="005C60A7">
          <w:rPr>
            <w:rStyle w:val="Hyperlink"/>
            <w:rFonts w:ascii="Times New Roman" w:eastAsia="Times New Roman" w:hAnsi="Times New Roman" w:cs="Times New Roman"/>
            <w:sz w:val="24"/>
            <w:szCs w:val="24"/>
            <w:lang w:val="en-MY"/>
          </w:rPr>
          <w:t>https://doi.org/10.3102/003465430298487</w:t>
        </w:r>
      </w:hyperlink>
    </w:p>
    <w:p w14:paraId="599B24EF" w14:textId="320C0C73"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Horowitz, R., &amp; Sammons, P. (1988). Students' study habits and academic performance. Journal of Educational Psychology, 80(3), 350-362. </w:t>
      </w:r>
      <w:hyperlink r:id="rId12" w:history="1">
        <w:r w:rsidRPr="005C60A7">
          <w:rPr>
            <w:rStyle w:val="Hyperlink"/>
            <w:rFonts w:ascii="Times New Roman" w:eastAsia="Times New Roman" w:hAnsi="Times New Roman" w:cs="Times New Roman"/>
            <w:sz w:val="24"/>
            <w:szCs w:val="24"/>
            <w:lang w:val="en-MY"/>
          </w:rPr>
          <w:t>https://doi.org/10.1037/0022-0663.80.3.350</w:t>
        </w:r>
      </w:hyperlink>
    </w:p>
    <w:p w14:paraId="141C05B7" w14:textId="1DF3EE5C"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Muis, K. R., &amp; Franco, A. L. (2009). Self-regulation of learning: Influences of study habits on academic performance. Journal of Educational Psychology, 101(4), 799-813. </w:t>
      </w:r>
      <w:hyperlink r:id="rId13" w:history="1">
        <w:r w:rsidRPr="005C60A7">
          <w:rPr>
            <w:rStyle w:val="Hyperlink"/>
            <w:rFonts w:ascii="Times New Roman" w:eastAsia="Times New Roman" w:hAnsi="Times New Roman" w:cs="Times New Roman"/>
            <w:sz w:val="24"/>
            <w:szCs w:val="24"/>
            <w:lang w:val="en-MY"/>
          </w:rPr>
          <w:t>https://doi.org/10.1037/a0016360</w:t>
        </w:r>
      </w:hyperlink>
    </w:p>
    <w:p w14:paraId="1F370567" w14:textId="679A1A68"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Pintrich, P. R. (2004). A conceptual framework for assessing motivation and self-regulated learning in college students. Educational Psychology Review, 16(4), 385-407. </w:t>
      </w:r>
      <w:hyperlink r:id="rId14" w:history="1">
        <w:r w:rsidRPr="005C60A7">
          <w:rPr>
            <w:rStyle w:val="Hyperlink"/>
            <w:rFonts w:ascii="Times New Roman" w:eastAsia="Times New Roman" w:hAnsi="Times New Roman" w:cs="Times New Roman"/>
            <w:sz w:val="24"/>
            <w:szCs w:val="24"/>
            <w:lang w:val="en-MY"/>
          </w:rPr>
          <w:t>https://doi.org/10.1007/s10648-004-0006-x</w:t>
        </w:r>
      </w:hyperlink>
    </w:p>
    <w:p w14:paraId="3FCB1266" w14:textId="49128C38"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Renaud, R. D., &amp; Murray, T. S. (2005). The relationship between study habits and academic performance among university students. Journal of Educational Psychology, 97(3), 563-570. </w:t>
      </w:r>
      <w:hyperlink r:id="rId15" w:history="1">
        <w:r w:rsidRPr="005C60A7">
          <w:rPr>
            <w:rStyle w:val="Hyperlink"/>
            <w:rFonts w:ascii="Times New Roman" w:eastAsia="Times New Roman" w:hAnsi="Times New Roman" w:cs="Times New Roman"/>
            <w:sz w:val="24"/>
            <w:szCs w:val="24"/>
            <w:lang w:val="en-MY"/>
          </w:rPr>
          <w:t>https://doi.org/10.1037/0022-0663.97.3.563</w:t>
        </w:r>
      </w:hyperlink>
    </w:p>
    <w:p w14:paraId="2A679032" w14:textId="130BDC63"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Richardson, J. T. E., Abraham, C., &amp; Bond, R. (2012). Psychological factors influencing undergraduate students' academic performance. A systematic review and meta-analysis. Perspectives on Psychological Science, 7(6), 507-528. </w:t>
      </w:r>
      <w:hyperlink r:id="rId16" w:history="1">
        <w:r w:rsidRPr="005C60A7">
          <w:rPr>
            <w:rStyle w:val="Hyperlink"/>
            <w:rFonts w:ascii="Times New Roman" w:eastAsia="Times New Roman" w:hAnsi="Times New Roman" w:cs="Times New Roman"/>
            <w:sz w:val="24"/>
            <w:szCs w:val="24"/>
            <w:lang w:val="en-MY"/>
          </w:rPr>
          <w:t>https://doi.org/10.1177/1745691612457206</w:t>
        </w:r>
      </w:hyperlink>
    </w:p>
    <w:p w14:paraId="1EB3A635" w14:textId="0B2D002F" w:rsid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Searle, J., &amp; Houghton, J. (2013). Study skills and academic performance: Evidence from university students. Higher Education Research &amp; Development, 32(2), 229-242. </w:t>
      </w:r>
      <w:hyperlink r:id="rId17" w:history="1">
        <w:r w:rsidRPr="005C60A7">
          <w:rPr>
            <w:rStyle w:val="Hyperlink"/>
            <w:rFonts w:ascii="Times New Roman" w:eastAsia="Times New Roman" w:hAnsi="Times New Roman" w:cs="Times New Roman"/>
            <w:sz w:val="24"/>
            <w:szCs w:val="24"/>
            <w:lang w:val="en-MY"/>
          </w:rPr>
          <w:t>https://doi.org/10.1080/07294360.2012.697564</w:t>
        </w:r>
      </w:hyperlink>
    </w:p>
    <w:p w14:paraId="1491C9C2" w14:textId="77777777" w:rsidR="00397AA0" w:rsidRPr="00397AA0" w:rsidRDefault="00397AA0" w:rsidP="00397AA0">
      <w:pPr>
        <w:spacing w:line="360" w:lineRule="auto"/>
        <w:jc w:val="both"/>
        <w:rPr>
          <w:rFonts w:ascii="Times New Roman" w:eastAsia="Times New Roman" w:hAnsi="Times New Roman" w:cs="Times New Roman"/>
          <w:sz w:val="24"/>
          <w:szCs w:val="24"/>
          <w:lang w:val="en-MY"/>
        </w:rPr>
      </w:pPr>
    </w:p>
    <w:p w14:paraId="2F0BCBDE" w14:textId="04141F92"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Swanson, H. L. (1999). Cognitive processes that predict achievement in reading and mathematics. Journal of Educational Psychology, 91(2), 345-355. </w:t>
      </w:r>
      <w:hyperlink r:id="rId18" w:history="1">
        <w:r w:rsidRPr="005C60A7">
          <w:rPr>
            <w:rStyle w:val="Hyperlink"/>
            <w:rFonts w:ascii="Times New Roman" w:eastAsia="Times New Roman" w:hAnsi="Times New Roman" w:cs="Times New Roman"/>
            <w:sz w:val="24"/>
            <w:szCs w:val="24"/>
            <w:lang w:val="en-MY"/>
          </w:rPr>
          <w:t>https://doi.org/10.1037/0022-0663.91.2.34</w:t>
        </w:r>
      </w:hyperlink>
    </w:p>
    <w:p w14:paraId="709A977D" w14:textId="48230F70" w:rsidR="00397AA0" w:rsidRPr="00397AA0"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t xml:space="preserve">• Van Etten, S., Pressley, M., &amp; McDaniel, M. A. (2001). Study strategies in a college course: The role of student characteristics in determining the use of study strategies. Journal of Educational Psychology, 93(4), 779-789. </w:t>
      </w:r>
      <w:hyperlink r:id="rId19" w:history="1">
        <w:r w:rsidRPr="005C60A7">
          <w:rPr>
            <w:rStyle w:val="Hyperlink"/>
            <w:rFonts w:ascii="Times New Roman" w:eastAsia="Times New Roman" w:hAnsi="Times New Roman" w:cs="Times New Roman"/>
            <w:sz w:val="24"/>
            <w:szCs w:val="24"/>
            <w:lang w:val="en-MY"/>
          </w:rPr>
          <w:t>https://doi.org/10.1037/0022-0663.93.4.779</w:t>
        </w:r>
      </w:hyperlink>
    </w:p>
    <w:p w14:paraId="3F64E960" w14:textId="69CF1344" w:rsidR="00465488" w:rsidRDefault="00397AA0" w:rsidP="00397AA0">
      <w:pPr>
        <w:spacing w:line="360" w:lineRule="auto"/>
        <w:jc w:val="both"/>
        <w:rPr>
          <w:rFonts w:ascii="Times New Roman" w:eastAsia="Times New Roman" w:hAnsi="Times New Roman" w:cs="Times New Roman"/>
          <w:sz w:val="24"/>
          <w:szCs w:val="24"/>
          <w:lang w:val="en-MY"/>
        </w:rPr>
      </w:pPr>
      <w:r w:rsidRPr="00397AA0">
        <w:rPr>
          <w:rFonts w:ascii="Times New Roman" w:eastAsia="Times New Roman" w:hAnsi="Times New Roman" w:cs="Times New Roman"/>
          <w:sz w:val="24"/>
          <w:szCs w:val="24"/>
          <w:lang w:val="en-MY"/>
        </w:rPr>
        <w:lastRenderedPageBreak/>
        <w:t xml:space="preserve">• Zimmerman, B. J. (2002). Becoming a self-regulated learner: A reflection on the decade. Theory Into Practice, 41(2), 64-70. </w:t>
      </w:r>
      <w:hyperlink r:id="rId20" w:history="1">
        <w:r w:rsidRPr="005C60A7">
          <w:rPr>
            <w:rStyle w:val="Hyperlink"/>
            <w:rFonts w:ascii="Times New Roman" w:eastAsia="Times New Roman" w:hAnsi="Times New Roman" w:cs="Times New Roman"/>
            <w:sz w:val="24"/>
            <w:szCs w:val="24"/>
            <w:lang w:val="en-MY"/>
          </w:rPr>
          <w:t>https://doi.org/10.1207/s15430421tip4102_2</w:t>
        </w:r>
      </w:hyperlink>
    </w:p>
    <w:p w14:paraId="4306EB66" w14:textId="77777777" w:rsidR="00397AA0" w:rsidRPr="00D81260" w:rsidRDefault="00397AA0" w:rsidP="00397AA0">
      <w:pPr>
        <w:spacing w:line="360" w:lineRule="auto"/>
        <w:jc w:val="both"/>
        <w:rPr>
          <w:rFonts w:ascii="Times New Roman" w:eastAsia="Times New Roman" w:hAnsi="Times New Roman" w:cs="Times New Roman"/>
          <w:sz w:val="24"/>
          <w:szCs w:val="24"/>
          <w:lang w:val="en-MY"/>
        </w:rPr>
      </w:pPr>
    </w:p>
    <w:p w14:paraId="583A2B23" w14:textId="77777777" w:rsidR="00D81260" w:rsidRDefault="00D81260" w:rsidP="00DA7B2E">
      <w:pPr>
        <w:spacing w:line="360" w:lineRule="auto"/>
        <w:jc w:val="both"/>
        <w:rPr>
          <w:rFonts w:ascii="Times New Roman" w:eastAsia="Times New Roman" w:hAnsi="Times New Roman" w:cs="Times New Roman"/>
          <w:sz w:val="24"/>
          <w:szCs w:val="24"/>
          <w:lang w:val="en-MY"/>
        </w:rPr>
      </w:pPr>
    </w:p>
    <w:p w14:paraId="7E40F903" w14:textId="77777777" w:rsidR="00B554BF" w:rsidRDefault="00B554BF" w:rsidP="00DA7B2E">
      <w:pPr>
        <w:spacing w:line="360" w:lineRule="auto"/>
        <w:jc w:val="both"/>
        <w:rPr>
          <w:rFonts w:ascii="Times New Roman" w:eastAsia="Times New Roman" w:hAnsi="Times New Roman" w:cs="Times New Roman"/>
          <w:sz w:val="24"/>
          <w:szCs w:val="24"/>
          <w:lang w:val="en-MY"/>
        </w:rPr>
      </w:pPr>
    </w:p>
    <w:p w14:paraId="3829F674" w14:textId="77777777" w:rsidR="00ED344A" w:rsidRDefault="00ED344A" w:rsidP="00544F9B">
      <w:pPr>
        <w:spacing w:line="360" w:lineRule="auto"/>
        <w:jc w:val="both"/>
        <w:rPr>
          <w:rFonts w:ascii="Times New Roman" w:eastAsia="Times New Roman" w:hAnsi="Times New Roman" w:cs="Times New Roman"/>
          <w:sz w:val="24"/>
          <w:szCs w:val="24"/>
          <w:lang w:val="en-MY"/>
        </w:rPr>
      </w:pPr>
    </w:p>
    <w:p w14:paraId="74C1FD1B" w14:textId="5117FC6E" w:rsidR="00544F9B" w:rsidRDefault="00544F9B" w:rsidP="00544F9B">
      <w:pPr>
        <w:spacing w:line="360" w:lineRule="auto"/>
        <w:jc w:val="both"/>
        <w:rPr>
          <w:rFonts w:ascii="Times New Roman" w:eastAsia="Times New Roman" w:hAnsi="Times New Roman" w:cs="Times New Roman"/>
          <w:sz w:val="24"/>
          <w:szCs w:val="24"/>
          <w:lang w:val="en-MY"/>
        </w:rPr>
      </w:pPr>
    </w:p>
    <w:p w14:paraId="203BD91C" w14:textId="77777777" w:rsidR="00544F9B" w:rsidRPr="00544F9B" w:rsidRDefault="00544F9B" w:rsidP="00544F9B">
      <w:pPr>
        <w:spacing w:line="360" w:lineRule="auto"/>
        <w:jc w:val="both"/>
        <w:rPr>
          <w:rFonts w:ascii="Times New Roman" w:eastAsia="Times New Roman" w:hAnsi="Times New Roman" w:cs="Times New Roman"/>
          <w:sz w:val="24"/>
          <w:szCs w:val="24"/>
          <w:lang w:val="en-MY"/>
        </w:rPr>
      </w:pPr>
    </w:p>
    <w:p w14:paraId="4E153EE0" w14:textId="41BDDF29" w:rsidR="00544F9B" w:rsidRPr="00544F9B" w:rsidRDefault="00544F9B" w:rsidP="00544F9B">
      <w:pPr>
        <w:spacing w:line="360" w:lineRule="auto"/>
        <w:jc w:val="both"/>
        <w:rPr>
          <w:rFonts w:ascii="Times New Roman" w:eastAsia="Times New Roman" w:hAnsi="Times New Roman" w:cs="Times New Roman"/>
          <w:sz w:val="24"/>
          <w:szCs w:val="24"/>
          <w:lang w:val="en-MY"/>
        </w:rPr>
      </w:pPr>
    </w:p>
    <w:p w14:paraId="76C80981" w14:textId="77777777" w:rsidR="00544F9B" w:rsidRPr="00544F9B" w:rsidRDefault="00544F9B" w:rsidP="00544F9B">
      <w:pPr>
        <w:spacing w:line="360" w:lineRule="auto"/>
        <w:jc w:val="both"/>
        <w:rPr>
          <w:rFonts w:ascii="Times New Roman" w:eastAsia="Times New Roman" w:hAnsi="Times New Roman" w:cs="Times New Roman"/>
          <w:sz w:val="24"/>
          <w:szCs w:val="24"/>
          <w:lang w:val="en-MY"/>
        </w:rPr>
      </w:pPr>
    </w:p>
    <w:p w14:paraId="13EF5164" w14:textId="77777777" w:rsidR="00544F9B" w:rsidRDefault="00544F9B" w:rsidP="00544F9B">
      <w:pPr>
        <w:spacing w:line="360" w:lineRule="auto"/>
        <w:jc w:val="both"/>
        <w:rPr>
          <w:rFonts w:ascii="Times New Roman" w:eastAsia="Times New Roman" w:hAnsi="Times New Roman" w:cs="Times New Roman"/>
          <w:sz w:val="24"/>
          <w:szCs w:val="24"/>
        </w:rPr>
      </w:pPr>
    </w:p>
    <w:p w14:paraId="5E170D7A" w14:textId="77777777" w:rsidR="00544F9B" w:rsidRPr="00F351C4" w:rsidRDefault="00544F9B">
      <w:pPr>
        <w:jc w:val="both"/>
        <w:rPr>
          <w:rFonts w:ascii="Times New Roman" w:eastAsia="Times New Roman" w:hAnsi="Times New Roman" w:cs="Times New Roman"/>
          <w:sz w:val="24"/>
          <w:szCs w:val="24"/>
        </w:rPr>
      </w:pPr>
    </w:p>
    <w:sectPr w:rsidR="00544F9B" w:rsidRPr="00F351C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EE5546" w14:textId="77777777" w:rsidR="00900B59" w:rsidRDefault="00900B59">
      <w:pPr>
        <w:spacing w:line="240" w:lineRule="auto"/>
      </w:pPr>
      <w:r>
        <w:separator/>
      </w:r>
    </w:p>
  </w:endnote>
  <w:endnote w:type="continuationSeparator" w:id="0">
    <w:p w14:paraId="51D0500E" w14:textId="77777777" w:rsidR="00900B59" w:rsidRDefault="00900B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BDDCFE" w14:textId="77777777" w:rsidR="00900B59" w:rsidRDefault="00900B59">
      <w:pPr>
        <w:spacing w:line="240" w:lineRule="auto"/>
      </w:pPr>
      <w:r>
        <w:separator/>
      </w:r>
    </w:p>
  </w:footnote>
  <w:footnote w:type="continuationSeparator" w:id="0">
    <w:p w14:paraId="62BAAF60" w14:textId="77777777" w:rsidR="00900B59" w:rsidRDefault="00900B5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2304"/>
    <w:rsid w:val="00001122"/>
    <w:rsid w:val="00033190"/>
    <w:rsid w:val="000A3EDE"/>
    <w:rsid w:val="00107BB0"/>
    <w:rsid w:val="002A52D8"/>
    <w:rsid w:val="002B75A4"/>
    <w:rsid w:val="00397AA0"/>
    <w:rsid w:val="003B017D"/>
    <w:rsid w:val="004268EB"/>
    <w:rsid w:val="00465488"/>
    <w:rsid w:val="004E2304"/>
    <w:rsid w:val="00544F9B"/>
    <w:rsid w:val="005715AD"/>
    <w:rsid w:val="005B4AE2"/>
    <w:rsid w:val="005B7792"/>
    <w:rsid w:val="00600DDB"/>
    <w:rsid w:val="006E7F99"/>
    <w:rsid w:val="00712C27"/>
    <w:rsid w:val="00727342"/>
    <w:rsid w:val="007A0258"/>
    <w:rsid w:val="00840BEC"/>
    <w:rsid w:val="00866E46"/>
    <w:rsid w:val="00900B59"/>
    <w:rsid w:val="00907ECE"/>
    <w:rsid w:val="00A442DA"/>
    <w:rsid w:val="00AA2957"/>
    <w:rsid w:val="00AD5274"/>
    <w:rsid w:val="00B06F00"/>
    <w:rsid w:val="00B554BF"/>
    <w:rsid w:val="00BD1458"/>
    <w:rsid w:val="00C15715"/>
    <w:rsid w:val="00C66FF5"/>
    <w:rsid w:val="00CA4E05"/>
    <w:rsid w:val="00CE7DEB"/>
    <w:rsid w:val="00D02476"/>
    <w:rsid w:val="00D81260"/>
    <w:rsid w:val="00DA7B2E"/>
    <w:rsid w:val="00ED344A"/>
    <w:rsid w:val="00EE5CC0"/>
    <w:rsid w:val="00F351C4"/>
    <w:rsid w:val="00FE089B"/>
  </w:rsids>
  <m:mathPr>
    <m:mathFont m:val="Cambria Math"/>
    <m:brkBin m:val="before"/>
    <m:brkBinSub m:val="--"/>
    <m:smallFrac m:val="0"/>
    <m:dispDef/>
    <m:lMargin m:val="0"/>
    <m:rMargin m:val="0"/>
    <m:defJc m:val="centerGroup"/>
    <m:wrapIndent m:val="1440"/>
    <m:intLim m:val="subSup"/>
    <m:naryLim m:val="undOvr"/>
  </m:mathPr>
  <w:themeFontLang w:val="en-MY"/>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5268F"/>
  <w15:docId w15:val="{778A00B5-988F-46B2-B285-AA212F4BF4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MY"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C0C0C0"/>
    </w:tc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0A3EDE"/>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Emphasis">
    <w:name w:val="Emphasis"/>
    <w:basedOn w:val="DefaultParagraphFont"/>
    <w:uiPriority w:val="20"/>
    <w:qFormat/>
    <w:rsid w:val="000A3EDE"/>
    <w:rPr>
      <w:i/>
      <w:iCs/>
    </w:rPr>
  </w:style>
  <w:style w:type="character" w:styleId="Hyperlink">
    <w:name w:val="Hyperlink"/>
    <w:basedOn w:val="DefaultParagraphFont"/>
    <w:uiPriority w:val="99"/>
    <w:unhideWhenUsed/>
    <w:rsid w:val="000A3EDE"/>
    <w:rPr>
      <w:color w:val="0000FF" w:themeColor="hyperlink"/>
      <w:u w:val="single"/>
    </w:rPr>
  </w:style>
  <w:style w:type="character" w:styleId="UnresolvedMention">
    <w:name w:val="Unresolved Mention"/>
    <w:basedOn w:val="DefaultParagraphFont"/>
    <w:uiPriority w:val="99"/>
    <w:semiHidden/>
    <w:unhideWhenUsed/>
    <w:rsid w:val="000A3EDE"/>
    <w:rPr>
      <w:color w:val="605E5C"/>
      <w:shd w:val="clear" w:color="auto" w:fill="E1DFDD"/>
    </w:rPr>
  </w:style>
  <w:style w:type="paragraph" w:styleId="Header">
    <w:name w:val="header"/>
    <w:basedOn w:val="Normal"/>
    <w:link w:val="HeaderChar"/>
    <w:uiPriority w:val="99"/>
    <w:unhideWhenUsed/>
    <w:rsid w:val="005B4AE2"/>
    <w:pPr>
      <w:tabs>
        <w:tab w:val="center" w:pos="4513"/>
        <w:tab w:val="right" w:pos="9026"/>
      </w:tabs>
      <w:spacing w:line="240" w:lineRule="auto"/>
    </w:pPr>
  </w:style>
  <w:style w:type="character" w:customStyle="1" w:styleId="HeaderChar">
    <w:name w:val="Header Char"/>
    <w:basedOn w:val="DefaultParagraphFont"/>
    <w:link w:val="Header"/>
    <w:uiPriority w:val="99"/>
    <w:rsid w:val="005B4AE2"/>
  </w:style>
  <w:style w:type="paragraph" w:styleId="Footer">
    <w:name w:val="footer"/>
    <w:basedOn w:val="Normal"/>
    <w:link w:val="FooterChar"/>
    <w:uiPriority w:val="99"/>
    <w:unhideWhenUsed/>
    <w:rsid w:val="005B4AE2"/>
    <w:pPr>
      <w:tabs>
        <w:tab w:val="center" w:pos="4513"/>
        <w:tab w:val="right" w:pos="9026"/>
      </w:tabs>
      <w:spacing w:line="240" w:lineRule="auto"/>
    </w:pPr>
  </w:style>
  <w:style w:type="character" w:customStyle="1" w:styleId="FooterChar">
    <w:name w:val="Footer Char"/>
    <w:basedOn w:val="DefaultParagraphFont"/>
    <w:link w:val="Footer"/>
    <w:uiPriority w:val="99"/>
    <w:rsid w:val="005B4A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8017793">
      <w:bodyDiv w:val="1"/>
      <w:marLeft w:val="0"/>
      <w:marRight w:val="0"/>
      <w:marTop w:val="0"/>
      <w:marBottom w:val="0"/>
      <w:divBdr>
        <w:top w:val="none" w:sz="0" w:space="0" w:color="auto"/>
        <w:left w:val="none" w:sz="0" w:space="0" w:color="auto"/>
        <w:bottom w:val="none" w:sz="0" w:space="0" w:color="auto"/>
        <w:right w:val="none" w:sz="0" w:space="0" w:color="auto"/>
      </w:divBdr>
    </w:div>
    <w:div w:id="41053401">
      <w:bodyDiv w:val="1"/>
      <w:marLeft w:val="0"/>
      <w:marRight w:val="0"/>
      <w:marTop w:val="0"/>
      <w:marBottom w:val="0"/>
      <w:divBdr>
        <w:top w:val="none" w:sz="0" w:space="0" w:color="auto"/>
        <w:left w:val="none" w:sz="0" w:space="0" w:color="auto"/>
        <w:bottom w:val="none" w:sz="0" w:space="0" w:color="auto"/>
        <w:right w:val="none" w:sz="0" w:space="0" w:color="auto"/>
      </w:divBdr>
    </w:div>
    <w:div w:id="193928673">
      <w:bodyDiv w:val="1"/>
      <w:marLeft w:val="0"/>
      <w:marRight w:val="0"/>
      <w:marTop w:val="0"/>
      <w:marBottom w:val="0"/>
      <w:divBdr>
        <w:top w:val="none" w:sz="0" w:space="0" w:color="auto"/>
        <w:left w:val="none" w:sz="0" w:space="0" w:color="auto"/>
        <w:bottom w:val="none" w:sz="0" w:space="0" w:color="auto"/>
        <w:right w:val="none" w:sz="0" w:space="0" w:color="auto"/>
      </w:divBdr>
    </w:div>
    <w:div w:id="352071016">
      <w:bodyDiv w:val="1"/>
      <w:marLeft w:val="0"/>
      <w:marRight w:val="0"/>
      <w:marTop w:val="0"/>
      <w:marBottom w:val="0"/>
      <w:divBdr>
        <w:top w:val="none" w:sz="0" w:space="0" w:color="auto"/>
        <w:left w:val="none" w:sz="0" w:space="0" w:color="auto"/>
        <w:bottom w:val="none" w:sz="0" w:space="0" w:color="auto"/>
        <w:right w:val="none" w:sz="0" w:space="0" w:color="auto"/>
      </w:divBdr>
    </w:div>
    <w:div w:id="355816521">
      <w:bodyDiv w:val="1"/>
      <w:marLeft w:val="0"/>
      <w:marRight w:val="0"/>
      <w:marTop w:val="0"/>
      <w:marBottom w:val="0"/>
      <w:divBdr>
        <w:top w:val="none" w:sz="0" w:space="0" w:color="auto"/>
        <w:left w:val="none" w:sz="0" w:space="0" w:color="auto"/>
        <w:bottom w:val="none" w:sz="0" w:space="0" w:color="auto"/>
        <w:right w:val="none" w:sz="0" w:space="0" w:color="auto"/>
      </w:divBdr>
    </w:div>
    <w:div w:id="378474231">
      <w:bodyDiv w:val="1"/>
      <w:marLeft w:val="0"/>
      <w:marRight w:val="0"/>
      <w:marTop w:val="0"/>
      <w:marBottom w:val="0"/>
      <w:divBdr>
        <w:top w:val="none" w:sz="0" w:space="0" w:color="auto"/>
        <w:left w:val="none" w:sz="0" w:space="0" w:color="auto"/>
        <w:bottom w:val="none" w:sz="0" w:space="0" w:color="auto"/>
        <w:right w:val="none" w:sz="0" w:space="0" w:color="auto"/>
      </w:divBdr>
    </w:div>
    <w:div w:id="449518559">
      <w:bodyDiv w:val="1"/>
      <w:marLeft w:val="0"/>
      <w:marRight w:val="0"/>
      <w:marTop w:val="0"/>
      <w:marBottom w:val="0"/>
      <w:divBdr>
        <w:top w:val="none" w:sz="0" w:space="0" w:color="auto"/>
        <w:left w:val="none" w:sz="0" w:space="0" w:color="auto"/>
        <w:bottom w:val="none" w:sz="0" w:space="0" w:color="auto"/>
        <w:right w:val="none" w:sz="0" w:space="0" w:color="auto"/>
      </w:divBdr>
    </w:div>
    <w:div w:id="505050001">
      <w:bodyDiv w:val="1"/>
      <w:marLeft w:val="0"/>
      <w:marRight w:val="0"/>
      <w:marTop w:val="0"/>
      <w:marBottom w:val="0"/>
      <w:divBdr>
        <w:top w:val="none" w:sz="0" w:space="0" w:color="auto"/>
        <w:left w:val="none" w:sz="0" w:space="0" w:color="auto"/>
        <w:bottom w:val="none" w:sz="0" w:space="0" w:color="auto"/>
        <w:right w:val="none" w:sz="0" w:space="0" w:color="auto"/>
      </w:divBdr>
    </w:div>
    <w:div w:id="551697708">
      <w:bodyDiv w:val="1"/>
      <w:marLeft w:val="0"/>
      <w:marRight w:val="0"/>
      <w:marTop w:val="0"/>
      <w:marBottom w:val="0"/>
      <w:divBdr>
        <w:top w:val="none" w:sz="0" w:space="0" w:color="auto"/>
        <w:left w:val="none" w:sz="0" w:space="0" w:color="auto"/>
        <w:bottom w:val="none" w:sz="0" w:space="0" w:color="auto"/>
        <w:right w:val="none" w:sz="0" w:space="0" w:color="auto"/>
      </w:divBdr>
    </w:div>
    <w:div w:id="625770284">
      <w:bodyDiv w:val="1"/>
      <w:marLeft w:val="0"/>
      <w:marRight w:val="0"/>
      <w:marTop w:val="0"/>
      <w:marBottom w:val="0"/>
      <w:divBdr>
        <w:top w:val="none" w:sz="0" w:space="0" w:color="auto"/>
        <w:left w:val="none" w:sz="0" w:space="0" w:color="auto"/>
        <w:bottom w:val="none" w:sz="0" w:space="0" w:color="auto"/>
        <w:right w:val="none" w:sz="0" w:space="0" w:color="auto"/>
      </w:divBdr>
    </w:div>
    <w:div w:id="766462376">
      <w:bodyDiv w:val="1"/>
      <w:marLeft w:val="0"/>
      <w:marRight w:val="0"/>
      <w:marTop w:val="0"/>
      <w:marBottom w:val="0"/>
      <w:divBdr>
        <w:top w:val="none" w:sz="0" w:space="0" w:color="auto"/>
        <w:left w:val="none" w:sz="0" w:space="0" w:color="auto"/>
        <w:bottom w:val="none" w:sz="0" w:space="0" w:color="auto"/>
        <w:right w:val="none" w:sz="0" w:space="0" w:color="auto"/>
      </w:divBdr>
    </w:div>
    <w:div w:id="774053799">
      <w:bodyDiv w:val="1"/>
      <w:marLeft w:val="0"/>
      <w:marRight w:val="0"/>
      <w:marTop w:val="0"/>
      <w:marBottom w:val="0"/>
      <w:divBdr>
        <w:top w:val="none" w:sz="0" w:space="0" w:color="auto"/>
        <w:left w:val="none" w:sz="0" w:space="0" w:color="auto"/>
        <w:bottom w:val="none" w:sz="0" w:space="0" w:color="auto"/>
        <w:right w:val="none" w:sz="0" w:space="0" w:color="auto"/>
      </w:divBdr>
    </w:div>
    <w:div w:id="800615677">
      <w:bodyDiv w:val="1"/>
      <w:marLeft w:val="0"/>
      <w:marRight w:val="0"/>
      <w:marTop w:val="0"/>
      <w:marBottom w:val="0"/>
      <w:divBdr>
        <w:top w:val="none" w:sz="0" w:space="0" w:color="auto"/>
        <w:left w:val="none" w:sz="0" w:space="0" w:color="auto"/>
        <w:bottom w:val="none" w:sz="0" w:space="0" w:color="auto"/>
        <w:right w:val="none" w:sz="0" w:space="0" w:color="auto"/>
      </w:divBdr>
    </w:div>
    <w:div w:id="927076142">
      <w:bodyDiv w:val="1"/>
      <w:marLeft w:val="0"/>
      <w:marRight w:val="0"/>
      <w:marTop w:val="0"/>
      <w:marBottom w:val="0"/>
      <w:divBdr>
        <w:top w:val="none" w:sz="0" w:space="0" w:color="auto"/>
        <w:left w:val="none" w:sz="0" w:space="0" w:color="auto"/>
        <w:bottom w:val="none" w:sz="0" w:space="0" w:color="auto"/>
        <w:right w:val="none" w:sz="0" w:space="0" w:color="auto"/>
      </w:divBdr>
    </w:div>
    <w:div w:id="1075274598">
      <w:bodyDiv w:val="1"/>
      <w:marLeft w:val="0"/>
      <w:marRight w:val="0"/>
      <w:marTop w:val="0"/>
      <w:marBottom w:val="0"/>
      <w:divBdr>
        <w:top w:val="none" w:sz="0" w:space="0" w:color="auto"/>
        <w:left w:val="none" w:sz="0" w:space="0" w:color="auto"/>
        <w:bottom w:val="none" w:sz="0" w:space="0" w:color="auto"/>
        <w:right w:val="none" w:sz="0" w:space="0" w:color="auto"/>
      </w:divBdr>
    </w:div>
    <w:div w:id="1134832233">
      <w:bodyDiv w:val="1"/>
      <w:marLeft w:val="0"/>
      <w:marRight w:val="0"/>
      <w:marTop w:val="0"/>
      <w:marBottom w:val="0"/>
      <w:divBdr>
        <w:top w:val="none" w:sz="0" w:space="0" w:color="auto"/>
        <w:left w:val="none" w:sz="0" w:space="0" w:color="auto"/>
        <w:bottom w:val="none" w:sz="0" w:space="0" w:color="auto"/>
        <w:right w:val="none" w:sz="0" w:space="0" w:color="auto"/>
      </w:divBdr>
    </w:div>
    <w:div w:id="1237205141">
      <w:bodyDiv w:val="1"/>
      <w:marLeft w:val="0"/>
      <w:marRight w:val="0"/>
      <w:marTop w:val="0"/>
      <w:marBottom w:val="0"/>
      <w:divBdr>
        <w:top w:val="none" w:sz="0" w:space="0" w:color="auto"/>
        <w:left w:val="none" w:sz="0" w:space="0" w:color="auto"/>
        <w:bottom w:val="none" w:sz="0" w:space="0" w:color="auto"/>
        <w:right w:val="none" w:sz="0" w:space="0" w:color="auto"/>
      </w:divBdr>
    </w:div>
    <w:div w:id="1310357899">
      <w:bodyDiv w:val="1"/>
      <w:marLeft w:val="0"/>
      <w:marRight w:val="0"/>
      <w:marTop w:val="0"/>
      <w:marBottom w:val="0"/>
      <w:divBdr>
        <w:top w:val="none" w:sz="0" w:space="0" w:color="auto"/>
        <w:left w:val="none" w:sz="0" w:space="0" w:color="auto"/>
        <w:bottom w:val="none" w:sz="0" w:space="0" w:color="auto"/>
        <w:right w:val="none" w:sz="0" w:space="0" w:color="auto"/>
      </w:divBdr>
    </w:div>
    <w:div w:id="1518615209">
      <w:bodyDiv w:val="1"/>
      <w:marLeft w:val="0"/>
      <w:marRight w:val="0"/>
      <w:marTop w:val="0"/>
      <w:marBottom w:val="0"/>
      <w:divBdr>
        <w:top w:val="none" w:sz="0" w:space="0" w:color="auto"/>
        <w:left w:val="none" w:sz="0" w:space="0" w:color="auto"/>
        <w:bottom w:val="none" w:sz="0" w:space="0" w:color="auto"/>
        <w:right w:val="none" w:sz="0" w:space="0" w:color="auto"/>
      </w:divBdr>
    </w:div>
    <w:div w:id="1584293474">
      <w:bodyDiv w:val="1"/>
      <w:marLeft w:val="0"/>
      <w:marRight w:val="0"/>
      <w:marTop w:val="0"/>
      <w:marBottom w:val="0"/>
      <w:divBdr>
        <w:top w:val="none" w:sz="0" w:space="0" w:color="auto"/>
        <w:left w:val="none" w:sz="0" w:space="0" w:color="auto"/>
        <w:bottom w:val="none" w:sz="0" w:space="0" w:color="auto"/>
        <w:right w:val="none" w:sz="0" w:space="0" w:color="auto"/>
      </w:divBdr>
    </w:div>
    <w:div w:id="1677224600">
      <w:bodyDiv w:val="1"/>
      <w:marLeft w:val="0"/>
      <w:marRight w:val="0"/>
      <w:marTop w:val="0"/>
      <w:marBottom w:val="0"/>
      <w:divBdr>
        <w:top w:val="none" w:sz="0" w:space="0" w:color="auto"/>
        <w:left w:val="none" w:sz="0" w:space="0" w:color="auto"/>
        <w:bottom w:val="none" w:sz="0" w:space="0" w:color="auto"/>
        <w:right w:val="none" w:sz="0" w:space="0" w:color="auto"/>
      </w:divBdr>
    </w:div>
    <w:div w:id="20256722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Presentation.pptx"/><Relationship Id="rId13" Type="http://schemas.openxmlformats.org/officeDocument/2006/relationships/hyperlink" Target="https://doi.org/10.1037/a0016360" TargetMode="External"/><Relationship Id="rId18" Type="http://schemas.openxmlformats.org/officeDocument/2006/relationships/hyperlink" Target="https://doi.org/10.1037/0022-0663.91.2.34"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emf"/><Relationship Id="rId12" Type="http://schemas.openxmlformats.org/officeDocument/2006/relationships/hyperlink" Target="https://doi.org/10.1037/0022-0663.80.3.350" TargetMode="External"/><Relationship Id="rId17" Type="http://schemas.openxmlformats.org/officeDocument/2006/relationships/hyperlink" Target="https://doi.org/10.1080/07294360.2012.697564" TargetMode="External"/><Relationship Id="rId2" Type="http://schemas.openxmlformats.org/officeDocument/2006/relationships/settings" Target="settings.xml"/><Relationship Id="rId16" Type="http://schemas.openxmlformats.org/officeDocument/2006/relationships/hyperlink" Target="https://doi.org/10.1177/1745691612457206" TargetMode="External"/><Relationship Id="rId20" Type="http://schemas.openxmlformats.org/officeDocument/2006/relationships/hyperlink" Target="https://doi.org/10.1207/s15430421tip4102_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oi.org/10.3102/003465430298487" TargetMode="External"/><Relationship Id="rId5" Type="http://schemas.openxmlformats.org/officeDocument/2006/relationships/endnotes" Target="endnotes.xml"/><Relationship Id="rId15" Type="http://schemas.openxmlformats.org/officeDocument/2006/relationships/hyperlink" Target="https://doi.org/10.1037/0022-0663.97.3.563" TargetMode="External"/><Relationship Id="rId10" Type="http://schemas.openxmlformats.org/officeDocument/2006/relationships/hyperlink" Target="https://doi.org/10.1257/jep.15.2.89" TargetMode="External"/><Relationship Id="rId19" Type="http://schemas.openxmlformats.org/officeDocument/2006/relationships/hyperlink" Target="https://doi.org/10.1037/0022-0663.93.4.779" TargetMode="Externa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doi.org/10.1007/s10648-004-0006-x"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569</TotalTime>
  <Pages>12</Pages>
  <Words>2685</Words>
  <Characters>15305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Irfaan Razak</cp:lastModifiedBy>
  <cp:revision>28</cp:revision>
  <dcterms:created xsi:type="dcterms:W3CDTF">2024-07-25T05:24:00Z</dcterms:created>
  <dcterms:modified xsi:type="dcterms:W3CDTF">2024-08-19T15:21:00Z</dcterms:modified>
</cp:coreProperties>
</file>