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3BDF9A" w14:textId="60022B0B" w:rsidR="00471759" w:rsidRPr="00C62F0B" w:rsidRDefault="00DE5475" w:rsidP="00DE5475">
      <w:pPr>
        <w:pStyle w:val="p1"/>
        <w:ind w:left="2880"/>
        <w:rPr>
          <w:rFonts w:ascii="Arial" w:hAnsi="Arial" w:cs="Arial"/>
          <w:sz w:val="22"/>
          <w:szCs w:val="22"/>
          <w:lang w:val="es-419"/>
        </w:rPr>
      </w:pPr>
      <w:r>
        <w:rPr>
          <w:lang w:val="es-419"/>
        </w:rPr>
        <w:t xml:space="preserve">      </w:t>
      </w:r>
      <w:r w:rsidR="00471759">
        <w:rPr>
          <w:lang w:val="es-419"/>
        </w:rPr>
        <w:t xml:space="preserve">   </w:t>
      </w:r>
      <w:r w:rsidR="0065474A" w:rsidRPr="00C62F0B">
        <w:rPr>
          <w:rFonts w:ascii="Arial" w:hAnsi="Arial" w:cs="Arial"/>
          <w:sz w:val="22"/>
          <w:szCs w:val="22"/>
          <w:lang w:val="es-419"/>
        </w:rPr>
        <w:t xml:space="preserve">Mona Alexa Costescu </w:t>
      </w:r>
    </w:p>
    <w:p w14:paraId="167629F3" w14:textId="77777777" w:rsidR="00471759" w:rsidRPr="00C62F0B" w:rsidRDefault="00471759" w:rsidP="00A90A5B">
      <w:pPr>
        <w:pStyle w:val="p1"/>
        <w:ind w:left="1440"/>
        <w:rPr>
          <w:rFonts w:ascii="Arial" w:hAnsi="Arial" w:cs="Arial"/>
          <w:sz w:val="22"/>
          <w:szCs w:val="22"/>
          <w:lang w:val="es-419"/>
        </w:rPr>
      </w:pPr>
    </w:p>
    <w:p w14:paraId="3DD306D8" w14:textId="77777777" w:rsidR="00471759" w:rsidRPr="00C62F0B" w:rsidRDefault="00471759" w:rsidP="00A90A5B">
      <w:pPr>
        <w:pStyle w:val="p1"/>
        <w:ind w:left="1440"/>
        <w:rPr>
          <w:rFonts w:ascii="Arial" w:hAnsi="Arial" w:cs="Arial"/>
          <w:sz w:val="22"/>
          <w:szCs w:val="22"/>
          <w:lang w:val="es-419"/>
        </w:rPr>
      </w:pPr>
    </w:p>
    <w:p w14:paraId="00781BF0" w14:textId="77777777" w:rsidR="00471759" w:rsidRPr="00C62F0B" w:rsidRDefault="00471759" w:rsidP="00A90A5B">
      <w:pPr>
        <w:pStyle w:val="p1"/>
        <w:ind w:left="1440"/>
        <w:rPr>
          <w:rFonts w:ascii="Arial" w:hAnsi="Arial" w:cs="Arial"/>
          <w:sz w:val="22"/>
          <w:szCs w:val="22"/>
          <w:lang w:val="es-419"/>
        </w:rPr>
      </w:pPr>
    </w:p>
    <w:p w14:paraId="620A7A6C" w14:textId="77777777" w:rsidR="00471759" w:rsidRPr="00C62F0B" w:rsidRDefault="00471759" w:rsidP="00A90A5B">
      <w:pPr>
        <w:pStyle w:val="p1"/>
        <w:ind w:left="1440"/>
        <w:rPr>
          <w:rFonts w:ascii="Arial" w:hAnsi="Arial" w:cs="Arial"/>
          <w:sz w:val="22"/>
          <w:szCs w:val="22"/>
          <w:lang w:val="es-419"/>
        </w:rPr>
      </w:pPr>
    </w:p>
    <w:p w14:paraId="054CAF5B" w14:textId="77777777" w:rsidR="00471759" w:rsidRPr="00C62F0B" w:rsidRDefault="00471759" w:rsidP="00A90A5B">
      <w:pPr>
        <w:pStyle w:val="p1"/>
        <w:ind w:left="1440"/>
        <w:rPr>
          <w:rFonts w:ascii="Arial" w:hAnsi="Arial" w:cs="Arial"/>
          <w:sz w:val="22"/>
          <w:szCs w:val="22"/>
          <w:lang w:val="es-419"/>
        </w:rPr>
      </w:pPr>
    </w:p>
    <w:p w14:paraId="32103344" w14:textId="77777777" w:rsidR="00471759" w:rsidRPr="00C62F0B" w:rsidRDefault="00471759" w:rsidP="00A90A5B">
      <w:pPr>
        <w:pStyle w:val="p1"/>
        <w:ind w:left="1440"/>
        <w:rPr>
          <w:rFonts w:ascii="Arial" w:hAnsi="Arial" w:cs="Arial"/>
          <w:sz w:val="22"/>
          <w:szCs w:val="22"/>
          <w:lang w:val="es-419"/>
        </w:rPr>
      </w:pPr>
    </w:p>
    <w:p w14:paraId="559CC35B" w14:textId="1D8DAAEE" w:rsidR="00471759" w:rsidRPr="00C62F0B" w:rsidRDefault="00471759" w:rsidP="00471759">
      <w:pPr>
        <w:pStyle w:val="p1"/>
        <w:ind w:left="2160"/>
        <w:rPr>
          <w:rFonts w:ascii="Arial" w:hAnsi="Arial" w:cs="Arial"/>
          <w:sz w:val="22"/>
          <w:szCs w:val="22"/>
        </w:rPr>
      </w:pPr>
      <w:r w:rsidRPr="00C62F0B">
        <w:rPr>
          <w:rStyle w:val="s1"/>
          <w:rFonts w:ascii="Arial" w:hAnsi="Arial" w:cs="Arial"/>
          <w:sz w:val="22"/>
          <w:szCs w:val="22"/>
        </w:rPr>
        <w:t xml:space="preserve">                    Student ID: 2412771</w:t>
      </w:r>
    </w:p>
    <w:p w14:paraId="79FF6654" w14:textId="77777777" w:rsidR="00471759" w:rsidRPr="00C62F0B" w:rsidRDefault="00471759" w:rsidP="00A90A5B">
      <w:pPr>
        <w:ind w:left="3600"/>
        <w:rPr>
          <w:rFonts w:ascii="Arial" w:hAnsi="Arial" w:cs="Arial"/>
          <w:sz w:val="22"/>
          <w:szCs w:val="22"/>
        </w:rPr>
      </w:pPr>
    </w:p>
    <w:p w14:paraId="56059069" w14:textId="77777777" w:rsidR="00471759" w:rsidRPr="00C62F0B" w:rsidRDefault="00471759" w:rsidP="00A90A5B">
      <w:pPr>
        <w:ind w:left="2160"/>
        <w:rPr>
          <w:rFonts w:ascii="Arial" w:hAnsi="Arial" w:cs="Arial"/>
          <w:sz w:val="22"/>
          <w:szCs w:val="22"/>
        </w:rPr>
      </w:pPr>
      <w:r w:rsidRPr="00C62F0B">
        <w:rPr>
          <w:rFonts w:ascii="Arial" w:hAnsi="Arial" w:cs="Arial"/>
          <w:sz w:val="22"/>
          <w:szCs w:val="22"/>
        </w:rPr>
        <w:t xml:space="preserve">      </w:t>
      </w:r>
    </w:p>
    <w:p w14:paraId="4B9CA0F9" w14:textId="298DD470" w:rsidR="00471759" w:rsidRPr="00C62F0B" w:rsidRDefault="00471759" w:rsidP="00471759">
      <w:pPr>
        <w:rPr>
          <w:rFonts w:ascii="Arial" w:hAnsi="Arial" w:cs="Arial"/>
          <w:sz w:val="22"/>
          <w:szCs w:val="22"/>
        </w:rPr>
      </w:pPr>
      <w:r w:rsidRPr="00C62F0B">
        <w:rPr>
          <w:rFonts w:ascii="Arial" w:hAnsi="Arial" w:cs="Arial"/>
          <w:sz w:val="22"/>
          <w:szCs w:val="22"/>
        </w:rPr>
        <w:t xml:space="preserve">                              Principles of Health And Social Care Practice </w:t>
      </w:r>
    </w:p>
    <w:p w14:paraId="5436FF81" w14:textId="77777777" w:rsidR="00582093" w:rsidRPr="00C62F0B" w:rsidRDefault="00582093" w:rsidP="00A90A5B">
      <w:pPr>
        <w:ind w:left="2880"/>
        <w:rPr>
          <w:rFonts w:ascii="Arial" w:hAnsi="Arial" w:cs="Arial"/>
          <w:sz w:val="22"/>
          <w:szCs w:val="22"/>
        </w:rPr>
      </w:pPr>
    </w:p>
    <w:p w14:paraId="4EF1D3EB" w14:textId="0B2B9092" w:rsidR="00471759" w:rsidRPr="00C62F0B" w:rsidRDefault="00471759" w:rsidP="00A90A5B">
      <w:pPr>
        <w:ind w:left="3600"/>
        <w:rPr>
          <w:rFonts w:ascii="Arial" w:hAnsi="Arial" w:cs="Arial"/>
          <w:sz w:val="22"/>
          <w:szCs w:val="22"/>
        </w:rPr>
      </w:pPr>
      <w:r w:rsidRPr="00C62F0B">
        <w:rPr>
          <w:rFonts w:ascii="Arial" w:hAnsi="Arial" w:cs="Arial"/>
          <w:sz w:val="22"/>
          <w:szCs w:val="22"/>
        </w:rPr>
        <w:t xml:space="preserve">         BMHP5016</w:t>
      </w:r>
    </w:p>
    <w:p w14:paraId="00AD4114" w14:textId="77777777" w:rsidR="00582093" w:rsidRPr="00C62F0B" w:rsidRDefault="00582093" w:rsidP="00A90A5B">
      <w:pPr>
        <w:ind w:left="3600"/>
        <w:rPr>
          <w:rFonts w:ascii="Arial" w:hAnsi="Arial" w:cs="Arial"/>
          <w:sz w:val="22"/>
          <w:szCs w:val="22"/>
        </w:rPr>
      </w:pPr>
    </w:p>
    <w:p w14:paraId="345C5D0D" w14:textId="77777777" w:rsidR="00582093" w:rsidRPr="00C62F0B" w:rsidRDefault="00582093" w:rsidP="00A90A5B">
      <w:pPr>
        <w:ind w:left="3600"/>
        <w:rPr>
          <w:rFonts w:ascii="Arial" w:hAnsi="Arial" w:cs="Arial"/>
          <w:sz w:val="22"/>
          <w:szCs w:val="22"/>
        </w:rPr>
      </w:pPr>
    </w:p>
    <w:tbl>
      <w:tblPr>
        <w:tblW w:w="0" w:type="auto"/>
        <w:tblCellSpacing w:w="0" w:type="dxa"/>
        <w:tblInd w:w="2880" w:type="dxa"/>
        <w:tblCellMar>
          <w:left w:w="0" w:type="dxa"/>
          <w:right w:w="0" w:type="dxa"/>
        </w:tblCellMar>
        <w:tblLook w:val="04A0" w:firstRow="1" w:lastRow="0" w:firstColumn="1" w:lastColumn="0" w:noHBand="0" w:noVBand="1"/>
      </w:tblPr>
      <w:tblGrid>
        <w:gridCol w:w="6"/>
        <w:gridCol w:w="2385"/>
      </w:tblGrid>
      <w:tr w:rsidR="00582093" w:rsidRPr="00C62F0B" w14:paraId="10EF0825" w14:textId="77777777" w:rsidTr="00582093">
        <w:trPr>
          <w:tblCellSpacing w:w="0" w:type="dxa"/>
        </w:trPr>
        <w:tc>
          <w:tcPr>
            <w:tcW w:w="0" w:type="auto"/>
            <w:hideMark/>
          </w:tcPr>
          <w:p w14:paraId="49091BE9" w14:textId="77777777" w:rsidR="00582093" w:rsidRPr="00C62F0B" w:rsidRDefault="00582093" w:rsidP="00582093">
            <w:pPr>
              <w:spacing w:after="0" w:line="240" w:lineRule="auto"/>
              <w:rPr>
                <w:rFonts w:ascii="Arial" w:hAnsi="Arial" w:cs="Arial"/>
                <w:kern w:val="0"/>
                <w:sz w:val="22"/>
                <w:szCs w:val="22"/>
                <w14:ligatures w14:val="none"/>
              </w:rPr>
            </w:pPr>
          </w:p>
        </w:tc>
        <w:tc>
          <w:tcPr>
            <w:tcW w:w="0" w:type="auto"/>
            <w:hideMark/>
          </w:tcPr>
          <w:p w14:paraId="7D80943B" w14:textId="4B0F58FD" w:rsidR="00582093" w:rsidRPr="00C62F0B" w:rsidRDefault="00582093" w:rsidP="00582093">
            <w:pPr>
              <w:spacing w:after="0" w:line="240" w:lineRule="auto"/>
              <w:rPr>
                <w:rFonts w:ascii="Arial" w:hAnsi="Arial" w:cs="Arial"/>
                <w:kern w:val="0"/>
                <w:sz w:val="22"/>
                <w:szCs w:val="22"/>
                <w14:ligatures w14:val="none"/>
              </w:rPr>
            </w:pPr>
            <w:r w:rsidRPr="00C62F0B">
              <w:rPr>
                <w:rFonts w:ascii="Arial" w:hAnsi="Arial" w:cs="Arial"/>
                <w:kern w:val="0"/>
                <w:sz w:val="22"/>
                <w:szCs w:val="22"/>
                <w14:ligatures w14:val="none"/>
              </w:rPr>
              <w:t xml:space="preserve">    Component 2: Written</w:t>
            </w:r>
          </w:p>
          <w:p w14:paraId="48C38C6D" w14:textId="26D5C5B7" w:rsidR="00582093" w:rsidRPr="00C62F0B" w:rsidRDefault="00582093" w:rsidP="00582093">
            <w:pPr>
              <w:spacing w:after="0" w:line="240" w:lineRule="auto"/>
              <w:rPr>
                <w:rFonts w:ascii="Arial" w:hAnsi="Arial" w:cs="Arial"/>
                <w:kern w:val="0"/>
                <w:sz w:val="22"/>
                <w:szCs w:val="22"/>
                <w14:ligatures w14:val="none"/>
              </w:rPr>
            </w:pPr>
            <w:r w:rsidRPr="00C62F0B">
              <w:rPr>
                <w:rFonts w:ascii="Arial" w:hAnsi="Arial" w:cs="Arial"/>
                <w:kern w:val="0"/>
                <w:sz w:val="22"/>
                <w:szCs w:val="22"/>
                <w14:ligatures w14:val="none"/>
              </w:rPr>
              <w:t xml:space="preserve">    Assignment (Report)</w:t>
            </w:r>
          </w:p>
        </w:tc>
      </w:tr>
    </w:tbl>
    <w:p w14:paraId="2E5BBFB4" w14:textId="77777777" w:rsidR="00471759" w:rsidRPr="00C62F0B" w:rsidRDefault="00471759" w:rsidP="00582093">
      <w:pPr>
        <w:ind w:left="2880"/>
        <w:rPr>
          <w:rFonts w:ascii="Arial" w:hAnsi="Arial" w:cs="Arial"/>
          <w:b/>
          <w:bCs/>
          <w:sz w:val="22"/>
          <w:szCs w:val="22"/>
          <w:u w:val="single"/>
        </w:rPr>
      </w:pPr>
    </w:p>
    <w:p w14:paraId="04113E33" w14:textId="77777777" w:rsidR="00582093" w:rsidRPr="00C62F0B" w:rsidRDefault="00582093" w:rsidP="00582093">
      <w:pPr>
        <w:ind w:left="2880"/>
        <w:rPr>
          <w:rFonts w:ascii="Arial" w:hAnsi="Arial" w:cs="Arial"/>
          <w:b/>
          <w:bCs/>
          <w:sz w:val="22"/>
          <w:szCs w:val="22"/>
          <w:u w:val="single"/>
        </w:rPr>
      </w:pPr>
    </w:p>
    <w:p w14:paraId="268B4A1F" w14:textId="77777777" w:rsidR="00582093" w:rsidRPr="00C62F0B" w:rsidRDefault="00582093" w:rsidP="00582093">
      <w:pPr>
        <w:ind w:left="2880"/>
        <w:rPr>
          <w:rFonts w:ascii="Arial" w:hAnsi="Arial" w:cs="Arial"/>
          <w:b/>
          <w:bCs/>
          <w:sz w:val="22"/>
          <w:szCs w:val="22"/>
          <w:u w:val="single"/>
        </w:rPr>
      </w:pPr>
    </w:p>
    <w:p w14:paraId="1D51B781" w14:textId="77777777" w:rsidR="003D75D9" w:rsidRPr="00C62F0B" w:rsidRDefault="003D75D9" w:rsidP="003D75D9">
      <w:pPr>
        <w:spacing w:before="100" w:beforeAutospacing="1" w:after="100" w:afterAutospacing="1" w:line="240" w:lineRule="auto"/>
        <w:outlineLvl w:val="1"/>
        <w:rPr>
          <w:rFonts w:ascii="Arial" w:eastAsia="Times New Roman" w:hAnsi="Arial" w:cs="Arial"/>
          <w:b/>
          <w:bCs/>
          <w:kern w:val="0"/>
          <w:sz w:val="22"/>
          <w:szCs w:val="22"/>
          <w14:ligatures w14:val="none"/>
        </w:rPr>
      </w:pPr>
      <w:r w:rsidRPr="00C62F0B">
        <w:rPr>
          <w:rFonts w:ascii="Arial" w:eastAsia="Times New Roman" w:hAnsi="Arial" w:cs="Arial"/>
          <w:b/>
          <w:bCs/>
          <w:kern w:val="0"/>
          <w:sz w:val="22"/>
          <w:szCs w:val="22"/>
          <w14:ligatures w14:val="none"/>
        </w:rPr>
        <w:t>1. Introduction</w:t>
      </w:r>
    </w:p>
    <w:p w14:paraId="62F9A31B"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1DF33B72" w14:textId="58F8255D"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 xml:space="preserve">Health and social care systems in the United Kingdom are currently experiencing sustained and complex pressures, driven by demographic change, rising prevalence of chronic illness, and significant workforce shortages. Population ageing has resulted in a higher proportion of individuals living with multiple long-term conditions, increasing demand for continuous and coordinated care (King’s Fund, 2023). Globally, the </w:t>
      </w:r>
      <w:r w:rsidR="0028072C" w:rsidRPr="00C62F0B">
        <w:rPr>
          <w:rFonts w:ascii="Arial" w:hAnsi="Arial" w:cs="Arial"/>
          <w:color w:val="000000" w:themeColor="text1"/>
          <w:kern w:val="0"/>
          <w:sz w:val="22"/>
          <w:szCs w:val="22"/>
          <w14:ligatures w14:val="none"/>
        </w:rPr>
        <w:t xml:space="preserve">World Health Organisation </w:t>
      </w:r>
      <w:r w:rsidRPr="00C62F0B">
        <w:rPr>
          <w:rFonts w:ascii="Arial" w:hAnsi="Arial" w:cs="Arial"/>
          <w:kern w:val="0"/>
          <w:sz w:val="22"/>
          <w:szCs w:val="22"/>
          <w14:ligatures w14:val="none"/>
        </w:rPr>
        <w:t xml:space="preserve"> reports that over 70% of deaths are attributable to chronic conditions, reinforcing the need for integrated, long-term care strategies (WHO, 2020).</w:t>
      </w:r>
    </w:p>
    <w:p w14:paraId="173C48D4"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7EC29A45"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In response, policy and practice have increasingly prioritised person-centred care (PCC) and partnership working (PW) as core mechanisms for improving service delivery. PCC focuses on recognising individuals as active participants in their care, ensuring that services are tailored to their needs, preferences, and values. In parallel, PW emphasises collaboration between healthcare professionals, organisations, and service users to deliver coordinated and holistic care (</w:t>
      </w:r>
      <w:proofErr w:type="spellStart"/>
      <w:r w:rsidRPr="00C62F0B">
        <w:rPr>
          <w:rFonts w:ascii="Arial" w:hAnsi="Arial" w:cs="Arial"/>
          <w:kern w:val="0"/>
          <w:sz w:val="22"/>
          <w:szCs w:val="22"/>
          <w14:ligatures w14:val="none"/>
        </w:rPr>
        <w:t>Glasby</w:t>
      </w:r>
      <w:proofErr w:type="spellEnd"/>
      <w:r w:rsidRPr="00C62F0B">
        <w:rPr>
          <w:rFonts w:ascii="Arial" w:hAnsi="Arial" w:cs="Arial"/>
          <w:kern w:val="0"/>
          <w:sz w:val="22"/>
          <w:szCs w:val="22"/>
          <w14:ligatures w14:val="none"/>
        </w:rPr>
        <w:t xml:space="preserve"> and Dickinson, 2021).</w:t>
      </w:r>
    </w:p>
    <w:p w14:paraId="0AA53E2F"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004F40F5" w14:textId="16A3EB6A"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 xml:space="preserve">The </w:t>
      </w:r>
      <w:r w:rsidR="0028072C" w:rsidRPr="00C62F0B">
        <w:rPr>
          <w:rFonts w:ascii="Arial" w:hAnsi="Arial" w:cs="Arial"/>
          <w:color w:val="000000" w:themeColor="text1"/>
          <w:kern w:val="0"/>
          <w:sz w:val="22"/>
          <w:szCs w:val="22"/>
          <w14:ligatures w14:val="none"/>
        </w:rPr>
        <w:t xml:space="preserve">NHS England </w:t>
      </w:r>
      <w:r w:rsidRPr="00C62F0B">
        <w:rPr>
          <w:rFonts w:ascii="Arial" w:hAnsi="Arial" w:cs="Arial"/>
          <w:kern w:val="0"/>
          <w:sz w:val="22"/>
          <w:szCs w:val="22"/>
          <w14:ligatures w14:val="none"/>
        </w:rPr>
        <w:t xml:space="preserve">Long Term Plan (2019) explicitly promotes these approaches, highlighting integrated care systems (ICSs) as a key structural reform designed to improve outcomes </w:t>
      </w:r>
      <w:r w:rsidRPr="00C62F0B">
        <w:rPr>
          <w:rFonts w:ascii="Arial" w:hAnsi="Arial" w:cs="Arial"/>
          <w:kern w:val="0"/>
          <w:sz w:val="22"/>
          <w:szCs w:val="22"/>
          <w14:ligatures w14:val="none"/>
        </w:rPr>
        <w:lastRenderedPageBreak/>
        <w:t>and efficiency. However, despite strong policy endorsement, implementation remains inconsistent. Structural, cultural, and resource-related barriers continue to limit effectiveness.</w:t>
      </w:r>
    </w:p>
    <w:p w14:paraId="7B7BAD19"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52AC9DD4"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This report critically evaluates PCC and PW by exploring definitions, theoretical foundations, ethical considerations, and real-world applications within the UK. It also analyses relevant policy frameworks and provides evidence-based recommendations for future development.</w:t>
      </w:r>
    </w:p>
    <w:p w14:paraId="432FBEEF" w14:textId="77777777" w:rsidR="003D75D9" w:rsidRPr="00C62F0B" w:rsidRDefault="003D75D9" w:rsidP="003D75D9">
      <w:pPr>
        <w:spacing w:after="0" w:line="240" w:lineRule="auto"/>
        <w:rPr>
          <w:rFonts w:ascii="Arial" w:eastAsia="Times New Roman" w:hAnsi="Arial" w:cs="Arial"/>
          <w:kern w:val="0"/>
          <w:sz w:val="22"/>
          <w:szCs w:val="22"/>
          <w14:ligatures w14:val="none"/>
        </w:rPr>
      </w:pPr>
      <w:r w:rsidRPr="00C62F0B">
        <w:rPr>
          <w:rFonts w:ascii="Arial" w:eastAsia="Times New Roman" w:hAnsi="Arial" w:cs="Arial"/>
          <w:noProof/>
          <w:kern w:val="0"/>
          <w:sz w:val="22"/>
          <w:szCs w:val="22"/>
          <w14:ligatures w14:val="none"/>
        </w:rPr>
        <mc:AlternateContent>
          <mc:Choice Requires="wps">
            <w:drawing>
              <wp:inline distT="0" distB="0" distL="0" distR="0" wp14:anchorId="6FC75CFA" wp14:editId="4E46C3DA">
                <wp:extent cx="5731510" cy="1270"/>
                <wp:effectExtent l="0" t="31750" r="0" b="36830"/>
                <wp:docPr id="326104007"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1FF5195"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9BCA667" w14:textId="77777777" w:rsidR="003D75D9" w:rsidRPr="00C62F0B" w:rsidRDefault="003D75D9" w:rsidP="003D75D9">
      <w:pPr>
        <w:spacing w:before="100" w:beforeAutospacing="1" w:after="100" w:afterAutospacing="1" w:line="240" w:lineRule="auto"/>
        <w:outlineLvl w:val="1"/>
        <w:rPr>
          <w:rFonts w:ascii="Arial" w:hAnsi="Arial" w:cs="Arial"/>
          <w:b/>
          <w:bCs/>
          <w:kern w:val="0"/>
          <w:sz w:val="22"/>
          <w:szCs w:val="22"/>
          <w14:ligatures w14:val="none"/>
        </w:rPr>
      </w:pPr>
      <w:r w:rsidRPr="00C62F0B">
        <w:rPr>
          <w:rFonts w:ascii="Arial" w:eastAsia="Times New Roman" w:hAnsi="Arial" w:cs="Arial"/>
          <w:b/>
          <w:bCs/>
          <w:kern w:val="0"/>
          <w:sz w:val="22"/>
          <w:szCs w:val="22"/>
          <w14:ligatures w14:val="none"/>
        </w:rPr>
        <w:t>2. Person-Centred Care: Definition, Benefits and Limitations</w:t>
      </w:r>
    </w:p>
    <w:p w14:paraId="75486D25"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76901954"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Person-centred care is defined as an approach that places the individual at the centre of decision-making, ensuring care is responsive to their holistic needs and preferences (NICE, 2021). It represents a fundamental shift away from traditional biomedical models, which prioritise clinical expertise over patient experience, towards a more collaborative model of care (Mead and Bower, 2000).</w:t>
      </w:r>
    </w:p>
    <w:p w14:paraId="11289325"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5CA1AE02" w14:textId="77777777" w:rsidR="003D75D9" w:rsidRPr="00C62F0B" w:rsidRDefault="003D75D9" w:rsidP="003D75D9">
      <w:pPr>
        <w:spacing w:before="100" w:beforeAutospacing="1" w:after="100" w:afterAutospacing="1" w:line="240" w:lineRule="auto"/>
        <w:outlineLvl w:val="2"/>
        <w:rPr>
          <w:rFonts w:ascii="Arial" w:eastAsia="Times New Roman" w:hAnsi="Arial" w:cs="Arial"/>
          <w:b/>
          <w:bCs/>
          <w:kern w:val="0"/>
          <w:sz w:val="22"/>
          <w:szCs w:val="22"/>
          <w14:ligatures w14:val="none"/>
        </w:rPr>
      </w:pPr>
      <w:r w:rsidRPr="00C62F0B">
        <w:rPr>
          <w:rFonts w:ascii="Arial" w:eastAsia="Times New Roman" w:hAnsi="Arial" w:cs="Arial"/>
          <w:b/>
          <w:bCs/>
          <w:kern w:val="0"/>
          <w:sz w:val="22"/>
          <w:szCs w:val="22"/>
          <w14:ligatures w14:val="none"/>
        </w:rPr>
        <w:t>Benefits of Person-Centred Care</w:t>
      </w:r>
    </w:p>
    <w:p w14:paraId="419D6C13"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4F47FD94"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 xml:space="preserve">A growing body of empirical evidence demonstrates the effectiveness of PCC. </w:t>
      </w:r>
      <w:proofErr w:type="spellStart"/>
      <w:r w:rsidRPr="00C62F0B">
        <w:rPr>
          <w:rFonts w:ascii="Arial" w:hAnsi="Arial" w:cs="Arial"/>
          <w:kern w:val="0"/>
          <w:sz w:val="22"/>
          <w:szCs w:val="22"/>
          <w14:ligatures w14:val="none"/>
        </w:rPr>
        <w:t>Ekman</w:t>
      </w:r>
      <w:proofErr w:type="spellEnd"/>
      <w:r w:rsidRPr="00C62F0B">
        <w:rPr>
          <w:rFonts w:ascii="Arial" w:hAnsi="Arial" w:cs="Arial"/>
          <w:kern w:val="0"/>
          <w:sz w:val="22"/>
          <w:szCs w:val="22"/>
          <w14:ligatures w14:val="none"/>
        </w:rPr>
        <w:t xml:space="preserve"> et al. (2021) argue that PCC improves clinical outcomes by enhancing patient engagement, which in turn increases adherence to treatment plans. This is particularly significant in managing chronic conditions, where long-term behavioural change is essential.</w:t>
      </w:r>
    </w:p>
    <w:p w14:paraId="17D7E717"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50C92C67"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Furthermore, PCC contributes to improved patient satisfaction and psychological wellbeing. Santana et al. (2020) highlight that patients who feel heard and involved in their care are more likely to report positive healthcare experiences. This aligns with broader research indicating that emotional support and communication are central to quality care (Doyle et al., 2013).</w:t>
      </w:r>
    </w:p>
    <w:p w14:paraId="50B95D75"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72433CE0"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From an economic perspective, PCC may also improve system efficiency. The Health Foundation (2022) reports that personalised care interventions can reduce hospital admissions by up to 20%, suggesting that PCC can alleviate pressure on overstretched services. This is particularly relevant within the NHS, where resource constraints are a persistent challenge.</w:t>
      </w:r>
    </w:p>
    <w:p w14:paraId="18834262"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7E965761"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 xml:space="preserve">Additionally, PCC supports patient autonomy and empowerment, aligning with legal frameworks such as the Care Act 2014. It enables individuals to take greater responsibility </w:t>
      </w:r>
      <w:r w:rsidRPr="00C62F0B">
        <w:rPr>
          <w:rFonts w:ascii="Arial" w:hAnsi="Arial" w:cs="Arial"/>
          <w:kern w:val="0"/>
          <w:sz w:val="22"/>
          <w:szCs w:val="22"/>
          <w14:ligatures w14:val="none"/>
        </w:rPr>
        <w:lastRenderedPageBreak/>
        <w:t>for their health, which is crucial in the context of self-management of long-term conditions (Coulter et al., 2015).</w:t>
      </w:r>
    </w:p>
    <w:p w14:paraId="68A323C4"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559FF5E3" w14:textId="77777777" w:rsidR="003D75D9" w:rsidRPr="00C62F0B" w:rsidRDefault="003D75D9" w:rsidP="003D75D9">
      <w:pPr>
        <w:spacing w:before="100" w:beforeAutospacing="1" w:after="100" w:afterAutospacing="1" w:line="240" w:lineRule="auto"/>
        <w:outlineLvl w:val="2"/>
        <w:rPr>
          <w:rFonts w:ascii="Arial" w:eastAsia="Times New Roman" w:hAnsi="Arial" w:cs="Arial"/>
          <w:b/>
          <w:bCs/>
          <w:kern w:val="0"/>
          <w:sz w:val="22"/>
          <w:szCs w:val="22"/>
          <w14:ligatures w14:val="none"/>
        </w:rPr>
      </w:pPr>
      <w:r w:rsidRPr="00C62F0B">
        <w:rPr>
          <w:rFonts w:ascii="Arial" w:eastAsia="Times New Roman" w:hAnsi="Arial" w:cs="Arial"/>
          <w:b/>
          <w:bCs/>
          <w:kern w:val="0"/>
          <w:sz w:val="22"/>
          <w:szCs w:val="22"/>
          <w14:ligatures w14:val="none"/>
        </w:rPr>
        <w:t>Limitations of Person-Centred Care</w:t>
      </w:r>
    </w:p>
    <w:p w14:paraId="74A8DD94"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0D4967FC"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Despite these advantages, PCC is not without limitations. One of the most significant challenges is its resource-intensive nature. Delivering personalised care requires time, training, and adequate staffing levels. However, the NHS currently faces over 100,000 workforce vacancies (Charles et al., 2022), limiting the feasibility of widespread implementation.</w:t>
      </w:r>
    </w:p>
    <w:p w14:paraId="5426F3B4"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75603354"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Conceptual ambiguity also presents a challenge. Moore et al. (2021) argue that the lack of a universally agreed definition leads to inconsistency in practice. While some scholars view this flexibility as beneficial (</w:t>
      </w:r>
      <w:proofErr w:type="spellStart"/>
      <w:r w:rsidRPr="00C62F0B">
        <w:rPr>
          <w:rFonts w:ascii="Arial" w:hAnsi="Arial" w:cs="Arial"/>
          <w:kern w:val="0"/>
          <w:sz w:val="22"/>
          <w:szCs w:val="22"/>
          <w14:ligatures w14:val="none"/>
        </w:rPr>
        <w:t>Ekman</w:t>
      </w:r>
      <w:proofErr w:type="spellEnd"/>
      <w:r w:rsidRPr="00C62F0B">
        <w:rPr>
          <w:rFonts w:ascii="Arial" w:hAnsi="Arial" w:cs="Arial"/>
          <w:kern w:val="0"/>
          <w:sz w:val="22"/>
          <w:szCs w:val="22"/>
          <w14:ligatures w14:val="none"/>
        </w:rPr>
        <w:t xml:space="preserve"> et al., 2021), others suggest it undermines standardisation and evaluation.</w:t>
      </w:r>
    </w:p>
    <w:p w14:paraId="069E0FC9"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78D045A4" w14:textId="77777777" w:rsidR="003D75D9"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 xml:space="preserve">Moreover, PCC may inadvertently exacerbate health inequalities. </w:t>
      </w:r>
      <w:proofErr w:type="spellStart"/>
      <w:r w:rsidRPr="00C62F0B">
        <w:rPr>
          <w:rFonts w:ascii="Arial" w:hAnsi="Arial" w:cs="Arial"/>
          <w:kern w:val="0"/>
          <w:sz w:val="22"/>
          <w:szCs w:val="22"/>
          <w14:ligatures w14:val="none"/>
        </w:rPr>
        <w:t>Ocloo</w:t>
      </w:r>
      <w:proofErr w:type="spellEnd"/>
      <w:r w:rsidRPr="00C62F0B">
        <w:rPr>
          <w:rFonts w:ascii="Arial" w:hAnsi="Arial" w:cs="Arial"/>
          <w:kern w:val="0"/>
          <w:sz w:val="22"/>
          <w:szCs w:val="22"/>
          <w14:ligatures w14:val="none"/>
        </w:rPr>
        <w:t xml:space="preserve"> et al. (2021) note that individuals with lower health literacy or socio-economic disadvantage may struggle to engage in shared decision-making processes. This raises concerns about whether PCC can be equitably implemented across diverse populations.</w:t>
      </w:r>
    </w:p>
    <w:p w14:paraId="26C66907" w14:textId="77777777" w:rsidR="00DE5475" w:rsidRPr="00C62F0B" w:rsidRDefault="00DE5475" w:rsidP="003D75D9">
      <w:pPr>
        <w:spacing w:before="100" w:beforeAutospacing="1" w:after="100" w:afterAutospacing="1" w:line="240" w:lineRule="auto"/>
        <w:rPr>
          <w:rFonts w:ascii="Arial" w:hAnsi="Arial" w:cs="Arial"/>
          <w:kern w:val="0"/>
          <w:sz w:val="22"/>
          <w:szCs w:val="22"/>
          <w14:ligatures w14:val="none"/>
        </w:rPr>
      </w:pPr>
    </w:p>
    <w:p w14:paraId="690CAA8C" w14:textId="77777777" w:rsidR="003D75D9" w:rsidRPr="00C62F0B" w:rsidRDefault="003D75D9" w:rsidP="003D75D9">
      <w:pPr>
        <w:spacing w:after="0" w:line="240" w:lineRule="auto"/>
        <w:rPr>
          <w:rFonts w:ascii="Arial" w:eastAsia="Times New Roman" w:hAnsi="Arial" w:cs="Arial"/>
          <w:kern w:val="0"/>
          <w:sz w:val="22"/>
          <w:szCs w:val="22"/>
          <w14:ligatures w14:val="none"/>
        </w:rPr>
      </w:pPr>
      <w:r w:rsidRPr="00C62F0B">
        <w:rPr>
          <w:rFonts w:ascii="Arial" w:eastAsia="Times New Roman" w:hAnsi="Arial" w:cs="Arial"/>
          <w:noProof/>
          <w:kern w:val="0"/>
          <w:sz w:val="22"/>
          <w:szCs w:val="22"/>
          <w14:ligatures w14:val="none"/>
        </w:rPr>
        <mc:AlternateContent>
          <mc:Choice Requires="wps">
            <w:drawing>
              <wp:inline distT="0" distB="0" distL="0" distR="0" wp14:anchorId="0BD464BB" wp14:editId="6E2907F0">
                <wp:extent cx="5731510" cy="1270"/>
                <wp:effectExtent l="0" t="31750" r="0" b="36830"/>
                <wp:docPr id="73424194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BB1E63A"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5F7B45F" w14:textId="77777777" w:rsidR="003D75D9" w:rsidRPr="00C62F0B" w:rsidRDefault="003D75D9" w:rsidP="003D75D9">
      <w:pPr>
        <w:spacing w:before="100" w:beforeAutospacing="1" w:after="100" w:afterAutospacing="1" w:line="240" w:lineRule="auto"/>
        <w:outlineLvl w:val="1"/>
        <w:rPr>
          <w:rFonts w:ascii="Arial" w:hAnsi="Arial" w:cs="Arial"/>
          <w:b/>
          <w:bCs/>
          <w:kern w:val="0"/>
          <w:sz w:val="22"/>
          <w:szCs w:val="22"/>
          <w14:ligatures w14:val="none"/>
        </w:rPr>
      </w:pPr>
      <w:r w:rsidRPr="00C62F0B">
        <w:rPr>
          <w:rFonts w:ascii="Arial" w:eastAsia="Times New Roman" w:hAnsi="Arial" w:cs="Arial"/>
          <w:b/>
          <w:bCs/>
          <w:kern w:val="0"/>
          <w:sz w:val="22"/>
          <w:szCs w:val="22"/>
          <w14:ligatures w14:val="none"/>
        </w:rPr>
        <w:t>3. Theoretical Model Underpinning Person-Centred Care</w:t>
      </w:r>
    </w:p>
    <w:p w14:paraId="2ACF6F7D"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72F4D31E"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The biopsychosocial model is widely regarded as a foundational framework underpinning PCC. Originally proposed by Engel, it emphasises the interaction between biological, psychological, and social factors in shaping health outcomes (</w:t>
      </w:r>
      <w:proofErr w:type="spellStart"/>
      <w:r w:rsidRPr="00C62F0B">
        <w:rPr>
          <w:rFonts w:ascii="Arial" w:hAnsi="Arial" w:cs="Arial"/>
          <w:kern w:val="0"/>
          <w:sz w:val="22"/>
          <w:szCs w:val="22"/>
          <w14:ligatures w14:val="none"/>
        </w:rPr>
        <w:t>Borrell-Carrió</w:t>
      </w:r>
      <w:proofErr w:type="spellEnd"/>
      <w:r w:rsidRPr="00C62F0B">
        <w:rPr>
          <w:rFonts w:ascii="Arial" w:hAnsi="Arial" w:cs="Arial"/>
          <w:kern w:val="0"/>
          <w:sz w:val="22"/>
          <w:szCs w:val="22"/>
          <w14:ligatures w14:val="none"/>
        </w:rPr>
        <w:t xml:space="preserve"> et al., 2020).</w:t>
      </w:r>
    </w:p>
    <w:p w14:paraId="35541565"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75C581F4" w14:textId="77777777" w:rsidR="003D75D9" w:rsidRPr="00C62F0B" w:rsidRDefault="003D75D9" w:rsidP="003D75D9">
      <w:pPr>
        <w:spacing w:before="100" w:beforeAutospacing="1" w:after="100" w:afterAutospacing="1" w:line="240" w:lineRule="auto"/>
        <w:outlineLvl w:val="2"/>
        <w:rPr>
          <w:rFonts w:ascii="Arial" w:eastAsia="Times New Roman" w:hAnsi="Arial" w:cs="Arial"/>
          <w:b/>
          <w:bCs/>
          <w:kern w:val="0"/>
          <w:sz w:val="22"/>
          <w:szCs w:val="22"/>
          <w14:ligatures w14:val="none"/>
        </w:rPr>
      </w:pPr>
      <w:r w:rsidRPr="00C62F0B">
        <w:rPr>
          <w:rFonts w:ascii="Arial" w:eastAsia="Times New Roman" w:hAnsi="Arial" w:cs="Arial"/>
          <w:b/>
          <w:bCs/>
          <w:kern w:val="0"/>
          <w:sz w:val="22"/>
          <w:szCs w:val="22"/>
          <w14:ligatures w14:val="none"/>
        </w:rPr>
        <w:t>Critical Evaluation and Academic Debate</w:t>
      </w:r>
    </w:p>
    <w:p w14:paraId="35176BAC"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5E8A6CE4"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The biopsychosocial model represents a significant advancement over the biomedical model, which focuses narrowly on disease pathology. By incorporating psychological and social dimensions, it enables a more holistic understanding of patient needs.</w:t>
      </w:r>
    </w:p>
    <w:p w14:paraId="76D60AF0"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lastRenderedPageBreak/>
        <w:t xml:space="preserve">However, the model has been criticised for its lack of operational clarity. Wade and </w:t>
      </w:r>
      <w:proofErr w:type="spellStart"/>
      <w:r w:rsidRPr="00C62F0B">
        <w:rPr>
          <w:rFonts w:ascii="Arial" w:hAnsi="Arial" w:cs="Arial"/>
          <w:kern w:val="0"/>
          <w:sz w:val="22"/>
          <w:szCs w:val="22"/>
          <w14:ligatures w14:val="none"/>
        </w:rPr>
        <w:t>Halligan</w:t>
      </w:r>
      <w:proofErr w:type="spellEnd"/>
      <w:r w:rsidRPr="00C62F0B">
        <w:rPr>
          <w:rFonts w:ascii="Arial" w:hAnsi="Arial" w:cs="Arial"/>
          <w:kern w:val="0"/>
          <w:sz w:val="22"/>
          <w:szCs w:val="22"/>
          <w14:ligatures w14:val="none"/>
        </w:rPr>
        <w:t xml:space="preserve"> (2020) argue that its broad scope makes it difficult to apply consistently in clinical practice. Without clear guidelines, practitioners may struggle to translate theory into action.</w:t>
      </w:r>
    </w:p>
    <w:p w14:paraId="0C6E7E6B"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05F491A3"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Conversely, Epstein and Street (2021) suggest that this flexibility is a strength rather than a weakness. They argue that the model allows for adaptability across different contexts and patient populations, making it highly relevant for PCC.</w:t>
      </w:r>
    </w:p>
    <w:p w14:paraId="1283C7A0"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648DFB72"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When compared to alternative frameworks such as relationship-centred care (Beach et al., 2020), the biopsychosocial model may appear less specific. However, its comprehensive nature makes it particularly valuable for addressing complex, multi-faceted health issues.</w:t>
      </w:r>
    </w:p>
    <w:p w14:paraId="35F438B4"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753027A1" w14:textId="77777777" w:rsidR="003D75D9"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Ultimately, while the model provides a strong theoretical foundation, its effectiveness depends on organisational support, practitioner training, and integration into clinical workflows.</w:t>
      </w:r>
    </w:p>
    <w:p w14:paraId="2C0A108E" w14:textId="77777777" w:rsidR="000628BF" w:rsidRDefault="000628BF" w:rsidP="003D75D9">
      <w:pPr>
        <w:spacing w:before="100" w:beforeAutospacing="1" w:after="100" w:afterAutospacing="1" w:line="240" w:lineRule="auto"/>
        <w:rPr>
          <w:rFonts w:ascii="Arial" w:hAnsi="Arial" w:cs="Arial"/>
          <w:kern w:val="0"/>
          <w:sz w:val="22"/>
          <w:szCs w:val="22"/>
          <w14:ligatures w14:val="none"/>
        </w:rPr>
      </w:pPr>
    </w:p>
    <w:p w14:paraId="755F9F76" w14:textId="77777777" w:rsidR="000628BF" w:rsidRPr="00C62F0B" w:rsidRDefault="000628BF" w:rsidP="003D75D9">
      <w:pPr>
        <w:spacing w:before="100" w:beforeAutospacing="1" w:after="100" w:afterAutospacing="1" w:line="240" w:lineRule="auto"/>
        <w:rPr>
          <w:rFonts w:ascii="Arial" w:hAnsi="Arial" w:cs="Arial"/>
          <w:kern w:val="0"/>
          <w:sz w:val="22"/>
          <w:szCs w:val="22"/>
          <w14:ligatures w14:val="none"/>
        </w:rPr>
      </w:pPr>
    </w:p>
    <w:p w14:paraId="536D4E50" w14:textId="77777777" w:rsidR="003D75D9" w:rsidRPr="00C62F0B" w:rsidRDefault="003D75D9" w:rsidP="003D75D9">
      <w:pPr>
        <w:spacing w:after="0" w:line="240" w:lineRule="auto"/>
        <w:rPr>
          <w:rFonts w:ascii="Arial" w:eastAsia="Times New Roman" w:hAnsi="Arial" w:cs="Arial"/>
          <w:kern w:val="0"/>
          <w:sz w:val="22"/>
          <w:szCs w:val="22"/>
          <w14:ligatures w14:val="none"/>
        </w:rPr>
      </w:pPr>
      <w:r w:rsidRPr="00C62F0B">
        <w:rPr>
          <w:rFonts w:ascii="Arial" w:eastAsia="Times New Roman" w:hAnsi="Arial" w:cs="Arial"/>
          <w:noProof/>
          <w:kern w:val="0"/>
          <w:sz w:val="22"/>
          <w:szCs w:val="22"/>
          <w14:ligatures w14:val="none"/>
        </w:rPr>
        <mc:AlternateContent>
          <mc:Choice Requires="wps">
            <w:drawing>
              <wp:inline distT="0" distB="0" distL="0" distR="0" wp14:anchorId="37227042" wp14:editId="3F39675F">
                <wp:extent cx="5731510" cy="1270"/>
                <wp:effectExtent l="0" t="31750" r="0" b="36830"/>
                <wp:docPr id="1456877462"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5147A04"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3623273" w14:textId="77777777" w:rsidR="003D75D9" w:rsidRPr="00C62F0B" w:rsidRDefault="003D75D9" w:rsidP="003D75D9">
      <w:pPr>
        <w:spacing w:before="100" w:beforeAutospacing="1" w:after="100" w:afterAutospacing="1" w:line="240" w:lineRule="auto"/>
        <w:outlineLvl w:val="1"/>
        <w:rPr>
          <w:rFonts w:ascii="Arial" w:hAnsi="Arial" w:cs="Arial"/>
          <w:b/>
          <w:bCs/>
          <w:kern w:val="0"/>
          <w:sz w:val="22"/>
          <w:szCs w:val="22"/>
          <w14:ligatures w14:val="none"/>
        </w:rPr>
      </w:pPr>
      <w:r w:rsidRPr="00C62F0B">
        <w:rPr>
          <w:rFonts w:ascii="Arial" w:eastAsia="Times New Roman" w:hAnsi="Arial" w:cs="Arial"/>
          <w:b/>
          <w:bCs/>
          <w:kern w:val="0"/>
          <w:sz w:val="22"/>
          <w:szCs w:val="22"/>
          <w14:ligatures w14:val="none"/>
        </w:rPr>
        <w:t>4. Ethical Fundamentals in Health and Social Care</w:t>
      </w:r>
    </w:p>
    <w:p w14:paraId="09362206"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7CC3F527"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Ethical principles play a central role in guiding PCC and PW. The four principles of autonomy, beneficence, non-maleficence, and justice remain widely accepted within healthcare ethics (Beauchamp and Childress, 2019).</w:t>
      </w:r>
    </w:p>
    <w:p w14:paraId="04A0C31F"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266A2998" w14:textId="77777777" w:rsidR="003D75D9" w:rsidRPr="00C62F0B" w:rsidRDefault="003D75D9" w:rsidP="003D75D9">
      <w:pPr>
        <w:spacing w:before="100" w:beforeAutospacing="1" w:after="100" w:afterAutospacing="1" w:line="240" w:lineRule="auto"/>
        <w:outlineLvl w:val="2"/>
        <w:rPr>
          <w:rFonts w:ascii="Arial" w:eastAsia="Times New Roman" w:hAnsi="Arial" w:cs="Arial"/>
          <w:b/>
          <w:bCs/>
          <w:kern w:val="0"/>
          <w:sz w:val="22"/>
          <w:szCs w:val="22"/>
          <w14:ligatures w14:val="none"/>
        </w:rPr>
      </w:pPr>
      <w:r w:rsidRPr="00C62F0B">
        <w:rPr>
          <w:rFonts w:ascii="Arial" w:eastAsia="Times New Roman" w:hAnsi="Arial" w:cs="Arial"/>
          <w:b/>
          <w:bCs/>
          <w:kern w:val="0"/>
          <w:sz w:val="22"/>
          <w:szCs w:val="22"/>
          <w14:ligatures w14:val="none"/>
        </w:rPr>
        <w:t>Critical Analysis and Debate</w:t>
      </w:r>
    </w:p>
    <w:p w14:paraId="51CA81F0"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60E7A63B"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Autonomy is a cornerstone of PCC, emphasising the right of individuals to make informed decisions about their care. However, tensions arise when patient choices conflict with professional judgement. Dawson (2021) argues that autonomy should not override the duty to prevent harm. In contrast, Entwistle et al. (2020) emphasise the importance of respecting patient agency, even when decisions may not align with clinical recommendations.</w:t>
      </w:r>
    </w:p>
    <w:p w14:paraId="31E121AA"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24D556BE"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Beneficence and non-maleficence require healthcare professionals to act in the best interests of patients while avoiding harm. However, these principles can be difficult to balance in practice, particularly in complex cases involving risk.</w:t>
      </w:r>
    </w:p>
    <w:p w14:paraId="276D84A7"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2F86B50A"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Justice presents additional challenges, particularly in the context of resource allocation. Robertson et al. (2022) highlight persistent inequalities in access to care across the UK, raising concerns about fairness and equity. These disparities undermine the principles of PCC, which rely on equal access to personalised care.</w:t>
      </w:r>
    </w:p>
    <w:p w14:paraId="5DDC0737"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p>
    <w:p w14:paraId="5D0DA6DD" w14:textId="77777777" w:rsidR="003D75D9" w:rsidRPr="00C62F0B" w:rsidRDefault="003D75D9" w:rsidP="003D75D9">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Overall, ethical decision-making in healthcare is inherently complex. Rather than applying principles in isolation, practitioners must balance competing priorities within real-world constraints.</w:t>
      </w:r>
    </w:p>
    <w:p w14:paraId="683E5460" w14:textId="77777777" w:rsidR="00DD53D9" w:rsidRPr="00C62F0B" w:rsidRDefault="00DD53D9" w:rsidP="00582093">
      <w:pPr>
        <w:ind w:left="2880"/>
        <w:rPr>
          <w:rFonts w:ascii="Arial" w:hAnsi="Arial" w:cs="Arial"/>
          <w:b/>
          <w:bCs/>
          <w:sz w:val="22"/>
          <w:szCs w:val="22"/>
          <w:u w:val="single"/>
        </w:rPr>
      </w:pPr>
    </w:p>
    <w:p w14:paraId="0B47575C" w14:textId="77777777" w:rsidR="00DD53D9" w:rsidRPr="00C62F0B" w:rsidRDefault="00DD53D9" w:rsidP="00582093">
      <w:pPr>
        <w:ind w:left="2880"/>
        <w:rPr>
          <w:rFonts w:ascii="Arial" w:hAnsi="Arial" w:cs="Arial"/>
          <w:b/>
          <w:bCs/>
          <w:sz w:val="22"/>
          <w:szCs w:val="22"/>
          <w:u w:val="single"/>
        </w:rPr>
      </w:pPr>
    </w:p>
    <w:p w14:paraId="6ABD8F3A" w14:textId="77777777" w:rsidR="007E2EB9" w:rsidRPr="000628BF" w:rsidRDefault="007E2EB9" w:rsidP="007E2EB9">
      <w:pPr>
        <w:rPr>
          <w:rFonts w:ascii="Arial" w:hAnsi="Arial" w:cs="Arial"/>
          <w:b/>
          <w:bCs/>
          <w:sz w:val="22"/>
          <w:szCs w:val="22"/>
          <w:lang w:val="es-419"/>
        </w:rPr>
      </w:pPr>
      <w:r w:rsidRPr="00C62F0B">
        <w:rPr>
          <w:rFonts w:ascii="Arial" w:hAnsi="Arial" w:cs="Arial"/>
          <w:sz w:val="22"/>
          <w:szCs w:val="22"/>
          <w:lang w:val="es-419"/>
        </w:rPr>
        <w:t>5</w:t>
      </w:r>
      <w:r w:rsidRPr="000628BF">
        <w:rPr>
          <w:rFonts w:ascii="Arial" w:hAnsi="Arial" w:cs="Arial"/>
          <w:b/>
          <w:bCs/>
          <w:sz w:val="22"/>
          <w:szCs w:val="22"/>
          <w:lang w:val="es-419"/>
        </w:rPr>
        <w:t>. Evaluation of Partnership Working</w:t>
      </w:r>
    </w:p>
    <w:p w14:paraId="052C8362" w14:textId="77777777" w:rsidR="007E2EB9" w:rsidRPr="00C62F0B" w:rsidRDefault="007E2EB9" w:rsidP="007E2EB9">
      <w:pPr>
        <w:rPr>
          <w:rFonts w:ascii="Arial" w:hAnsi="Arial" w:cs="Arial"/>
          <w:sz w:val="22"/>
          <w:szCs w:val="22"/>
          <w:lang w:val="es-419"/>
        </w:rPr>
      </w:pPr>
    </w:p>
    <w:p w14:paraId="17B8FBE1" w14:textId="77777777" w:rsidR="007E2EB9" w:rsidRPr="00C62F0B" w:rsidRDefault="007E2EB9" w:rsidP="007E2EB9">
      <w:pPr>
        <w:rPr>
          <w:rFonts w:ascii="Arial" w:hAnsi="Arial" w:cs="Arial"/>
          <w:sz w:val="22"/>
          <w:szCs w:val="22"/>
          <w:lang w:val="es-419"/>
        </w:rPr>
      </w:pPr>
      <w:r w:rsidRPr="00C62F0B">
        <w:rPr>
          <w:rFonts w:ascii="Arial" w:hAnsi="Arial" w:cs="Arial"/>
          <w:sz w:val="22"/>
          <w:szCs w:val="22"/>
          <w:lang w:val="es-419"/>
        </w:rPr>
        <w:t>Partnership working refers to collaborative approaches involving multiple stakeholders, including healthcare providers, social services, and service users, to deliver integrated care (Glasby and Dickinson, 2021). This approach is increasingly viewed as essential within complex health systems, where no single organisation can meet the diverse and interrelated needs of service users. By fostering collaboration across organisational boundaries, partnership working aims to create a more seamless and coordinated care experience.</w:t>
      </w:r>
    </w:p>
    <w:p w14:paraId="2EA39FD6" w14:textId="77777777" w:rsidR="007E2EB9" w:rsidRPr="000628BF" w:rsidRDefault="007E2EB9" w:rsidP="007E2EB9">
      <w:pPr>
        <w:rPr>
          <w:rFonts w:ascii="Arial" w:hAnsi="Arial" w:cs="Arial"/>
          <w:b/>
          <w:bCs/>
          <w:sz w:val="22"/>
          <w:szCs w:val="22"/>
          <w:lang w:val="es-419"/>
        </w:rPr>
      </w:pPr>
    </w:p>
    <w:p w14:paraId="563797F4" w14:textId="77777777" w:rsidR="007E2EB9" w:rsidRPr="000628BF" w:rsidRDefault="007E2EB9" w:rsidP="007E2EB9">
      <w:pPr>
        <w:rPr>
          <w:rFonts w:ascii="Arial" w:hAnsi="Arial" w:cs="Arial"/>
          <w:b/>
          <w:bCs/>
          <w:sz w:val="22"/>
          <w:szCs w:val="22"/>
          <w:lang w:val="es-419"/>
        </w:rPr>
      </w:pPr>
      <w:r w:rsidRPr="000628BF">
        <w:rPr>
          <w:rFonts w:ascii="Arial" w:hAnsi="Arial" w:cs="Arial"/>
          <w:b/>
          <w:bCs/>
          <w:sz w:val="22"/>
          <w:szCs w:val="22"/>
          <w:lang w:val="es-419"/>
        </w:rPr>
        <w:t>Benefits of Partnership Working</w:t>
      </w:r>
    </w:p>
    <w:p w14:paraId="2DCD42DC" w14:textId="77777777" w:rsidR="007E2EB9" w:rsidRPr="000628BF" w:rsidRDefault="007E2EB9" w:rsidP="007E2EB9">
      <w:pPr>
        <w:rPr>
          <w:rFonts w:ascii="Arial" w:hAnsi="Arial" w:cs="Arial"/>
          <w:b/>
          <w:bCs/>
          <w:sz w:val="22"/>
          <w:szCs w:val="22"/>
          <w:lang w:val="es-419"/>
        </w:rPr>
      </w:pPr>
    </w:p>
    <w:p w14:paraId="368AB5E2" w14:textId="77777777" w:rsidR="007E2EB9" w:rsidRPr="00C62F0B" w:rsidRDefault="007E2EB9" w:rsidP="007E2EB9">
      <w:pPr>
        <w:rPr>
          <w:rFonts w:ascii="Arial" w:hAnsi="Arial" w:cs="Arial"/>
          <w:sz w:val="22"/>
          <w:szCs w:val="22"/>
          <w:lang w:val="es-419"/>
        </w:rPr>
      </w:pPr>
      <w:r w:rsidRPr="00C62F0B">
        <w:rPr>
          <w:rFonts w:ascii="Arial" w:hAnsi="Arial" w:cs="Arial"/>
          <w:sz w:val="22"/>
          <w:szCs w:val="22"/>
          <w:lang w:val="es-419"/>
        </w:rPr>
        <w:t>PW offers several advantages, particularly in improving coordination and reducing fragmentation. The NHS England (2022) highlights that integrated care systems enhance communication between services, leading to improved patient outcomes. Improved coordination reduces the risk of duplicated services, delays in treatment, and gaps in care provision, which are common issues in fragmented systems. As a result, patients experience more continuous and efficient care pathways.</w:t>
      </w:r>
    </w:p>
    <w:p w14:paraId="02706F47" w14:textId="77777777" w:rsidR="007E2EB9" w:rsidRPr="00C62F0B" w:rsidRDefault="007E2EB9" w:rsidP="007E2EB9">
      <w:pPr>
        <w:rPr>
          <w:rFonts w:ascii="Arial" w:hAnsi="Arial" w:cs="Arial"/>
          <w:sz w:val="22"/>
          <w:szCs w:val="22"/>
          <w:lang w:val="es-419"/>
        </w:rPr>
      </w:pPr>
    </w:p>
    <w:p w14:paraId="2E69B7E8" w14:textId="77777777" w:rsidR="007E2EB9" w:rsidRPr="00C62F0B" w:rsidRDefault="007E2EB9" w:rsidP="007E2EB9">
      <w:pPr>
        <w:rPr>
          <w:rFonts w:ascii="Arial" w:hAnsi="Arial" w:cs="Arial"/>
          <w:sz w:val="22"/>
          <w:szCs w:val="22"/>
          <w:lang w:val="es-419"/>
        </w:rPr>
      </w:pPr>
      <w:r w:rsidRPr="00C62F0B">
        <w:rPr>
          <w:rFonts w:ascii="Arial" w:hAnsi="Arial" w:cs="Arial"/>
          <w:sz w:val="22"/>
          <w:szCs w:val="22"/>
          <w:lang w:val="es-419"/>
        </w:rPr>
        <w:t>Additionally, PW enables a more holistic approach to care by addressing social determinants of health. Alderwick et al. (2021) argue that integrated services can reduce emergency admissions by focusing on prevention and early intervention. This is particularly important in addressing factors such as housing, employment, and social isolation, which significantly influence health outcomes but are often beyond the scope of traditional healthcare services. By working collaboratively, organisations can develop more comprehensive interventions that target both medical and social needs.</w:t>
      </w:r>
    </w:p>
    <w:p w14:paraId="28C11334" w14:textId="77777777" w:rsidR="007E2EB9" w:rsidRPr="00C62F0B" w:rsidRDefault="007E2EB9" w:rsidP="007E2EB9">
      <w:pPr>
        <w:rPr>
          <w:rFonts w:ascii="Arial" w:hAnsi="Arial" w:cs="Arial"/>
          <w:sz w:val="22"/>
          <w:szCs w:val="22"/>
          <w:lang w:val="es-419"/>
        </w:rPr>
      </w:pPr>
    </w:p>
    <w:p w14:paraId="120A8D28" w14:textId="77777777" w:rsidR="007E2EB9" w:rsidRPr="00C62F0B" w:rsidRDefault="007E2EB9" w:rsidP="007E2EB9">
      <w:pPr>
        <w:rPr>
          <w:rFonts w:ascii="Arial" w:hAnsi="Arial" w:cs="Arial"/>
          <w:sz w:val="22"/>
          <w:szCs w:val="22"/>
          <w:lang w:val="es-419"/>
        </w:rPr>
      </w:pPr>
      <w:r w:rsidRPr="00C62F0B">
        <w:rPr>
          <w:rFonts w:ascii="Arial" w:hAnsi="Arial" w:cs="Arial"/>
          <w:sz w:val="22"/>
          <w:szCs w:val="22"/>
          <w:lang w:val="es-419"/>
        </w:rPr>
        <w:lastRenderedPageBreak/>
        <w:t>PW also facilitates knowledge sharing and innovation, enabling organisations to learn from one another and improve service delivery. Through collaboration, professionals from different disciplines can share expertise, leading to more informed decision-making and improved care planning. For example, multidisciplinary teams allow healthcare professionals to gain insights from social workers, mental health specialists, and community organisations, thereby enhancing the quality of care provided.</w:t>
      </w:r>
    </w:p>
    <w:p w14:paraId="39D5F426" w14:textId="77777777" w:rsidR="007E2EB9" w:rsidRPr="00C62F0B" w:rsidRDefault="007E2EB9" w:rsidP="007E2EB9">
      <w:pPr>
        <w:rPr>
          <w:rFonts w:ascii="Arial" w:hAnsi="Arial" w:cs="Arial"/>
          <w:sz w:val="22"/>
          <w:szCs w:val="22"/>
          <w:lang w:val="es-419"/>
        </w:rPr>
      </w:pPr>
    </w:p>
    <w:p w14:paraId="60042D9E" w14:textId="77777777" w:rsidR="007E2EB9" w:rsidRPr="00C62F0B" w:rsidRDefault="007E2EB9" w:rsidP="007E2EB9">
      <w:pPr>
        <w:rPr>
          <w:rFonts w:ascii="Arial" w:hAnsi="Arial" w:cs="Arial"/>
          <w:sz w:val="22"/>
          <w:szCs w:val="22"/>
          <w:lang w:val="es-419"/>
        </w:rPr>
      </w:pPr>
      <w:r w:rsidRPr="00C62F0B">
        <w:rPr>
          <w:rFonts w:ascii="Arial" w:hAnsi="Arial" w:cs="Arial"/>
          <w:sz w:val="22"/>
          <w:szCs w:val="22"/>
          <w:lang w:val="es-419"/>
        </w:rPr>
        <w:t>Furthermore, partnership working can strengthen accountability and collective responsibility among organisations. When stakeholders work together towards shared goals, there is greater transparency in decision-making processes and a clearer alignment of objectives. This can contribute to improved governance and more effective use of resources. In addition, shared responsibility can encourage organisations to adopt more proactive approaches to care, particularly in preventing health deterioration.</w:t>
      </w:r>
    </w:p>
    <w:p w14:paraId="1B57021C" w14:textId="77777777" w:rsidR="007E2EB9" w:rsidRPr="00C62F0B" w:rsidRDefault="007E2EB9" w:rsidP="007E2EB9">
      <w:pPr>
        <w:rPr>
          <w:rFonts w:ascii="Arial" w:hAnsi="Arial" w:cs="Arial"/>
          <w:sz w:val="22"/>
          <w:szCs w:val="22"/>
          <w:lang w:val="es-419"/>
        </w:rPr>
      </w:pPr>
    </w:p>
    <w:p w14:paraId="73F89B60" w14:textId="77777777" w:rsidR="007E2EB9" w:rsidRPr="00C62F0B" w:rsidRDefault="007E2EB9" w:rsidP="007E2EB9">
      <w:pPr>
        <w:rPr>
          <w:rFonts w:ascii="Arial" w:hAnsi="Arial" w:cs="Arial"/>
          <w:sz w:val="22"/>
          <w:szCs w:val="22"/>
          <w:lang w:val="es-419"/>
        </w:rPr>
      </w:pPr>
      <w:r w:rsidRPr="00C62F0B">
        <w:rPr>
          <w:rFonts w:ascii="Arial" w:hAnsi="Arial" w:cs="Arial"/>
          <w:sz w:val="22"/>
          <w:szCs w:val="22"/>
          <w:lang w:val="es-419"/>
        </w:rPr>
        <w:t>Another important benefit is the potential to enhance patient experience. When services are well-coordinated, individuals are less likely to experience confusion or frustration when navigating the healthcare system. This aligns closely with the principles of person-centred care, as partnership working enables services to be organised around the needs of the individual rather than institutional structures. Consequently, patients may feel more supported and engaged in their care.</w:t>
      </w:r>
    </w:p>
    <w:p w14:paraId="236D9C5A" w14:textId="77777777" w:rsidR="007E2EB9" w:rsidRPr="00C62F0B" w:rsidRDefault="007E2EB9" w:rsidP="007E2EB9">
      <w:pPr>
        <w:rPr>
          <w:rFonts w:ascii="Arial" w:hAnsi="Arial" w:cs="Arial"/>
          <w:sz w:val="22"/>
          <w:szCs w:val="22"/>
          <w:lang w:val="es-419"/>
        </w:rPr>
      </w:pPr>
    </w:p>
    <w:p w14:paraId="231E5DD6" w14:textId="3F13E084" w:rsidR="0065474A" w:rsidRPr="00C62F0B" w:rsidRDefault="007E2EB9">
      <w:pPr>
        <w:rPr>
          <w:rFonts w:ascii="Arial" w:hAnsi="Arial" w:cs="Arial"/>
          <w:sz w:val="22"/>
          <w:szCs w:val="22"/>
          <w:lang w:val="es-419"/>
        </w:rPr>
      </w:pPr>
      <w:r w:rsidRPr="00C62F0B">
        <w:rPr>
          <w:rFonts w:ascii="Arial" w:hAnsi="Arial" w:cs="Arial"/>
          <w:sz w:val="22"/>
          <w:szCs w:val="22"/>
          <w:lang w:val="es-419"/>
        </w:rPr>
        <w:t>Overall, while the benefits of partnership working are significant, their realisation depends on effective implementation. Strong communication, shared values, and clear leadership are essential to ensure that collaborative efforts translate into meaningful improvements in care delivery.</w:t>
      </w:r>
    </w:p>
    <w:p w14:paraId="6479482B" w14:textId="77777777" w:rsidR="00FF414D" w:rsidRPr="00C62F0B" w:rsidRDefault="00FF414D">
      <w:pPr>
        <w:rPr>
          <w:rFonts w:ascii="Arial" w:hAnsi="Arial" w:cs="Arial"/>
          <w:sz w:val="22"/>
          <w:szCs w:val="22"/>
          <w:lang w:val="es-419"/>
        </w:rPr>
      </w:pPr>
    </w:p>
    <w:p w14:paraId="78650415" w14:textId="77777777" w:rsidR="00FF414D" w:rsidRPr="00C62F0B" w:rsidRDefault="00FF414D" w:rsidP="00FF414D">
      <w:pPr>
        <w:spacing w:before="100" w:beforeAutospacing="1" w:after="100" w:afterAutospacing="1" w:line="240" w:lineRule="auto"/>
        <w:outlineLvl w:val="1"/>
        <w:rPr>
          <w:rFonts w:ascii="Arial" w:eastAsia="Times New Roman" w:hAnsi="Arial" w:cs="Arial"/>
          <w:b/>
          <w:bCs/>
          <w:kern w:val="0"/>
          <w:sz w:val="22"/>
          <w:szCs w:val="22"/>
          <w14:ligatures w14:val="none"/>
        </w:rPr>
      </w:pPr>
      <w:r w:rsidRPr="00C62F0B">
        <w:rPr>
          <w:rFonts w:ascii="Arial" w:eastAsia="Times New Roman" w:hAnsi="Arial" w:cs="Arial"/>
          <w:b/>
          <w:bCs/>
          <w:kern w:val="0"/>
          <w:sz w:val="22"/>
          <w:szCs w:val="22"/>
          <w14:ligatures w14:val="none"/>
        </w:rPr>
        <w:t>6. Application of Partnership Working: Greater Manchester ICS</w:t>
      </w:r>
    </w:p>
    <w:p w14:paraId="565A98DB" w14:textId="77777777" w:rsidR="00FF414D" w:rsidRPr="00C62F0B" w:rsidRDefault="00FF414D" w:rsidP="00FF414D">
      <w:pPr>
        <w:spacing w:before="100" w:beforeAutospacing="1" w:after="100" w:afterAutospacing="1" w:line="240" w:lineRule="auto"/>
        <w:rPr>
          <w:rFonts w:ascii="Arial" w:hAnsi="Arial" w:cs="Arial"/>
          <w:kern w:val="0"/>
          <w:sz w:val="22"/>
          <w:szCs w:val="22"/>
          <w14:ligatures w14:val="none"/>
        </w:rPr>
      </w:pPr>
    </w:p>
    <w:p w14:paraId="6CA6F3BB" w14:textId="77777777" w:rsidR="00FF414D" w:rsidRPr="00C62F0B" w:rsidRDefault="00FF414D" w:rsidP="00FF414D">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The Greater Manchester Integrated Care System represents a leading example of PW in practice. This model integrates health and social care services across ten local authorities, aiming to improve coordination and outcomes.</w:t>
      </w:r>
    </w:p>
    <w:p w14:paraId="5BE13588" w14:textId="77777777" w:rsidR="00FF414D" w:rsidRPr="00C62F0B" w:rsidRDefault="00FF414D" w:rsidP="00FF414D">
      <w:pPr>
        <w:spacing w:before="100" w:beforeAutospacing="1" w:after="100" w:afterAutospacing="1" w:line="240" w:lineRule="auto"/>
        <w:rPr>
          <w:rFonts w:ascii="Arial" w:hAnsi="Arial" w:cs="Arial"/>
          <w:kern w:val="0"/>
          <w:sz w:val="22"/>
          <w:szCs w:val="22"/>
          <w14:ligatures w14:val="none"/>
        </w:rPr>
      </w:pPr>
    </w:p>
    <w:p w14:paraId="69CF921F" w14:textId="77777777" w:rsidR="00FF414D" w:rsidRPr="00C62F0B" w:rsidRDefault="00FF414D" w:rsidP="00FF414D">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 xml:space="preserve">Multidisciplinary teams (MDTs) play a central role in delivering care, particularly for individuals with complex needs. </w:t>
      </w:r>
      <w:proofErr w:type="spellStart"/>
      <w:r w:rsidRPr="00C62F0B">
        <w:rPr>
          <w:rFonts w:ascii="Arial" w:hAnsi="Arial" w:cs="Arial"/>
          <w:kern w:val="0"/>
          <w:sz w:val="22"/>
          <w:szCs w:val="22"/>
          <w14:ligatures w14:val="none"/>
        </w:rPr>
        <w:t>Alderwick</w:t>
      </w:r>
      <w:proofErr w:type="spellEnd"/>
      <w:r w:rsidRPr="00C62F0B">
        <w:rPr>
          <w:rFonts w:ascii="Arial" w:hAnsi="Arial" w:cs="Arial"/>
          <w:kern w:val="0"/>
          <w:sz w:val="22"/>
          <w:szCs w:val="22"/>
          <w14:ligatures w14:val="none"/>
        </w:rPr>
        <w:t xml:space="preserve"> et al. (2021) report a 7% reduction in emergency admissions, demonstrating the potential effectiveness of integrated approaches.</w:t>
      </w:r>
    </w:p>
    <w:p w14:paraId="4EC96569" w14:textId="77777777" w:rsidR="00FF414D" w:rsidRPr="00C62F0B" w:rsidRDefault="00FF414D" w:rsidP="00FF414D">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However, challenges remain. Data-sharing limitations, workforce pressures, and funding constraints continue to hinder implementation. Williams et al. (2022) argue that structural inequalities limit the effectiveness of ICS models.</w:t>
      </w:r>
    </w:p>
    <w:p w14:paraId="1F445C0A" w14:textId="77777777" w:rsidR="00FF414D" w:rsidRPr="00C62F0B" w:rsidRDefault="00FF414D" w:rsidP="00FF414D">
      <w:pPr>
        <w:spacing w:before="100" w:beforeAutospacing="1" w:after="100" w:afterAutospacing="1" w:line="240" w:lineRule="auto"/>
        <w:rPr>
          <w:rFonts w:ascii="Arial" w:hAnsi="Arial" w:cs="Arial"/>
          <w:kern w:val="0"/>
          <w:sz w:val="22"/>
          <w:szCs w:val="22"/>
          <w14:ligatures w14:val="none"/>
        </w:rPr>
      </w:pPr>
    </w:p>
    <w:p w14:paraId="1C8BBEE1" w14:textId="7B61562E" w:rsidR="00FF414D" w:rsidRDefault="00FF414D" w:rsidP="00FF414D">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This case highlights both the potential and limitations of PW, demonstrating that while</w:t>
      </w:r>
      <w:r w:rsidR="00961B7B">
        <w:rPr>
          <w:rFonts w:ascii="Arial" w:hAnsi="Arial" w:cs="Arial"/>
          <w:kern w:val="0"/>
          <w:sz w:val="22"/>
          <w:szCs w:val="22"/>
          <w14:ligatures w14:val="none"/>
        </w:rPr>
        <w:t xml:space="preserve"> </w:t>
      </w:r>
      <w:r w:rsidRPr="00C62F0B">
        <w:rPr>
          <w:rFonts w:ascii="Arial" w:hAnsi="Arial" w:cs="Arial"/>
          <w:kern w:val="0"/>
          <w:sz w:val="22"/>
          <w:szCs w:val="22"/>
          <w14:ligatures w14:val="none"/>
        </w:rPr>
        <w:t>integration can improve outcomes, systemic barriers must be addressed.</w:t>
      </w:r>
    </w:p>
    <w:p w14:paraId="75B72417" w14:textId="77777777" w:rsidR="00F066A2" w:rsidRPr="00C62F0B" w:rsidRDefault="00F066A2" w:rsidP="00FF414D">
      <w:pPr>
        <w:spacing w:before="100" w:beforeAutospacing="1" w:after="100" w:afterAutospacing="1" w:line="240" w:lineRule="auto"/>
        <w:rPr>
          <w:rFonts w:ascii="Arial" w:hAnsi="Arial" w:cs="Arial"/>
          <w:kern w:val="0"/>
          <w:sz w:val="22"/>
          <w:szCs w:val="22"/>
          <w14:ligatures w14:val="none"/>
        </w:rPr>
      </w:pPr>
    </w:p>
    <w:p w14:paraId="59C04E5D" w14:textId="77777777" w:rsidR="00FD59EA" w:rsidRDefault="00FD59EA" w:rsidP="00FF414D">
      <w:pPr>
        <w:spacing w:before="100" w:beforeAutospacing="1" w:after="100" w:afterAutospacing="1" w:line="240" w:lineRule="auto"/>
        <w:rPr>
          <w:rFonts w:ascii="Arial" w:hAnsi="Arial" w:cs="Arial"/>
          <w:kern w:val="0"/>
          <w:sz w:val="22"/>
          <w:szCs w:val="22"/>
          <w14:ligatures w14:val="none"/>
        </w:rPr>
      </w:pPr>
    </w:p>
    <w:p w14:paraId="40A2F14F" w14:textId="77777777" w:rsidR="00F066A2" w:rsidRPr="00C62F0B" w:rsidRDefault="00F066A2" w:rsidP="00FF414D">
      <w:pPr>
        <w:spacing w:before="100" w:beforeAutospacing="1" w:after="100" w:afterAutospacing="1" w:line="240" w:lineRule="auto"/>
        <w:rPr>
          <w:rFonts w:ascii="Arial" w:hAnsi="Arial" w:cs="Arial"/>
          <w:kern w:val="0"/>
          <w:sz w:val="22"/>
          <w:szCs w:val="22"/>
          <w14:ligatures w14:val="none"/>
        </w:rPr>
      </w:pPr>
    </w:p>
    <w:p w14:paraId="38269003" w14:textId="77777777" w:rsidR="00FF414D" w:rsidRPr="00C62F0B" w:rsidRDefault="00FF414D" w:rsidP="00FF414D">
      <w:pPr>
        <w:spacing w:after="0" w:line="240" w:lineRule="auto"/>
        <w:rPr>
          <w:rFonts w:ascii="Arial" w:eastAsia="Times New Roman" w:hAnsi="Arial" w:cs="Arial"/>
          <w:kern w:val="0"/>
          <w:sz w:val="22"/>
          <w:szCs w:val="22"/>
          <w14:ligatures w14:val="none"/>
        </w:rPr>
      </w:pPr>
      <w:r w:rsidRPr="00C62F0B">
        <w:rPr>
          <w:rFonts w:ascii="Arial" w:eastAsia="Times New Roman" w:hAnsi="Arial" w:cs="Arial"/>
          <w:noProof/>
          <w:kern w:val="0"/>
          <w:sz w:val="22"/>
          <w:szCs w:val="22"/>
          <w14:ligatures w14:val="none"/>
        </w:rPr>
        <mc:AlternateContent>
          <mc:Choice Requires="wps">
            <w:drawing>
              <wp:inline distT="0" distB="0" distL="0" distR="0" wp14:anchorId="1894A02F" wp14:editId="18D1F255">
                <wp:extent cx="5731510" cy="1270"/>
                <wp:effectExtent l="0" t="31750" r="0" b="36830"/>
                <wp:docPr id="1677404096"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F04C237"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D6A2483" w14:textId="3400CA22" w:rsidR="00F066A2" w:rsidRPr="00F066A2" w:rsidRDefault="00FF414D" w:rsidP="00FF414D">
      <w:pPr>
        <w:spacing w:before="100" w:beforeAutospacing="1" w:after="100" w:afterAutospacing="1" w:line="240" w:lineRule="auto"/>
        <w:outlineLvl w:val="1"/>
        <w:rPr>
          <w:rFonts w:ascii="Arial" w:eastAsia="Times New Roman" w:hAnsi="Arial" w:cs="Arial"/>
          <w:b/>
          <w:bCs/>
          <w:kern w:val="0"/>
          <w:sz w:val="22"/>
          <w:szCs w:val="22"/>
          <w14:ligatures w14:val="none"/>
        </w:rPr>
      </w:pPr>
      <w:r w:rsidRPr="00C62F0B">
        <w:rPr>
          <w:rFonts w:ascii="Arial" w:eastAsia="Times New Roman" w:hAnsi="Arial" w:cs="Arial"/>
          <w:b/>
          <w:bCs/>
          <w:kern w:val="0"/>
          <w:sz w:val="22"/>
          <w:szCs w:val="22"/>
          <w14:ligatures w14:val="none"/>
        </w:rPr>
        <w:t>7. Policy and Legislation</w:t>
      </w:r>
    </w:p>
    <w:p w14:paraId="63AE0D1E" w14:textId="77777777" w:rsidR="00FF414D" w:rsidRPr="00C62F0B" w:rsidRDefault="00FF414D" w:rsidP="00FF414D">
      <w:pPr>
        <w:spacing w:before="100" w:beforeAutospacing="1" w:after="100" w:afterAutospacing="1" w:line="240" w:lineRule="auto"/>
        <w:rPr>
          <w:rFonts w:ascii="Arial" w:hAnsi="Arial" w:cs="Arial"/>
          <w:kern w:val="0"/>
          <w:sz w:val="22"/>
          <w:szCs w:val="22"/>
          <w14:ligatures w14:val="none"/>
        </w:rPr>
      </w:pPr>
    </w:p>
    <w:p w14:paraId="273A2D03" w14:textId="77777777" w:rsidR="00FF414D" w:rsidRPr="00C62F0B" w:rsidRDefault="00FF414D" w:rsidP="00FF414D">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Key UK policies supporting PCC and PW include the Care Act 2014, Health and Social Care Act 2012, Equality Act 2010, and the NHS Long Term Plan (2019).</w:t>
      </w:r>
    </w:p>
    <w:p w14:paraId="7DDDA241" w14:textId="77777777" w:rsidR="00FF414D" w:rsidRPr="00C62F0B" w:rsidRDefault="00FF414D" w:rsidP="00FF414D">
      <w:pPr>
        <w:spacing w:before="100" w:beforeAutospacing="1" w:after="100" w:afterAutospacing="1" w:line="240" w:lineRule="auto"/>
        <w:rPr>
          <w:rFonts w:ascii="Arial" w:hAnsi="Arial" w:cs="Arial"/>
          <w:kern w:val="0"/>
          <w:sz w:val="22"/>
          <w:szCs w:val="22"/>
          <w14:ligatures w14:val="none"/>
        </w:rPr>
      </w:pPr>
    </w:p>
    <w:p w14:paraId="3AA69378" w14:textId="77777777" w:rsidR="00FF414D" w:rsidRPr="00C62F0B" w:rsidRDefault="00FF414D" w:rsidP="00FF414D">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These frameworks emphasise integration, personalisation, and equity. However, implementation remains inconsistent. Workforce shortages, funding limitations, and organisational resistance continue to impede progress (Charles et al., 2022).</w:t>
      </w:r>
    </w:p>
    <w:p w14:paraId="2374462D" w14:textId="77777777" w:rsidR="00FF414D" w:rsidRPr="00C62F0B" w:rsidRDefault="00FF414D" w:rsidP="00FF414D">
      <w:pPr>
        <w:spacing w:before="100" w:beforeAutospacing="1" w:after="100" w:afterAutospacing="1" w:line="240" w:lineRule="auto"/>
        <w:rPr>
          <w:rFonts w:ascii="Arial" w:hAnsi="Arial" w:cs="Arial"/>
          <w:kern w:val="0"/>
          <w:sz w:val="22"/>
          <w:szCs w:val="22"/>
          <w14:ligatures w14:val="none"/>
        </w:rPr>
      </w:pPr>
    </w:p>
    <w:p w14:paraId="3EB4EF2F" w14:textId="77777777" w:rsidR="00FF414D" w:rsidRPr="00C62F0B" w:rsidRDefault="00FF414D" w:rsidP="00FF414D">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There is ongoing debate regarding the effectiveness of these policies. While they provide a strong strategic direction, Ham et al. (2021) argue that structural reforms alone are insufficient without cultural change within organisations.</w:t>
      </w:r>
    </w:p>
    <w:p w14:paraId="3E48B8D0" w14:textId="77777777" w:rsidR="00FF414D" w:rsidRPr="00C62F0B" w:rsidRDefault="00FF414D" w:rsidP="00FF414D">
      <w:pPr>
        <w:spacing w:after="0" w:line="240" w:lineRule="auto"/>
        <w:rPr>
          <w:rFonts w:ascii="Arial" w:eastAsia="Times New Roman" w:hAnsi="Arial" w:cs="Arial"/>
          <w:kern w:val="0"/>
          <w:sz w:val="22"/>
          <w:szCs w:val="22"/>
          <w14:ligatures w14:val="none"/>
        </w:rPr>
      </w:pPr>
      <w:r w:rsidRPr="00C62F0B">
        <w:rPr>
          <w:rFonts w:ascii="Arial" w:eastAsia="Times New Roman" w:hAnsi="Arial" w:cs="Arial"/>
          <w:noProof/>
          <w:kern w:val="0"/>
          <w:sz w:val="22"/>
          <w:szCs w:val="22"/>
          <w14:ligatures w14:val="none"/>
        </w:rPr>
        <mc:AlternateContent>
          <mc:Choice Requires="wps">
            <w:drawing>
              <wp:inline distT="0" distB="0" distL="0" distR="0" wp14:anchorId="494A76C1" wp14:editId="48BA95B7">
                <wp:extent cx="5731510" cy="1270"/>
                <wp:effectExtent l="0" t="31750" r="0" b="36830"/>
                <wp:docPr id="688949342"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D561FBE"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6E6DC22" w14:textId="77777777" w:rsidR="00FF414D" w:rsidRPr="00C62F0B" w:rsidRDefault="00FF414D" w:rsidP="00FF414D">
      <w:pPr>
        <w:spacing w:before="100" w:beforeAutospacing="1" w:after="100" w:afterAutospacing="1" w:line="240" w:lineRule="auto"/>
        <w:outlineLvl w:val="1"/>
        <w:rPr>
          <w:rFonts w:ascii="Arial" w:hAnsi="Arial" w:cs="Arial"/>
          <w:b/>
          <w:bCs/>
          <w:kern w:val="0"/>
          <w:sz w:val="22"/>
          <w:szCs w:val="22"/>
          <w14:ligatures w14:val="none"/>
        </w:rPr>
      </w:pPr>
      <w:r w:rsidRPr="00C62F0B">
        <w:rPr>
          <w:rFonts w:ascii="Arial" w:eastAsia="Times New Roman" w:hAnsi="Arial" w:cs="Arial"/>
          <w:b/>
          <w:bCs/>
          <w:kern w:val="0"/>
          <w:sz w:val="22"/>
          <w:szCs w:val="22"/>
          <w14:ligatures w14:val="none"/>
        </w:rPr>
        <w:t>8. Integration of PCC and Partnership Working</w:t>
      </w:r>
    </w:p>
    <w:p w14:paraId="6197AC49" w14:textId="77777777" w:rsidR="00FF414D" w:rsidRPr="00C62F0B" w:rsidRDefault="00FF414D" w:rsidP="00FF414D">
      <w:pPr>
        <w:spacing w:before="100" w:beforeAutospacing="1" w:after="100" w:afterAutospacing="1" w:line="240" w:lineRule="auto"/>
        <w:rPr>
          <w:rFonts w:ascii="Arial" w:hAnsi="Arial" w:cs="Arial"/>
          <w:kern w:val="0"/>
          <w:sz w:val="22"/>
          <w:szCs w:val="22"/>
          <w14:ligatures w14:val="none"/>
        </w:rPr>
      </w:pPr>
    </w:p>
    <w:p w14:paraId="12B9659B" w14:textId="77777777" w:rsidR="00FF414D" w:rsidRPr="00C62F0B" w:rsidRDefault="00FF414D" w:rsidP="00FF414D">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PCC and PW are inherently interdependent. Effective partnership working enables the delivery of PCC by facilitating collaboration and information sharing.</w:t>
      </w:r>
    </w:p>
    <w:p w14:paraId="6D7BB32A" w14:textId="77777777" w:rsidR="00FF414D" w:rsidRPr="00C62F0B" w:rsidRDefault="00FF414D" w:rsidP="00FF414D">
      <w:pPr>
        <w:spacing w:before="100" w:beforeAutospacing="1" w:after="100" w:afterAutospacing="1" w:line="240" w:lineRule="auto"/>
        <w:rPr>
          <w:rFonts w:ascii="Arial" w:hAnsi="Arial" w:cs="Arial"/>
          <w:kern w:val="0"/>
          <w:sz w:val="22"/>
          <w:szCs w:val="22"/>
          <w14:ligatures w14:val="none"/>
        </w:rPr>
      </w:pPr>
    </w:p>
    <w:p w14:paraId="3D953384" w14:textId="77777777" w:rsidR="00FF414D" w:rsidRPr="00C62F0B" w:rsidRDefault="00FF414D" w:rsidP="00FF414D">
      <w:pPr>
        <w:spacing w:before="100" w:beforeAutospacing="1" w:after="100" w:afterAutospacing="1" w:line="240" w:lineRule="auto"/>
        <w:rPr>
          <w:rFonts w:ascii="Arial" w:hAnsi="Arial" w:cs="Arial"/>
          <w:kern w:val="0"/>
          <w:sz w:val="22"/>
          <w:szCs w:val="22"/>
          <w14:ligatures w14:val="none"/>
        </w:rPr>
      </w:pPr>
      <w:r w:rsidRPr="00C62F0B">
        <w:rPr>
          <w:rFonts w:ascii="Arial" w:hAnsi="Arial" w:cs="Arial"/>
          <w:kern w:val="0"/>
          <w:sz w:val="22"/>
          <w:szCs w:val="22"/>
          <w14:ligatures w14:val="none"/>
        </w:rPr>
        <w:t>However, integration is complex. Conflicting priorities, resource constraints, and organisational barriers can limit effectiveness. Successful implementation requires strong leadership, shared values, and a commitment to cultural change.</w:t>
      </w:r>
    </w:p>
    <w:p w14:paraId="1FE61FF4" w14:textId="77777777" w:rsidR="00FF414D" w:rsidRPr="00C62F0B" w:rsidRDefault="00FF414D" w:rsidP="00FF414D">
      <w:pPr>
        <w:spacing w:after="0" w:line="240" w:lineRule="auto"/>
        <w:rPr>
          <w:rFonts w:ascii="Arial" w:eastAsia="Times New Roman" w:hAnsi="Arial" w:cs="Arial"/>
          <w:kern w:val="0"/>
          <w:sz w:val="22"/>
          <w:szCs w:val="22"/>
          <w14:ligatures w14:val="none"/>
        </w:rPr>
      </w:pPr>
      <w:r w:rsidRPr="00C62F0B">
        <w:rPr>
          <w:rFonts w:ascii="Arial" w:eastAsia="Times New Roman" w:hAnsi="Arial" w:cs="Arial"/>
          <w:noProof/>
          <w:kern w:val="0"/>
          <w:sz w:val="22"/>
          <w:szCs w:val="22"/>
          <w14:ligatures w14:val="none"/>
        </w:rPr>
        <mc:AlternateContent>
          <mc:Choice Requires="wps">
            <w:drawing>
              <wp:inline distT="0" distB="0" distL="0" distR="0" wp14:anchorId="390E71E3" wp14:editId="7A33D439">
                <wp:extent cx="5731510" cy="1270"/>
                <wp:effectExtent l="0" t="31750" r="0" b="36830"/>
                <wp:docPr id="691276135"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A0BAE5C"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698167B" w14:textId="53007024" w:rsidR="000A7BDD" w:rsidRPr="00DE5475" w:rsidRDefault="00FF414D" w:rsidP="00A90A5B">
      <w:pPr>
        <w:spacing w:before="100" w:beforeAutospacing="1" w:after="100" w:afterAutospacing="1" w:line="240" w:lineRule="auto"/>
        <w:outlineLvl w:val="1"/>
        <w:rPr>
          <w:rFonts w:ascii="Arial" w:eastAsia="Times New Roman" w:hAnsi="Arial" w:cs="Arial"/>
          <w:b/>
          <w:bCs/>
          <w:kern w:val="0"/>
          <w:sz w:val="22"/>
          <w:szCs w:val="22"/>
          <w14:ligatures w14:val="none"/>
        </w:rPr>
      </w:pPr>
      <w:r w:rsidRPr="00DE5475">
        <w:rPr>
          <w:rFonts w:ascii="Arial" w:eastAsia="Times New Roman" w:hAnsi="Arial" w:cs="Arial"/>
          <w:b/>
          <w:bCs/>
          <w:kern w:val="0"/>
          <w:sz w:val="22"/>
          <w:szCs w:val="22"/>
          <w14:ligatures w14:val="none"/>
        </w:rPr>
        <w:t>9. Recommendations</w:t>
      </w:r>
      <w:r w:rsidR="000A7BDD" w:rsidRPr="00DE5475">
        <w:rPr>
          <w:rFonts w:ascii="Arial" w:eastAsia="Times New Roman" w:hAnsi="Arial" w:cs="Arial"/>
          <w:b/>
          <w:bCs/>
          <w:kern w:val="0"/>
          <w:sz w:val="22"/>
          <w:szCs w:val="22"/>
          <w14:ligatures w14:val="none"/>
        </w:rPr>
        <w:t xml:space="preserve"> </w:t>
      </w:r>
    </w:p>
    <w:p w14:paraId="33A33225" w14:textId="77777777" w:rsidR="000A7BDD" w:rsidRPr="00DE5475" w:rsidRDefault="000A7BDD" w:rsidP="00A90A5B">
      <w:pPr>
        <w:spacing w:before="100" w:beforeAutospacing="1" w:after="100" w:afterAutospacing="1" w:line="240" w:lineRule="auto"/>
        <w:rPr>
          <w:rFonts w:ascii="Arial" w:hAnsi="Arial" w:cs="Arial"/>
          <w:kern w:val="0"/>
          <w:sz w:val="22"/>
          <w:szCs w:val="22"/>
          <w14:ligatures w14:val="none"/>
        </w:rPr>
      </w:pPr>
    </w:p>
    <w:p w14:paraId="16C77788" w14:textId="77777777" w:rsidR="000A7BDD" w:rsidRPr="00DE5475" w:rsidRDefault="000A7BDD" w:rsidP="00A90A5B">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lastRenderedPageBreak/>
        <w:t>To improve the implementation of person-centred care (PCC) and partnership working (PW), several evidence-based recommendations can be proposed.</w:t>
      </w:r>
    </w:p>
    <w:p w14:paraId="7D4157D2" w14:textId="77777777" w:rsidR="000A7BDD" w:rsidRPr="00DE5475" w:rsidRDefault="000A7BDD" w:rsidP="00A90A5B">
      <w:pPr>
        <w:spacing w:before="100" w:beforeAutospacing="1" w:after="100" w:afterAutospacing="1" w:line="240" w:lineRule="auto"/>
        <w:rPr>
          <w:rFonts w:ascii="Arial" w:hAnsi="Arial" w:cs="Arial"/>
          <w:kern w:val="0"/>
          <w:sz w:val="22"/>
          <w:szCs w:val="22"/>
          <w14:ligatures w14:val="none"/>
        </w:rPr>
      </w:pPr>
    </w:p>
    <w:p w14:paraId="4ED31510" w14:textId="77777777" w:rsidR="000A7BDD" w:rsidRPr="00DE5475" w:rsidRDefault="000A7BDD" w:rsidP="00A90A5B">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Firstly, there should be increased investment in workforce capacity and training. Workforce shortages remain a significant barrier to delivering personalised and coordinated care, limiting the time available for meaningful patient engagement (Charles et al., 2022). Expanding staffing levels and providing targeted training in communication and collaborative practice would enhance both PCC and PW delivery.</w:t>
      </w:r>
    </w:p>
    <w:p w14:paraId="12DBF7BC" w14:textId="77777777" w:rsidR="000A7BDD" w:rsidRPr="00DE5475" w:rsidRDefault="000A7BDD" w:rsidP="00A90A5B">
      <w:pPr>
        <w:spacing w:before="100" w:beforeAutospacing="1" w:after="100" w:afterAutospacing="1" w:line="240" w:lineRule="auto"/>
        <w:rPr>
          <w:rFonts w:ascii="Arial" w:hAnsi="Arial" w:cs="Arial"/>
          <w:kern w:val="0"/>
          <w:sz w:val="22"/>
          <w:szCs w:val="22"/>
          <w14:ligatures w14:val="none"/>
        </w:rPr>
      </w:pPr>
    </w:p>
    <w:p w14:paraId="1BBB9083" w14:textId="77777777" w:rsidR="000A7BDD" w:rsidRPr="00DE5475" w:rsidRDefault="000A7BDD" w:rsidP="00A90A5B">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Secondly, the expansion of digital infrastructure is essential to support effective data sharing across organisations. NHS England (2022) emphasises that integrated care relies on timely access to accurate patient information. Improved digital systems would reduce duplication, enhance coordination, and support more informed decision-making.</w:t>
      </w:r>
    </w:p>
    <w:p w14:paraId="05A3A153" w14:textId="77777777" w:rsidR="000A7BDD" w:rsidRPr="00DE5475" w:rsidRDefault="000A7BDD" w:rsidP="00A90A5B">
      <w:pPr>
        <w:spacing w:before="100" w:beforeAutospacing="1" w:after="100" w:afterAutospacing="1" w:line="240" w:lineRule="auto"/>
        <w:rPr>
          <w:rFonts w:ascii="Arial" w:hAnsi="Arial" w:cs="Arial"/>
          <w:kern w:val="0"/>
          <w:sz w:val="22"/>
          <w:szCs w:val="22"/>
          <w14:ligatures w14:val="none"/>
        </w:rPr>
      </w:pPr>
    </w:p>
    <w:p w14:paraId="71709550" w14:textId="77777777" w:rsidR="000A7BDD" w:rsidRPr="00DE5475" w:rsidRDefault="000A7BDD" w:rsidP="00A90A5B">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Thirdly, stronger leadership and governance frameworks are required to support partnership working. Effective collaboration depends on clear roles, shared accountability, and aligned organisational goals (</w:t>
      </w:r>
      <w:proofErr w:type="spellStart"/>
      <w:r w:rsidRPr="00DE5475">
        <w:rPr>
          <w:rFonts w:ascii="Arial" w:hAnsi="Arial" w:cs="Arial"/>
          <w:kern w:val="0"/>
          <w:sz w:val="22"/>
          <w:szCs w:val="22"/>
          <w14:ligatures w14:val="none"/>
        </w:rPr>
        <w:t>Glasby</w:t>
      </w:r>
      <w:proofErr w:type="spellEnd"/>
      <w:r w:rsidRPr="00DE5475">
        <w:rPr>
          <w:rFonts w:ascii="Arial" w:hAnsi="Arial" w:cs="Arial"/>
          <w:kern w:val="0"/>
          <w:sz w:val="22"/>
          <w:szCs w:val="22"/>
          <w14:ligatures w14:val="none"/>
        </w:rPr>
        <w:t xml:space="preserve"> and Dickinson, 2021). Leadership development programmes could help foster a culture of collaboration across sectors.</w:t>
      </w:r>
    </w:p>
    <w:p w14:paraId="071D05B1" w14:textId="77777777" w:rsidR="000A7BDD" w:rsidRPr="00DE5475" w:rsidRDefault="000A7BDD" w:rsidP="00A90A5B">
      <w:pPr>
        <w:spacing w:before="100" w:beforeAutospacing="1" w:after="100" w:afterAutospacing="1" w:line="240" w:lineRule="auto"/>
        <w:rPr>
          <w:rFonts w:ascii="Arial" w:hAnsi="Arial" w:cs="Arial"/>
          <w:kern w:val="0"/>
          <w:sz w:val="22"/>
          <w:szCs w:val="22"/>
          <w14:ligatures w14:val="none"/>
        </w:rPr>
      </w:pPr>
    </w:p>
    <w:p w14:paraId="7F7012DD" w14:textId="77777777" w:rsidR="000A7BDD" w:rsidRPr="00DE5475" w:rsidRDefault="000A7BDD" w:rsidP="00A90A5B">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 xml:space="preserve">In addition, enhancing service user involvement is critical. </w:t>
      </w:r>
      <w:proofErr w:type="spellStart"/>
      <w:r w:rsidRPr="00DE5475">
        <w:rPr>
          <w:rFonts w:ascii="Arial" w:hAnsi="Arial" w:cs="Arial"/>
          <w:kern w:val="0"/>
          <w:sz w:val="22"/>
          <w:szCs w:val="22"/>
          <w14:ligatures w14:val="none"/>
        </w:rPr>
        <w:t>Ocloo</w:t>
      </w:r>
      <w:proofErr w:type="spellEnd"/>
      <w:r w:rsidRPr="00DE5475">
        <w:rPr>
          <w:rFonts w:ascii="Arial" w:hAnsi="Arial" w:cs="Arial"/>
          <w:kern w:val="0"/>
          <w:sz w:val="22"/>
          <w:szCs w:val="22"/>
          <w14:ligatures w14:val="none"/>
        </w:rPr>
        <w:t xml:space="preserve"> et al. (2021) argue that meaningful patient engagement improves both care quality and equity. Mechanisms such as co-production and shared decision-making should be embedded across services.</w:t>
      </w:r>
    </w:p>
    <w:p w14:paraId="0990B800" w14:textId="77777777" w:rsidR="000A7BDD" w:rsidRPr="00DE5475" w:rsidRDefault="000A7BDD" w:rsidP="00A90A5B">
      <w:pPr>
        <w:spacing w:before="100" w:beforeAutospacing="1" w:after="100" w:afterAutospacing="1" w:line="240" w:lineRule="auto"/>
        <w:rPr>
          <w:rFonts w:ascii="Arial" w:hAnsi="Arial" w:cs="Arial"/>
          <w:kern w:val="0"/>
          <w:sz w:val="22"/>
          <w:szCs w:val="22"/>
          <w14:ligatures w14:val="none"/>
        </w:rPr>
      </w:pPr>
    </w:p>
    <w:p w14:paraId="0FEF9A51" w14:textId="77777777" w:rsidR="000A7BDD" w:rsidRPr="00DE5475" w:rsidRDefault="000A7BDD" w:rsidP="00A90A5B">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Addressing health inequalities must also be prioritised. Robertson et al. (2022) highlight persistent disparities in access to care, which undermine the principles of PCC. Targeted interventions focusing on disadvantaged populations are necessary to ensure equitable outcomes.</w:t>
      </w:r>
    </w:p>
    <w:p w14:paraId="75FFBF62" w14:textId="77777777" w:rsidR="000A7BDD" w:rsidRPr="00DE5475" w:rsidRDefault="000A7BDD" w:rsidP="00A90A5B">
      <w:pPr>
        <w:spacing w:before="100" w:beforeAutospacing="1" w:after="100" w:afterAutospacing="1" w:line="240" w:lineRule="auto"/>
        <w:rPr>
          <w:rFonts w:ascii="Arial" w:hAnsi="Arial" w:cs="Arial"/>
          <w:kern w:val="0"/>
          <w:sz w:val="22"/>
          <w:szCs w:val="22"/>
          <w14:ligatures w14:val="none"/>
        </w:rPr>
      </w:pPr>
    </w:p>
    <w:p w14:paraId="6F5E0803" w14:textId="77777777" w:rsidR="000A7BDD" w:rsidRPr="00DE5475" w:rsidRDefault="000A7BDD" w:rsidP="00A90A5B">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Finally, ongoing research and evaluation should be supported to assess the effectiveness of PCC and PW initiatives. Continuous evaluation enables organisations to identify best practices and adapt strategies accordingly (</w:t>
      </w:r>
      <w:proofErr w:type="spellStart"/>
      <w:r w:rsidRPr="00DE5475">
        <w:rPr>
          <w:rFonts w:ascii="Arial" w:hAnsi="Arial" w:cs="Arial"/>
          <w:kern w:val="0"/>
          <w:sz w:val="22"/>
          <w:szCs w:val="22"/>
          <w14:ligatures w14:val="none"/>
        </w:rPr>
        <w:t>Alderwick</w:t>
      </w:r>
      <w:proofErr w:type="spellEnd"/>
      <w:r w:rsidRPr="00DE5475">
        <w:rPr>
          <w:rFonts w:ascii="Arial" w:hAnsi="Arial" w:cs="Arial"/>
          <w:kern w:val="0"/>
          <w:sz w:val="22"/>
          <w:szCs w:val="22"/>
          <w14:ligatures w14:val="none"/>
        </w:rPr>
        <w:t xml:space="preserve"> et al., 2021).</w:t>
      </w:r>
    </w:p>
    <w:p w14:paraId="540A34CA" w14:textId="77777777" w:rsidR="000A7BDD" w:rsidRPr="00DE5475" w:rsidRDefault="000A7BDD" w:rsidP="00FF414D">
      <w:pPr>
        <w:spacing w:before="100" w:beforeAutospacing="1" w:after="100" w:afterAutospacing="1" w:line="240" w:lineRule="auto"/>
        <w:outlineLvl w:val="1"/>
        <w:rPr>
          <w:rFonts w:ascii="Arial" w:hAnsi="Arial" w:cs="Arial"/>
          <w:b/>
          <w:bCs/>
          <w:kern w:val="0"/>
          <w:sz w:val="22"/>
          <w:szCs w:val="22"/>
          <w14:ligatures w14:val="none"/>
        </w:rPr>
      </w:pPr>
    </w:p>
    <w:p w14:paraId="5FA8A429" w14:textId="77777777" w:rsidR="00FF414D" w:rsidRPr="00DE5475" w:rsidRDefault="00FF414D" w:rsidP="00FF414D">
      <w:pPr>
        <w:spacing w:before="100" w:beforeAutospacing="1" w:after="100" w:afterAutospacing="1" w:line="240" w:lineRule="auto"/>
        <w:rPr>
          <w:rFonts w:ascii="Arial" w:hAnsi="Arial" w:cs="Arial"/>
          <w:kern w:val="0"/>
          <w:sz w:val="22"/>
          <w:szCs w:val="22"/>
          <w14:ligatures w14:val="none"/>
        </w:rPr>
      </w:pPr>
    </w:p>
    <w:p w14:paraId="2E9FB060" w14:textId="77777777" w:rsidR="00FF414D" w:rsidRPr="00DE5475" w:rsidRDefault="00FF414D" w:rsidP="00FF414D">
      <w:pPr>
        <w:spacing w:after="0" w:line="240" w:lineRule="auto"/>
        <w:rPr>
          <w:rFonts w:ascii="Arial" w:eastAsia="Times New Roman" w:hAnsi="Arial" w:cs="Arial"/>
          <w:kern w:val="0"/>
          <w:sz w:val="22"/>
          <w:szCs w:val="22"/>
          <w14:ligatures w14:val="none"/>
        </w:rPr>
      </w:pPr>
      <w:r w:rsidRPr="00DE5475">
        <w:rPr>
          <w:rFonts w:ascii="Arial" w:eastAsia="Times New Roman" w:hAnsi="Arial" w:cs="Arial"/>
          <w:noProof/>
          <w:kern w:val="0"/>
          <w:sz w:val="22"/>
          <w:szCs w:val="22"/>
          <w14:ligatures w14:val="none"/>
        </w:rPr>
        <mc:AlternateContent>
          <mc:Choice Requires="wps">
            <w:drawing>
              <wp:inline distT="0" distB="0" distL="0" distR="0" wp14:anchorId="316188D7" wp14:editId="17D8FE7A">
                <wp:extent cx="5731510" cy="1270"/>
                <wp:effectExtent l="0" t="31750" r="0" b="36830"/>
                <wp:docPr id="208103237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B9ACA33"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" filled="f">
                <o:lock v:ext="edit" aspectratio="t"/>
                <w10:anchorlock/>
              </v:rect>
            </w:pict>
          </mc:Fallback>
        </mc:AlternateContent>
      </w:r>
    </w:p>
    <w:p w14:paraId="3F3E1E54" w14:textId="77777777" w:rsidR="00FF414D" w:rsidRPr="00DE5475" w:rsidRDefault="00FF414D" w:rsidP="00FF414D">
      <w:pPr>
        <w:spacing w:before="100" w:beforeAutospacing="1" w:after="100" w:afterAutospacing="1" w:line="240" w:lineRule="auto"/>
        <w:outlineLvl w:val="1"/>
        <w:rPr>
          <w:rFonts w:ascii="Arial" w:hAnsi="Arial" w:cs="Arial"/>
          <w:b/>
          <w:bCs/>
          <w:kern w:val="0"/>
          <w:sz w:val="22"/>
          <w:szCs w:val="22"/>
          <w14:ligatures w14:val="none"/>
        </w:rPr>
      </w:pPr>
      <w:r w:rsidRPr="00DE5475">
        <w:rPr>
          <w:rFonts w:ascii="Arial" w:eastAsia="Times New Roman" w:hAnsi="Arial" w:cs="Arial"/>
          <w:b/>
          <w:bCs/>
          <w:kern w:val="0"/>
          <w:sz w:val="22"/>
          <w:szCs w:val="22"/>
          <w14:ligatures w14:val="none"/>
        </w:rPr>
        <w:t>10. Conclusion</w:t>
      </w:r>
    </w:p>
    <w:p w14:paraId="4D1E52FB" w14:textId="77777777" w:rsidR="00FF414D" w:rsidRPr="00DE5475" w:rsidRDefault="00FF414D" w:rsidP="00FF414D">
      <w:pPr>
        <w:spacing w:before="100" w:beforeAutospacing="1" w:after="100" w:afterAutospacing="1" w:line="240" w:lineRule="auto"/>
        <w:rPr>
          <w:rFonts w:ascii="Arial" w:hAnsi="Arial" w:cs="Arial"/>
          <w:kern w:val="0"/>
          <w:sz w:val="22"/>
          <w:szCs w:val="22"/>
          <w14:ligatures w14:val="none"/>
        </w:rPr>
      </w:pPr>
    </w:p>
    <w:p w14:paraId="1F62588D" w14:textId="77777777" w:rsidR="00FF414D" w:rsidRPr="00DE5475" w:rsidRDefault="00FF414D" w:rsidP="00FF414D">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lastRenderedPageBreak/>
        <w:t>Person-centred care and partnership working are central to the future of UK health and social care. Both approaches offer significant benefits, including improved outcomes, efficiency, and patient satisfaction.</w:t>
      </w:r>
    </w:p>
    <w:p w14:paraId="1AEBEC3F" w14:textId="77777777" w:rsidR="00FF414D" w:rsidRPr="00DE5475" w:rsidRDefault="00FF414D" w:rsidP="00FF414D">
      <w:pPr>
        <w:spacing w:before="100" w:beforeAutospacing="1" w:after="100" w:afterAutospacing="1" w:line="240" w:lineRule="auto"/>
        <w:rPr>
          <w:rFonts w:ascii="Arial" w:hAnsi="Arial" w:cs="Arial"/>
          <w:kern w:val="0"/>
          <w:sz w:val="22"/>
          <w:szCs w:val="22"/>
          <w14:ligatures w14:val="none"/>
        </w:rPr>
      </w:pPr>
    </w:p>
    <w:p w14:paraId="67D2EA40" w14:textId="77777777" w:rsidR="00FF414D" w:rsidRPr="00DE5475" w:rsidRDefault="00FF414D" w:rsidP="00FF414D">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However, their implementation remains challenging. Theoretical models and ethical principles provide a strong foundation, but systemic barriers—particularly workforce shortages and inequalities—limit effectiveness.</w:t>
      </w:r>
    </w:p>
    <w:p w14:paraId="3C5E566E" w14:textId="5AF04D21" w:rsidR="007357AF" w:rsidRPr="00DE5475" w:rsidRDefault="00FF414D" w:rsidP="00FD59EA">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Policy frameworks support these approaches, yet gaps between policy and practice persist. Addressing these challenges will require sustained investment, strong leadership, and a commitment to integrated, person-centred care.</w:t>
      </w:r>
    </w:p>
    <w:p w14:paraId="22657FE7" w14:textId="77777777" w:rsidR="007357AF" w:rsidRPr="00DE5475" w:rsidRDefault="007357AF" w:rsidP="007357AF">
      <w:pPr>
        <w:spacing w:before="100" w:beforeAutospacing="1" w:after="100" w:afterAutospacing="1" w:line="240" w:lineRule="auto"/>
        <w:outlineLvl w:val="2"/>
        <w:rPr>
          <w:rFonts w:ascii="Arial" w:eastAsia="Times New Roman" w:hAnsi="Arial" w:cs="Arial"/>
          <w:b/>
          <w:bCs/>
          <w:kern w:val="0"/>
          <w:sz w:val="22"/>
          <w:szCs w:val="22"/>
          <w14:ligatures w14:val="none"/>
        </w:rPr>
      </w:pPr>
      <w:r w:rsidRPr="00DE5475">
        <w:rPr>
          <w:rFonts w:ascii="Arial" w:eastAsia="Times New Roman" w:hAnsi="Arial" w:cs="Arial"/>
          <w:b/>
          <w:bCs/>
          <w:kern w:val="0"/>
          <w:sz w:val="22"/>
          <w:szCs w:val="22"/>
          <w14:ligatures w14:val="none"/>
        </w:rPr>
        <w:t>Reference List</w:t>
      </w:r>
    </w:p>
    <w:p w14:paraId="2AE88BB3"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36441025"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roofErr w:type="spellStart"/>
      <w:r w:rsidRPr="00DE5475">
        <w:rPr>
          <w:rFonts w:ascii="Arial" w:hAnsi="Arial" w:cs="Arial"/>
          <w:kern w:val="0"/>
          <w:sz w:val="22"/>
          <w:szCs w:val="22"/>
          <w14:ligatures w14:val="none"/>
        </w:rPr>
        <w:t>Alderwick</w:t>
      </w:r>
      <w:proofErr w:type="spellEnd"/>
      <w:r w:rsidRPr="00DE5475">
        <w:rPr>
          <w:rFonts w:ascii="Arial" w:hAnsi="Arial" w:cs="Arial"/>
          <w:kern w:val="0"/>
          <w:sz w:val="22"/>
          <w:szCs w:val="22"/>
          <w14:ligatures w14:val="none"/>
        </w:rPr>
        <w:t>, H. et al. (2021) ‘Integration in the NHS’, BMJ, 372, n135.</w:t>
      </w:r>
    </w:p>
    <w:p w14:paraId="6C2C252B"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749AD8A1"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Beach, M.C. et al. (2020) ‘Relationship-centred care: A constructive reframing’, Journal of General Internal Medicine, 35(9), pp. 2756–2760.</w:t>
      </w:r>
    </w:p>
    <w:p w14:paraId="73759BFC"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01EE0A5D"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 xml:space="preserve">Beauchamp, T.L. and Childress, J.F. (2019) Principles of biomedical ethics. 8th </w:t>
      </w:r>
      <w:proofErr w:type="spellStart"/>
      <w:r w:rsidRPr="00DE5475">
        <w:rPr>
          <w:rFonts w:ascii="Arial" w:hAnsi="Arial" w:cs="Arial"/>
          <w:kern w:val="0"/>
          <w:sz w:val="22"/>
          <w:szCs w:val="22"/>
          <w14:ligatures w14:val="none"/>
        </w:rPr>
        <w:t>edn</w:t>
      </w:r>
      <w:proofErr w:type="spellEnd"/>
      <w:r w:rsidRPr="00DE5475">
        <w:rPr>
          <w:rFonts w:ascii="Arial" w:hAnsi="Arial" w:cs="Arial"/>
          <w:kern w:val="0"/>
          <w:sz w:val="22"/>
          <w:szCs w:val="22"/>
          <w14:ligatures w14:val="none"/>
        </w:rPr>
        <w:t>. Oxford: Oxford University Press.</w:t>
      </w:r>
    </w:p>
    <w:p w14:paraId="24102FFC"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1C0D91BF"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roofErr w:type="spellStart"/>
      <w:r w:rsidRPr="00DE5475">
        <w:rPr>
          <w:rFonts w:ascii="Arial" w:hAnsi="Arial" w:cs="Arial"/>
          <w:kern w:val="0"/>
          <w:sz w:val="22"/>
          <w:szCs w:val="22"/>
          <w14:ligatures w14:val="none"/>
        </w:rPr>
        <w:t>Borrell-Carrió</w:t>
      </w:r>
      <w:proofErr w:type="spellEnd"/>
      <w:r w:rsidRPr="00DE5475">
        <w:rPr>
          <w:rFonts w:ascii="Arial" w:hAnsi="Arial" w:cs="Arial"/>
          <w:kern w:val="0"/>
          <w:sz w:val="22"/>
          <w:szCs w:val="22"/>
          <w14:ligatures w14:val="none"/>
        </w:rPr>
        <w:t xml:space="preserve">, F., </w:t>
      </w:r>
      <w:proofErr w:type="spellStart"/>
      <w:r w:rsidRPr="00DE5475">
        <w:rPr>
          <w:rFonts w:ascii="Arial" w:hAnsi="Arial" w:cs="Arial"/>
          <w:kern w:val="0"/>
          <w:sz w:val="22"/>
          <w:szCs w:val="22"/>
          <w14:ligatures w14:val="none"/>
        </w:rPr>
        <w:t>Suchman</w:t>
      </w:r>
      <w:proofErr w:type="spellEnd"/>
      <w:r w:rsidRPr="00DE5475">
        <w:rPr>
          <w:rFonts w:ascii="Arial" w:hAnsi="Arial" w:cs="Arial"/>
          <w:kern w:val="0"/>
          <w:sz w:val="22"/>
          <w:szCs w:val="22"/>
          <w14:ligatures w14:val="none"/>
        </w:rPr>
        <w:t>, A.L. and Epstein, R.M. (2020) ‘The biopsychosocial model 25 years later’, Annals of Family Medicine, 18(6), pp. 576–582.</w:t>
      </w:r>
    </w:p>
    <w:p w14:paraId="4F9D0389"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559D6C9E"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 xml:space="preserve">Carey, G. and </w:t>
      </w:r>
      <w:proofErr w:type="spellStart"/>
      <w:r w:rsidRPr="00DE5475">
        <w:rPr>
          <w:rFonts w:ascii="Arial" w:hAnsi="Arial" w:cs="Arial"/>
          <w:kern w:val="0"/>
          <w:sz w:val="22"/>
          <w:szCs w:val="22"/>
          <w14:ligatures w14:val="none"/>
        </w:rPr>
        <w:t>Crammond</w:t>
      </w:r>
      <w:proofErr w:type="spellEnd"/>
      <w:r w:rsidRPr="00DE5475">
        <w:rPr>
          <w:rFonts w:ascii="Arial" w:hAnsi="Arial" w:cs="Arial"/>
          <w:kern w:val="0"/>
          <w:sz w:val="22"/>
          <w:szCs w:val="22"/>
          <w14:ligatures w14:val="none"/>
        </w:rPr>
        <w:t>, B. (2021) ‘Partnership working in public policy’, Public Administration Review, 81(2), pp. 276–287.</w:t>
      </w:r>
    </w:p>
    <w:p w14:paraId="135CDF0A"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6CE53CDA"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 xml:space="preserve">Charles, A., </w:t>
      </w:r>
      <w:proofErr w:type="spellStart"/>
      <w:r w:rsidRPr="00DE5475">
        <w:rPr>
          <w:rFonts w:ascii="Arial" w:hAnsi="Arial" w:cs="Arial"/>
          <w:kern w:val="0"/>
          <w:sz w:val="22"/>
          <w:szCs w:val="22"/>
          <w14:ligatures w14:val="none"/>
        </w:rPr>
        <w:t>Ewbank</w:t>
      </w:r>
      <w:proofErr w:type="spellEnd"/>
      <w:r w:rsidRPr="00DE5475">
        <w:rPr>
          <w:rFonts w:ascii="Arial" w:hAnsi="Arial" w:cs="Arial"/>
          <w:kern w:val="0"/>
          <w:sz w:val="22"/>
          <w:szCs w:val="22"/>
          <w14:ligatures w14:val="none"/>
        </w:rPr>
        <w:t>, L. and McKenna, H. (2022) The NHS workforce in numbers. London: The King’s Fund.</w:t>
      </w:r>
    </w:p>
    <w:p w14:paraId="315C5635"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3E63EF05"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Coulter, A. et al. (2015) Personalised care planning: Improving care for people with long-term conditions. London: The King’s Fund.</w:t>
      </w:r>
    </w:p>
    <w:p w14:paraId="1AD55C66"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064676C5"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Dawson, A. (2021) ‘Autonomy in healthcare ethics’, Bioethics, 35(2), pp. 123–130.</w:t>
      </w:r>
    </w:p>
    <w:p w14:paraId="58472281"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3C039EE2"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Doyle, C., Lennox, L. and Bell, D. (2013) ‘A systematic review of evidence on the links between patient experience and clinical safety and effectiveness’, BMJ Open, 3(1), e001570.</w:t>
      </w:r>
    </w:p>
    <w:p w14:paraId="71F30CC7"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143E35D7"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roofErr w:type="spellStart"/>
      <w:r w:rsidRPr="00DE5475">
        <w:rPr>
          <w:rFonts w:ascii="Arial" w:hAnsi="Arial" w:cs="Arial"/>
          <w:kern w:val="0"/>
          <w:sz w:val="22"/>
          <w:szCs w:val="22"/>
          <w14:ligatures w14:val="none"/>
        </w:rPr>
        <w:t>Ekman</w:t>
      </w:r>
      <w:proofErr w:type="spellEnd"/>
      <w:r w:rsidRPr="00DE5475">
        <w:rPr>
          <w:rFonts w:ascii="Arial" w:hAnsi="Arial" w:cs="Arial"/>
          <w:kern w:val="0"/>
          <w:sz w:val="22"/>
          <w:szCs w:val="22"/>
          <w14:ligatures w14:val="none"/>
        </w:rPr>
        <w:t>, I. et al. (2021) ‘Person-centred care—ready for prime time’, European Journal of Cardiovascular Nursing, 20(1), pp. 5–8.</w:t>
      </w:r>
    </w:p>
    <w:p w14:paraId="31A44336"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05B33AC0"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Entwistle, V.A. et al. (2020) ‘Supporting patient autonomy’, Social Science &amp; Medicine, 245, 112678.</w:t>
      </w:r>
    </w:p>
    <w:p w14:paraId="47E179D8"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300C1FBF"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roofErr w:type="spellStart"/>
      <w:r w:rsidRPr="00DE5475">
        <w:rPr>
          <w:rFonts w:ascii="Arial" w:hAnsi="Arial" w:cs="Arial"/>
          <w:kern w:val="0"/>
          <w:sz w:val="22"/>
          <w:szCs w:val="22"/>
          <w14:ligatures w14:val="none"/>
        </w:rPr>
        <w:t>Glasby</w:t>
      </w:r>
      <w:proofErr w:type="spellEnd"/>
      <w:r w:rsidRPr="00DE5475">
        <w:rPr>
          <w:rFonts w:ascii="Arial" w:hAnsi="Arial" w:cs="Arial"/>
          <w:kern w:val="0"/>
          <w:sz w:val="22"/>
          <w:szCs w:val="22"/>
          <w14:ligatures w14:val="none"/>
        </w:rPr>
        <w:t>, J. and Dickinson, H. (2021) ‘Partnership working in health and social care’, Journal of Integrated Care, 29(2), pp. 123–135.</w:t>
      </w:r>
    </w:p>
    <w:p w14:paraId="5C2AB8C7"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6DFF94B0"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Ham, C. et al. (2021) ‘What next for integrated care systems?’, BMJ, 373, n1565.</w:t>
      </w:r>
    </w:p>
    <w:p w14:paraId="00F82172"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4A27CF7B"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Health Foundation (2022) Personalised care: Improving outcomes. London: Health Foundation.</w:t>
      </w:r>
    </w:p>
    <w:p w14:paraId="744F7CF2"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28793E5C"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Hudson, B. (2020) ‘Partnership working: A critique’, Policy &amp; Politics, 48(1), pp. 5–20.</w:t>
      </w:r>
    </w:p>
    <w:p w14:paraId="4E5A1F38"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726C9257"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King’s Fund (2023) Health and care pressures in England. London: The King’s Fund.</w:t>
      </w:r>
    </w:p>
    <w:p w14:paraId="4A36FC21"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3A7366D0"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Mead, N. and Bower, P. (2000) ‘</w:t>
      </w:r>
      <w:proofErr w:type="spellStart"/>
      <w:r w:rsidRPr="00DE5475">
        <w:rPr>
          <w:rFonts w:ascii="Arial" w:hAnsi="Arial" w:cs="Arial"/>
          <w:kern w:val="0"/>
          <w:sz w:val="22"/>
          <w:szCs w:val="22"/>
          <w14:ligatures w14:val="none"/>
        </w:rPr>
        <w:t>Patient-centredness</w:t>
      </w:r>
      <w:proofErr w:type="spellEnd"/>
      <w:r w:rsidRPr="00DE5475">
        <w:rPr>
          <w:rFonts w:ascii="Arial" w:hAnsi="Arial" w:cs="Arial"/>
          <w:kern w:val="0"/>
          <w:sz w:val="22"/>
          <w:szCs w:val="22"/>
          <w14:ligatures w14:val="none"/>
        </w:rPr>
        <w:t>: A conceptual framework’, Social Science &amp; Medicine, 51(7), pp. 1087–1110.</w:t>
      </w:r>
    </w:p>
    <w:p w14:paraId="783C17D2"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346AC076"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Moore, L. et al. (2021) ‘Defining person-centred care’, Health Expectations, 24(2), pp. 682–688.</w:t>
      </w:r>
    </w:p>
    <w:p w14:paraId="7E663B5E"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33007072"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NHS England (2019) The NHS long term plan. London: NHS England.</w:t>
      </w:r>
    </w:p>
    <w:p w14:paraId="32E6A373"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55194B0B"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lastRenderedPageBreak/>
        <w:t>NHS England (2022) Integrated care systems: Design framework. London: NHS England.</w:t>
      </w:r>
    </w:p>
    <w:p w14:paraId="4660BDC9"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085DAB3A"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NICE (2021) Shared decision making (NG197). London: National Institute for Health and Care Excellence.</w:t>
      </w:r>
    </w:p>
    <w:p w14:paraId="0C7E966E"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6F5DC2F0"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roofErr w:type="spellStart"/>
      <w:r w:rsidRPr="00DE5475">
        <w:rPr>
          <w:rFonts w:ascii="Arial" w:hAnsi="Arial" w:cs="Arial"/>
          <w:kern w:val="0"/>
          <w:sz w:val="22"/>
          <w:szCs w:val="22"/>
          <w14:ligatures w14:val="none"/>
        </w:rPr>
        <w:t>Ocloo</w:t>
      </w:r>
      <w:proofErr w:type="spellEnd"/>
      <w:r w:rsidRPr="00DE5475">
        <w:rPr>
          <w:rFonts w:ascii="Arial" w:hAnsi="Arial" w:cs="Arial"/>
          <w:kern w:val="0"/>
          <w:sz w:val="22"/>
          <w:szCs w:val="22"/>
          <w14:ligatures w14:val="none"/>
        </w:rPr>
        <w:t>, J. et al. (2021) ‘Patient involvement and health inequalities’, BMJ Quality &amp; Safety, 30(2), pp. 123–130.</w:t>
      </w:r>
    </w:p>
    <w:p w14:paraId="7B0C6E3D"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26EE2082"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Robertson, R. et al. (2022) Access to health care in England. London: The King’s Fund.</w:t>
      </w:r>
    </w:p>
    <w:p w14:paraId="1861E8EE"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7F31B3CB"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Santana, M.J. et al. (2020) ‘How to practice person-centred care’, BMJ Open, 10(2), e030681.</w:t>
      </w:r>
    </w:p>
    <w:p w14:paraId="30CB81EF"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0A448C2A"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 xml:space="preserve">Wade, D.T. and </w:t>
      </w:r>
      <w:proofErr w:type="spellStart"/>
      <w:r w:rsidRPr="00DE5475">
        <w:rPr>
          <w:rFonts w:ascii="Arial" w:hAnsi="Arial" w:cs="Arial"/>
          <w:kern w:val="0"/>
          <w:sz w:val="22"/>
          <w:szCs w:val="22"/>
          <w14:ligatures w14:val="none"/>
        </w:rPr>
        <w:t>Halligan</w:t>
      </w:r>
      <w:proofErr w:type="spellEnd"/>
      <w:r w:rsidRPr="00DE5475">
        <w:rPr>
          <w:rFonts w:ascii="Arial" w:hAnsi="Arial" w:cs="Arial"/>
          <w:kern w:val="0"/>
          <w:sz w:val="22"/>
          <w:szCs w:val="22"/>
          <w14:ligatures w14:val="none"/>
        </w:rPr>
        <w:t>, P.W. (2020) ‘The biopsychosocial model’, Clinical Rehabilitation, 34(1), pp. 3–7.</w:t>
      </w:r>
    </w:p>
    <w:p w14:paraId="02C1CEAD"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602264CA"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Williams, G. et al. (2022) ‘Evaluating integrated care systems’, Health Policy, 126(3), pp. 256–263.</w:t>
      </w:r>
    </w:p>
    <w:p w14:paraId="22817E17"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p>
    <w:p w14:paraId="5CCF07A1" w14:textId="77777777" w:rsidR="007357AF" w:rsidRPr="00DE5475" w:rsidRDefault="007357AF" w:rsidP="007357AF">
      <w:pPr>
        <w:spacing w:before="100" w:beforeAutospacing="1" w:after="100" w:afterAutospacing="1" w:line="240" w:lineRule="auto"/>
        <w:rPr>
          <w:rFonts w:ascii="Arial" w:hAnsi="Arial" w:cs="Arial"/>
          <w:kern w:val="0"/>
          <w:sz w:val="22"/>
          <w:szCs w:val="22"/>
          <w14:ligatures w14:val="none"/>
        </w:rPr>
      </w:pPr>
      <w:r w:rsidRPr="00DE5475">
        <w:rPr>
          <w:rFonts w:ascii="Arial" w:hAnsi="Arial" w:cs="Arial"/>
          <w:kern w:val="0"/>
          <w:sz w:val="22"/>
          <w:szCs w:val="22"/>
          <w14:ligatures w14:val="none"/>
        </w:rPr>
        <w:t xml:space="preserve">World Health </w:t>
      </w:r>
      <w:proofErr w:type="spellStart"/>
      <w:r w:rsidRPr="00DE5475">
        <w:rPr>
          <w:rFonts w:ascii="Arial" w:hAnsi="Arial" w:cs="Arial"/>
          <w:kern w:val="0"/>
          <w:sz w:val="22"/>
          <w:szCs w:val="22"/>
          <w14:ligatures w14:val="none"/>
        </w:rPr>
        <w:t>Organization</w:t>
      </w:r>
      <w:proofErr w:type="spellEnd"/>
      <w:r w:rsidRPr="00DE5475">
        <w:rPr>
          <w:rFonts w:ascii="Arial" w:hAnsi="Arial" w:cs="Arial"/>
          <w:kern w:val="0"/>
          <w:sz w:val="22"/>
          <w:szCs w:val="22"/>
          <w14:ligatures w14:val="none"/>
        </w:rPr>
        <w:t xml:space="preserve"> (2020) Integrated people-centred health services. Geneva: WHO.</w:t>
      </w:r>
    </w:p>
    <w:p w14:paraId="03BC1FC3" w14:textId="77777777" w:rsidR="007357AF" w:rsidRPr="00DE5475" w:rsidRDefault="007357AF">
      <w:pPr>
        <w:rPr>
          <w:rFonts w:ascii="Arial" w:hAnsi="Arial" w:cs="Arial"/>
          <w:sz w:val="22"/>
          <w:szCs w:val="22"/>
          <w:lang w:val="es-419"/>
        </w:rPr>
      </w:pPr>
    </w:p>
    <w:sectPr w:rsidR="007357AF" w:rsidRPr="00DE54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756E4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52874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74A"/>
    <w:rsid w:val="000628BF"/>
    <w:rsid w:val="000A7BDD"/>
    <w:rsid w:val="001455A3"/>
    <w:rsid w:val="0028072C"/>
    <w:rsid w:val="00324963"/>
    <w:rsid w:val="003D75D9"/>
    <w:rsid w:val="00471759"/>
    <w:rsid w:val="005522E9"/>
    <w:rsid w:val="00582093"/>
    <w:rsid w:val="0065474A"/>
    <w:rsid w:val="007357AF"/>
    <w:rsid w:val="007E2EB9"/>
    <w:rsid w:val="00961B7B"/>
    <w:rsid w:val="00C62F0B"/>
    <w:rsid w:val="00DD53D9"/>
    <w:rsid w:val="00DE5475"/>
    <w:rsid w:val="00EB48CA"/>
    <w:rsid w:val="00F066A2"/>
    <w:rsid w:val="00FD59EA"/>
    <w:rsid w:val="00FF41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54391"/>
  <w15:chartTrackingRefBased/>
  <w15:docId w15:val="{9875F2C8-532C-CF4A-8D5C-6D18E04AA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474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5474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5474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5474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5474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547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47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47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47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474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5474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5474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5474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5474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547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47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47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474A"/>
    <w:rPr>
      <w:rFonts w:eastAsiaTheme="majorEastAsia" w:cstheme="majorBidi"/>
      <w:color w:val="272727" w:themeColor="text1" w:themeTint="D8"/>
    </w:rPr>
  </w:style>
  <w:style w:type="paragraph" w:styleId="Title">
    <w:name w:val="Title"/>
    <w:basedOn w:val="Normal"/>
    <w:next w:val="Normal"/>
    <w:link w:val="TitleChar"/>
    <w:uiPriority w:val="10"/>
    <w:qFormat/>
    <w:rsid w:val="006547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47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47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47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474A"/>
    <w:pPr>
      <w:spacing w:before="160"/>
      <w:jc w:val="center"/>
    </w:pPr>
    <w:rPr>
      <w:i/>
      <w:iCs/>
      <w:color w:val="404040" w:themeColor="text1" w:themeTint="BF"/>
    </w:rPr>
  </w:style>
  <w:style w:type="character" w:customStyle="1" w:styleId="QuoteChar">
    <w:name w:val="Quote Char"/>
    <w:basedOn w:val="DefaultParagraphFont"/>
    <w:link w:val="Quote"/>
    <w:uiPriority w:val="29"/>
    <w:rsid w:val="0065474A"/>
    <w:rPr>
      <w:i/>
      <w:iCs/>
      <w:color w:val="404040" w:themeColor="text1" w:themeTint="BF"/>
    </w:rPr>
  </w:style>
  <w:style w:type="paragraph" w:styleId="ListParagraph">
    <w:name w:val="List Paragraph"/>
    <w:basedOn w:val="Normal"/>
    <w:uiPriority w:val="34"/>
    <w:qFormat/>
    <w:rsid w:val="0065474A"/>
    <w:pPr>
      <w:ind w:left="720"/>
      <w:contextualSpacing/>
    </w:pPr>
  </w:style>
  <w:style w:type="character" w:styleId="IntenseEmphasis">
    <w:name w:val="Intense Emphasis"/>
    <w:basedOn w:val="DefaultParagraphFont"/>
    <w:uiPriority w:val="21"/>
    <w:qFormat/>
    <w:rsid w:val="0065474A"/>
    <w:rPr>
      <w:i/>
      <w:iCs/>
      <w:color w:val="2F5496" w:themeColor="accent1" w:themeShade="BF"/>
    </w:rPr>
  </w:style>
  <w:style w:type="paragraph" w:styleId="IntenseQuote">
    <w:name w:val="Intense Quote"/>
    <w:basedOn w:val="Normal"/>
    <w:next w:val="Normal"/>
    <w:link w:val="IntenseQuoteChar"/>
    <w:uiPriority w:val="30"/>
    <w:qFormat/>
    <w:rsid w:val="0065474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5474A"/>
    <w:rPr>
      <w:i/>
      <w:iCs/>
      <w:color w:val="2F5496" w:themeColor="accent1" w:themeShade="BF"/>
    </w:rPr>
  </w:style>
  <w:style w:type="character" w:styleId="IntenseReference">
    <w:name w:val="Intense Reference"/>
    <w:basedOn w:val="DefaultParagraphFont"/>
    <w:uiPriority w:val="32"/>
    <w:qFormat/>
    <w:rsid w:val="0065474A"/>
    <w:rPr>
      <w:b/>
      <w:bCs/>
      <w:smallCaps/>
      <w:color w:val="2F5496" w:themeColor="accent1" w:themeShade="BF"/>
      <w:spacing w:val="5"/>
    </w:rPr>
  </w:style>
  <w:style w:type="paragraph" w:customStyle="1" w:styleId="p1">
    <w:name w:val="p1"/>
    <w:basedOn w:val="Normal"/>
    <w:rsid w:val="00471759"/>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471759"/>
    <w:rPr>
      <w:rFonts w:ascii="Helvetica" w:hAnsi="Helvetica" w:hint="default"/>
      <w:b w:val="0"/>
      <w:bCs w:val="0"/>
      <w:i w:val="0"/>
      <w:iCs w:val="0"/>
      <w:sz w:val="18"/>
      <w:szCs w:val="18"/>
    </w:rPr>
  </w:style>
  <w:style w:type="paragraph" w:customStyle="1" w:styleId="p2">
    <w:name w:val="p2"/>
    <w:basedOn w:val="Normal"/>
    <w:rsid w:val="00582093"/>
    <w:pPr>
      <w:spacing w:after="0" w:line="240" w:lineRule="auto"/>
    </w:pPr>
    <w:rPr>
      <w:rFonts w:ascii="Helvetica" w:hAnsi="Helvetica" w:cs="Times New Roman"/>
      <w:kern w:val="0"/>
      <w:sz w:val="18"/>
      <w:szCs w:val="18"/>
      <w14:ligatures w14:val="none"/>
    </w:rPr>
  </w:style>
  <w:style w:type="character" w:customStyle="1" w:styleId="s2">
    <w:name w:val="s2"/>
    <w:basedOn w:val="DefaultParagraphFont"/>
    <w:rsid w:val="003D75D9"/>
  </w:style>
  <w:style w:type="paragraph" w:customStyle="1" w:styleId="p3">
    <w:name w:val="p3"/>
    <w:basedOn w:val="Normal"/>
    <w:rsid w:val="003D75D9"/>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3D75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2843</Words>
  <Characters>16207</Characters>
  <Application>Microsoft Office Word</Application>
  <DocSecurity>0</DocSecurity>
  <Lines>135</Lines>
  <Paragraphs>38</Paragraphs>
  <ScaleCrop>false</ScaleCrop>
  <Company/>
  <LinksUpToDate>false</LinksUpToDate>
  <CharactersWithSpaces>19012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 Lissa</dc:creator>
  <cp:keywords/>
  <dc:description/>
  <cp:lastModifiedBy>Alexa Lissa</cp:lastModifiedBy>
  <cp:revision>2</cp:revision>
  <dcterms:created xsi:type="dcterms:W3CDTF">2026-03-29T01:21:00Z</dcterms:created>
  <dcterms:modified xsi:type="dcterms:W3CDTF">2026-03-29T01:21:00Z</dcterms:modified>
</cp:coreProperties>
</file>