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1A4074" w14:textId="2F0EA9A9" w:rsidR="00E9651D" w:rsidRDefault="00000000" w:rsidP="00E9651D">
      <w:r>
        <w:tab/>
      </w:r>
      <w:r w:rsidRPr="00426473">
        <w:t xml:space="preserve">For </w:t>
      </w:r>
      <w:r w:rsidR="00426473" w:rsidRPr="00426473">
        <w:t>seventy-six-year-old</w:t>
      </w:r>
      <w:r w:rsidRPr="00426473">
        <w:t xml:space="preserve"> Barbara, her experiences with loneliness are not uncommon within individuals of her age group. Especially after the Covid-19 pandemic, many elderly people have suffered from isolation whether it be due to loss of codependent loved ones such as spouses or general isolation from mandated social distancing (Yildirim et al., 2021). </w:t>
      </w:r>
      <w:r w:rsidR="003B6974">
        <w:t xml:space="preserve">Barbara got </w:t>
      </w:r>
      <w:r w:rsidRPr="00426473">
        <w:t xml:space="preserve">used to her interactions within her community, i.e., with her late husband, the school children, her son and grandchildren, and her friends. This gradual, but in some ways sudden, loss of interaction and sense of familiarity would obviously be detrimental to Barbara’s mental health. Her loneliness is also an unfortunate case of a feedback loop as well, where activities she used to enjoy doing, such as coach trips and ballroom </w:t>
      </w:r>
      <w:r w:rsidR="00E9651D" w:rsidRPr="00426473">
        <w:t>dancing -</w:t>
      </w:r>
      <w:r w:rsidRPr="00426473">
        <w:t xml:space="preserve"> which would help her feel less lonely, also make her feel more despair as it reminds her of her bereavement. </w:t>
      </w:r>
      <w:r w:rsidR="00E9651D" w:rsidRPr="00426473">
        <w:t>The social shift from regular interactions such as with her husband at a ballroom dancing club to her infrequent phone calls to her son tells a story of increasing social exclusion. Nevertheless, her desire to be asked how she is speaks volumes to the lack of social interactions she now regularly has.</w:t>
      </w:r>
      <w:r w:rsidRPr="00426473">
        <w:br/>
      </w:r>
      <w:r w:rsidRPr="00426473">
        <w:br/>
      </w:r>
      <w:r w:rsidRPr="00426473">
        <w:tab/>
        <w:t xml:space="preserve">Barbara’s isolation leads her to feel socially excluded, unable to interact with society in ways which are meaningful to her. Barbara’s feeling of social exclusion also leaves her cold and lethargic, as evident when she chooses to go to bed early as it is warmer. Her experience of coldness is not just physical, but social as well as she is unable to effectively feel the warmth of her community that she is used to. </w:t>
      </w:r>
      <w:r w:rsidR="00B26E52">
        <w:t>The</w:t>
      </w:r>
      <w:r w:rsidRPr="00426473">
        <w:t xml:space="preserve"> linguistic metaphorical usage of ‘warmth’ in a social and physical context is not just coincidental. Zhong &amp; Leonardelli (2008), showed that people experiencing social exclusion also experience feeling physically colder, implying the statistically significant conclusion of a physical component especially felt by the elderly as they are also more susceptible to harsher temperatures (Waalen &amp; Buxbaum, 2011) and even more concerning as more contemporary research points towards a negative correlation between exposure to extreme temperature and cognitive function, especially in elderly and aging individuals who are already more vulnerable (Khan et al., 2021). </w:t>
      </w:r>
      <w:r w:rsidR="00E9651D">
        <w:t xml:space="preserve"> </w:t>
      </w:r>
    </w:p>
    <w:p w14:paraId="00000002" w14:textId="505C724E" w:rsidR="009C78D9" w:rsidRPr="00426473" w:rsidRDefault="00000000" w:rsidP="00E9651D">
      <w:r w:rsidRPr="00426473">
        <w:br/>
      </w:r>
      <w:r w:rsidRPr="00426473">
        <w:tab/>
        <w:t xml:space="preserve">Social exclusion, defined by the United Nations (Economic Commission for Europe, 2022) as a state in which individuals are unable to fully participate in economic, </w:t>
      </w:r>
      <w:r w:rsidR="0011664C" w:rsidRPr="00426473">
        <w:t>social,</w:t>
      </w:r>
      <w:r w:rsidRPr="00426473">
        <w:t xml:space="preserve"> and cultural life. These states do not necessarily have to be derived from the same source. Indeed, many, if not most, instances of social exclusion occur due to an intersectionality of reasonings ranging from poverty to prejudice</w:t>
      </w:r>
      <w:r w:rsidR="00B26E52">
        <w:t xml:space="preserve">. </w:t>
      </w:r>
      <w:r w:rsidRPr="00426473">
        <w:t>In Barbara’s case, her gerontolog</w:t>
      </w:r>
      <w:r w:rsidR="0011664C">
        <w:t>y</w:t>
      </w:r>
      <w:r w:rsidRPr="00426473">
        <w:t xml:space="preserve"> may also directly affect her social exclusion. For example, Barbara’s inability to drive due to her being dependent on her husband for so many years may be affected by the culture or social norms of her day, when a woman was not expected to drive - which may have impacted her sense of autonomy to socially interact with her community after his death. </w:t>
      </w:r>
      <w:r w:rsidRPr="00426473">
        <w:br/>
      </w:r>
      <w:r w:rsidRPr="00426473">
        <w:br/>
      </w:r>
      <w:r w:rsidRPr="00426473">
        <w:tab/>
      </w:r>
      <w:r w:rsidR="00E9651D">
        <w:t>T</w:t>
      </w:r>
      <w:r w:rsidRPr="00426473">
        <w:t xml:space="preserve">his essay will critically discuss contemporary research to examine how many different facets of </w:t>
      </w:r>
      <w:r w:rsidR="00BF105D" w:rsidRPr="00426473">
        <w:t>cognitive</w:t>
      </w:r>
      <w:r w:rsidRPr="00426473">
        <w:t xml:space="preserve"> and </w:t>
      </w:r>
      <w:r w:rsidR="00BF105D">
        <w:t>socio</w:t>
      </w:r>
      <w:r w:rsidRPr="00426473">
        <w:t xml:space="preserve">emotional effects may interlink to influence Barbara’s experience with social exclusion and the long-term effects it may have on her social, </w:t>
      </w:r>
      <w:r w:rsidR="00B26E52" w:rsidRPr="00426473">
        <w:t>emotional,</w:t>
      </w:r>
      <w:r w:rsidRPr="00426473">
        <w:t xml:space="preserve"> and cognitive states, as well as the necessary and helpful interventions to assist Barbara and others suffering from social exclusion like her cope with their difficult situations. </w:t>
      </w:r>
      <w:r w:rsidR="00E9651D" w:rsidRPr="00426473">
        <w:t>(Walsh et al., 2016).</w:t>
      </w:r>
      <w:r w:rsidRPr="00426473">
        <w:br/>
      </w:r>
      <w:r w:rsidRPr="00426473">
        <w:br/>
      </w:r>
      <w:r w:rsidRPr="00426473">
        <w:br/>
      </w:r>
      <w:r w:rsidRPr="00426473">
        <w:lastRenderedPageBreak/>
        <w:br/>
      </w:r>
      <w:r w:rsidRPr="00426473">
        <w:rPr>
          <w:b/>
          <w:u w:val="single"/>
        </w:rPr>
        <w:t>Cognitive</w:t>
      </w:r>
      <w:r w:rsidRPr="00426473">
        <w:br/>
      </w:r>
      <w:r w:rsidRPr="00426473">
        <w:br/>
      </w:r>
      <w:r w:rsidRPr="00426473">
        <w:tab/>
        <w:t xml:space="preserve">Many theories on how the social exclusion that Barbara experiences have shed light on cognitive impacts on the elderly. Baumeister et al (2002) had found significant decline in </w:t>
      </w:r>
      <w:r w:rsidR="003B6974">
        <w:t xml:space="preserve">participants’ </w:t>
      </w:r>
      <w:r w:rsidRPr="00426473">
        <w:t xml:space="preserve">cognitive function after </w:t>
      </w:r>
      <w:r w:rsidR="00E9651D">
        <w:t>being</w:t>
      </w:r>
      <w:r w:rsidRPr="00426473">
        <w:t xml:space="preserve"> told that they were likely </w:t>
      </w:r>
      <w:r w:rsidR="00E9651D">
        <w:t>going to be</w:t>
      </w:r>
      <w:r w:rsidRPr="00426473">
        <w:t xml:space="preserve"> alone in life. What’s interesting is that the </w:t>
      </w:r>
      <w:r w:rsidR="00E9651D">
        <w:t>decline</w:t>
      </w:r>
      <w:r w:rsidRPr="00426473">
        <w:t xml:space="preserve"> in intelligent performance appears to be specific to social exclusion. Baumeister et al included a control group that predicted </w:t>
      </w:r>
      <w:r w:rsidR="003B6974">
        <w:t>upcoming</w:t>
      </w:r>
      <w:r w:rsidRPr="00426473">
        <w:t xml:space="preserve"> misfortunes of physical nature, such as injuries. The control group consistently scored as high as the group that forecasted social belonging on the measures of intelligent performance. </w:t>
      </w:r>
      <w:r w:rsidR="003B6974">
        <w:t>Reduction in cognitive performance was unique to social exclusion.</w:t>
      </w:r>
      <w:r w:rsidRPr="00426473">
        <w:br/>
      </w:r>
      <w:r w:rsidRPr="00426473">
        <w:br/>
      </w:r>
      <w:r w:rsidRPr="00426473">
        <w:tab/>
        <w:t>These findings seem to suggest that cognitively, people view social exclusion as especially detrimental as compared to other misfortunes. One hypothesis is that when told physical injuries or accidents may happen to them, people are more likely to attribute this to misfortune</w:t>
      </w:r>
      <w:r w:rsidR="003B6974" w:rsidRPr="00426473">
        <w:t>,</w:t>
      </w:r>
      <w:r w:rsidRPr="00426473">
        <w:t xml:space="preserve"> or lack of care and not their worth as people. Social exclusion feels especially h</w:t>
      </w:r>
      <w:r w:rsidR="0011664C">
        <w:t>urtful</w:t>
      </w:r>
      <w:r w:rsidRPr="00426473">
        <w:t xml:space="preserve"> as people attribute it to their personalities or lack of worth for others to care for them. Such personalized internalizations of negative thoughts unfortunately also reinforce beliefs that seeking social interactions is also not something they deserve or even feel motivated to do. This can be seen as Barbara feels reluctant to call her son in fears of bothering him from work. She waits for his call instead, not wanting to be a burden. This also differentiates physical misfortune from social exclusion in its recovery. While physical injuries heal, or at least can be better treated with time and medical care, social exclusion can only be remedied by community, which is inherently difficult when it is reliant on other people and factors outside of their control. Moreover, a study by Xu et al. (2020) suggested that social exclusion led to people preferring reactive behavior compared to proactive ones (such as waiting for a phone call instead of calling), perhaps due to impaired ability and motivation. Additionally, some studies may have even suggested that socially excluded people have decreased impulse control and increased risk taking (Otten &amp; Jonas, 2012). This is also evident in the link shown by Greene et al. (2004) and Wilkowski et al. (2010) between higher cognitive function and cognitive control. This apparent lack of cognitive control and increased aggression therefore bleeds into colloquial stereotypes of socially excluded people like “violent homeless people”, or indeed “grumpy old people”. Therefore making it even more difficult for these people to be well reintegrated into a loving community in which they receive the support they require to interact with people regularly which they sorely need. </w:t>
      </w:r>
      <w:r w:rsidRPr="00426473">
        <w:br/>
      </w:r>
      <w:r w:rsidRPr="00426473">
        <w:br/>
      </w:r>
      <w:r w:rsidRPr="00426473">
        <w:tab/>
        <w:t xml:space="preserve">Without this social support, Barbara will likely begin to lose that positive outlook on life she used to have and </w:t>
      </w:r>
      <w:r w:rsidR="0011664C">
        <w:t>become</w:t>
      </w:r>
      <w:r w:rsidRPr="00426473">
        <w:t xml:space="preserve"> more depressed, as social inclusion also greatly influences vulnerability to mental illnesses such as depression and Alzheimer’s disease</w:t>
      </w:r>
      <w:r w:rsidR="0011664C">
        <w:t xml:space="preserve">, </w:t>
      </w:r>
      <w:r w:rsidRPr="00426473">
        <w:t xml:space="preserve">notoriously predominant in the elderly. Specific to Barbara who had just lost her partner to whom she relied </w:t>
      </w:r>
      <w:proofErr w:type="gramStart"/>
      <w:r w:rsidRPr="00426473">
        <w:t>on,</w:t>
      </w:r>
      <w:proofErr w:type="gramEnd"/>
      <w:r w:rsidRPr="00426473">
        <w:t xml:space="preserve"> loneliness is</w:t>
      </w:r>
      <w:r w:rsidR="00B26E52">
        <w:t xml:space="preserve"> </w:t>
      </w:r>
      <w:r w:rsidRPr="00426473">
        <w:t>naturally expected</w:t>
      </w:r>
      <w:r w:rsidR="0011664C">
        <w:t xml:space="preserve">. </w:t>
      </w:r>
      <w:r w:rsidRPr="00426473">
        <w:t>Widows</w:t>
      </w:r>
      <w:r w:rsidR="003B6974">
        <w:t xml:space="preserve"> like Barbara </w:t>
      </w:r>
      <w:r w:rsidRPr="00426473">
        <w:t xml:space="preserve">especially are susceptible to this loneliness in bereavement which itself is a risk factor for depression (West et al., 1986). Additionally, </w:t>
      </w:r>
      <w:r w:rsidR="00E9651D">
        <w:t>l</w:t>
      </w:r>
      <w:r w:rsidRPr="00426473">
        <w:t xml:space="preserve">onely people report to suffer from more depressive symptoms, such as being less happy and more pessimistic. </w:t>
      </w:r>
      <w:r w:rsidR="00B26E52">
        <w:t xml:space="preserve">Aging </w:t>
      </w:r>
      <w:r w:rsidRPr="00426473">
        <w:t xml:space="preserve">necessarily includes breaking ties with colleagues and </w:t>
      </w:r>
      <w:r w:rsidRPr="00426473">
        <w:lastRenderedPageBreak/>
        <w:t>friends as Barbara’s friends ar</w:t>
      </w:r>
      <w:r w:rsidR="00B26E52">
        <w:t>e</w:t>
      </w:r>
      <w:r w:rsidRPr="00426473">
        <w:t xml:space="preserve"> of a similar age </w:t>
      </w:r>
      <w:r w:rsidR="00B26E52" w:rsidRPr="00426473">
        <w:t xml:space="preserve">and </w:t>
      </w:r>
      <w:r w:rsidR="00B26E52">
        <w:t>either</w:t>
      </w:r>
      <w:r w:rsidRPr="00426473">
        <w:t xml:space="preserve"> unable or unwilling to travel far and thus making visits less frequent (Mushtaq, 2014). As for Alzheimer’s disease, loneliness is associated with dementia, as loneliness is associated with loss of cognition </w:t>
      </w:r>
      <w:r w:rsidR="00B26E52">
        <w:t>with</w:t>
      </w:r>
      <w:r w:rsidRPr="00426473">
        <w:t xml:space="preserve"> age, as previously mentioned. In loneliness, there is a more rapid decline in</w:t>
      </w:r>
      <w:r w:rsidR="004A0EA0">
        <w:t xml:space="preserve"> general</w:t>
      </w:r>
      <w:r w:rsidRPr="00426473">
        <w:t xml:space="preserve"> cognition</w:t>
      </w:r>
      <w:r w:rsidR="004A0EA0">
        <w:t xml:space="preserve">. </w:t>
      </w:r>
      <w:r w:rsidRPr="00426473">
        <w:t xml:space="preserve">The association of loneliness with Alzheimer’s disease can be attributed </w:t>
      </w:r>
      <w:r w:rsidR="004A0EA0">
        <w:t>to</w:t>
      </w:r>
      <w:r w:rsidRPr="00426473">
        <w:t xml:space="preserve"> dementia, perhaps as diminished cognition </w:t>
      </w:r>
      <w:r w:rsidR="004A0EA0">
        <w:t>which is also linked to dementia</w:t>
      </w:r>
      <w:r w:rsidRPr="00426473">
        <w:t xml:space="preserve"> (Wilson et al., 2007). </w:t>
      </w:r>
      <w:r w:rsidRPr="00426473">
        <w:br/>
      </w:r>
    </w:p>
    <w:p w14:paraId="00000003" w14:textId="77777777" w:rsidR="009C78D9" w:rsidRPr="00426473" w:rsidRDefault="00000000">
      <w:pPr>
        <w:rPr>
          <w:b/>
          <w:u w:val="single"/>
        </w:rPr>
      </w:pPr>
      <w:r w:rsidRPr="00426473">
        <w:rPr>
          <w:b/>
          <w:u w:val="single"/>
        </w:rPr>
        <w:t>Socioemotional</w:t>
      </w:r>
    </w:p>
    <w:p w14:paraId="00000004" w14:textId="77777777" w:rsidR="009C78D9" w:rsidRPr="00426473" w:rsidRDefault="009C78D9">
      <w:pPr>
        <w:ind w:firstLine="720"/>
      </w:pPr>
    </w:p>
    <w:p w14:paraId="41245E07" w14:textId="0B450006" w:rsidR="00BF105D" w:rsidRDefault="00000000">
      <w:pPr>
        <w:ind w:firstLine="720"/>
      </w:pPr>
      <w:r w:rsidRPr="00426473">
        <w:t xml:space="preserve">Socially, it is evident that Barbara lacks the social support and community she requires and used to enjoy. Her usage of televisions and radio is a classic example of media consumption to avert her attention from loneliness. This is common in adolescents as they use social media, but for Barbara as an elderly person, she uses traditional media instead. The usage of media to cope with loneliness is not uncommon, in young people or old, as it speaks to our inherent desire to feel connected to the world around us (Shrum et al. 2022). Many elderly individuals feel this, as they become unmotivated and less energetic physically. The little reading and gardening she does is somewhat indicative of this experience she may have. </w:t>
      </w:r>
      <w:r w:rsidRPr="00426473">
        <w:br/>
      </w:r>
      <w:r w:rsidRPr="00426473">
        <w:br/>
      </w:r>
      <w:r w:rsidRPr="00426473">
        <w:tab/>
        <w:t xml:space="preserve">Researchers promote the need for a social network for these socially excluded individuals to improve both their social and emotional conditions. There are a few factors that influence how lonely people feel that go beyond mere exclusions from social networks and depression states. Namely, being female, older (roughly above 50), being separated or bereaved from a long-term partner, an absence of work and socioeconomic status also </w:t>
      </w:r>
      <w:r w:rsidR="00BF105D" w:rsidRPr="00426473">
        <w:t>plays</w:t>
      </w:r>
      <w:r w:rsidRPr="00426473">
        <w:t xml:space="preserve"> a huge role in an individual's perception of their loneliness and therefore mental </w:t>
      </w:r>
      <w:proofErr w:type="gramStart"/>
      <w:r w:rsidRPr="00426473">
        <w:t>health as a whole</w:t>
      </w:r>
      <w:proofErr w:type="gramEnd"/>
      <w:r w:rsidRPr="00426473">
        <w:t xml:space="preserve"> (Domènech-Abella et al., 2017). Overall, this points to social status being one of the main factors in Barbara’s feelings of loneliness. This is evident when she points towards her lack of involvement in her community, where she used to be a </w:t>
      </w:r>
      <w:r w:rsidR="00BF105D" w:rsidRPr="00426473">
        <w:t>schoolteacher</w:t>
      </w:r>
      <w:r w:rsidRPr="00426473">
        <w:t xml:space="preserve"> and likely had a strong sense of </w:t>
      </w:r>
      <w:r w:rsidR="00BF105D" w:rsidRPr="00426473">
        <w:t>fulfilment</w:t>
      </w:r>
      <w:r w:rsidRPr="00426473">
        <w:t xml:space="preserve"> and satisfaction in not only her work, but also her influence on the children in her community. Lately, she probably feels depressed at the lack of involvement, stating how the children she used to teach are now in adulthood, and the new families moving in who probably do not know her as well. It is therefore likely that Barbara feels a lack of purpose in life and feels unmotivated to carry out her daily activities after retiring. Researchers </w:t>
      </w:r>
      <w:proofErr w:type="spellStart"/>
      <w:r w:rsidRPr="00426473">
        <w:t>AshaRani</w:t>
      </w:r>
      <w:proofErr w:type="spellEnd"/>
      <w:r w:rsidRPr="00426473">
        <w:t xml:space="preserve"> et al. (2022) suggests community-level interventions aimed to increase feelings of having a purpose in life in the elderly can work effectively given that said interventions are sensible to the various ways purpose in life is perceived by people from different cultures and socioeconomic backgrounds. </w:t>
      </w:r>
      <w:r w:rsidRPr="00426473">
        <w:br/>
      </w:r>
      <w:r w:rsidRPr="00426473">
        <w:br/>
      </w:r>
      <w:r w:rsidRPr="00426473">
        <w:tab/>
        <w:t xml:space="preserve">It is undeniable that any form of social exclusion has a negative impact on people’s mental health. What is interesting is that this effect is present in a variety of places, irrespective of culture, </w:t>
      </w:r>
      <w:r w:rsidR="00BF105D" w:rsidRPr="00426473">
        <w:t>background,</w:t>
      </w:r>
      <w:r w:rsidRPr="00426473">
        <w:t xml:space="preserve"> and other demographic factors. Hossain et al. (2022) conducted a study to investigate the association between social exclusion and depressive symptoms among </w:t>
      </w:r>
      <w:r w:rsidR="00BF105D" w:rsidRPr="00426473">
        <w:t>older Indian</w:t>
      </w:r>
      <w:r w:rsidRPr="00426473">
        <w:t xml:space="preserve"> adults. Their findings were </w:t>
      </w:r>
      <w:r w:rsidR="00BF105D">
        <w:t>unsurprising,</w:t>
      </w:r>
      <w:r w:rsidRPr="00426473">
        <w:t xml:space="preserve"> there was a statistically significant positive correlation</w:t>
      </w:r>
      <w:r w:rsidR="00BF105D">
        <w:t xml:space="preserve"> </w:t>
      </w:r>
      <w:r w:rsidRPr="00426473">
        <w:t>between social exclusion and depressive symptoms. Similarly, Lee (2020) studied</w:t>
      </w:r>
      <w:r w:rsidR="00BF105D">
        <w:t xml:space="preserve"> a</w:t>
      </w:r>
      <w:r w:rsidRPr="00426473">
        <w:t xml:space="preserve"> social survey in Europe to examine how social exclusion is related to subjective well-being in older adults across different European regions. This study </w:t>
      </w:r>
      <w:r w:rsidR="00BF105D" w:rsidRPr="00426473">
        <w:t>analysed</w:t>
      </w:r>
      <w:r w:rsidRPr="00426473">
        <w:t xml:space="preserve"> the variability of well-being </w:t>
      </w:r>
      <w:r w:rsidRPr="00426473">
        <w:lastRenderedPageBreak/>
        <w:t xml:space="preserve">with respect to rates of social exclusion and compared them among different European regions. The findings, unsurprisingly, noted that countries with less social exclusion, like in Nordic regions, experience better well-being while older adults from other regions had more social exclusion and therefore lower satisfaction and general health as well. Part of the reason this may be is because ageist employment discrimination may be detrimental to the financial safety of older adults. Access to care services </w:t>
      </w:r>
      <w:r w:rsidR="00B26E52">
        <w:t>must</w:t>
      </w:r>
      <w:r w:rsidRPr="00426473">
        <w:t xml:space="preserve"> be secured so the elderly can lead financially independent lives and partake in community. </w:t>
      </w:r>
      <w:r w:rsidR="00B26E52">
        <w:t xml:space="preserve">Access and </w:t>
      </w:r>
      <w:r w:rsidRPr="00426473">
        <w:t xml:space="preserve">affordability to </w:t>
      </w:r>
      <w:r w:rsidR="00B26E52">
        <w:t xml:space="preserve">quality </w:t>
      </w:r>
      <w:r w:rsidRPr="00426473">
        <w:t xml:space="preserve">care services are </w:t>
      </w:r>
      <w:r w:rsidR="00B26E52">
        <w:t>significant</w:t>
      </w:r>
      <w:r w:rsidRPr="00426473">
        <w:t xml:space="preserve"> to the health of older adults. This includes improving policy regarding aging like pensions and social care services (</w:t>
      </w:r>
      <w:proofErr w:type="spellStart"/>
      <w:r w:rsidRPr="00426473">
        <w:t>Präg</w:t>
      </w:r>
      <w:proofErr w:type="spellEnd"/>
      <w:r w:rsidRPr="00426473">
        <w:t xml:space="preserve"> et al., 2016). </w:t>
      </w:r>
      <w:r w:rsidRPr="00426473">
        <w:br/>
      </w:r>
      <w:r w:rsidRPr="00426473">
        <w:br/>
      </w:r>
      <w:r w:rsidRPr="00426473">
        <w:tab/>
        <w:t>Barbara would likely feel depressed due to her lack of social community. Lim et al. (2020) proposed a conceptual model of loneliness which explain</w:t>
      </w:r>
      <w:r w:rsidR="004A0EA0">
        <w:t>s</w:t>
      </w:r>
      <w:r w:rsidRPr="00426473">
        <w:t xml:space="preserve"> loneliness and how solutions can be</w:t>
      </w:r>
      <w:r w:rsidR="004A0EA0">
        <w:t xml:space="preserve"> </w:t>
      </w:r>
      <w:r w:rsidRPr="00426473">
        <w:t xml:space="preserve">applied to the </w:t>
      </w:r>
      <w:r w:rsidR="004A0EA0" w:rsidRPr="00426473">
        <w:t>public</w:t>
      </w:r>
      <w:r w:rsidRPr="00426473">
        <w:t xml:space="preserve"> even if they do not have exceptionally detrimental mental health. The model is made up of four sections, namely, A: Triggers; B: Loneliness risk factors and correlates; C: Loneliness </w:t>
      </w:r>
      <w:r w:rsidR="004A0EA0" w:rsidRPr="00426473">
        <w:t>consequently</w:t>
      </w:r>
      <w:r w:rsidRPr="00426473">
        <w:t>;</w:t>
      </w:r>
      <w:r w:rsidR="004A0EA0">
        <w:t xml:space="preserve"> </w:t>
      </w:r>
      <w:r w:rsidRPr="00426473">
        <w:t xml:space="preserve">D: Solutions. For example, a trigger like social exclusion can cause loneliness after accounting for other risk factors and correlates such as demography, existing health, and socio-environmental conditions. If this causes sustained loneliness, solutions can be implemented which include various means such as individual, relationship, community and societal. A trigger refers to a life stage transition or event. For Barbara, this would likely be an amalgamation of various events like her retirement, but most of all the passing of her husband. While triggers may not always be sudden and can be gradual, they all involve a change in the status quo of social identity and always require adjustment. Triggers do not always directly cause </w:t>
      </w:r>
      <w:r w:rsidR="004A0EA0" w:rsidRPr="00426473">
        <w:t>loneliness,</w:t>
      </w:r>
      <w:r w:rsidRPr="00426473">
        <w:t xml:space="preserve"> however. The second stage, B: Loneliness correlates and risk factors are subjective to the individual as everyone’s risk of experiencing problematic loneliness is different and depends on demography, </w:t>
      </w:r>
      <w:r w:rsidR="00BF105D" w:rsidRPr="00426473">
        <w:t>health,</w:t>
      </w:r>
      <w:r w:rsidRPr="00426473">
        <w:t xml:space="preserve"> and socioeconomic factors among other factors. C: Loneliness as a consequence may be an interaction between A: the trigger and B: Loneliness risk factors and correlates. Because everyone experiences loneliness differently, it is important to assess the severity, persistence and how pervasive the feelings of loneliness can be. For Barbara, she expresses her feeling cold and unmotivated. Additionally, when it comes to social exclusion, barriers might not solely be emotional, as she expressed her lack of driving </w:t>
      </w:r>
      <w:r w:rsidR="00BF105D" w:rsidRPr="00426473">
        <w:t>ability,</w:t>
      </w:r>
      <w:r w:rsidRPr="00426473">
        <w:t xml:space="preserve"> and her age likely inhibits her from social connections through the internet. </w:t>
      </w:r>
    </w:p>
    <w:p w14:paraId="3D5714D7" w14:textId="3ECFB375" w:rsidR="003B6974" w:rsidRDefault="00000000">
      <w:pPr>
        <w:ind w:firstLine="720"/>
      </w:pPr>
      <w:r w:rsidRPr="00426473">
        <w:br/>
      </w:r>
      <w:r w:rsidRPr="00426473">
        <w:rPr>
          <w:b/>
          <w:u w:val="single"/>
        </w:rPr>
        <w:t>Solutions</w:t>
      </w:r>
      <w:r w:rsidRPr="00426473">
        <w:rPr>
          <w:b/>
          <w:u w:val="single"/>
        </w:rPr>
        <w:br/>
      </w:r>
      <w:r w:rsidRPr="00426473">
        <w:rPr>
          <w:b/>
          <w:u w:val="single"/>
        </w:rPr>
        <w:br/>
      </w:r>
      <w:r w:rsidRPr="00426473">
        <w:tab/>
        <w:t xml:space="preserve">Based on the model of loneliness developed by Lim et al (2020), solutions can be delivered in a variety of ways including but not limited to individual, relationship, community and societal. </w:t>
      </w:r>
      <w:r w:rsidR="003B6974">
        <w:t>The</w:t>
      </w:r>
      <w:r w:rsidRPr="00426473">
        <w:t xml:space="preserve"> </w:t>
      </w:r>
      <w:proofErr w:type="spellStart"/>
      <w:r w:rsidRPr="00426473">
        <w:t>Centers</w:t>
      </w:r>
      <w:proofErr w:type="spellEnd"/>
      <w:r w:rsidRPr="00426473">
        <w:t xml:space="preserve"> for Disease Control and Prevention’s (2022) social-ecological can also be extended to general prevention efforts for solutions of various issues, like social exclusion. It is important to act across the four levels simultaneously. In this section, solutions specific to Barbara relating to the social-ecological model will be used and explained in sequence</w:t>
      </w:r>
      <w:r w:rsidR="003B6974">
        <w:t>.</w:t>
      </w:r>
    </w:p>
    <w:p w14:paraId="00000005" w14:textId="36E030DA" w:rsidR="009C78D9" w:rsidRPr="00426473" w:rsidRDefault="00000000">
      <w:pPr>
        <w:ind w:firstLine="720"/>
      </w:pPr>
      <w:r w:rsidRPr="00426473">
        <w:br/>
      </w:r>
      <w:r w:rsidRPr="00426473">
        <w:tab/>
        <w:t xml:space="preserve">Lim et </w:t>
      </w:r>
      <w:proofErr w:type="spellStart"/>
      <w:r w:rsidRPr="00426473">
        <w:t>al’s</w:t>
      </w:r>
      <w:proofErr w:type="spellEnd"/>
      <w:r w:rsidRPr="00426473">
        <w:t xml:space="preserve"> (2022) conceptual model assumes that risk factors within each group can also interact with each other (such as physical health with mental health as discussed previously), and can also interact with other correlates (e.g., health with socio-environmental factors as </w:t>
      </w:r>
      <w:r w:rsidRPr="00426473">
        <w:lastRenderedPageBreak/>
        <w:t xml:space="preserve">one’s health will be impacted negatively if they </w:t>
      </w:r>
      <w:r w:rsidR="003B6974">
        <w:t>cannot</w:t>
      </w:r>
      <w:r w:rsidRPr="00426473">
        <w:t xml:space="preserve"> afford</w:t>
      </w:r>
      <w:r w:rsidR="003B6974">
        <w:t xml:space="preserve"> </w:t>
      </w:r>
      <w:r w:rsidRPr="00426473">
        <w:t xml:space="preserve">health care). The researchers’ model also assumes that solutions can be delivered directly when triggers occur which directly address the trigger, </w:t>
      </w:r>
      <w:r w:rsidR="00B26E52">
        <w:t>like</w:t>
      </w:r>
      <w:r w:rsidRPr="00426473">
        <w:t xml:space="preserve"> people dating and entering a new relationship immediately following a divorce or </w:t>
      </w:r>
      <w:proofErr w:type="gramStart"/>
      <w:r w:rsidR="00B26E52" w:rsidRPr="00426473">
        <w:t>break-up</w:t>
      </w:r>
      <w:r w:rsidR="00B26E52">
        <w:t>,</w:t>
      </w:r>
      <w:r w:rsidR="00B26E52" w:rsidRPr="00426473">
        <w:t xml:space="preserve"> or</w:t>
      </w:r>
      <w:proofErr w:type="gramEnd"/>
      <w:r w:rsidRPr="00426473">
        <w:t xml:space="preserve"> receiving treatment after </w:t>
      </w:r>
      <w:r w:rsidR="004A0EA0">
        <w:t>falling ill</w:t>
      </w:r>
      <w:r w:rsidRPr="00426473">
        <w:t xml:space="preserve"> which directly addresses the trigger of debilitating health before it reaches the stage where loneliness is actualized. </w:t>
      </w:r>
      <w:r w:rsidR="00B26E52">
        <w:t>Solutions</w:t>
      </w:r>
      <w:r w:rsidRPr="00426473">
        <w:t xml:space="preserve"> can be applied to prevent loneliness</w:t>
      </w:r>
      <w:r w:rsidR="004A0EA0">
        <w:t xml:space="preserve"> and</w:t>
      </w:r>
      <w:r w:rsidRPr="00426473">
        <w:t xml:space="preserve"> to </w:t>
      </w:r>
      <w:r w:rsidR="004A0EA0" w:rsidRPr="00426473">
        <w:t>address</w:t>
      </w:r>
      <w:r w:rsidR="004A0EA0">
        <w:t xml:space="preserve"> </w:t>
      </w:r>
      <w:r w:rsidR="004A0EA0" w:rsidRPr="00426473">
        <w:t>severity</w:t>
      </w:r>
      <w:r w:rsidR="004A0EA0">
        <w:t>. I</w:t>
      </w:r>
      <w:r w:rsidRPr="00426473">
        <w:t xml:space="preserve">t </w:t>
      </w:r>
      <w:r w:rsidR="004A0EA0">
        <w:t>is applicable</w:t>
      </w:r>
      <w:r w:rsidRPr="00426473">
        <w:t xml:space="preserve"> </w:t>
      </w:r>
      <w:r w:rsidR="004A0EA0">
        <w:t>to</w:t>
      </w:r>
      <w:r w:rsidRPr="00426473">
        <w:t xml:space="preserve"> triggers as mentioned here, risk factors such as funding for accessible care services, or to loneliness itself.</w:t>
      </w:r>
    </w:p>
    <w:p w14:paraId="0000000F" w14:textId="21BAF095" w:rsidR="009C78D9" w:rsidRPr="00426473" w:rsidRDefault="00000000" w:rsidP="00B26E52">
      <w:pPr>
        <w:ind w:firstLine="720"/>
      </w:pPr>
      <w:r w:rsidRPr="00426473">
        <w:br/>
      </w:r>
      <w:r w:rsidRPr="00426473">
        <w:tab/>
        <w:t xml:space="preserve">Loneliness is not easily resolved, as there are many factors influencing it. Solutions must be unique to the experience of the individual and what barriers they face specific to them. For Barbara, as an individual, identifying that her dissatisfaction is due to her social exclusion is a necessary first step. Individually focused solutions such as counselling may help her restart enjoying the activities she used to do with her husband such as ballroom dancing. Additionally, developing some level of autonomy might be helpful to Barbara. For example, she could learn computer literacy to be able to interact with an online community if her physical one is not available. This has been shown to effectively manage loneliness among older adults (Choi et al., 2012). She could also </w:t>
      </w:r>
      <w:r w:rsidR="00BF105D">
        <w:t>learn</w:t>
      </w:r>
      <w:r w:rsidRPr="00426473">
        <w:t xml:space="preserve"> to drive so she can begin going to other social events without depending on anyone else, adding accessibility to social events she would otherwise not be able to attend. In these examples, Barbara’s individual initiative would help her develop new relationships, and communities. </w:t>
      </w:r>
      <w:r w:rsidR="00BF105D">
        <w:t>While</w:t>
      </w:r>
      <w:r w:rsidRPr="00426473">
        <w:t xml:space="preserve"> simply being in a new community may not directly help Barbara, as she may not feel at home in these new communities, learning a new skill will likely enable Barbara to achieve </w:t>
      </w:r>
      <w:r w:rsidR="00BF105D" w:rsidRPr="00426473">
        <w:t>purpose</w:t>
      </w:r>
      <w:r w:rsidRPr="00426473">
        <w:t xml:space="preserve"> in life which will improve her mood and motivation.</w:t>
      </w:r>
      <w:r w:rsidRPr="00426473">
        <w:br/>
      </w:r>
      <w:r w:rsidRPr="00426473">
        <w:br/>
      </w:r>
      <w:r w:rsidRPr="00426473">
        <w:tab/>
        <w:t xml:space="preserve">Social solutions are complicated as they are, by definition, very limitedly in Barbara’s control. It is therefore society’s responsibility to create a space where socially excluded individuals like Barbara have means to break out of that vicious cycle. This includes intervention such as social skills training to improve people’s interpersonal communication skills. Additionally, social support network interventions that offer regular contacts, care, or companionship. Moreover, social access </w:t>
      </w:r>
      <w:r w:rsidR="00B26E52">
        <w:t>which</w:t>
      </w:r>
      <w:r w:rsidRPr="00426473">
        <w:t xml:space="preserve"> increase opportunities for participants to engage in social interaction like online chat rooms or social activities. Finally, social cognitive training interventions focused on changing participants’ social cognition which is especially important as cognition becomes severely declined after social exclusion (Masi et al., 2010).</w:t>
      </w:r>
      <w:r w:rsidRPr="00426473">
        <w:br/>
      </w:r>
      <w:r w:rsidRPr="00426473">
        <w:br/>
        <w:t xml:space="preserve"> </w:t>
      </w:r>
      <w:r w:rsidRPr="00426473">
        <w:rPr>
          <w:b/>
          <w:u w:val="single"/>
        </w:rPr>
        <w:t>Conclusion</w:t>
      </w:r>
      <w:r w:rsidRPr="00426473">
        <w:rPr>
          <w:b/>
          <w:u w:val="single"/>
        </w:rPr>
        <w:br/>
      </w:r>
      <w:r w:rsidRPr="00426473">
        <w:rPr>
          <w:b/>
          <w:u w:val="single"/>
        </w:rPr>
        <w:br/>
      </w:r>
      <w:r w:rsidRPr="00426473">
        <w:tab/>
        <w:t>Barbara’s experiences with bereavement, social exclusion and loneliness is common but interventions to curb this loneliness epidemic in the elderly is yet to be well implemented, especially in third-world countries. Barbara's experience underscores the harmful effects of social exclusion on the elderly's cognitive</w:t>
      </w:r>
      <w:r w:rsidR="00BF105D">
        <w:t xml:space="preserve"> and</w:t>
      </w:r>
      <w:r w:rsidRPr="00426473">
        <w:t xml:space="preserve"> </w:t>
      </w:r>
      <w:r w:rsidR="00BF105D">
        <w:t>socio</w:t>
      </w:r>
      <w:r w:rsidRPr="00426473">
        <w:t xml:space="preserve">emotional well-being such as cognitive decline and emotional distress. Interventions aimed at mitigating social exclusion and enabling meaningful social connections for people like Barbara are </w:t>
      </w:r>
      <w:r w:rsidR="003B6974" w:rsidRPr="00426473">
        <w:t>necessary</w:t>
      </w:r>
      <w:r w:rsidRPr="00426473">
        <w:t xml:space="preserve">, such as the aforementioned social skills training, social support networks, and social access. </w:t>
      </w:r>
    </w:p>
    <w:p w14:paraId="00000011" w14:textId="77777777" w:rsidR="009C78D9" w:rsidRDefault="009C78D9"/>
    <w:p w14:paraId="7DFCD6BB" w14:textId="77777777" w:rsidR="00B26E52" w:rsidRPr="00426473" w:rsidRDefault="00B26E52"/>
    <w:p w14:paraId="29EBE775" w14:textId="77777777" w:rsidR="00426473" w:rsidRDefault="00426473" w:rsidP="00426473">
      <w:pPr>
        <w:shd w:val="clear" w:color="auto" w:fill="FFFFFF"/>
        <w:spacing w:line="240" w:lineRule="auto"/>
        <w:jc w:val="both"/>
        <w:rPr>
          <w:rFonts w:eastAsia="Times New Roman"/>
          <w:b/>
          <w:bCs/>
          <w:color w:val="000000"/>
          <w:u w:val="single"/>
          <w:lang w:val="en-MY"/>
        </w:rPr>
      </w:pPr>
      <w:r w:rsidRPr="00426473">
        <w:rPr>
          <w:rFonts w:eastAsia="Times New Roman"/>
          <w:b/>
          <w:bCs/>
          <w:color w:val="000000"/>
          <w:u w:val="single"/>
          <w:lang w:val="en-MY"/>
        </w:rPr>
        <w:lastRenderedPageBreak/>
        <w:t>References</w:t>
      </w:r>
    </w:p>
    <w:p w14:paraId="649710EB" w14:textId="77777777" w:rsidR="00426473" w:rsidRPr="00426473" w:rsidRDefault="00426473" w:rsidP="00426473">
      <w:pPr>
        <w:shd w:val="clear" w:color="auto" w:fill="FFFFFF"/>
        <w:spacing w:line="240" w:lineRule="auto"/>
        <w:jc w:val="both"/>
        <w:rPr>
          <w:rFonts w:eastAsia="Times New Roman"/>
          <w:b/>
          <w:bCs/>
          <w:color w:val="000000"/>
          <w:u w:val="single"/>
          <w:lang w:val="en-MY"/>
        </w:rPr>
      </w:pPr>
    </w:p>
    <w:p w14:paraId="5A1B3F7B" w14:textId="77777777" w:rsidR="00426473" w:rsidRPr="00426473" w:rsidRDefault="00426473" w:rsidP="00426473">
      <w:pPr>
        <w:shd w:val="clear" w:color="auto" w:fill="FFFFFF"/>
        <w:spacing w:before="240" w:line="480" w:lineRule="auto"/>
        <w:ind w:left="720" w:right="75" w:hanging="720"/>
        <w:jc w:val="both"/>
        <w:rPr>
          <w:rFonts w:eastAsia="Times New Roman"/>
          <w:color w:val="000000"/>
          <w:lang w:val="en-MY"/>
        </w:rPr>
      </w:pPr>
      <w:proofErr w:type="spellStart"/>
      <w:r w:rsidRPr="00426473">
        <w:rPr>
          <w:rFonts w:eastAsia="Times New Roman"/>
          <w:color w:val="000000"/>
          <w:lang w:val="en-MY"/>
        </w:rPr>
        <w:t>AshaRani</w:t>
      </w:r>
      <w:proofErr w:type="spellEnd"/>
      <w:r w:rsidRPr="00426473">
        <w:rPr>
          <w:rFonts w:eastAsia="Times New Roman"/>
          <w:color w:val="000000"/>
          <w:lang w:val="en-MY"/>
        </w:rPr>
        <w:t>, P., Lai, D., Koh, J., &amp; Subramaniam, M. (2022). Purpose in life in older adults: A systematic review on conceptualization, measures, and determinants. </w:t>
      </w:r>
      <w:r w:rsidRPr="00426473">
        <w:rPr>
          <w:rFonts w:eastAsia="Times New Roman"/>
          <w:i/>
          <w:iCs/>
          <w:color w:val="000000"/>
          <w:lang w:val="en-MY"/>
        </w:rPr>
        <w:t>International Journal of Environmental Research and Public Health</w:t>
      </w:r>
      <w:r w:rsidRPr="00426473">
        <w:rPr>
          <w:rFonts w:eastAsia="Times New Roman"/>
          <w:color w:val="000000"/>
          <w:lang w:val="en-MY"/>
        </w:rPr>
        <w:t>, </w:t>
      </w:r>
      <w:r w:rsidRPr="00426473">
        <w:rPr>
          <w:rFonts w:eastAsia="Times New Roman"/>
          <w:i/>
          <w:iCs/>
          <w:color w:val="000000"/>
          <w:lang w:val="en-MY"/>
        </w:rPr>
        <w:t>19</w:t>
      </w:r>
      <w:r w:rsidRPr="00426473">
        <w:rPr>
          <w:rFonts w:eastAsia="Times New Roman"/>
          <w:color w:val="000000"/>
          <w:lang w:val="en-MY"/>
        </w:rPr>
        <w:t>(10), 5860. </w:t>
      </w:r>
      <w:hyperlink r:id="rId4" w:history="1">
        <w:r w:rsidRPr="00426473">
          <w:rPr>
            <w:rFonts w:eastAsia="Times New Roman"/>
            <w:color w:val="000000"/>
            <w:u w:val="single"/>
            <w:lang w:val="en-MY"/>
          </w:rPr>
          <w:t>https://doi.org/10.3390/ijerph19105860</w:t>
        </w:r>
      </w:hyperlink>
    </w:p>
    <w:p w14:paraId="3417D2FB" w14:textId="1270F4EB" w:rsidR="00426473" w:rsidRPr="00426473" w:rsidRDefault="00426473" w:rsidP="00426473">
      <w:pPr>
        <w:shd w:val="clear" w:color="auto" w:fill="FFFFFF"/>
        <w:spacing w:before="240" w:after="240" w:line="480" w:lineRule="auto"/>
        <w:ind w:left="720" w:right="75" w:hanging="720"/>
        <w:jc w:val="both"/>
        <w:rPr>
          <w:rFonts w:eastAsia="Times New Roman"/>
          <w:color w:val="000000"/>
          <w:lang w:val="en-MY"/>
        </w:rPr>
      </w:pPr>
      <w:r w:rsidRPr="00426473">
        <w:rPr>
          <w:rFonts w:eastAsia="Times New Roman"/>
          <w:color w:val="000000"/>
          <w:lang w:val="en-MY"/>
        </w:rPr>
        <w:t>Baumeister, R. F., Twenge, J. M., &amp; Nuss, C. K. (2002). Effects of social exclusion on cognitive processes: Anticipated aloneness reduces intelligent thought. </w:t>
      </w:r>
      <w:r w:rsidRPr="00426473">
        <w:rPr>
          <w:rFonts w:eastAsia="Times New Roman"/>
          <w:i/>
          <w:iCs/>
          <w:color w:val="000000"/>
          <w:lang w:val="en-MY"/>
        </w:rPr>
        <w:t>Journal of Personality and Social Psychology</w:t>
      </w:r>
      <w:r w:rsidRPr="00426473">
        <w:rPr>
          <w:rFonts w:eastAsia="Times New Roman"/>
          <w:color w:val="000000"/>
          <w:lang w:val="en-MY"/>
        </w:rPr>
        <w:t>, </w:t>
      </w:r>
      <w:r w:rsidRPr="00426473">
        <w:rPr>
          <w:rFonts w:eastAsia="Times New Roman"/>
          <w:i/>
          <w:iCs/>
          <w:color w:val="000000"/>
          <w:lang w:val="en-MY"/>
        </w:rPr>
        <w:t>83</w:t>
      </w:r>
      <w:r w:rsidRPr="00426473">
        <w:rPr>
          <w:rFonts w:eastAsia="Times New Roman"/>
          <w:color w:val="000000"/>
          <w:lang w:val="en-MY"/>
        </w:rPr>
        <w:t>(4), 817-827. </w:t>
      </w:r>
      <w:hyperlink r:id="rId5" w:history="1">
        <w:r w:rsidRPr="00426473">
          <w:rPr>
            <w:rFonts w:eastAsia="Times New Roman"/>
            <w:color w:val="000000"/>
            <w:u w:val="single"/>
            <w:lang w:val="en-MY"/>
          </w:rPr>
          <w:t>https://doi.org/10.1037//0022-3514.83.4.817</w:t>
        </w:r>
      </w:hyperlink>
    </w:p>
    <w:p w14:paraId="393A09C5" w14:textId="77777777" w:rsidR="00426473" w:rsidRDefault="00426473" w:rsidP="00426473">
      <w:pPr>
        <w:spacing w:line="480" w:lineRule="auto"/>
        <w:jc w:val="both"/>
        <w:rPr>
          <w:i/>
          <w:iCs/>
        </w:rPr>
      </w:pPr>
      <w:proofErr w:type="spellStart"/>
      <w:r w:rsidRPr="00426473">
        <w:t>Center</w:t>
      </w:r>
      <w:proofErr w:type="spellEnd"/>
      <w:r w:rsidRPr="00426473">
        <w:t xml:space="preserve"> for Disease Control (2022)</w:t>
      </w:r>
      <w:r>
        <w:t>.</w:t>
      </w:r>
      <w:r w:rsidRPr="00426473">
        <w:t xml:space="preserve"> </w:t>
      </w:r>
      <w:r w:rsidRPr="00426473">
        <w:rPr>
          <w:i/>
          <w:iCs/>
        </w:rPr>
        <w:t xml:space="preserve">The social-ecological model: a framework for prevention. </w:t>
      </w:r>
    </w:p>
    <w:p w14:paraId="15212868" w14:textId="1D149237" w:rsidR="00426473" w:rsidRPr="00426473" w:rsidRDefault="00426473" w:rsidP="00426473">
      <w:pPr>
        <w:spacing w:line="480" w:lineRule="auto"/>
        <w:ind w:left="720"/>
        <w:jc w:val="both"/>
      </w:pPr>
      <w:r w:rsidRPr="00426473">
        <w:rPr>
          <w:i/>
          <w:iCs/>
        </w:rPr>
        <w:t xml:space="preserve">National </w:t>
      </w:r>
      <w:proofErr w:type="spellStart"/>
      <w:r w:rsidRPr="00426473">
        <w:rPr>
          <w:i/>
          <w:iCs/>
        </w:rPr>
        <w:t>Center</w:t>
      </w:r>
      <w:proofErr w:type="spellEnd"/>
      <w:r w:rsidRPr="00426473">
        <w:rPr>
          <w:i/>
          <w:iCs/>
        </w:rPr>
        <w:t xml:space="preserve"> for Injury Prevention and Control, Division of Violence Prevention.</w:t>
      </w:r>
      <w:r w:rsidRPr="00426473">
        <w:t xml:space="preserve"> https://www.cdc.gov/violenceprevention/about/social-ecologicalmodel.html#:~:text=CDC%20uses%20a%20four%2Dlevel,%2C%20community%2C%20and%20societal%20factors. Accessed 14 Apr 2024</w:t>
      </w:r>
    </w:p>
    <w:p w14:paraId="7923B931" w14:textId="77777777" w:rsidR="00426473" w:rsidRPr="00426473" w:rsidRDefault="00426473" w:rsidP="00426473">
      <w:pPr>
        <w:shd w:val="clear" w:color="auto" w:fill="FFFFFF"/>
        <w:spacing w:before="240" w:line="480" w:lineRule="auto"/>
        <w:ind w:left="720" w:right="75" w:hanging="720"/>
        <w:jc w:val="both"/>
        <w:rPr>
          <w:rFonts w:eastAsia="Times New Roman"/>
          <w:color w:val="000000"/>
          <w:lang w:val="en-MY"/>
        </w:rPr>
      </w:pPr>
      <w:r w:rsidRPr="00426473">
        <w:rPr>
          <w:rFonts w:eastAsia="Times New Roman"/>
          <w:color w:val="000000"/>
          <w:lang w:val="en-MY"/>
        </w:rPr>
        <w:t>Choi, M., Kong, S., &amp; Jung, D. (2012). Computer and internet interventions for loneliness and depression in older adults: A meta-analysis. </w:t>
      </w:r>
      <w:r w:rsidRPr="00426473">
        <w:rPr>
          <w:rFonts w:eastAsia="Times New Roman"/>
          <w:i/>
          <w:iCs/>
          <w:color w:val="000000"/>
          <w:lang w:val="en-MY"/>
        </w:rPr>
        <w:t>Healthcare Informatics Research</w:t>
      </w:r>
      <w:r w:rsidRPr="00426473">
        <w:rPr>
          <w:rFonts w:eastAsia="Times New Roman"/>
          <w:color w:val="000000"/>
          <w:lang w:val="en-MY"/>
        </w:rPr>
        <w:t>, </w:t>
      </w:r>
      <w:r w:rsidRPr="00426473">
        <w:rPr>
          <w:rFonts w:eastAsia="Times New Roman"/>
          <w:i/>
          <w:iCs/>
          <w:color w:val="000000"/>
          <w:lang w:val="en-MY"/>
        </w:rPr>
        <w:t>18</w:t>
      </w:r>
      <w:r w:rsidRPr="00426473">
        <w:rPr>
          <w:rFonts w:eastAsia="Times New Roman"/>
          <w:color w:val="000000"/>
          <w:lang w:val="en-MY"/>
        </w:rPr>
        <w:t>(3), 191. </w:t>
      </w:r>
      <w:hyperlink r:id="rId6" w:history="1">
        <w:r w:rsidRPr="00426473">
          <w:rPr>
            <w:rFonts w:eastAsia="Times New Roman"/>
            <w:color w:val="000000"/>
            <w:u w:val="single"/>
            <w:lang w:val="en-MY"/>
          </w:rPr>
          <w:t>https://doi.org/10.4258/hir.2012.18.3.191</w:t>
        </w:r>
      </w:hyperlink>
    </w:p>
    <w:p w14:paraId="6A8488CE" w14:textId="77777777" w:rsidR="00426473" w:rsidRPr="00426473" w:rsidRDefault="00426473" w:rsidP="00426473">
      <w:pPr>
        <w:shd w:val="clear" w:color="auto" w:fill="FFFFFF"/>
        <w:spacing w:before="240" w:line="480" w:lineRule="auto"/>
        <w:ind w:left="720" w:right="75" w:hanging="720"/>
        <w:jc w:val="both"/>
        <w:rPr>
          <w:rFonts w:eastAsia="Times New Roman"/>
          <w:color w:val="000000"/>
          <w:lang w:val="en-MY"/>
        </w:rPr>
      </w:pPr>
      <w:r w:rsidRPr="00426473">
        <w:rPr>
          <w:rFonts w:eastAsia="Times New Roman"/>
          <w:color w:val="000000"/>
          <w:lang w:val="en-MY"/>
        </w:rPr>
        <w:t xml:space="preserve">Domènech-Abella, J., Lara, E., Rubio-Valera, M., Olaya, B., Moneta, M. V., Rico-Uribe, L. A., Ayuso-Mateos, J. L., </w:t>
      </w:r>
      <w:proofErr w:type="spellStart"/>
      <w:r w:rsidRPr="00426473">
        <w:rPr>
          <w:rFonts w:eastAsia="Times New Roman"/>
          <w:color w:val="000000"/>
          <w:lang w:val="en-MY"/>
        </w:rPr>
        <w:t>Mundó</w:t>
      </w:r>
      <w:proofErr w:type="spellEnd"/>
      <w:r w:rsidRPr="00426473">
        <w:rPr>
          <w:rFonts w:eastAsia="Times New Roman"/>
          <w:color w:val="000000"/>
          <w:lang w:val="en-MY"/>
        </w:rPr>
        <w:t>, J., &amp; Haro, J. M. (2017). Loneliness and depression in the elderly: The role of social network. </w:t>
      </w:r>
      <w:r w:rsidRPr="00426473">
        <w:rPr>
          <w:rFonts w:eastAsia="Times New Roman"/>
          <w:i/>
          <w:iCs/>
          <w:color w:val="000000"/>
          <w:lang w:val="en-MY"/>
        </w:rPr>
        <w:t>Social Psychiatry and Psychiatric Epidemiology</w:t>
      </w:r>
      <w:r w:rsidRPr="00426473">
        <w:rPr>
          <w:rFonts w:eastAsia="Times New Roman"/>
          <w:color w:val="000000"/>
          <w:lang w:val="en-MY"/>
        </w:rPr>
        <w:t>, </w:t>
      </w:r>
      <w:r w:rsidRPr="00426473">
        <w:rPr>
          <w:rFonts w:eastAsia="Times New Roman"/>
          <w:i/>
          <w:iCs/>
          <w:color w:val="000000"/>
          <w:lang w:val="en-MY"/>
        </w:rPr>
        <w:t>52</w:t>
      </w:r>
      <w:r w:rsidRPr="00426473">
        <w:rPr>
          <w:rFonts w:eastAsia="Times New Roman"/>
          <w:color w:val="000000"/>
          <w:lang w:val="en-MY"/>
        </w:rPr>
        <w:t>(4), 381-390. </w:t>
      </w:r>
      <w:hyperlink r:id="rId7" w:history="1">
        <w:r w:rsidRPr="00426473">
          <w:rPr>
            <w:rFonts w:eastAsia="Times New Roman"/>
            <w:color w:val="000000"/>
            <w:u w:val="single"/>
            <w:lang w:val="en-MY"/>
          </w:rPr>
          <w:t>https://doi.org/10.1007/s00127-017-1339-3</w:t>
        </w:r>
      </w:hyperlink>
    </w:p>
    <w:p w14:paraId="79813859" w14:textId="77777777" w:rsidR="00426473" w:rsidRPr="00426473" w:rsidRDefault="00426473" w:rsidP="00426473">
      <w:pPr>
        <w:shd w:val="clear" w:color="auto" w:fill="FFFFFF"/>
        <w:spacing w:before="240" w:line="480" w:lineRule="auto"/>
        <w:ind w:left="720" w:right="75" w:hanging="720"/>
        <w:jc w:val="both"/>
        <w:rPr>
          <w:rFonts w:eastAsia="Times New Roman"/>
          <w:color w:val="000000"/>
          <w:lang w:val="en-MY"/>
        </w:rPr>
      </w:pPr>
      <w:r w:rsidRPr="00426473">
        <w:rPr>
          <w:rFonts w:eastAsia="Times New Roman"/>
          <w:color w:val="000000"/>
          <w:lang w:val="en-MY"/>
        </w:rPr>
        <w:t>Economic Commission for Europe. (2022). </w:t>
      </w:r>
      <w:r w:rsidRPr="00426473">
        <w:rPr>
          <w:rFonts w:eastAsia="Times New Roman"/>
          <w:i/>
          <w:iCs/>
          <w:color w:val="000000"/>
          <w:lang w:val="en-MY"/>
        </w:rPr>
        <w:t>Approaches to measuring social exclusion</w:t>
      </w:r>
      <w:r w:rsidRPr="00426473">
        <w:rPr>
          <w:rFonts w:eastAsia="Times New Roman"/>
          <w:color w:val="000000"/>
          <w:lang w:val="en-MY"/>
        </w:rPr>
        <w:t>. United Nations.</w:t>
      </w:r>
    </w:p>
    <w:p w14:paraId="6D5BB5A6" w14:textId="77777777" w:rsidR="00426473" w:rsidRPr="00426473" w:rsidRDefault="00426473" w:rsidP="00426473">
      <w:pPr>
        <w:shd w:val="clear" w:color="auto" w:fill="FFFFFF"/>
        <w:spacing w:before="240" w:line="480" w:lineRule="auto"/>
        <w:ind w:left="720" w:right="75" w:hanging="720"/>
        <w:jc w:val="both"/>
        <w:rPr>
          <w:rFonts w:eastAsia="Times New Roman"/>
          <w:color w:val="000000"/>
          <w:lang w:val="en-MY"/>
        </w:rPr>
      </w:pPr>
      <w:r w:rsidRPr="00426473">
        <w:rPr>
          <w:rFonts w:eastAsia="Times New Roman"/>
          <w:color w:val="000000"/>
          <w:lang w:val="en-MY"/>
        </w:rPr>
        <w:lastRenderedPageBreak/>
        <w:t>Greene, J. D., Nystrom, L. E., Engell, A. D., Darley, J. M., &amp; Cohen, J. D. (2004). The neural bases of cognitive conflict and control in moral judgment. </w:t>
      </w:r>
      <w:r w:rsidRPr="00426473">
        <w:rPr>
          <w:rFonts w:eastAsia="Times New Roman"/>
          <w:i/>
          <w:iCs/>
          <w:color w:val="000000"/>
          <w:lang w:val="en-MY"/>
        </w:rPr>
        <w:t>Neuron</w:t>
      </w:r>
      <w:r w:rsidRPr="00426473">
        <w:rPr>
          <w:rFonts w:eastAsia="Times New Roman"/>
          <w:color w:val="000000"/>
          <w:lang w:val="en-MY"/>
        </w:rPr>
        <w:t>, </w:t>
      </w:r>
      <w:r w:rsidRPr="00426473">
        <w:rPr>
          <w:rFonts w:eastAsia="Times New Roman"/>
          <w:i/>
          <w:iCs/>
          <w:color w:val="000000"/>
          <w:lang w:val="en-MY"/>
        </w:rPr>
        <w:t>44</w:t>
      </w:r>
      <w:r w:rsidRPr="00426473">
        <w:rPr>
          <w:rFonts w:eastAsia="Times New Roman"/>
          <w:color w:val="000000"/>
          <w:lang w:val="en-MY"/>
        </w:rPr>
        <w:t>(2), 389-400. </w:t>
      </w:r>
      <w:hyperlink r:id="rId8" w:history="1">
        <w:r w:rsidRPr="00426473">
          <w:rPr>
            <w:rFonts w:eastAsia="Times New Roman"/>
            <w:color w:val="000000"/>
            <w:u w:val="single"/>
            <w:lang w:val="en-MY"/>
          </w:rPr>
          <w:t>https://doi.org/10.1016/j.neuron.2004.09.027</w:t>
        </w:r>
      </w:hyperlink>
    </w:p>
    <w:p w14:paraId="19D0FB07" w14:textId="7F02D889" w:rsidR="00426473" w:rsidRPr="00426473" w:rsidRDefault="00426473" w:rsidP="00426473">
      <w:pPr>
        <w:shd w:val="clear" w:color="auto" w:fill="FFFFFF"/>
        <w:spacing w:before="240" w:after="240" w:line="480" w:lineRule="auto"/>
        <w:ind w:left="720" w:right="75" w:hanging="720"/>
        <w:jc w:val="both"/>
        <w:rPr>
          <w:rFonts w:eastAsia="Times New Roman"/>
          <w:color w:val="000000"/>
          <w:lang w:val="en-MY"/>
        </w:rPr>
      </w:pPr>
      <w:r w:rsidRPr="00426473">
        <w:rPr>
          <w:rFonts w:eastAsia="Times New Roman"/>
          <w:color w:val="000000"/>
          <w:lang w:val="en-MY"/>
        </w:rPr>
        <w:t xml:space="preserve">Hossain, B., </w:t>
      </w:r>
      <w:proofErr w:type="spellStart"/>
      <w:r w:rsidRPr="00426473">
        <w:rPr>
          <w:rFonts w:eastAsia="Times New Roman"/>
          <w:color w:val="000000"/>
          <w:lang w:val="en-MY"/>
        </w:rPr>
        <w:t>Nagargoje</w:t>
      </w:r>
      <w:proofErr w:type="spellEnd"/>
      <w:r w:rsidRPr="00426473">
        <w:rPr>
          <w:rFonts w:eastAsia="Times New Roman"/>
          <w:color w:val="000000"/>
          <w:lang w:val="en-MY"/>
        </w:rPr>
        <w:t xml:space="preserve">, V. P., </w:t>
      </w:r>
      <w:proofErr w:type="spellStart"/>
      <w:r w:rsidRPr="00426473">
        <w:rPr>
          <w:rFonts w:eastAsia="Times New Roman"/>
          <w:color w:val="000000"/>
          <w:lang w:val="en-MY"/>
        </w:rPr>
        <w:t>Sk</w:t>
      </w:r>
      <w:proofErr w:type="spellEnd"/>
      <w:r w:rsidRPr="00426473">
        <w:rPr>
          <w:rFonts w:eastAsia="Times New Roman"/>
          <w:color w:val="000000"/>
          <w:lang w:val="en-MY"/>
        </w:rPr>
        <w:t>, M. I., &amp; Das, J. (2022). Social exclusion and mental health among older adults: Cross-sectional evidence from a population-based survey in India. </w:t>
      </w:r>
      <w:r w:rsidRPr="00426473">
        <w:rPr>
          <w:rFonts w:eastAsia="Times New Roman"/>
          <w:i/>
          <w:iCs/>
          <w:color w:val="000000"/>
          <w:lang w:val="en-MY"/>
        </w:rPr>
        <w:t>BMC Psychiatry</w:t>
      </w:r>
      <w:r w:rsidRPr="00426473">
        <w:rPr>
          <w:rFonts w:eastAsia="Times New Roman"/>
          <w:color w:val="000000"/>
          <w:lang w:val="en-MY"/>
        </w:rPr>
        <w:t>, </w:t>
      </w:r>
      <w:r w:rsidRPr="00426473">
        <w:rPr>
          <w:rFonts w:eastAsia="Times New Roman"/>
          <w:i/>
          <w:iCs/>
          <w:color w:val="000000"/>
          <w:lang w:val="en-MY"/>
        </w:rPr>
        <w:t>22</w:t>
      </w:r>
      <w:r w:rsidRPr="00426473">
        <w:rPr>
          <w:rFonts w:eastAsia="Times New Roman"/>
          <w:color w:val="000000"/>
          <w:lang w:val="en-MY"/>
        </w:rPr>
        <w:t>(1). </w:t>
      </w:r>
      <w:hyperlink r:id="rId9" w:history="1">
        <w:r w:rsidRPr="00426473">
          <w:rPr>
            <w:rFonts w:eastAsia="Times New Roman"/>
            <w:color w:val="000000"/>
            <w:u w:val="single"/>
            <w:lang w:val="en-MY"/>
          </w:rPr>
          <w:t>https://doi.org/10.1186/s12888-022-04064-1</w:t>
        </w:r>
      </w:hyperlink>
    </w:p>
    <w:p w14:paraId="00D5A31A" w14:textId="671488CC" w:rsidR="00426473" w:rsidRPr="00426473" w:rsidRDefault="00426473" w:rsidP="00426473">
      <w:pPr>
        <w:spacing w:line="480" w:lineRule="auto"/>
        <w:jc w:val="both"/>
        <w:rPr>
          <w:i/>
          <w:iCs/>
        </w:rPr>
      </w:pPr>
      <w:r w:rsidRPr="00426473">
        <w:t xml:space="preserve">Janda, L. H., Fulk, J., Janda, M., &amp; Wallace, J. (1995). </w:t>
      </w:r>
      <w:r w:rsidRPr="00426473">
        <w:rPr>
          <w:i/>
          <w:iCs/>
        </w:rPr>
        <w:t xml:space="preserve">The development of a test of General </w:t>
      </w:r>
    </w:p>
    <w:p w14:paraId="333484C1" w14:textId="013AEF8C" w:rsidR="00426473" w:rsidRPr="00426473" w:rsidRDefault="00426473" w:rsidP="00426473">
      <w:pPr>
        <w:spacing w:line="480" w:lineRule="auto"/>
        <w:ind w:left="720"/>
        <w:jc w:val="both"/>
      </w:pPr>
      <w:r w:rsidRPr="00426473">
        <w:rPr>
          <w:i/>
          <w:iCs/>
        </w:rPr>
        <w:t>Mental Abilities</w:t>
      </w:r>
      <w:r w:rsidRPr="00426473">
        <w:t>. Unpublished manuscript, Old Dominion University.</w:t>
      </w:r>
    </w:p>
    <w:p w14:paraId="3409C6DF" w14:textId="77777777" w:rsidR="00426473" w:rsidRPr="00426473" w:rsidRDefault="00426473" w:rsidP="00426473">
      <w:pPr>
        <w:shd w:val="clear" w:color="auto" w:fill="FFFFFF"/>
        <w:spacing w:before="240" w:line="480" w:lineRule="auto"/>
        <w:ind w:left="720" w:right="75" w:hanging="720"/>
        <w:jc w:val="both"/>
        <w:rPr>
          <w:rFonts w:eastAsia="Times New Roman"/>
          <w:color w:val="000000"/>
          <w:lang w:val="en-MY"/>
        </w:rPr>
      </w:pPr>
      <w:r w:rsidRPr="00426473">
        <w:rPr>
          <w:rFonts w:eastAsia="Times New Roman"/>
          <w:color w:val="000000"/>
          <w:lang w:val="en-MY"/>
        </w:rPr>
        <w:t>Khan, A. M., Finlay, J. M., Clarke, P., Sol, K., Melendez, R., Judd, S., &amp; Gronlund, C. J. (2021). Association between temperature exposure and cognition: A cross-sectional analysis of 20,687 aging adults in the United States. </w:t>
      </w:r>
      <w:r w:rsidRPr="00426473">
        <w:rPr>
          <w:rFonts w:eastAsia="Times New Roman"/>
          <w:i/>
          <w:iCs/>
          <w:color w:val="000000"/>
          <w:lang w:val="en-MY"/>
        </w:rPr>
        <w:t>BMC Public Health</w:t>
      </w:r>
      <w:r w:rsidRPr="00426473">
        <w:rPr>
          <w:rFonts w:eastAsia="Times New Roman"/>
          <w:color w:val="000000"/>
          <w:lang w:val="en-MY"/>
        </w:rPr>
        <w:t>, </w:t>
      </w:r>
      <w:r w:rsidRPr="00426473">
        <w:rPr>
          <w:rFonts w:eastAsia="Times New Roman"/>
          <w:i/>
          <w:iCs/>
          <w:color w:val="000000"/>
          <w:lang w:val="en-MY"/>
        </w:rPr>
        <w:t>21</w:t>
      </w:r>
      <w:r w:rsidRPr="00426473">
        <w:rPr>
          <w:rFonts w:eastAsia="Times New Roman"/>
          <w:color w:val="000000"/>
          <w:lang w:val="en-MY"/>
        </w:rPr>
        <w:t>(1). </w:t>
      </w:r>
      <w:hyperlink r:id="rId10" w:history="1">
        <w:r w:rsidRPr="00426473">
          <w:rPr>
            <w:rFonts w:eastAsia="Times New Roman"/>
            <w:color w:val="000000"/>
            <w:u w:val="single"/>
            <w:lang w:val="en-MY"/>
          </w:rPr>
          <w:t>https://doi.org/10.1186/s12889-021-11533-x</w:t>
        </w:r>
      </w:hyperlink>
    </w:p>
    <w:p w14:paraId="761F2343" w14:textId="77777777" w:rsidR="00426473" w:rsidRPr="00426473" w:rsidRDefault="00426473" w:rsidP="00426473">
      <w:pPr>
        <w:shd w:val="clear" w:color="auto" w:fill="FFFFFF"/>
        <w:spacing w:before="240" w:line="480" w:lineRule="auto"/>
        <w:ind w:left="720" w:right="75" w:hanging="720"/>
        <w:jc w:val="both"/>
        <w:rPr>
          <w:rFonts w:eastAsia="Times New Roman"/>
          <w:color w:val="000000"/>
          <w:lang w:val="en-MY"/>
        </w:rPr>
      </w:pPr>
      <w:r w:rsidRPr="00426473">
        <w:rPr>
          <w:rFonts w:eastAsia="Times New Roman"/>
          <w:color w:val="000000"/>
          <w:lang w:val="en-MY"/>
        </w:rPr>
        <w:t>Lee, S. (2020). Social exclusion and subjective well-being among older adults in Europe: Findings from the European social survey. </w:t>
      </w:r>
      <w:r w:rsidRPr="00426473">
        <w:rPr>
          <w:rFonts w:eastAsia="Times New Roman"/>
          <w:i/>
          <w:iCs/>
          <w:color w:val="000000"/>
          <w:lang w:val="en-MY"/>
        </w:rPr>
        <w:t>The Journals of Gerontology: Series B</w:t>
      </w:r>
      <w:r w:rsidRPr="00426473">
        <w:rPr>
          <w:rFonts w:eastAsia="Times New Roman"/>
          <w:color w:val="000000"/>
          <w:lang w:val="en-MY"/>
        </w:rPr>
        <w:t>, </w:t>
      </w:r>
      <w:r w:rsidRPr="00426473">
        <w:rPr>
          <w:rFonts w:eastAsia="Times New Roman"/>
          <w:i/>
          <w:iCs/>
          <w:color w:val="000000"/>
          <w:lang w:val="en-MY"/>
        </w:rPr>
        <w:t>76</w:t>
      </w:r>
      <w:r w:rsidRPr="00426473">
        <w:rPr>
          <w:rFonts w:eastAsia="Times New Roman"/>
          <w:color w:val="000000"/>
          <w:lang w:val="en-MY"/>
        </w:rPr>
        <w:t>(2), 425-434. </w:t>
      </w:r>
      <w:hyperlink r:id="rId11" w:history="1">
        <w:r w:rsidRPr="00426473">
          <w:rPr>
            <w:rFonts w:eastAsia="Times New Roman"/>
            <w:color w:val="000000"/>
            <w:u w:val="single"/>
            <w:lang w:val="en-MY"/>
          </w:rPr>
          <w:t>https://doi.org/10.1093/geronb/gbaa172</w:t>
        </w:r>
      </w:hyperlink>
    </w:p>
    <w:p w14:paraId="2398C1C5" w14:textId="77777777" w:rsidR="00426473" w:rsidRPr="00426473" w:rsidRDefault="00426473" w:rsidP="00426473">
      <w:pPr>
        <w:shd w:val="clear" w:color="auto" w:fill="FFFFFF"/>
        <w:spacing w:before="240" w:line="480" w:lineRule="auto"/>
        <w:ind w:left="720" w:right="75" w:hanging="720"/>
        <w:jc w:val="both"/>
        <w:rPr>
          <w:rFonts w:eastAsia="Times New Roman"/>
          <w:color w:val="000000"/>
          <w:lang w:val="en-MY"/>
        </w:rPr>
      </w:pPr>
      <w:r w:rsidRPr="00426473">
        <w:rPr>
          <w:rFonts w:eastAsia="Times New Roman"/>
          <w:color w:val="000000"/>
          <w:lang w:val="en-MY"/>
        </w:rPr>
        <w:t>Lim, M. H., Eres, R., &amp; Vasan, S. (2020). Understanding loneliness in the twenty-first century: An update on correlates, risk factors, and potential solutions. </w:t>
      </w:r>
      <w:r w:rsidRPr="00426473">
        <w:rPr>
          <w:rFonts w:eastAsia="Times New Roman"/>
          <w:i/>
          <w:iCs/>
          <w:color w:val="000000"/>
          <w:lang w:val="en-MY"/>
        </w:rPr>
        <w:t>Social Psychiatry and Psychiatric Epidemiology</w:t>
      </w:r>
      <w:r w:rsidRPr="00426473">
        <w:rPr>
          <w:rFonts w:eastAsia="Times New Roman"/>
          <w:color w:val="000000"/>
          <w:lang w:val="en-MY"/>
        </w:rPr>
        <w:t>, </w:t>
      </w:r>
      <w:r w:rsidRPr="00426473">
        <w:rPr>
          <w:rFonts w:eastAsia="Times New Roman"/>
          <w:i/>
          <w:iCs/>
          <w:color w:val="000000"/>
          <w:lang w:val="en-MY"/>
        </w:rPr>
        <w:t>55</w:t>
      </w:r>
      <w:r w:rsidRPr="00426473">
        <w:rPr>
          <w:rFonts w:eastAsia="Times New Roman"/>
          <w:color w:val="000000"/>
          <w:lang w:val="en-MY"/>
        </w:rPr>
        <w:t>(7), 793-810. </w:t>
      </w:r>
      <w:hyperlink r:id="rId12" w:history="1">
        <w:r w:rsidRPr="00426473">
          <w:rPr>
            <w:rFonts w:eastAsia="Times New Roman"/>
            <w:color w:val="000000"/>
            <w:u w:val="single"/>
            <w:lang w:val="en-MY"/>
          </w:rPr>
          <w:t>https://doi.org/10.1007/s00127-020-01889-7</w:t>
        </w:r>
      </w:hyperlink>
    </w:p>
    <w:p w14:paraId="364E62EE" w14:textId="77777777" w:rsidR="00426473" w:rsidRPr="00426473" w:rsidRDefault="00426473" w:rsidP="00426473">
      <w:pPr>
        <w:shd w:val="clear" w:color="auto" w:fill="FFFFFF"/>
        <w:spacing w:before="240" w:line="480" w:lineRule="auto"/>
        <w:ind w:left="720" w:right="75" w:hanging="720"/>
        <w:jc w:val="both"/>
        <w:rPr>
          <w:rFonts w:eastAsia="Times New Roman"/>
          <w:color w:val="000000"/>
          <w:lang w:val="en-MY"/>
        </w:rPr>
      </w:pPr>
      <w:r w:rsidRPr="00426473">
        <w:rPr>
          <w:rFonts w:eastAsia="Times New Roman"/>
          <w:color w:val="000000"/>
          <w:lang w:val="en-MY"/>
        </w:rPr>
        <w:t>Masi, C. M., Chen, H., Hawkley, L. C., &amp; Cacioppo, J. T. (2010). A meta-analysis of interventions to reduce loneliness. </w:t>
      </w:r>
      <w:r w:rsidRPr="00426473">
        <w:rPr>
          <w:rFonts w:eastAsia="Times New Roman"/>
          <w:i/>
          <w:iCs/>
          <w:color w:val="000000"/>
          <w:lang w:val="en-MY"/>
        </w:rPr>
        <w:t>Personality and Social Psychology Review</w:t>
      </w:r>
      <w:r w:rsidRPr="00426473">
        <w:rPr>
          <w:rFonts w:eastAsia="Times New Roman"/>
          <w:color w:val="000000"/>
          <w:lang w:val="en-MY"/>
        </w:rPr>
        <w:t>, </w:t>
      </w:r>
      <w:r w:rsidRPr="00426473">
        <w:rPr>
          <w:rFonts w:eastAsia="Times New Roman"/>
          <w:i/>
          <w:iCs/>
          <w:color w:val="000000"/>
          <w:lang w:val="en-MY"/>
        </w:rPr>
        <w:t>15</w:t>
      </w:r>
      <w:r w:rsidRPr="00426473">
        <w:rPr>
          <w:rFonts w:eastAsia="Times New Roman"/>
          <w:color w:val="000000"/>
          <w:lang w:val="en-MY"/>
        </w:rPr>
        <w:t>(3), 219-266. </w:t>
      </w:r>
      <w:hyperlink r:id="rId13" w:history="1">
        <w:r w:rsidRPr="00426473">
          <w:rPr>
            <w:rFonts w:eastAsia="Times New Roman"/>
            <w:color w:val="000000"/>
            <w:u w:val="single"/>
            <w:lang w:val="en-MY"/>
          </w:rPr>
          <w:t>https://doi.org/10.1177/1088868310377394</w:t>
        </w:r>
      </w:hyperlink>
    </w:p>
    <w:p w14:paraId="78361F6C" w14:textId="55188C84" w:rsidR="00426473" w:rsidRPr="00426473" w:rsidRDefault="00426473" w:rsidP="00426473">
      <w:pPr>
        <w:shd w:val="clear" w:color="auto" w:fill="FFFFFF"/>
        <w:spacing w:before="240" w:line="480" w:lineRule="auto"/>
        <w:ind w:left="720" w:right="75" w:hanging="720"/>
        <w:jc w:val="both"/>
        <w:rPr>
          <w:rFonts w:eastAsia="Times New Roman"/>
          <w:color w:val="000000"/>
          <w:lang w:val="en-MY"/>
        </w:rPr>
      </w:pPr>
      <w:r w:rsidRPr="00426473">
        <w:rPr>
          <w:rFonts w:eastAsia="Times New Roman"/>
          <w:color w:val="000000"/>
          <w:lang w:val="en-MY"/>
        </w:rPr>
        <w:lastRenderedPageBreak/>
        <w:t xml:space="preserve">Mushtaq, R. (2014). Relationship between loneliness, psychiatric disorders and physical </w:t>
      </w:r>
      <w:proofErr w:type="gramStart"/>
      <w:r w:rsidRPr="00426473">
        <w:rPr>
          <w:rFonts w:eastAsia="Times New Roman"/>
          <w:color w:val="000000"/>
          <w:lang w:val="en-MY"/>
        </w:rPr>
        <w:t>health ?</w:t>
      </w:r>
      <w:proofErr w:type="gramEnd"/>
      <w:r w:rsidRPr="00426473">
        <w:rPr>
          <w:rFonts w:eastAsia="Times New Roman"/>
          <w:color w:val="000000"/>
          <w:lang w:val="en-MY"/>
        </w:rPr>
        <w:t xml:space="preserve"> A review on the psychological aspects of loneliness. </w:t>
      </w:r>
      <w:r w:rsidRPr="00426473">
        <w:rPr>
          <w:rFonts w:eastAsia="Times New Roman"/>
          <w:i/>
          <w:iCs/>
          <w:color w:val="000000"/>
          <w:lang w:val="en-MY"/>
        </w:rPr>
        <w:t>J</w:t>
      </w:r>
      <w:r w:rsidR="00666CEC">
        <w:rPr>
          <w:rFonts w:eastAsia="Times New Roman"/>
          <w:i/>
          <w:iCs/>
          <w:color w:val="000000"/>
          <w:lang w:val="en-MY"/>
        </w:rPr>
        <w:t>ournal</w:t>
      </w:r>
      <w:r w:rsidRPr="00426473">
        <w:rPr>
          <w:rFonts w:eastAsia="Times New Roman"/>
          <w:i/>
          <w:iCs/>
          <w:color w:val="000000"/>
          <w:lang w:val="en-MY"/>
        </w:rPr>
        <w:t xml:space="preserve"> </w:t>
      </w:r>
      <w:r w:rsidR="00666CEC">
        <w:rPr>
          <w:rFonts w:eastAsia="Times New Roman"/>
          <w:i/>
          <w:iCs/>
          <w:color w:val="000000"/>
          <w:lang w:val="en-MY"/>
        </w:rPr>
        <w:t>of</w:t>
      </w:r>
      <w:r w:rsidRPr="00426473">
        <w:rPr>
          <w:rFonts w:eastAsia="Times New Roman"/>
          <w:i/>
          <w:iCs/>
          <w:color w:val="000000"/>
          <w:lang w:val="en-MY"/>
        </w:rPr>
        <w:t xml:space="preserve"> C</w:t>
      </w:r>
      <w:r w:rsidR="00666CEC">
        <w:rPr>
          <w:rFonts w:eastAsia="Times New Roman"/>
          <w:i/>
          <w:iCs/>
          <w:color w:val="000000"/>
          <w:lang w:val="en-MY"/>
        </w:rPr>
        <w:t>linical</w:t>
      </w:r>
      <w:r w:rsidRPr="00426473">
        <w:rPr>
          <w:rFonts w:eastAsia="Times New Roman"/>
          <w:i/>
          <w:iCs/>
          <w:color w:val="000000"/>
          <w:lang w:val="en-MY"/>
        </w:rPr>
        <w:t xml:space="preserve"> </w:t>
      </w:r>
      <w:r w:rsidR="00666CEC">
        <w:rPr>
          <w:rFonts w:eastAsia="Times New Roman"/>
          <w:i/>
          <w:iCs/>
          <w:color w:val="000000"/>
          <w:lang w:val="en-MY"/>
        </w:rPr>
        <w:t>and</w:t>
      </w:r>
      <w:r w:rsidRPr="00426473">
        <w:rPr>
          <w:rFonts w:eastAsia="Times New Roman"/>
          <w:i/>
          <w:iCs/>
          <w:color w:val="000000"/>
          <w:lang w:val="en-MY"/>
        </w:rPr>
        <w:t xml:space="preserve"> D</w:t>
      </w:r>
      <w:r w:rsidR="00666CEC">
        <w:rPr>
          <w:rFonts w:eastAsia="Times New Roman"/>
          <w:i/>
          <w:iCs/>
          <w:color w:val="000000"/>
          <w:lang w:val="en-MY"/>
        </w:rPr>
        <w:t>iagnostic</w:t>
      </w:r>
      <w:r w:rsidRPr="00426473">
        <w:rPr>
          <w:rFonts w:eastAsia="Times New Roman"/>
          <w:i/>
          <w:iCs/>
          <w:color w:val="000000"/>
          <w:lang w:val="en-MY"/>
        </w:rPr>
        <w:t xml:space="preserve"> R</w:t>
      </w:r>
      <w:r w:rsidR="00666CEC">
        <w:rPr>
          <w:rFonts w:eastAsia="Times New Roman"/>
          <w:i/>
          <w:iCs/>
          <w:color w:val="000000"/>
          <w:lang w:val="en-MY"/>
        </w:rPr>
        <w:t>esearch</w:t>
      </w:r>
      <w:r w:rsidRPr="00426473">
        <w:rPr>
          <w:rFonts w:eastAsia="Times New Roman"/>
          <w:color w:val="000000"/>
          <w:lang w:val="en-MY"/>
        </w:rPr>
        <w:t>. </w:t>
      </w:r>
      <w:r w:rsidRPr="00426473">
        <w:rPr>
          <w:rFonts w:eastAsia="Times New Roman"/>
          <w:color w:val="000000"/>
          <w:lang w:val="en-MY"/>
        </w:rPr>
        <w:fldChar w:fldCharType="begin"/>
      </w:r>
      <w:r w:rsidRPr="00426473">
        <w:rPr>
          <w:rFonts w:eastAsia="Times New Roman"/>
          <w:color w:val="000000"/>
          <w:lang w:val="en-MY"/>
        </w:rPr>
        <w:instrText>HYPERLINK "https://doi.org/10.7860/jcdr/2014/10077.4828"</w:instrText>
      </w:r>
      <w:r w:rsidRPr="00426473">
        <w:rPr>
          <w:rFonts w:eastAsia="Times New Roman"/>
          <w:color w:val="000000"/>
          <w:lang w:val="en-MY"/>
        </w:rPr>
      </w:r>
      <w:r w:rsidRPr="00426473">
        <w:rPr>
          <w:rFonts w:eastAsia="Times New Roman"/>
          <w:color w:val="000000"/>
          <w:lang w:val="en-MY"/>
        </w:rPr>
        <w:fldChar w:fldCharType="separate"/>
      </w:r>
      <w:r w:rsidRPr="00426473">
        <w:rPr>
          <w:rFonts w:eastAsia="Times New Roman"/>
          <w:color w:val="000000"/>
          <w:u w:val="single"/>
          <w:lang w:val="en-MY"/>
        </w:rPr>
        <w:t>https://doi.org/10.7860/jcdr/2014/10077.4828</w:t>
      </w:r>
      <w:r w:rsidRPr="00426473">
        <w:rPr>
          <w:rFonts w:eastAsia="Times New Roman"/>
          <w:color w:val="000000"/>
          <w:lang w:val="en-MY"/>
        </w:rPr>
        <w:fldChar w:fldCharType="end"/>
      </w:r>
    </w:p>
    <w:p w14:paraId="4F605FB4" w14:textId="77777777" w:rsidR="00426473" w:rsidRPr="00426473" w:rsidRDefault="00426473" w:rsidP="00426473">
      <w:pPr>
        <w:shd w:val="clear" w:color="auto" w:fill="FFFFFF"/>
        <w:spacing w:before="240" w:line="480" w:lineRule="auto"/>
        <w:ind w:left="720" w:right="75" w:hanging="720"/>
        <w:jc w:val="both"/>
        <w:rPr>
          <w:rFonts w:eastAsia="Times New Roman"/>
          <w:color w:val="000000"/>
          <w:lang w:val="en-MY"/>
        </w:rPr>
      </w:pPr>
      <w:r w:rsidRPr="00426473">
        <w:rPr>
          <w:rFonts w:eastAsia="Times New Roman"/>
          <w:color w:val="000000"/>
          <w:lang w:val="en-MY"/>
        </w:rPr>
        <w:t>Otten, M., &amp; Jonas, K. J. (2012). Out of the group, out of control? The brain responds to social exclusion with changes in cognitive control. </w:t>
      </w:r>
      <w:r w:rsidRPr="00426473">
        <w:rPr>
          <w:rFonts w:eastAsia="Times New Roman"/>
          <w:i/>
          <w:iCs/>
          <w:color w:val="000000"/>
          <w:lang w:val="en-MY"/>
        </w:rPr>
        <w:t>Social Cognitive and Affective Neuroscience</w:t>
      </w:r>
      <w:r w:rsidRPr="00426473">
        <w:rPr>
          <w:rFonts w:eastAsia="Times New Roman"/>
          <w:color w:val="000000"/>
          <w:lang w:val="en-MY"/>
        </w:rPr>
        <w:t>, </w:t>
      </w:r>
      <w:r w:rsidRPr="00426473">
        <w:rPr>
          <w:rFonts w:eastAsia="Times New Roman"/>
          <w:i/>
          <w:iCs/>
          <w:color w:val="000000"/>
          <w:lang w:val="en-MY"/>
        </w:rPr>
        <w:t>8</w:t>
      </w:r>
      <w:r w:rsidRPr="00426473">
        <w:rPr>
          <w:rFonts w:eastAsia="Times New Roman"/>
          <w:color w:val="000000"/>
          <w:lang w:val="en-MY"/>
        </w:rPr>
        <w:t>(7), 789-794. </w:t>
      </w:r>
      <w:hyperlink r:id="rId14" w:history="1">
        <w:r w:rsidRPr="00426473">
          <w:rPr>
            <w:rFonts w:eastAsia="Times New Roman"/>
            <w:color w:val="000000"/>
            <w:u w:val="single"/>
            <w:lang w:val="en-MY"/>
          </w:rPr>
          <w:t>https://doi.org/10.1093/scan/nss071</w:t>
        </w:r>
      </w:hyperlink>
    </w:p>
    <w:p w14:paraId="3F4464C4" w14:textId="77777777" w:rsidR="00426473" w:rsidRPr="00426473" w:rsidRDefault="00426473" w:rsidP="00426473">
      <w:pPr>
        <w:shd w:val="clear" w:color="auto" w:fill="FFFFFF"/>
        <w:spacing w:before="240" w:line="480" w:lineRule="auto"/>
        <w:ind w:left="720" w:right="75" w:hanging="720"/>
        <w:jc w:val="both"/>
        <w:rPr>
          <w:rFonts w:eastAsia="Times New Roman"/>
          <w:color w:val="000000"/>
          <w:lang w:val="en-MY"/>
        </w:rPr>
      </w:pPr>
      <w:proofErr w:type="spellStart"/>
      <w:r w:rsidRPr="00426473">
        <w:rPr>
          <w:rFonts w:eastAsia="Times New Roman"/>
          <w:color w:val="000000"/>
          <w:lang w:val="en-MY"/>
        </w:rPr>
        <w:t>Präg</w:t>
      </w:r>
      <w:proofErr w:type="spellEnd"/>
      <w:r w:rsidRPr="00426473">
        <w:rPr>
          <w:rFonts w:eastAsia="Times New Roman"/>
          <w:color w:val="000000"/>
          <w:lang w:val="en-MY"/>
        </w:rPr>
        <w:t>, P., Mills, M. C., &amp; Wittek, R. (2016). Subjective socioeconomic status and health in cross-national comparison. </w:t>
      </w:r>
      <w:r w:rsidRPr="00426473">
        <w:rPr>
          <w:rFonts w:eastAsia="Times New Roman"/>
          <w:i/>
          <w:iCs/>
          <w:color w:val="000000"/>
          <w:lang w:val="en-MY"/>
        </w:rPr>
        <w:t>Social Science &amp; Medicine</w:t>
      </w:r>
      <w:r w:rsidRPr="00426473">
        <w:rPr>
          <w:rFonts w:eastAsia="Times New Roman"/>
          <w:color w:val="000000"/>
          <w:lang w:val="en-MY"/>
        </w:rPr>
        <w:t>, </w:t>
      </w:r>
      <w:r w:rsidRPr="00426473">
        <w:rPr>
          <w:rFonts w:eastAsia="Times New Roman"/>
          <w:i/>
          <w:iCs/>
          <w:color w:val="000000"/>
          <w:lang w:val="en-MY"/>
        </w:rPr>
        <w:t>149</w:t>
      </w:r>
      <w:r w:rsidRPr="00426473">
        <w:rPr>
          <w:rFonts w:eastAsia="Times New Roman"/>
          <w:color w:val="000000"/>
          <w:lang w:val="en-MY"/>
        </w:rPr>
        <w:t>, 84-92. </w:t>
      </w:r>
      <w:hyperlink r:id="rId15" w:history="1">
        <w:r w:rsidRPr="00426473">
          <w:rPr>
            <w:rFonts w:eastAsia="Times New Roman"/>
            <w:color w:val="000000"/>
            <w:u w:val="single"/>
            <w:lang w:val="en-MY"/>
          </w:rPr>
          <w:t>https://doi.org/10.1016/j.socscimed.2015.11.044</w:t>
        </w:r>
      </w:hyperlink>
    </w:p>
    <w:p w14:paraId="3DDA8E04" w14:textId="77777777" w:rsidR="00426473" w:rsidRPr="00426473" w:rsidRDefault="00426473" w:rsidP="00426473">
      <w:pPr>
        <w:shd w:val="clear" w:color="auto" w:fill="FFFFFF"/>
        <w:spacing w:before="240" w:line="480" w:lineRule="auto"/>
        <w:ind w:left="720" w:right="75" w:hanging="720"/>
        <w:jc w:val="both"/>
        <w:rPr>
          <w:rFonts w:eastAsia="Times New Roman"/>
          <w:color w:val="000000"/>
          <w:lang w:val="en-MY"/>
        </w:rPr>
      </w:pPr>
      <w:r w:rsidRPr="00426473">
        <w:rPr>
          <w:rFonts w:eastAsia="Times New Roman"/>
          <w:color w:val="000000"/>
          <w:lang w:val="en-MY"/>
        </w:rPr>
        <w:t>Shrum, L. J., Fumagalli, E., &amp; Lowrey, T. M. (2022). Coping with loneliness through consumption. </w:t>
      </w:r>
      <w:r w:rsidRPr="00426473">
        <w:rPr>
          <w:rFonts w:eastAsia="Times New Roman"/>
          <w:i/>
          <w:iCs/>
          <w:color w:val="000000"/>
          <w:lang w:val="en-MY"/>
        </w:rPr>
        <w:t>Journal of Consumer Psychology</w:t>
      </w:r>
      <w:r w:rsidRPr="00426473">
        <w:rPr>
          <w:rFonts w:eastAsia="Times New Roman"/>
          <w:color w:val="000000"/>
          <w:lang w:val="en-MY"/>
        </w:rPr>
        <w:t>, </w:t>
      </w:r>
      <w:r w:rsidRPr="00426473">
        <w:rPr>
          <w:rFonts w:eastAsia="Times New Roman"/>
          <w:i/>
          <w:iCs/>
          <w:color w:val="000000"/>
          <w:lang w:val="en-MY"/>
        </w:rPr>
        <w:t>33</w:t>
      </w:r>
      <w:r w:rsidRPr="00426473">
        <w:rPr>
          <w:rFonts w:eastAsia="Times New Roman"/>
          <w:color w:val="000000"/>
          <w:lang w:val="en-MY"/>
        </w:rPr>
        <w:t>(2), 441-465. </w:t>
      </w:r>
      <w:hyperlink r:id="rId16" w:history="1">
        <w:r w:rsidRPr="00426473">
          <w:rPr>
            <w:rFonts w:eastAsia="Times New Roman"/>
            <w:color w:val="000000"/>
            <w:u w:val="single"/>
            <w:lang w:val="en-MY"/>
          </w:rPr>
          <w:t>https://doi.org/10.1002/jcpy.1329</w:t>
        </w:r>
      </w:hyperlink>
    </w:p>
    <w:p w14:paraId="04870EFE" w14:textId="77777777" w:rsidR="00426473" w:rsidRPr="00426473" w:rsidRDefault="00426473" w:rsidP="00426473">
      <w:pPr>
        <w:shd w:val="clear" w:color="auto" w:fill="FFFFFF"/>
        <w:spacing w:before="240" w:line="480" w:lineRule="auto"/>
        <w:ind w:left="720" w:right="75" w:hanging="720"/>
        <w:jc w:val="both"/>
        <w:rPr>
          <w:rFonts w:eastAsia="Times New Roman"/>
          <w:color w:val="000000"/>
          <w:lang w:val="en-MY"/>
        </w:rPr>
      </w:pPr>
      <w:r w:rsidRPr="00426473">
        <w:rPr>
          <w:rFonts w:eastAsia="Times New Roman"/>
          <w:color w:val="000000"/>
          <w:lang w:val="en-MY"/>
        </w:rPr>
        <w:t>Waalen, J., &amp; Buxbaum, J. N. (2011). Is older colder or colder older? The association of age with body temperature in 18,630 individuals. </w:t>
      </w:r>
      <w:r w:rsidRPr="00426473">
        <w:rPr>
          <w:rFonts w:eastAsia="Times New Roman"/>
          <w:i/>
          <w:iCs/>
          <w:color w:val="000000"/>
          <w:lang w:val="en-MY"/>
        </w:rPr>
        <w:t>The Journals of Gerontology Series A: Biological Sciences and Medical Sciences</w:t>
      </w:r>
      <w:r w:rsidRPr="00426473">
        <w:rPr>
          <w:rFonts w:eastAsia="Times New Roman"/>
          <w:color w:val="000000"/>
          <w:lang w:val="en-MY"/>
        </w:rPr>
        <w:t>, </w:t>
      </w:r>
      <w:r w:rsidRPr="00426473">
        <w:rPr>
          <w:rFonts w:eastAsia="Times New Roman"/>
          <w:i/>
          <w:iCs/>
          <w:color w:val="000000"/>
          <w:lang w:val="en-MY"/>
        </w:rPr>
        <w:t>66</w:t>
      </w:r>
      <w:proofErr w:type="gramStart"/>
      <w:r w:rsidRPr="00426473">
        <w:rPr>
          <w:rFonts w:eastAsia="Times New Roman"/>
          <w:i/>
          <w:iCs/>
          <w:color w:val="000000"/>
          <w:lang w:val="en-MY"/>
        </w:rPr>
        <w:t>A</w:t>
      </w:r>
      <w:r w:rsidRPr="00426473">
        <w:rPr>
          <w:rFonts w:eastAsia="Times New Roman"/>
          <w:color w:val="000000"/>
          <w:lang w:val="en-MY"/>
        </w:rPr>
        <w:t>(</w:t>
      </w:r>
      <w:proofErr w:type="gramEnd"/>
      <w:r w:rsidRPr="00426473">
        <w:rPr>
          <w:rFonts w:eastAsia="Times New Roman"/>
          <w:color w:val="000000"/>
          <w:lang w:val="en-MY"/>
        </w:rPr>
        <w:t>5), 487-492. </w:t>
      </w:r>
      <w:hyperlink r:id="rId17" w:history="1">
        <w:r w:rsidRPr="00426473">
          <w:rPr>
            <w:rFonts w:eastAsia="Times New Roman"/>
            <w:color w:val="000000"/>
            <w:u w:val="single"/>
            <w:lang w:val="en-MY"/>
          </w:rPr>
          <w:t>https://doi.org/10.1093/gerona/glr001</w:t>
        </w:r>
      </w:hyperlink>
    </w:p>
    <w:p w14:paraId="4C56CA17" w14:textId="77777777" w:rsidR="00426473" w:rsidRPr="00426473" w:rsidRDefault="00426473" w:rsidP="00426473">
      <w:pPr>
        <w:shd w:val="clear" w:color="auto" w:fill="FFFFFF"/>
        <w:spacing w:before="240" w:line="480" w:lineRule="auto"/>
        <w:ind w:left="720" w:right="75" w:hanging="720"/>
        <w:jc w:val="both"/>
        <w:rPr>
          <w:rFonts w:eastAsia="Times New Roman"/>
          <w:color w:val="000000"/>
          <w:lang w:val="en-MY"/>
        </w:rPr>
      </w:pPr>
      <w:r w:rsidRPr="00426473">
        <w:rPr>
          <w:rFonts w:eastAsia="Times New Roman"/>
          <w:color w:val="000000"/>
          <w:lang w:val="en-MY"/>
        </w:rPr>
        <w:t>Walsh, K., Scharf, T., &amp; Keating, N. (2016). Social exclusion of older persons: A scoping review and conceptual framework. </w:t>
      </w:r>
      <w:r w:rsidRPr="00426473">
        <w:rPr>
          <w:rFonts w:eastAsia="Times New Roman"/>
          <w:i/>
          <w:iCs/>
          <w:color w:val="000000"/>
          <w:lang w:val="en-MY"/>
        </w:rPr>
        <w:t>European Journal of Ageing</w:t>
      </w:r>
      <w:r w:rsidRPr="00426473">
        <w:rPr>
          <w:rFonts w:eastAsia="Times New Roman"/>
          <w:color w:val="000000"/>
          <w:lang w:val="en-MY"/>
        </w:rPr>
        <w:t>, </w:t>
      </w:r>
      <w:r w:rsidRPr="00426473">
        <w:rPr>
          <w:rFonts w:eastAsia="Times New Roman"/>
          <w:i/>
          <w:iCs/>
          <w:color w:val="000000"/>
          <w:lang w:val="en-MY"/>
        </w:rPr>
        <w:t>14</w:t>
      </w:r>
      <w:r w:rsidRPr="00426473">
        <w:rPr>
          <w:rFonts w:eastAsia="Times New Roman"/>
          <w:color w:val="000000"/>
          <w:lang w:val="en-MY"/>
        </w:rPr>
        <w:t>(1), 81-98. </w:t>
      </w:r>
      <w:hyperlink r:id="rId18" w:history="1">
        <w:r w:rsidRPr="00426473">
          <w:rPr>
            <w:rFonts w:eastAsia="Times New Roman"/>
            <w:color w:val="000000"/>
            <w:u w:val="single"/>
            <w:lang w:val="en-MY"/>
          </w:rPr>
          <w:t>https://doi.org/10.1007/s10433-016-0398-8</w:t>
        </w:r>
      </w:hyperlink>
    </w:p>
    <w:p w14:paraId="3893A774" w14:textId="77777777" w:rsidR="00426473" w:rsidRPr="00426473" w:rsidRDefault="00426473" w:rsidP="00426473">
      <w:pPr>
        <w:shd w:val="clear" w:color="auto" w:fill="FFFFFF"/>
        <w:spacing w:before="240" w:line="480" w:lineRule="auto"/>
        <w:ind w:left="720" w:right="75" w:hanging="720"/>
        <w:jc w:val="both"/>
        <w:rPr>
          <w:rFonts w:eastAsia="Times New Roman"/>
          <w:color w:val="000000"/>
          <w:lang w:val="en-MY"/>
        </w:rPr>
      </w:pPr>
      <w:r w:rsidRPr="00426473">
        <w:rPr>
          <w:rFonts w:eastAsia="Times New Roman"/>
          <w:color w:val="000000"/>
          <w:lang w:val="en-MY"/>
        </w:rPr>
        <w:t>West, D. A., Kellner, R., &amp; Moore-West, M. (1986). The effects of loneliness: A review of the literature. </w:t>
      </w:r>
      <w:r w:rsidRPr="00426473">
        <w:rPr>
          <w:rFonts w:eastAsia="Times New Roman"/>
          <w:i/>
          <w:iCs/>
          <w:color w:val="000000"/>
          <w:lang w:val="en-MY"/>
        </w:rPr>
        <w:t>Comprehensive Psychiatry</w:t>
      </w:r>
      <w:r w:rsidRPr="00426473">
        <w:rPr>
          <w:rFonts w:eastAsia="Times New Roman"/>
          <w:color w:val="000000"/>
          <w:lang w:val="en-MY"/>
        </w:rPr>
        <w:t>, </w:t>
      </w:r>
      <w:r w:rsidRPr="00426473">
        <w:rPr>
          <w:rFonts w:eastAsia="Times New Roman"/>
          <w:i/>
          <w:iCs/>
          <w:color w:val="000000"/>
          <w:lang w:val="en-MY"/>
        </w:rPr>
        <w:t>27</w:t>
      </w:r>
      <w:r w:rsidRPr="00426473">
        <w:rPr>
          <w:rFonts w:eastAsia="Times New Roman"/>
          <w:color w:val="000000"/>
          <w:lang w:val="en-MY"/>
        </w:rPr>
        <w:t>(4), 351-363. </w:t>
      </w:r>
      <w:hyperlink r:id="rId19" w:history="1">
        <w:r w:rsidRPr="00426473">
          <w:rPr>
            <w:rFonts w:eastAsia="Times New Roman"/>
            <w:color w:val="000000"/>
            <w:u w:val="single"/>
            <w:lang w:val="en-MY"/>
          </w:rPr>
          <w:t>https://doi.org/10.1016/0010-440x(86)90011-8</w:t>
        </w:r>
      </w:hyperlink>
    </w:p>
    <w:p w14:paraId="138BD17A" w14:textId="77777777" w:rsidR="00426473" w:rsidRPr="00426473" w:rsidRDefault="00426473" w:rsidP="00426473">
      <w:pPr>
        <w:shd w:val="clear" w:color="auto" w:fill="FFFFFF"/>
        <w:spacing w:before="240" w:line="480" w:lineRule="auto"/>
        <w:ind w:left="720" w:right="75" w:hanging="720"/>
        <w:jc w:val="both"/>
        <w:rPr>
          <w:rFonts w:eastAsia="Times New Roman"/>
          <w:color w:val="000000"/>
          <w:lang w:val="en-MY"/>
        </w:rPr>
      </w:pPr>
      <w:r w:rsidRPr="00426473">
        <w:rPr>
          <w:rFonts w:eastAsia="Times New Roman"/>
          <w:color w:val="000000"/>
          <w:lang w:val="en-MY"/>
        </w:rPr>
        <w:lastRenderedPageBreak/>
        <w:t>Wilkowski, B. M., Robinson, M. D., &amp; Troop-Gordon, W. (2010). How does cognitive control reduce anger and aggression? The role of conflict monitoring and forgiveness processes. </w:t>
      </w:r>
      <w:r w:rsidRPr="00426473">
        <w:rPr>
          <w:rFonts w:eastAsia="Times New Roman"/>
          <w:i/>
          <w:iCs/>
          <w:color w:val="000000"/>
          <w:lang w:val="en-MY"/>
        </w:rPr>
        <w:t>Journal of Personality and Social Psychology</w:t>
      </w:r>
      <w:r w:rsidRPr="00426473">
        <w:rPr>
          <w:rFonts w:eastAsia="Times New Roman"/>
          <w:color w:val="000000"/>
          <w:lang w:val="en-MY"/>
        </w:rPr>
        <w:t>, </w:t>
      </w:r>
      <w:r w:rsidRPr="00426473">
        <w:rPr>
          <w:rFonts w:eastAsia="Times New Roman"/>
          <w:i/>
          <w:iCs/>
          <w:color w:val="000000"/>
          <w:lang w:val="en-MY"/>
        </w:rPr>
        <w:t>98</w:t>
      </w:r>
      <w:r w:rsidRPr="00426473">
        <w:rPr>
          <w:rFonts w:eastAsia="Times New Roman"/>
          <w:color w:val="000000"/>
          <w:lang w:val="en-MY"/>
        </w:rPr>
        <w:t>(5), 830-840. </w:t>
      </w:r>
      <w:hyperlink r:id="rId20" w:history="1">
        <w:r w:rsidRPr="00426473">
          <w:rPr>
            <w:rFonts w:eastAsia="Times New Roman"/>
            <w:color w:val="000000"/>
            <w:u w:val="single"/>
            <w:lang w:val="en-MY"/>
          </w:rPr>
          <w:t>https://doi.org/10.1037/a0018962</w:t>
        </w:r>
      </w:hyperlink>
    </w:p>
    <w:p w14:paraId="75F001F8" w14:textId="77777777" w:rsidR="00426473" w:rsidRPr="00426473" w:rsidRDefault="00426473" w:rsidP="00426473">
      <w:pPr>
        <w:shd w:val="clear" w:color="auto" w:fill="FFFFFF"/>
        <w:spacing w:before="240" w:line="480" w:lineRule="auto"/>
        <w:ind w:left="720" w:right="75" w:hanging="720"/>
        <w:jc w:val="both"/>
        <w:rPr>
          <w:rFonts w:eastAsia="Times New Roman"/>
          <w:color w:val="000000"/>
          <w:lang w:val="en-MY"/>
        </w:rPr>
      </w:pPr>
      <w:r w:rsidRPr="00426473">
        <w:rPr>
          <w:rFonts w:eastAsia="Times New Roman"/>
          <w:color w:val="000000"/>
          <w:lang w:val="en-MY"/>
        </w:rPr>
        <w:t>Wilson, R. S., Krueger, K. R., Arnold, S. E., Schneider, J. A., Kelly, J. F., Barnes, L. L., Tang, Y., &amp; Bennett, D. A. (2007). Loneliness and risk of Alzheimer disease. </w:t>
      </w:r>
      <w:r w:rsidRPr="00426473">
        <w:rPr>
          <w:rFonts w:eastAsia="Times New Roman"/>
          <w:i/>
          <w:iCs/>
          <w:color w:val="000000"/>
          <w:lang w:val="en-MY"/>
        </w:rPr>
        <w:t>Archives of General Psychiatry</w:t>
      </w:r>
      <w:r w:rsidRPr="00426473">
        <w:rPr>
          <w:rFonts w:eastAsia="Times New Roman"/>
          <w:color w:val="000000"/>
          <w:lang w:val="en-MY"/>
        </w:rPr>
        <w:t>, </w:t>
      </w:r>
      <w:r w:rsidRPr="00426473">
        <w:rPr>
          <w:rFonts w:eastAsia="Times New Roman"/>
          <w:i/>
          <w:iCs/>
          <w:color w:val="000000"/>
          <w:lang w:val="en-MY"/>
        </w:rPr>
        <w:t>64</w:t>
      </w:r>
      <w:r w:rsidRPr="00426473">
        <w:rPr>
          <w:rFonts w:eastAsia="Times New Roman"/>
          <w:color w:val="000000"/>
          <w:lang w:val="en-MY"/>
        </w:rPr>
        <w:t>(2), 234. </w:t>
      </w:r>
      <w:hyperlink r:id="rId21" w:history="1">
        <w:r w:rsidRPr="00426473">
          <w:rPr>
            <w:rFonts w:eastAsia="Times New Roman"/>
            <w:color w:val="000000"/>
            <w:u w:val="single"/>
            <w:lang w:val="en-MY"/>
          </w:rPr>
          <w:t>https://doi.org/10.1001/archpsyc.64.2.234</w:t>
        </w:r>
      </w:hyperlink>
    </w:p>
    <w:p w14:paraId="13888055" w14:textId="77777777" w:rsidR="00426473" w:rsidRPr="00426473" w:rsidRDefault="00426473" w:rsidP="00426473">
      <w:pPr>
        <w:shd w:val="clear" w:color="auto" w:fill="FFFFFF"/>
        <w:spacing w:before="240" w:line="480" w:lineRule="auto"/>
        <w:ind w:left="720" w:right="75" w:hanging="720"/>
        <w:jc w:val="both"/>
        <w:rPr>
          <w:rFonts w:eastAsia="Times New Roman"/>
          <w:color w:val="000000"/>
          <w:lang w:val="en-MY"/>
        </w:rPr>
      </w:pPr>
      <w:r w:rsidRPr="00426473">
        <w:rPr>
          <w:rFonts w:eastAsia="Times New Roman"/>
          <w:color w:val="000000"/>
          <w:lang w:val="en-MY"/>
        </w:rPr>
        <w:t>Xu, M., Li, Z., Qi, S., Fan, L., Zhou, X., &amp; Yang, D. (2020). Social exclusion modulates dual mechanisms of cognitive control: Evidence from ERPs. </w:t>
      </w:r>
      <w:r w:rsidRPr="00426473">
        <w:rPr>
          <w:rFonts w:eastAsia="Times New Roman"/>
          <w:i/>
          <w:iCs/>
          <w:color w:val="000000"/>
          <w:lang w:val="en-MY"/>
        </w:rPr>
        <w:t>Human Brain Mapping</w:t>
      </w:r>
      <w:r w:rsidRPr="00426473">
        <w:rPr>
          <w:rFonts w:eastAsia="Times New Roman"/>
          <w:color w:val="000000"/>
          <w:lang w:val="en-MY"/>
        </w:rPr>
        <w:t>, </w:t>
      </w:r>
      <w:r w:rsidRPr="00426473">
        <w:rPr>
          <w:rFonts w:eastAsia="Times New Roman"/>
          <w:i/>
          <w:iCs/>
          <w:color w:val="000000"/>
          <w:lang w:val="en-MY"/>
        </w:rPr>
        <w:t>41</w:t>
      </w:r>
      <w:r w:rsidRPr="00426473">
        <w:rPr>
          <w:rFonts w:eastAsia="Times New Roman"/>
          <w:color w:val="000000"/>
          <w:lang w:val="en-MY"/>
        </w:rPr>
        <w:t>(10), 2669-2685. </w:t>
      </w:r>
      <w:hyperlink r:id="rId22" w:history="1">
        <w:r w:rsidRPr="00426473">
          <w:rPr>
            <w:rFonts w:eastAsia="Times New Roman"/>
            <w:color w:val="000000"/>
            <w:u w:val="single"/>
            <w:lang w:val="en-MY"/>
          </w:rPr>
          <w:t>https://doi.org/10.1002/hbm.24970</w:t>
        </w:r>
      </w:hyperlink>
    </w:p>
    <w:p w14:paraId="76AFEC75" w14:textId="77777777" w:rsidR="00426473" w:rsidRPr="00426473" w:rsidRDefault="00426473" w:rsidP="00426473">
      <w:pPr>
        <w:shd w:val="clear" w:color="auto" w:fill="FFFFFF"/>
        <w:spacing w:before="240" w:line="480" w:lineRule="auto"/>
        <w:ind w:left="720" w:right="75" w:hanging="720"/>
        <w:jc w:val="both"/>
        <w:rPr>
          <w:rFonts w:eastAsia="Times New Roman"/>
          <w:color w:val="000000"/>
          <w:lang w:val="en-MY"/>
        </w:rPr>
      </w:pPr>
      <w:r w:rsidRPr="00426473">
        <w:rPr>
          <w:rFonts w:eastAsia="Times New Roman"/>
          <w:color w:val="000000"/>
          <w:lang w:val="en-MY"/>
        </w:rPr>
        <w:t xml:space="preserve">Yildirim, H., Işik, K., &amp; </w:t>
      </w:r>
      <w:proofErr w:type="spellStart"/>
      <w:r w:rsidRPr="00426473">
        <w:rPr>
          <w:rFonts w:eastAsia="Times New Roman"/>
          <w:color w:val="000000"/>
          <w:lang w:val="en-MY"/>
        </w:rPr>
        <w:t>Aylaz</w:t>
      </w:r>
      <w:proofErr w:type="spellEnd"/>
      <w:r w:rsidRPr="00426473">
        <w:rPr>
          <w:rFonts w:eastAsia="Times New Roman"/>
          <w:color w:val="000000"/>
          <w:lang w:val="en-MY"/>
        </w:rPr>
        <w:t>, R. (2021). The effect of anxiety levels of elderly people in quarantine on depression during COVID-19 pandemic. </w:t>
      </w:r>
      <w:r w:rsidRPr="00426473">
        <w:rPr>
          <w:rFonts w:eastAsia="Times New Roman"/>
          <w:i/>
          <w:iCs/>
          <w:color w:val="000000"/>
          <w:lang w:val="en-MY"/>
        </w:rPr>
        <w:t>Social Work in Public Health</w:t>
      </w:r>
      <w:r w:rsidRPr="00426473">
        <w:rPr>
          <w:rFonts w:eastAsia="Times New Roman"/>
          <w:color w:val="000000"/>
          <w:lang w:val="en-MY"/>
        </w:rPr>
        <w:t>, </w:t>
      </w:r>
      <w:r w:rsidRPr="00426473">
        <w:rPr>
          <w:rFonts w:eastAsia="Times New Roman"/>
          <w:i/>
          <w:iCs/>
          <w:color w:val="000000"/>
          <w:lang w:val="en-MY"/>
        </w:rPr>
        <w:t>36</w:t>
      </w:r>
      <w:r w:rsidRPr="00426473">
        <w:rPr>
          <w:rFonts w:eastAsia="Times New Roman"/>
          <w:color w:val="000000"/>
          <w:lang w:val="en-MY"/>
        </w:rPr>
        <w:t>(2), 194-204. </w:t>
      </w:r>
      <w:hyperlink r:id="rId23" w:history="1">
        <w:r w:rsidRPr="00426473">
          <w:rPr>
            <w:rFonts w:eastAsia="Times New Roman"/>
            <w:color w:val="000000"/>
            <w:u w:val="single"/>
            <w:lang w:val="en-MY"/>
          </w:rPr>
          <w:t>https://doi.org/10.1080/19371918.2020.1868372</w:t>
        </w:r>
      </w:hyperlink>
    </w:p>
    <w:p w14:paraId="560F2B74" w14:textId="77777777" w:rsidR="00426473" w:rsidRPr="00426473" w:rsidRDefault="00426473" w:rsidP="00426473">
      <w:pPr>
        <w:shd w:val="clear" w:color="auto" w:fill="FFFFFF"/>
        <w:spacing w:before="240" w:line="480" w:lineRule="auto"/>
        <w:ind w:left="720" w:right="75" w:hanging="720"/>
        <w:jc w:val="both"/>
        <w:rPr>
          <w:rFonts w:eastAsia="Times New Roman"/>
          <w:color w:val="000000"/>
          <w:lang w:val="en-MY"/>
        </w:rPr>
      </w:pPr>
      <w:r w:rsidRPr="00426473">
        <w:rPr>
          <w:rFonts w:eastAsia="Times New Roman"/>
          <w:color w:val="000000"/>
          <w:lang w:val="en-MY"/>
        </w:rPr>
        <w:t>Zhong, C., &amp; Leonardelli, G. J. (2008). Cold and lonely. </w:t>
      </w:r>
      <w:r w:rsidRPr="00426473">
        <w:rPr>
          <w:rFonts w:eastAsia="Times New Roman"/>
          <w:i/>
          <w:iCs/>
          <w:color w:val="000000"/>
          <w:lang w:val="en-MY"/>
        </w:rPr>
        <w:t>Psychological Science</w:t>
      </w:r>
      <w:r w:rsidRPr="00426473">
        <w:rPr>
          <w:rFonts w:eastAsia="Times New Roman"/>
          <w:color w:val="000000"/>
          <w:lang w:val="en-MY"/>
        </w:rPr>
        <w:t>, </w:t>
      </w:r>
      <w:r w:rsidRPr="00426473">
        <w:rPr>
          <w:rFonts w:eastAsia="Times New Roman"/>
          <w:i/>
          <w:iCs/>
          <w:color w:val="000000"/>
          <w:lang w:val="en-MY"/>
        </w:rPr>
        <w:t>19</w:t>
      </w:r>
      <w:r w:rsidRPr="00426473">
        <w:rPr>
          <w:rFonts w:eastAsia="Times New Roman"/>
          <w:color w:val="000000"/>
          <w:lang w:val="en-MY"/>
        </w:rPr>
        <w:t>(9), 838-842. </w:t>
      </w:r>
      <w:hyperlink r:id="rId24" w:history="1">
        <w:r w:rsidRPr="00426473">
          <w:rPr>
            <w:rFonts w:eastAsia="Times New Roman"/>
            <w:color w:val="000000"/>
            <w:u w:val="single"/>
            <w:lang w:val="en-MY"/>
          </w:rPr>
          <w:t>https://doi.org/10.1111/j.1467-9280.2008.02165.x</w:t>
        </w:r>
      </w:hyperlink>
    </w:p>
    <w:p w14:paraId="00000012" w14:textId="77777777" w:rsidR="009C78D9" w:rsidRPr="00426473" w:rsidRDefault="009C78D9" w:rsidP="00426473">
      <w:pPr>
        <w:jc w:val="both"/>
      </w:pPr>
    </w:p>
    <w:p w14:paraId="00000013" w14:textId="77777777" w:rsidR="009C78D9" w:rsidRPr="00426473" w:rsidRDefault="009C78D9" w:rsidP="00426473">
      <w:pPr>
        <w:jc w:val="both"/>
      </w:pPr>
    </w:p>
    <w:p w14:paraId="00000014" w14:textId="77777777" w:rsidR="009C78D9" w:rsidRPr="00426473" w:rsidRDefault="009C78D9" w:rsidP="00426473">
      <w:pPr>
        <w:jc w:val="both"/>
      </w:pPr>
    </w:p>
    <w:p w14:paraId="00000015" w14:textId="77777777" w:rsidR="009C78D9" w:rsidRPr="00426473" w:rsidRDefault="009C78D9"/>
    <w:p w14:paraId="00000016" w14:textId="77777777" w:rsidR="009C78D9" w:rsidRPr="00426473" w:rsidRDefault="009C78D9"/>
    <w:p w14:paraId="00000017" w14:textId="77777777" w:rsidR="009C78D9" w:rsidRPr="00426473" w:rsidRDefault="009C78D9"/>
    <w:p w14:paraId="00000018" w14:textId="77777777" w:rsidR="009C78D9" w:rsidRPr="00426473" w:rsidRDefault="009C78D9"/>
    <w:p w14:paraId="00000019" w14:textId="77777777" w:rsidR="009C78D9" w:rsidRPr="00426473" w:rsidRDefault="009C78D9"/>
    <w:sectPr w:rsidR="009C78D9" w:rsidRPr="00426473">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78D9"/>
    <w:rsid w:val="0011664C"/>
    <w:rsid w:val="003B6974"/>
    <w:rsid w:val="00426473"/>
    <w:rsid w:val="004A0EA0"/>
    <w:rsid w:val="00666CEC"/>
    <w:rsid w:val="009C78D9"/>
    <w:rsid w:val="00B26E52"/>
    <w:rsid w:val="00BF105D"/>
    <w:rsid w:val="00E9651D"/>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7047E"/>
  <w15:docId w15:val="{6867AD37-7389-4869-BC49-AAD6E6AFD0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rmalWeb">
    <w:name w:val="Normal (Web)"/>
    <w:basedOn w:val="Normal"/>
    <w:uiPriority w:val="99"/>
    <w:semiHidden/>
    <w:unhideWhenUsed/>
    <w:rsid w:val="00426473"/>
    <w:pPr>
      <w:spacing w:before="100" w:beforeAutospacing="1" w:after="100" w:afterAutospacing="1" w:line="240" w:lineRule="auto"/>
    </w:pPr>
    <w:rPr>
      <w:rFonts w:ascii="Times New Roman" w:eastAsia="Times New Roman" w:hAnsi="Times New Roman" w:cs="Times New Roman"/>
      <w:sz w:val="24"/>
      <w:szCs w:val="24"/>
      <w:lang w:val="en-MY"/>
    </w:rPr>
  </w:style>
  <w:style w:type="character" w:styleId="Emphasis">
    <w:name w:val="Emphasis"/>
    <w:basedOn w:val="DefaultParagraphFont"/>
    <w:uiPriority w:val="20"/>
    <w:qFormat/>
    <w:rsid w:val="00426473"/>
    <w:rPr>
      <w:i/>
      <w:iCs/>
    </w:rPr>
  </w:style>
  <w:style w:type="character" w:styleId="Hyperlink">
    <w:name w:val="Hyperlink"/>
    <w:basedOn w:val="DefaultParagraphFont"/>
    <w:uiPriority w:val="99"/>
    <w:unhideWhenUsed/>
    <w:rsid w:val="00426473"/>
    <w:rPr>
      <w:color w:val="0000FF"/>
      <w:u w:val="single"/>
    </w:rPr>
  </w:style>
  <w:style w:type="character" w:styleId="UnresolvedMention">
    <w:name w:val="Unresolved Mention"/>
    <w:basedOn w:val="DefaultParagraphFont"/>
    <w:uiPriority w:val="99"/>
    <w:semiHidden/>
    <w:unhideWhenUsed/>
    <w:rsid w:val="004264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193595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neuron.2004.09.027" TargetMode="External"/><Relationship Id="rId13" Type="http://schemas.openxmlformats.org/officeDocument/2006/relationships/hyperlink" Target="https://doi.org/10.1177/1088868310377394" TargetMode="External"/><Relationship Id="rId18" Type="http://schemas.openxmlformats.org/officeDocument/2006/relationships/hyperlink" Target="https://doi.org/10.1007/s10433-016-0398-8"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doi.org/10.1001/archpsyc.64.2.234" TargetMode="External"/><Relationship Id="rId7" Type="http://schemas.openxmlformats.org/officeDocument/2006/relationships/hyperlink" Target="https://doi.org/10.1007/s00127-017-1339-3" TargetMode="External"/><Relationship Id="rId12" Type="http://schemas.openxmlformats.org/officeDocument/2006/relationships/hyperlink" Target="https://doi.org/10.1007/s00127-020-01889-7" TargetMode="External"/><Relationship Id="rId17" Type="http://schemas.openxmlformats.org/officeDocument/2006/relationships/hyperlink" Target="https://doi.org/10.1093/gerona/glr001"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doi.org/10.1002/jcpy.1329" TargetMode="External"/><Relationship Id="rId20" Type="http://schemas.openxmlformats.org/officeDocument/2006/relationships/hyperlink" Target="https://doi.org/10.1037/a0018962" TargetMode="External"/><Relationship Id="rId1" Type="http://schemas.openxmlformats.org/officeDocument/2006/relationships/styles" Target="styles.xml"/><Relationship Id="rId6" Type="http://schemas.openxmlformats.org/officeDocument/2006/relationships/hyperlink" Target="https://doi.org/10.4258/hir.2012.18.3.191" TargetMode="External"/><Relationship Id="rId11" Type="http://schemas.openxmlformats.org/officeDocument/2006/relationships/hyperlink" Target="https://doi.org/10.1093/geronb/gbaa172" TargetMode="External"/><Relationship Id="rId24" Type="http://schemas.openxmlformats.org/officeDocument/2006/relationships/hyperlink" Target="https://doi.org/10.1111/j.1467-9280.2008.02165.x" TargetMode="External"/><Relationship Id="rId5" Type="http://schemas.openxmlformats.org/officeDocument/2006/relationships/hyperlink" Target="https://doi.org/10.1037/0022-3514.83.4.817" TargetMode="External"/><Relationship Id="rId15" Type="http://schemas.openxmlformats.org/officeDocument/2006/relationships/hyperlink" Target="https://doi.org/10.1016/j.socscimed.2015.11.044" TargetMode="External"/><Relationship Id="rId23" Type="http://schemas.openxmlformats.org/officeDocument/2006/relationships/hyperlink" Target="https://doi.org/10.1080/19371918.2020.1868372" TargetMode="External"/><Relationship Id="rId10" Type="http://schemas.openxmlformats.org/officeDocument/2006/relationships/hyperlink" Target="https://doi.org/10.1186/s12889-021-11533-x" TargetMode="External"/><Relationship Id="rId19" Type="http://schemas.openxmlformats.org/officeDocument/2006/relationships/hyperlink" Target="https://doi.org/10.1016/0010-440x(86)90011-8" TargetMode="External"/><Relationship Id="rId4" Type="http://schemas.openxmlformats.org/officeDocument/2006/relationships/hyperlink" Target="https://doi.org/10.3390/ijerph19105860" TargetMode="External"/><Relationship Id="rId9" Type="http://schemas.openxmlformats.org/officeDocument/2006/relationships/hyperlink" Target="https://doi.org/10.1186/s12888-022-04064-1" TargetMode="External"/><Relationship Id="rId14" Type="http://schemas.openxmlformats.org/officeDocument/2006/relationships/hyperlink" Target="https://doi.org/10.1093/scan/nss071" TargetMode="External"/><Relationship Id="rId22" Type="http://schemas.openxmlformats.org/officeDocument/2006/relationships/hyperlink" Target="https://doi.org/10.1002/hbm.249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9</Pages>
  <Words>3731</Words>
  <Characters>21267</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Calvin Wah Hong Phang (2226265)</cp:lastModifiedBy>
  <cp:revision>2</cp:revision>
  <dcterms:created xsi:type="dcterms:W3CDTF">2024-04-16T22:43:00Z</dcterms:created>
  <dcterms:modified xsi:type="dcterms:W3CDTF">2024-04-16T22:43:00Z</dcterms:modified>
</cp:coreProperties>
</file>