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6300" w:right="-334" w:firstLine="0"/>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extLst>
                        <a:ext uri="sm">
                          <sm:smNativeData xmlns:sm="sm" val="SMDATA_17_B+Z3Zx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8"/>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Postgraduate/Distance Learning Assignment</w:t>
        <w:br w:type="textWrapping"/>
        <w:t>coversheet &amp; feedback form</w:t>
      </w:r>
      <w:r>
        <w:rPr>
          <w:rFonts w:ascii="Arial" w:hAnsi="Arial" w:cs="Arial"/>
          <w:b/>
          <w:sz w:val="28"/>
          <w:szCs w:val="28"/>
        </w:rPr>
      </w:r>
    </w:p>
    <w:p>
      <w:pPr>
        <w:spacing/>
        <w:jc w:val="center"/>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THIS SHEET MUST BE THE FIRST PAGE OF THE ASSIGNMENT YOU ARE SUBMITTING</w:t>
        <w:br w:type="textWrapping"/>
        <w:t>(DO NOT SEND AS A SEPARATE FILE)</w:t>
      </w:r>
    </w:p>
    <w:p>
      <w:pPr>
        <w:pStyle w:val="para3"/>
        <w:ind w:left="720"/>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HPCA7015</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Foundations in Cultural Astronomy and Astrology</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w:t>
            </w:r>
          </w:p>
          <w:p>
            <w:pPr>
              <w:pStyle w:val="para4"/>
              <w:ind w:right="34"/>
              <w:spacing w:before="0" w:after="0" w:beforeAutospacing="0" w:afterAutospacing="0"/>
              <w:rPr>
                <w:rFonts w:ascii="Arial" w:hAnsi="Arial" w:cs="Arial"/>
                <w:sz w:val="22"/>
                <w:szCs w:val="22"/>
              </w:rPr>
            </w:pPr>
            <w:r>
              <w:rPr>
                <w:rFonts w:ascii="Arial" w:hAnsi="Arial" w:cs="Arial"/>
                <w:sz w:val="22"/>
                <w:szCs w:val="22"/>
              </w:rPr>
              <w:t>No</w:t>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Are perceptions of the cosmos culturally conditioned?</w:t>
              <w:br w:type="textWrapping"/>
              <w:t>Word Count: 3,651</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 6</w:t>
            </w:r>
            <w:r>
              <w:rPr>
                <w:rFonts w:ascii="Arial" w:hAnsi="Arial" w:cs="Arial"/>
                <w:sz w:val="22"/>
                <w:szCs w:val="22"/>
                <w:vertAlign w:val="superscript"/>
              </w:rPr>
              <w:t>th</w:t>
            </w:r>
            <w:r>
              <w:rPr>
                <w:rFonts w:ascii="Arial" w:hAnsi="Arial" w:cs="Arial"/>
                <w:sz w:val="22"/>
                <w:szCs w:val="22"/>
              </w:rPr>
              <w:t xml:space="preserve"> January 2025</w:t>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ind w:firstLine="0"/>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This assignment is for the       1</w:t>
            </w:r>
            <w:r>
              <w:rPr>
                <w:rFonts w:ascii="Arial" w:hAnsi="Arial" w:eastAsia="SimSun" w:cs="Arial"/>
                <w:vertAlign w:val="superscript"/>
              </w:rPr>
              <w:t xml:space="preserve">st </w:t>
            </w:r>
            <w:r/>
            <w:bookmarkStart w:id="0" w:name="Check13"/>
            <w:r/>
            <w:r>
              <w:rPr>
                <w:rFonts w:ascii="Arial" w:hAnsi="Arial" w:eastAsia="SimSun" w:cs="Arial"/>
              </w:rPr>
            </w:r>
            <w:r>
              <w:rPr>
                <w:rFonts w:ascii="Arial" w:hAnsi="Arial" w:eastAsia="SimSun" w:cs="Arial"/>
              </w:rPr>
              <w:fldChar w:fldCharType="begin">
                <w:ffData>
                  <w:name w:val="Check13"/>
                  <w:enabled/>
                  <w:calcOnExit w:val="0"/>
                  <w:checkBox>
                    <w:sizeAuto/>
                    <w:checked w:val="1"/>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0"/>
            <w:r/>
            <w:r>
              <w:rPr>
                <w:rFonts w:ascii="Arial" w:hAnsi="Arial" w:eastAsia="SimSun" w:cs="Arial"/>
              </w:rPr>
              <w:t xml:space="preserve">    2</w:t>
            </w:r>
            <w:r>
              <w:rPr>
                <w:rFonts w:ascii="Arial" w:hAnsi="Arial" w:eastAsia="SimSun" w:cs="Arial"/>
                <w:vertAlign w:val="superscript"/>
              </w:rPr>
              <w:t>nd</w:t>
            </w:r>
            <w:r>
              <w:rPr>
                <w:rFonts w:ascii="Arial" w:hAnsi="Arial" w:eastAsia="SimSun" w:cs="Arial"/>
              </w:rPr>
              <w:t xml:space="preserve">  </w:t>
            </w:r>
            <w:r/>
            <w:bookmarkStart w:id="1" w:name="Check14"/>
            <w:r/>
            <w:r>
              <w:rPr>
                <w:rFonts w:ascii="Arial" w:hAnsi="Arial" w:eastAsia="SimSun" w:cs="Arial"/>
              </w:rPr>
            </w:r>
            <w:r>
              <w:rPr>
                <w:rFonts w:ascii="Arial" w:hAnsi="Arial" w:eastAsia="SimSun" w:cs="Arial"/>
              </w:rPr>
              <w:fldChar w:fldCharType="begin">
                <w:ffData>
                  <w:name w:val="Check14"/>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1"/>
            <w:r/>
            <w:r>
              <w:rPr>
                <w:rFonts w:ascii="Arial" w:hAnsi="Arial" w:eastAsia="SimSun" w:cs="Arial"/>
              </w:rPr>
              <w:t xml:space="preserve">     3</w:t>
            </w:r>
            <w:r>
              <w:rPr>
                <w:rFonts w:ascii="Arial" w:hAnsi="Arial" w:eastAsia="SimSun" w:cs="Arial"/>
                <w:vertAlign w:val="superscript"/>
              </w:rPr>
              <w:t>rd</w:t>
            </w:r>
            <w:r>
              <w:rPr>
                <w:rFonts w:ascii="Arial" w:hAnsi="Arial" w:eastAsia="SimSun" w:cs="Arial"/>
              </w:rPr>
              <w:t xml:space="preserve">  </w:t>
            </w:r>
            <w:r/>
            <w:bookmarkStart w:id="2" w:name="Check15"/>
            <w:r/>
            <w:r>
              <w:rPr>
                <w:rFonts w:ascii="Arial" w:hAnsi="Arial" w:eastAsia="SimSun" w:cs="Arial"/>
              </w:rPr>
            </w:r>
            <w:r>
              <w:rPr>
                <w:rFonts w:ascii="Arial" w:hAnsi="Arial" w:eastAsia="SimSun" w:cs="Arial"/>
              </w:rPr>
              <w:fldChar w:fldCharType="begin">
                <w:ffData>
                  <w:name w:val="Check15"/>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2"/>
            <w:r/>
            <w:r>
              <w:rPr>
                <w:rFonts w:ascii="Arial" w:hAnsi="Arial" w:eastAsia="SimSun" w:cs="Arial"/>
              </w:rPr>
              <w:t xml:space="preserve">      4</w:t>
            </w:r>
            <w:r>
              <w:rPr>
                <w:rFonts w:ascii="Arial" w:hAnsi="Arial" w:eastAsia="SimSun" w:cs="Arial"/>
                <w:vertAlign w:val="superscript"/>
              </w:rPr>
              <w:t>th</w:t>
            </w:r>
            <w:r>
              <w:rPr>
                <w:rFonts w:ascii="Arial" w:hAnsi="Arial" w:eastAsia="SimSun" w:cs="Arial"/>
              </w:rPr>
              <w:t xml:space="preserve"> </w:t>
            </w:r>
            <w:r/>
            <w:bookmarkStart w:id="3" w:name="Check16"/>
            <w:r/>
            <w:r>
              <w:rPr>
                <w:rFonts w:ascii="Arial" w:hAnsi="Arial" w:eastAsia="SimSun" w:cs="Arial"/>
              </w:rPr>
            </w:r>
            <w:r>
              <w:rPr>
                <w:rFonts w:ascii="Arial" w:hAnsi="Arial" w:eastAsia="SimSun" w:cs="Arial"/>
              </w:rPr>
              <w:fldChar w:fldCharType="begin">
                <w:ffData>
                  <w:name w:val="Check16"/>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3"/>
            <w:r/>
            <w:r>
              <w:rPr>
                <w:rFonts w:ascii="Arial" w:hAnsi="Arial" w:eastAsia="SimSun" w:cs="Arial"/>
              </w:rPr>
              <w:t xml:space="preserve">      5</w:t>
            </w:r>
            <w:r>
              <w:rPr>
                <w:rFonts w:ascii="Arial" w:hAnsi="Arial" w:eastAsia="SimSun" w:cs="Arial"/>
                <w:vertAlign w:val="superscript"/>
              </w:rPr>
              <w:t>th</w:t>
            </w:r>
            <w:r>
              <w:rPr>
                <w:rFonts w:ascii="Arial" w:hAnsi="Arial" w:eastAsia="SimSun" w:cs="Arial"/>
              </w:rPr>
              <w:t xml:space="preserve"> </w:t>
            </w:r>
            <w:r/>
            <w:bookmarkStart w:id="4" w:name="Check17"/>
            <w:r/>
            <w:r>
              <w:rPr>
                <w:rFonts w:ascii="Arial" w:hAnsi="Arial" w:eastAsia="SimSun" w:cs="Arial"/>
              </w:rPr>
            </w:r>
            <w:r>
              <w:rPr>
                <w:rFonts w:ascii="Arial" w:hAnsi="Arial" w:eastAsia="SimSun" w:cs="Arial"/>
              </w:rPr>
              <w:fldChar w:fldCharType="begin">
                <w:ffData>
                  <w:name w:val="Check17"/>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4"/>
            <w:r/>
            <w:r>
              <w:rPr>
                <w:rFonts w:ascii="Arial" w:hAnsi="Arial" w:eastAsia="SimSun" w:cs="Arial"/>
              </w:rPr>
              <w:t xml:space="preserve">      6</w:t>
            </w:r>
            <w:r>
              <w:rPr>
                <w:rFonts w:ascii="Arial" w:hAnsi="Arial" w:eastAsia="SimSun" w:cs="Arial"/>
                <w:vertAlign w:val="superscript"/>
              </w:rPr>
              <w:t>th</w:t>
            </w:r>
            <w:r>
              <w:rPr>
                <w:rFonts w:ascii="Arial" w:hAnsi="Arial" w:eastAsia="SimSun" w:cs="Arial"/>
              </w:rPr>
              <w:t xml:space="preserve"> </w:t>
            </w:r>
            <w:r/>
            <w:bookmarkStart w:id="5" w:name="Check18"/>
            <w:r/>
            <w:r>
              <w:rPr>
                <w:rFonts w:ascii="Arial" w:hAnsi="Arial" w:eastAsia="SimSun" w:cs="Arial"/>
              </w:rPr>
            </w:r>
            <w:r>
              <w:rPr>
                <w:rFonts w:ascii="Arial" w:hAnsi="Arial" w:eastAsia="SimSun" w:cs="Arial"/>
              </w:rPr>
              <w:fldChar w:fldCharType="begin">
                <w:ffData>
                  <w:name w:val="Check18"/>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5"/>
            <w:r/>
            <w:r>
              <w:rPr>
                <w:rFonts w:ascii="Arial" w:hAnsi="Arial" w:eastAsia="SimSun" w:cs="Arial"/>
                <w:b/>
              </w:rPr>
              <w:t xml:space="preserve">   </w:t>
            </w:r>
            <w:r>
              <w:rPr>
                <w:rFonts w:ascii="Arial" w:hAnsi="Arial" w:eastAsia="SimSun" w:cs="Arial"/>
              </w:rPr>
              <w:t>module of the degree</w:t>
            </w:r>
            <w:r>
              <w:rPr>
                <w:rFonts w:ascii="Arial" w:hAnsi="Arial" w:eastAsia="SimSun" w:cs="Arial"/>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firstLine="0"/>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Wingdings 2" w:hAnsi="Wingdings 2" w:eastAsia="Wingdings 2" w:cs="Wingdings 2"/>
                <w:b/>
                <w:sz w:val="44"/>
                <w:szCs w:val="44"/>
              </w:rPr>
              <w:t></w:t>
            </w:r>
            <w:r>
              <w:rPr>
                <w:rFonts w:ascii="Wingdings 2" w:hAnsi="Wingdings 2" w:eastAsia="Wingdings 2" w:cs="Wingdings 2"/>
                <w:b/>
                <w:sz w:val="44"/>
                <w:szCs w:val="44"/>
              </w:rPr>
            </w:r>
          </w:p>
          <w:p>
            <w:pPr>
              <w:pStyle w:val="para4"/>
              <w:ind w:right="34" w:firstLine="0"/>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9413" w:type="dxa"/>
              <w:pPr>
                <w:spacing/>
                <w:jc w:val="left"/>
                <w:tabs defTabSz="720"/>
              </w:pPr>
              <w:tblLook w:val="0600" w:firstRow="0" w:lastRow="0" w:firstColumn="0" w:lastColumn="0" w:noHBand="1" w:noVBand="1"/>
            </w:tblPr>
            <w:tblGrid>
              <w:gridCol w:w="6902"/>
              <w:gridCol w:w="2511"/>
            </w:tblGrid>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br w:type="textWrapping"/>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left="142" w:right="34" w:firstLine="0"/>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left="142" w:right="34"/>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ind w:firstLine="0"/>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t>External Examiner’s comments (if relevant)</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ind w:firstLine="0"/>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5910919" protected="1"/>
          </w:tcPr>
          <w:p>
            <w:pPr>
              <w:spacing w:before="0" w:after="0" w:line="276"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pPr>
      <w:r>
        <w:br w:type="page"/>
      </w:r>
      <w:r>
        <w:t>Are perceptions of the cosmos culturally conditioned?</w:t>
      </w:r>
    </w:p>
    <w:p>
      <w:pPr>
        <w:pStyle w:val="para2"/>
      </w:pPr>
      <w:r>
        <w:t>Introduction</w:t>
      </w:r>
    </w:p>
    <w:p>
      <w:r>
        <w:t>This essay will discuss the question, are perceptions of the cosmos culturally conditioned? It will do this by considering humanity’s experience of, and the meanings attached to those infrequent visitors to our  solar system comets, meteorites and asteroids. In particular, it will focus on Halley’s comet and the Tunguska event.</w:t>
      </w:r>
    </w:p>
    <w:p>
      <w:pPr>
        <w:pStyle w:val="para2"/>
      </w:pPr>
      <w:r>
        <w:t>Definitions</w:t>
      </w:r>
    </w:p>
    <w:p>
      <w:r>
        <w:t>Clear definitions are required before embarking on an essay topic as potentially sweeping as this and four words or phrases require such definitions so that they help to frame the essay in the context of human experience.</w:t>
      </w:r>
    </w:p>
    <w:p>
      <w:r>
        <w:t xml:space="preserve">Firstly, </w:t>
      </w:r>
      <w:r>
        <w:rPr>
          <w:i/>
          <w:iCs/>
        </w:rPr>
        <w:t>perception</w:t>
      </w:r>
      <w:r>
        <w:t xml:space="preserve"> is defined by Daniel Schacter and others as “the organization, identification, and interpretation of sensory information in order to represent and understand the presented information or environment.”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
      </w:r>
      <w:r>
        <w:t xml:space="preserve"> In other words, our senses, such as sight convey information to our brain which we use to create meaning which in turn are a mechanism which allow us to live in a sensorial world.</w:t>
      </w:r>
    </w:p>
    <w:p>
      <w:r>
        <w:t xml:space="preserve">The word </w:t>
      </w:r>
      <w:r>
        <w:rPr>
          <w:i/>
          <w:iCs/>
        </w:rPr>
        <w:t>Cosmos</w:t>
      </w:r>
      <w:r>
        <w:t xml:space="preserve"> derives from the Greek </w:t>
      </w:r>
      <w:r>
        <w:rPr>
          <w:i/>
          <w:iCs/>
        </w:rPr>
        <w:t>Kosmos</w:t>
      </w:r>
      <w:r>
        <w:t xml:space="preserve"> which has meanings as broad as ‘order’, ‘beauty’ and ‘regularity’. In this essay, cosmology, is the rational, scientific study of the cosmos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
      </w:r>
      <w:r>
        <w:t>. Perhaps the best summation of cosmology is shared by Bernadette Brady who refers us to Christopher Chappell and his belief that humanity makes sense of itself and the cosmos through the stories it tells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
      </w:r>
      <w:r>
        <w:t>. Richard Tarnas expands on this by reminding readers that how we understand the universe affects every aspect of our interior life, and that this internally directed awareness influences and directs the way we engage with everything around us, including our culture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
      </w:r>
      <w:r>
        <w:t xml:space="preserve">. </w:t>
      </w:r>
    </w:p>
    <w:p>
      <w:r>
        <w:rPr>
          <w:i/>
          <w:iCs/>
        </w:rPr>
        <w:t>Culture</w:t>
      </w:r>
      <w:r>
        <w:t>, for the purposes of this essay, is defined by Edward Burrell Tylor (1832-1917) as “[..] that complex whole which includes the knowledge, belief, art, morals, law, custom and any other capabilities and habits acquired by man as a member of society”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
      </w:r>
      <w:r>
        <w:t>. This reflects the view of Terry Eagleton who believes that culture is both what we live by and live for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
      </w:r>
      <w:r>
        <w:t>.</w:t>
      </w:r>
    </w:p>
    <w:p>
      <w:r>
        <w:t xml:space="preserve">And finally, according to Victoria Shiroma Wilson </w:t>
      </w:r>
      <w:r>
        <w:rPr>
          <w:i/>
          <w:iCs/>
        </w:rPr>
        <w:t>cultural conditioning</w:t>
      </w:r>
      <w:r>
        <w:t xml:space="preserve"> is “a process through which we absorb and interpret the influences, norms, and messaging from our environment and translate them into what we believe to be acceptable behaviors.”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3"/>
      </w:r>
      <w:r>
        <w:t xml:space="preserve">. </w:t>
      </w:r>
    </w:p>
    <w:p>
      <w:r>
        <w:t xml:space="preserve">These definitions imply that the meanings humanity attaches to the different things we pay attention to are also affected by what is deemed to be appropriate within whatever culture we happen to find ourselves and this is the basis on which this essay will explore the question. </w:t>
      </w:r>
    </w:p>
    <w:p>
      <w:pPr>
        <w:pStyle w:val="para2"/>
      </w:pPr>
      <w:r>
        <w:t>Discussion</w:t>
      </w:r>
    </w:p>
    <w:p>
      <w:r>
        <w:t>What does someone see when they look at the sky and how do they interpret what they perceive? It is possible that most sighted people will see the same set of objects if they pay attention to the sky, whether they call them the same thing is an entirely different matter. This is important, because culturally rather like the bee waggle dance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4"/>
      </w:r>
      <w:r>
        <w:t>, person A needs to convey to person B essential information about the location of food, resources, and water for example.</w:t>
      </w:r>
    </w:p>
    <w:p>
      <w:r>
        <w:t>Nicholas Campion tells us that the heavens have been a source of wonder and awe since earliest times, and their role in meaning-making has been a key component of the relationship man has developed with the cosmos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5"/>
      </w:r>
      <w:r>
        <w:t>. Within the vast canopy above the earth, which we call the sky, lie the the planets, fixed stars and elemental forces of the weather. Each has been associated at some point in history or another with mythologies about the gods and forces that inhabit the space above us meaning our perspective of the Universe as the ‘Soul of the World’ has been shaped by ancient cosmologies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6"/>
      </w:r>
      <w:r>
        <w:t>. From Plato onwards humans viewed outer space as a realm to be understood, controlled and containing active beings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7"/>
      </w:r>
      <w:r>
        <w:t>. As Bruno Latour reminds us ‘No-one has ever heard of a collective that did not mobilise heaven and earth”, and that mobilisation often requires propitiation, or preparation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8"/>
      </w:r>
      <w:r>
        <w:t>.</w:t>
      </w:r>
    </w:p>
    <w:p>
      <w:r>
        <w:t>However, the view of the Universe as something active and alive is no longer confined to the religious, mythical or spiritual realms. It is echoed through the corridors of science, particularly in physics and astronomy. Unlike the Copernican revolution which Richard Tarnas reminds us birthed a Universe which was ‘a spiritually empty, vastness, impersonal, neutral, indifferent to human concerns, governed by random processes devoid of purpose and meaning’</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9"/>
      </w:r>
      <w:r>
        <w:t xml:space="preserve"> modern science has almost come full circle. For example, the Astronomer Royal Martin Rees, reflects that ‘the chain of emergent complexity leading from a “big bang” to stars, planets biospheres, and human brains-rendering the cosmos aware of itself’</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0"/>
      </w:r>
      <w:r>
        <w:t>. That awareness is, he believes, the motivating factor driving humanity to understand the world and the cosmos that surrounds it. As far as he is concerned ‘science is the one culture that is truly global’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1"/>
      </w:r>
      <w:r>
        <w:t xml:space="preserve">. </w:t>
      </w:r>
    </w:p>
    <w:p>
      <w:r>
        <w:t>The idea of an aware universe is also reflected in the work of James Lovelock, who states:</w:t>
      </w:r>
    </w:p>
    <w:p>
      <w:pPr>
        <w:pStyle w:val="para7"/>
      </w:pPr>
      <w:r>
        <w:t>’For all but a brief moment of its existence the cosmos knew nothing of itself. Only when humanity developed the tools and ideas to observe and analyse the bewildering spectacle of the clear night sky did the cosmos begin to awaken from its long sleep of ignorance.’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2"/>
      </w:r>
      <w:r>
        <w:t>.</w:t>
      </w:r>
    </w:p>
    <w:p>
      <w:r>
        <w:t>This statement reflects the definition of perception shared earlier implying that it is only by applying meaning to what is observed that the cosmos is able to recognise its consciousness. Lovelock takes it  further by suggesting that although he believes humanity to be alone in the Universe we (humanity) are the product of a specific act that chose us to represent and develop intelligence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3"/>
      </w:r>
      <w:r>
        <w:t>. That intelligence blesses us with the ability to observe, to deduce and to make meanings from everything we perceive, including the heavens.</w:t>
      </w:r>
    </w:p>
    <w:p>
      <w:pPr>
        <w:pStyle w:val="para3"/>
      </w:pPr>
      <w:r>
        <w:t>Comets, Asteroids and Meteors</w:t>
      </w:r>
    </w:p>
    <w:p>
      <w:r>
        <w:t>Whilst most cosmic occurrences such as the movement of the planets and the seasonal appearance of constellations could be predicted with greater and greater accuracy as history and instrumentation developed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4"/>
      </w:r>
      <w:r>
        <w:t>, there were celestial events that defied prediction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5"/>
      </w:r>
      <w:r>
        <w:t xml:space="preserve">. These are the space objects that visit earth occasionally in the form of comets, asteroids and meteors passing through our solar system from further out in space. </w:t>
      </w:r>
    </w:p>
    <w:p>
      <w:r>
        <w:t xml:space="preserve">According to NASA, </w:t>
      </w:r>
      <w:r>
        <w:rPr>
          <w:i/>
          <w:iCs/>
        </w:rPr>
        <w:t>comets</w:t>
      </w:r>
      <w:r>
        <w:t xml:space="preserve"> are leftovers from the beginning of our solar system, often called ‘dirty snowballs, because of their icy outer layer, they are believed to contain water and other essential minerals for the formation of life. They range in size up to several miles across and often have long clouds and depending on whether they originate in the Kuiper belt or the Oort cloud, their orbits around the sun can be as short as a few years to millions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6"/>
      </w:r>
      <w:r>
        <w:t>.</w:t>
      </w:r>
    </w:p>
    <w:p>
      <w:r>
        <w:rPr>
          <w:i/>
          <w:iCs/>
        </w:rPr>
        <w:t>Asteroids</w:t>
      </w:r>
      <w:r>
        <w:t>, are the remains of the formation of our solar system and orbit the sun in the asteroid belt  between Mars and Jupiter. They are often referred to as small planetoids and can range in size from a few metres to about 329 miles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7"/>
      </w:r>
      <w:r>
        <w:t>.</w:t>
      </w:r>
    </w:p>
    <w:p>
      <w:r>
        <w:rPr>
          <w:i/>
          <w:iCs/>
        </w:rPr>
        <w:t>Meteors</w:t>
      </w:r>
      <w:r>
        <w:t xml:space="preserve"> come in three flavours: Meteoroids exist out in space and can be just a dust grain up to the size of a small asteroid. A meteor is a meteoroid that has strayed into the atmosphere of a planet in our solar system, as they burn up they are called ‘shooting stars’. Finally, a meteorite is a meteoroid that has survived a planet’s atmosphere and hit the ground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8"/>
      </w:r>
      <w:r>
        <w:t>.</w:t>
      </w:r>
    </w:p>
    <w:p>
      <w:r>
        <w:t>These occasional visitors have been interpreted as messengers of the gods since the earliest recorded times and according to Nicholas Campion, the Assyrian Enuma Enlil and Maul Apin interpreted the passage of shooting stars and comets across the sky according to their direction of travel. For example ‘If a meteor which is like a torch flashes from the east and sets in the west; the troops of the enemy will fall in battle’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9"/>
      </w:r>
      <w:r>
        <w:t>.</w:t>
      </w:r>
    </w:p>
    <w:p>
      <w:r>
        <w:t>These heavenly events have also been interpreted as the harbinger of good or bad news and Campion also notes a connection made between the appearance of a comet and the death of Claudius in A.D 54</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0"/>
      </w:r>
      <w:r>
        <w:t>. He later states they were also understood to be ‘evil omens’ and especially important for rulers such as Nero who, upon the advice that he might mitigate its effects, set about eliminating substantial numbers of Roman aristocracy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1"/>
      </w:r>
      <w:r>
        <w:t>. Such concern was not limited to individual nations or republics either, the sight of a comet instilled fear and hope in equal measure amongst apocalyptically minded Jews and Christians, where it could signify the second coming or the day of judgement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2"/>
      </w:r>
      <w:r>
        <w:t>.</w:t>
      </w:r>
    </w:p>
    <w:p>
      <w:r>
        <w:t>In A.D. 729, Campion tells us the Venerable Bede reported that ‘two comets appeared around the sun, striking terror into all who saw them’. Following on from that observation he recorded three events apparently associated with them including a Saracen attack in France and the deaths of Bishop Egbert and  King Osric of Northumbria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3"/>
      </w:r>
      <w:r>
        <w:t>. Although, as Campion later notes ecclesiastical necessity seems to be the order of the day as Bede made little reference to to the comets of 664 and 678</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4"/>
      </w:r>
      <w:r>
        <w:t>.</w:t>
      </w:r>
    </w:p>
    <w:p>
      <w:r>
        <w:t xml:space="preserve">It appears that the meaning of comets could be co-opted to suit whatever narrative was deemed necessary to suit a particular situation. For example, Campion relates the story of the King of France who was suitably concerned about the appearance of a comet to request an explanation by his astrologer, who in turn admonished him with a quotation from the book of Jeremiah saying it was irrelevant. However a more pertinent question for historians might be whether this story was recorded </w:t>
      </w:r>
      <w:r>
        <w:rPr>
          <w:i/>
          <w:iCs/>
        </w:rPr>
        <w:t>after</w:t>
      </w:r>
      <w:r>
        <w:t xml:space="preserve"> establishing that nothing of any note regarding the King had happened that year.</w:t>
      </w:r>
    </w:p>
    <w:p>
      <w:pPr>
        <w:pStyle w:val="para3"/>
      </w:pPr>
      <w:r>
        <w:t>Halley’s Comet</w:t>
      </w:r>
    </w:p>
    <w:p>
      <w:pPr>
        <w:ind w:firstLine="0"/>
      </w:pPr>
      <w:r>
        <w:rPr>
          <w:noProof/>
        </w:rPr>
        <w:drawing>
          <wp:inline distT="89535" distB="89535" distL="89535" distR="89535">
            <wp:extent cx="6106160" cy="3482975"/>
            <wp:effectExtent l="0" t="0" r="0" b="0"/>
            <wp:docPr id="2"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3"/>
                    <pic:cNvPicPr>
                      <a:picLocks noChangeAspect="1"/>
                      <a:extLst>
                        <a:ext uri="sm">
                          <sm:smNativeData xmlns:sm="sm" val="SMDATA_17_B+Z3Zx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JAlAABtFQAAkCUAAG0V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lAAAAB6IAAAAAAAAAAAAAAQAAAAAAAAB9AAAAAQAAAAAAAAB9AAAAkCUAAG0VAAAAAAAAfQAAAH0AAAAoAAAACAAAAAEAAAABAAAAMAAAABQAAAAAAAAAAAD//wAAAQAAAP//AAABAA=="/>
                        </a:ext>
                      </a:extLst>
                    </pic:cNvPicPr>
                  </pic:nvPicPr>
                  <pic:blipFill>
                    <a:blip r:embed="rId10"/>
                    <a:stretch>
                      <a:fillRect/>
                    </a:stretch>
                  </pic:blipFill>
                  <pic:spPr>
                    <a:xfrm>
                      <a:off x="0" y="0"/>
                      <a:ext cx="6106160" cy="3482975"/>
                    </a:xfrm>
                    <a:prstGeom prst="rect">
                      <a:avLst/>
                    </a:prstGeom>
                    <a:noFill/>
                    <a:ln w="12700">
                      <a:noFill/>
                    </a:ln>
                  </pic:spPr>
                </pic:pic>
              </a:graphicData>
            </a:graphic>
          </wp:inline>
        </w:drawing>
      </w:r>
      <w:r/>
    </w:p>
    <w:p>
      <w:pPr>
        <w:ind w:firstLine="0"/>
        <w:spacing/>
        <w:jc w:val="center"/>
        <w:rPr>
          <w:sz w:val="18"/>
          <w:szCs w:val="18"/>
        </w:rPr>
      </w:pPr>
      <w:r>
        <w:rPr>
          <w:sz w:val="18"/>
          <w:szCs w:val="18"/>
        </w:rPr>
        <w:t xml:space="preserve">(Halley’s comet seen in 1066 CE. Image by Lebrecht Music &amp; Arts/Alamy and Bayeux Tapestry, </w:t>
        <w:br w:type="textWrapping"/>
        <w:t>believed to have been created in the 11</w:t>
      </w:r>
      <w:r>
        <w:rPr>
          <w:sz w:val="18"/>
          <w:szCs w:val="18"/>
          <w:vertAlign w:val="superscript"/>
        </w:rPr>
        <w:t>th</w:t>
      </w:r>
      <w:r>
        <w:rPr>
          <w:sz w:val="18"/>
          <w:szCs w:val="18"/>
        </w:rPr>
        <w:t xml:space="preserve"> century</w:t>
      </w:r>
      <w:r>
        <w:rPr>
          <w:rStyle w:val="char1"/>
          <w:rFonts w:ascii="Times New Roman" w:hAnsi="Times New Roman" w:eastAsia="SimSun" w:cs="Times New Roman"/>
          <w:sz w:val="18"/>
          <w:szCs w:val="18"/>
          <w:lang w:eastAsia="zh-cn" w:bidi="ar-sa"/>
        </w:rPr>
      </w:r>
      <w:r>
        <w:rPr>
          <w:rStyle w:val="char1"/>
          <w:rFonts w:ascii="Times New Roman" w:hAnsi="Times New Roman" w:eastAsia="SimSun" w:cs="Times New Roman"/>
          <w:sz w:val="18"/>
          <w:szCs w:val="18"/>
          <w:lang w:eastAsia="zh-cn" w:bidi="ar-sa"/>
        </w:rPr>
        <w:footnoteReference w:id="35"/>
      </w:r>
      <w:r>
        <w:rPr>
          <w:sz w:val="18"/>
          <w:szCs w:val="18"/>
        </w:rPr>
        <w:t>.)</w:t>
      </w:r>
      <w:r>
        <w:rPr>
          <w:sz w:val="18"/>
          <w:szCs w:val="18"/>
        </w:rPr>
      </w:r>
    </w:p>
    <w:p>
      <w:pPr>
        <w:ind w:firstLine="0"/>
        <w:spacing/>
        <w:jc w:val="center"/>
        <w:rPr>
          <w:sz w:val="18"/>
          <w:szCs w:val="18"/>
        </w:rPr>
      </w:pPr>
      <w:r>
        <w:rPr>
          <w:sz w:val="18"/>
          <w:szCs w:val="18"/>
        </w:rPr>
      </w:r>
    </w:p>
    <w:p>
      <w:r>
        <w:t>The most famous of all comets is, according to NASA, Halley’s Comet with its 75/6 year regular orbit of the sun and the annual meteor showers the Aquarids and the Orionids in May and October respectively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6"/>
      </w:r>
      <w:r>
        <w:t>. According to Christina Griffiths, whilst the first confirmed sighting of Halley’s Comet is believed to have been in China in 239/240 BCE there is some evidence that the Babylonians also recorded a sighting between 468 and 468 BCE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7"/>
      </w:r>
      <w:r>
        <w:t>. Whilst it is not possible to tell if either of these records were telling of or predicting, a cataclysmic event, the Science Museum in London reports that the Chinese record for example simply notes:</w:t>
      </w:r>
    </w:p>
    <w:p>
      <w:pPr>
        <w:pStyle w:val="para7"/>
      </w:pPr>
      <w:r>
        <w:t>‘In the seventh year (240 BCE), a comet initially appeared in the east, then in the north, and finally in the west, during the fifth month of the year.’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8"/>
      </w:r>
      <w:r>
        <w:t>.</w:t>
      </w:r>
    </w:p>
    <w:p>
      <w:r>
        <w:t>The periodic return of Halley’s comet has often seen as a predictor of success or defeat in battle. 87 BCE, 451 CE, and 1222 CE were believed to have marked firstly, the consolidation of power of the Armenian King Tigranes; secondly, the defeat of Attila the Hun; and finally, Genghis Khan’s (Temüjin) expansion to the West respectively. In England, the comet was believed to have predicted the outcome of the Battle of Hastings, and depending on whose side you were on it was either a good omen or a bad one. Recorded on the Bayeux Tapestry, it was understood by William the Conqueror as evidence of his celestial right to rule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9"/>
      </w:r>
      <w:r>
        <w:t>.</w:t>
      </w:r>
    </w:p>
    <w:p>
      <w:r>
        <w:t>Although it wasn’t first discovered by Edmond Halley (1656-1742), he was the first person to realise that it was the same comet which had also appeared in 1531, 1607, and 1682 and that its orbit was roughly 76 years. He was able to complete this mathematical feat by using the latest scientific theories of gravity, the planetary motions and calculus from Isaac Newton. After he had successfully proved that the next pass of the comet would be in 1758 he was honoured by having it named after him as 1P Halley, the P noting it was periodic and had a regular cycle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0"/>
      </w:r>
      <w:r>
        <w:t>.</w:t>
      </w:r>
    </w:p>
    <w:p>
      <w:r>
        <w:t>As time and history moves on, accounts of cometary phenomenon become richer reaching a peak of both scientific and meaning-making with the 1910 pass. As Thomas Harrison records:</w:t>
      </w:r>
    </w:p>
    <w:p>
      <w:pPr>
        <w:pStyle w:val="para7"/>
      </w:pPr>
      <w:r>
        <w:t>‘On May 17, 1910, Halley's comet  shatters the peace of Europe's skies. As tends to happen at such moments of cosmic disturbance, the event evokes deep-seated anxieties, articulated in newspaper editorials on doom and degeneration. For each collective concern there are thousands of personal ones’.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1"/>
      </w:r>
      <w:r/>
    </w:p>
    <w:p>
      <w:r>
        <w:t>The 1910 pass of Halley’s Comet was responsible for several new innovations in relation to comets. For example, the astronomical community were able to make detailed observations about the comet which had not been possible at earlier passes. Two observational reports were made in May and June 1910 by Captain  P. Bissell on board the S.S. Mobile and Maxwell Hall in Jamaica. The tone of both is factual and descriptive with the report from Captain Bissell just a single paragraph:</w:t>
      </w:r>
    </w:p>
    <w:p>
      <w:r>
        <w:t>‘The night was dark and the comet showed up plainly. The head appeared about the brightness of a second magnitude star. Did not observe any split in the tail.’</w:t>
      </w:r>
    </w:p>
    <w:p>
      <w:r>
        <w:t>The notes from Maxwell Hall run into several separate entries starting in February with an initial sighting and the majority in May with commentary such as ‘May 8, 4 a.m. Chapelton. Another sketch was made showing the tail to be about 18</w:t>
      </w:r>
      <w:r>
        <w:rPr>
          <w:vertAlign w:val="superscript"/>
        </w:rPr>
        <w:t>0</w:t>
      </w:r>
      <w:r>
        <w:t xml:space="preserve"> in length, and to make the same angle with the vertical as before’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2"/>
      </w:r>
      <w:r>
        <w:t>.</w:t>
      </w:r>
    </w:p>
    <w:p>
      <w:r>
        <w:t>Although this report demonstrates an attempt to normalise a rare occurrence and demonstrate a rational approach to the celestial event. It did not entirely remove the fear from the world’s population with one enterprising entrepreneur capitalising on people’s fear by selling ‘comet pills’ designed to protect individuals  from the effects of the ‘cyanide gas’ Halley was expected to shower the earth with from its tail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3"/>
      </w:r>
      <w:r>
        <w:t xml:space="preserve">. Scholars at the University of Lisbon report that this theory had been popularised by Nicolas Camille Flammarion (1842-1925) in his 1896 novel </w:t>
      </w:r>
      <w:r>
        <w:rPr>
          <w:i/>
          <w:iCs/>
        </w:rPr>
        <w:t>La fin du Monde</w:t>
      </w:r>
      <w:r>
        <w:t xml:space="preserve"> about a comet that hits the earth in the 25</w:t>
      </w:r>
      <w:r>
        <w:rPr>
          <w:vertAlign w:val="superscript"/>
        </w:rPr>
        <w:t>th</w:t>
      </w:r>
      <w:r>
        <w:t xml:space="preserve"> century and the contamination of the atmosphere with its cyanogen gas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4"/>
      </w:r>
      <w:r>
        <w:t>. Juan Herrero-senés notes that Flammarion had been reported as saying the gas “would impregnate the atmosphere and possibly snuff out all life on the planet”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5"/>
      </w:r>
      <w:r>
        <w:t xml:space="preserve">. </w:t>
      </w:r>
    </w:p>
    <w:p>
      <w:r>
        <w:t>Herrero-senés goes on to suggest that this incident was simply fuel to the fire of millenarianism that was already at large in the world, exacerbated by a belief that the passage of comets ‘broke the perfection of the celestial sphere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6"/>
      </w:r>
      <w:r>
        <w:t>’. Superstition, the lack of agreement amongst the astronomical community, scepticism about the role of science in life and reports of vigils held in English churches all added to the doomsayers prophetic words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7"/>
      </w:r>
      <w:r>
        <w:t>.</w:t>
      </w:r>
    </w:p>
    <w:p>
      <w:pPr>
        <w:rPr>
          <w:sz w:val="20"/>
          <w:szCs w:val="20"/>
        </w:rPr>
      </w:pPr>
      <w:r>
        <w:t>This hysteria was not only prevalent in Portugal and England. In 2018 a piece of cave-art believed to depict the passage of Halley’s comet was discovered in a cave in Puerto Rico. This cave was already a site of special interest due to the presence of Taino pictographs and petroglyphs which have been carbon dated to between 1000 and 1500 CE. The art in question depicts a comet or meteor above a church or grave and was signed ‘RECUERDOS DE FERNANDO COLO´ N, MAY 23, 1910’</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8"/>
      </w:r>
      <w:r>
        <w:t xml:space="preserve">. </w:t>
      </w:r>
      <w:r>
        <w:rPr>
          <w:sz w:val="20"/>
          <w:szCs w:val="20"/>
        </w:rPr>
        <w:t>Me´ndez and Acosta-Colo believe this depiction is a personal representation and memorial of a celestial event perhaps implying that the artist, and possibly his family had sought out the cave as a refuge from what they thought would be a cataclysmic event. As the papers authors had previously noted</w:t>
      </w:r>
      <w:r>
        <w:rPr>
          <w:sz w:val="20"/>
          <w:szCs w:val="20"/>
        </w:rPr>
        <w:t>:</w:t>
      </w:r>
      <w:r>
        <w:rPr>
          <w:sz w:val="20"/>
          <w:szCs w:val="20"/>
        </w:rPr>
      </w:r>
    </w:p>
    <w:p>
      <w:pPr>
        <w:pStyle w:val="para7"/>
        <w:rPr>
          <w:sz w:val="20"/>
          <w:szCs w:val="20"/>
        </w:rPr>
      </w:pPr>
      <w:r>
        <w:rPr>
          <w:sz w:val="20"/>
          <w:szCs w:val="20"/>
        </w:rPr>
        <w:t>‘individuals took extreme measures to safeguard themselves, going as far as to seal off their homes in an attempt to prevent any potential harm from the comet’s gases. This episode reflects the powerful influence of scientific speculation and the media on public perception and behavior.’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9"/>
      </w:r>
      <w:r>
        <w:rPr>
          <w:sz w:val="20"/>
          <w:szCs w:val="20"/>
        </w:rPr>
        <w:t>.</w:t>
      </w:r>
      <w:r>
        <w:rPr>
          <w:sz w:val="20"/>
          <w:szCs w:val="20"/>
        </w:rPr>
      </w:r>
    </w:p>
    <w:p>
      <w:pPr>
        <w:ind w:firstLine="0"/>
      </w:pPr>
      <w:r>
        <w:t>Later in the paper they observe that such a piece of art is ..</w:t>
      </w:r>
    </w:p>
    <w:p>
      <w:pPr>
        <w:pStyle w:val="para7"/>
      </w:pPr>
      <w:r>
        <w:t>‘illustrative of the intersection of astronomical phenomena, societal fear, and individual expression. [shedding] light on the broader impacts of celestial events on human societies, particularly in isolated communities with limited scientific understanding.’</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0"/>
      </w:r>
      <w:r/>
    </w:p>
    <w:p>
      <w:r>
        <w:t>This comment aligns with the modern and common assumption that as humans become more informed through science, they lose their fear of the world and no longer need remedial actions to rectify, pacify or manage unexplained events occurring outside of what might be deemed ‘normal’ in that society at that time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1"/>
      </w:r>
      <w:r>
        <w:t>.</w:t>
      </w:r>
    </w:p>
    <w:p>
      <w:r>
        <w:t>The story of the cultural effect of Halley’s comet doesn’t end in 1910 though. In 1986, although less apocalyptic, a similar co-opting of the comet for commercial gain also took place as one letter writer to the Journal of Astronomy &amp; Geophysics noted, ‘There was Halleymania in 1986. The usual souvenirs abounded: T-shirts, mugs, spoons, coins, medals and endless books. You name it, you could have it with Halley’s name on.’ He went on to remind readers of the vintage Port (Comet Halley Coonabarabran), British Rail’s locomotive “Comet Halley”, and the flight aboard Concorde to New Zealand to see Halley on the way.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2"/>
      </w:r>
      <w:r>
        <w:t>. In addition to the commercialisation though, William’s letter also outlines the degree to which the global scientific community collaborated to better understand a phenomenon which was believed to pose an existential risk to life on earth resulting in the Deep Impact, Stardust and Rosetta missions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3"/>
      </w:r>
      <w:r>
        <w:t>.</w:t>
      </w:r>
    </w:p>
    <w:p>
      <w:r>
        <w:t>Culturally, this is best summed up through Isaac Newton’s work. As Patrick Curry says, Newton assumed that Comets were agents of the divine and as such were responsible for life on earth. In addition though, the purpose of a comet was to ’sweep away the corrupt idolatrous and polytheistic vestiges of paganism’</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4"/>
      </w:r>
      <w:r>
        <w:t>. The theory that comets may have been responsible for creating a vibrant living planet like earth has been given additional impetus by research suggesting the universe is rich in organic compounds, and that Halley’s comet in particular is now thought to be comprised of around 25 percent organic molecules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5"/>
      </w:r>
      <w:r>
        <w:t>.</w:t>
      </w:r>
    </w:p>
    <w:p>
      <w:pPr>
        <w:pStyle w:val="para3"/>
      </w:pPr>
      <w:r>
        <w:t>The Tunguska Event</w:t>
      </w:r>
    </w:p>
    <w:p>
      <w:pPr>
        <w:ind w:firstLine="0"/>
      </w:pPr>
      <w:r>
        <w:t>Andrei Ol'khovatov records that …</w:t>
      </w:r>
    </w:p>
    <w:p>
      <w:pPr>
        <w:pStyle w:val="para7"/>
      </w:pPr>
      <w:r>
        <w:t>‘In the morning of June 30, 1908, the ground trembled north and northwest of Lake Baikal in Central Siberia, and underground jolts and thunderous sounds struck panic into the hearts of the local population. Reports of a glowing body flying over came from various points of the territory.’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6"/>
      </w:r>
      <w:r/>
    </w:p>
    <w:p>
      <w:r>
        <w:t>Despite this apocalyptic seeming opening his paper goes on to discuss an event that has been credited with being the ‘biggest impact event in recorded human history’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7"/>
      </w:r>
      <w:r>
        <w:t>. Multiple sources have recorded it exploding with the force of between 10 and 15 MT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8"/>
      </w:r>
      <w:r>
        <w:t>, or the equivalent of 185 Hiroshima bombs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9"/>
      </w:r>
      <w:r>
        <w:t>. When the first expedition made it to the impact site in 1927 they discovered that 80,000 trees had been felled and that an area larger than London had been flattened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0"/>
      </w:r>
      <w:r>
        <w:t>.</w:t>
      </w:r>
    </w:p>
    <w:p>
      <w:r>
        <w:t>This particular event is one which has demonstrated the profound lack of agreement on scientific matters as there is no agreement on which of the three possible cosmic projectiles was responsible. Initially, it was believed to be a meteorite, but the lack of meteoric evidence on the ground suggests it may have been a comet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1"/>
      </w:r>
      <w:r>
        <w:t>.</w:t>
      </w:r>
    </w:p>
    <w:p>
      <w:r>
        <w:t>Accounts of the event were recorded as far away as London where a photograph of the bright glow in the sky was taken at midnight by Joseph Edward Evans (1881-1964) from The Queens House on the 30</w:t>
      </w:r>
      <w:r>
        <w:rPr>
          <w:vertAlign w:val="superscript"/>
        </w:rPr>
        <w:t>th</w:t>
      </w:r>
      <w:r>
        <w:t xml:space="preserve"> June 1908.</w:t>
      </w:r>
    </w:p>
    <w:p>
      <w:r/>
    </w:p>
    <w:p>
      <w:r>
        <w:rPr>
          <w:noProof/>
        </w:rPr>
        <w:drawing>
          <wp:inline distT="0" distB="0" distL="0" distR="0">
            <wp:extent cx="5650230" cy="3487420"/>
            <wp:effectExtent l="0" t="0" r="0" b="0"/>
            <wp:docPr id="3"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2"/>
                    <pic:cNvPicPr>
                      <a:picLocks noChangeAspect="1"/>
                      <a:extLst>
                        <a:ext uri="sm">
                          <sm:smNativeData xmlns:sm="sm" val="SMDATA_17_B+Z3ZxMAAAAlAAAAEQAAAG0AAAAAAAAAAAAAAAAAAAAAA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EAAAAjAAAABAAAAGQAAAAXAAAAFAAAAMIiAAB0FQAAwiIAAHQV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BAAAAByAAAAAAAAAAAAAAAAAAAAAAAAAAAAAAAAAAAAAAAAAAAAAAwiIAAHQVAAAAAAAAAAAAAAAAAAAoAAAACAAAAAEAAAABAAAAMAAAABQAAAAAAAAAAAD//wAAAQAAAP//AAABAA=="/>
                        </a:ext>
                      </a:extLst>
                    </pic:cNvPicPr>
                  </pic:nvPicPr>
                  <pic:blipFill>
                    <a:blip r:embed="rId11"/>
                    <a:stretch>
                      <a:fillRect/>
                    </a:stretch>
                  </pic:blipFill>
                  <pic:spPr>
                    <a:xfrm>
                      <a:off x="0" y="0"/>
                      <a:ext cx="5650230" cy="3487420"/>
                    </a:xfrm>
                    <a:prstGeom prst="rect">
                      <a:avLst/>
                    </a:prstGeom>
                    <a:noFill/>
                    <a:ln w="12700">
                      <a:noFill/>
                    </a:ln>
                  </pic:spPr>
                </pic:pic>
              </a:graphicData>
            </a:graphic>
          </wp:inline>
        </w:drawing>
      </w:r>
      <w:r/>
    </w:p>
    <w:p>
      <w:pPr>
        <w:spacing/>
        <w:jc w:val="center"/>
        <w:rPr>
          <w:sz w:val="18"/>
          <w:szCs w:val="18"/>
        </w:rPr>
      </w:pPr>
      <w:r>
        <w:rPr>
          <w:sz w:val="18"/>
          <w:szCs w:val="18"/>
        </w:rPr>
        <w:t>(Photograph of the glow visible over London. Royal Museums Greenwich collection AST0050.27)</w:t>
      </w:r>
    </w:p>
    <w:p>
      <w:r/>
    </w:p>
    <w:p>
      <w:r>
        <w:t>Locally, eyewitness accounts were not fully documented at the time of the event, but have been gathered in the years since. Most serve a dual purpose providing scientific researchers with evidence as to the nature of the event itself, and also an insight into the meaning attributed to the event by those experiencing it first-hand. For example, in one account of a woman tending her injured husband she reports ‘Poor Ivan howled like a wolf, cried, swore, and shouted that he was in pain. Uchir had thrown Ivan a long distance.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2"/>
      </w:r>
      <w:r>
        <w:t>’ Uchir is the Evenki people’s God of Wind to whom she clearly attributed at least some of the destruction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3"/>
      </w:r>
      <w:r>
        <w:t>. Another woman reports that she ’[-..] was unconscious until evening. Some died even… My man also died. Aksiri left me alive.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4"/>
      </w:r>
      <w:r>
        <w:t>’ In this case, Aksiri is the God of Heaven who was also seen to have a hand in the event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5"/>
      </w:r>
      <w:r>
        <w:t>.</w:t>
      </w:r>
    </w:p>
    <w:p>
      <w:r>
        <w:t>This cosmological sentiment is similarly expressed in an uncredited direct quote on the Royal Greenwich Museum website which reads:</w:t>
      </w:r>
    </w:p>
    <w:p>
      <w:pPr>
        <w:pStyle w:val="para7"/>
      </w:pPr>
      <w:r>
        <w:t>‘[...] the sky split in two and fire appeared high and wide over the forest. The split in the sky grew larger, and the entire Northern side was covered with fire. At that moment I became so hot that I couldn't bear it, as if my shirt was on fire;[...] Then I saw a wonder: trees were falling, the branches were on fire, it became mighty bright, how can I say this, as if there was a second sun, my eyes were hurting, I even closed them.’</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6"/>
      </w:r>
      <w:r>
        <w:t>.</w:t>
      </w:r>
    </w:p>
    <w:p>
      <w:pPr>
        <w:pStyle w:val="para2"/>
      </w:pPr>
      <w:r>
        <w:t>Conclusion</w:t>
      </w:r>
    </w:p>
    <w:p>
      <w:r>
        <w:t>With Halley’s Comet and the Tunguska event, it is clear that the passage of unexpected visitors across the skies are given meanings which in turn are dependent on the cultural context, political expediency and spiritual expectations of the time they are observed. And it matters little whether that perception is expressed simply by the use of language in, for instance, the naming of a comet, seeing them as signs of god’s blessingunderstood.</w:t>
      </w:r>
    </w:p>
    <w:p>
      <w:r>
        <w:t>This stems from an acceptance by all the evidence reviewed that, to some extent, the cosmos is conscious, either by dint of supernatural beings such as gods sending messages, warnings or destruction to earth, or though an emerging scientific paradigm that believes that human intelligence is part of a bigger picture of consciousness, as suggested by Lovelock and Rees.</w:t>
      </w:r>
    </w:p>
    <w:p>
      <w:r>
        <w:t xml:space="preserve">What this essay has therefore demonstrated is that our perceptions of the cosmos are culturally conditioned. From mythology to science, comets, asteroids and meteorites have contributed to a belief that humanity is guided, affected or influenced by celestial events outside of its control. or curse, or that they represent humankind’s foothold in a mysterious universe that is just waiting to be </w:t>
      </w:r>
    </w:p>
    <w:p>
      <w:r/>
    </w:p>
    <w:p>
      <w:pPr>
        <w:pStyle w:val="para2"/>
      </w:pPr>
      <w:r>
        <w:br w:type="page"/>
      </w:r>
      <w:r>
        <w:t>Bibliography</w:t>
      </w:r>
    </w:p>
    <w:p>
      <w:pPr>
        <w:pStyle w:val="para3"/>
      </w:pPr>
      <w:r>
        <w:t>Primary Sources</w:t>
      </w:r>
    </w:p>
    <w:p>
      <w:pPr>
        <w:pStyle w:val="para8"/>
      </w:pPr>
      <w:r>
        <w:t xml:space="preserve">Bayeux Museums, </w:t>
      </w:r>
      <w:r>
        <w:rPr>
          <w:i/>
          <w:iCs/>
        </w:rPr>
        <w:t>From Odo’s Cathedral to the Louvre</w:t>
      </w:r>
      <w:r>
        <w:t>, &lt;https://www.bayeuxmuseum.com/en/the-bayeux-tapestry/over-the-centuries/from-the-cathedral-to-the-louvre/&gt;.</w:t>
      </w:r>
    </w:p>
    <w:p>
      <w:pPr>
        <w:pStyle w:val="para8"/>
      </w:pPr>
      <w:r>
        <w:t xml:space="preserve">Hall, Maxwell, ‘Observations of Halley’s Comet in Jamaica’, </w:t>
      </w:r>
      <w:r>
        <w:rPr>
          <w:i/>
          <w:iCs/>
        </w:rPr>
        <w:t>Monthly Notices of the Royal Astronomical Society</w:t>
      </w:r>
      <w:r>
        <w:t>, 70.8, (1910), 615–617.</w:t>
      </w:r>
    </w:p>
    <w:p>
      <w:pPr>
        <w:pStyle w:val="para8"/>
      </w:pPr>
      <w:r>
        <w:t xml:space="preserve">Lovelock, James, </w:t>
      </w:r>
      <w:r>
        <w:rPr>
          <w:i/>
          <w:iCs/>
        </w:rPr>
        <w:t>Novacene: The Coming Age Of Hyperintelligence</w:t>
      </w:r>
      <w:r>
        <w:t>, (London, Penguin Random House, 2019).</w:t>
      </w:r>
    </w:p>
    <w:p>
      <w:pPr>
        <w:pStyle w:val="para8"/>
      </w:pPr>
      <w:r>
        <w:t xml:space="preserve">NASA, </w:t>
      </w:r>
      <w:r>
        <w:rPr>
          <w:i/>
          <w:iCs/>
        </w:rPr>
        <w:t>Comet Facts</w:t>
      </w:r>
      <w:r>
        <w:t>, &lt;https://science.nasa.gov/solar-system/comets/facts/&gt;.</w:t>
      </w:r>
    </w:p>
    <w:p>
      <w:pPr>
        <w:pStyle w:val="para8"/>
      </w:pPr>
      <w:r>
        <w:t>NASA, Asteroids, &lt;https://science.nasa.gov/solar-system/asteroids/&gt;.</w:t>
      </w:r>
    </w:p>
    <w:p>
      <w:pPr>
        <w:pStyle w:val="para8"/>
      </w:pPr>
      <w:r>
        <w:t xml:space="preserve">NASA, </w:t>
      </w:r>
      <w:r>
        <w:rPr>
          <w:i/>
          <w:iCs/>
        </w:rPr>
        <w:t>Meteors and Meteorites</w:t>
      </w:r>
      <w:r>
        <w:t>, &lt;https://science.nasa.gov/solar-system/meteors-meteorites/&gt;.</w:t>
      </w:r>
    </w:p>
    <w:p>
      <w:pPr>
        <w:pStyle w:val="para8"/>
      </w:pPr>
      <w:r>
        <w:t>Plato, Timaeus Critias ; Cleitophon ; Menexenus ; Epistles, trans. by Robert Gregg Bury (Cambridge, MA: Harvard University Press, 1929).</w:t>
      </w:r>
    </w:p>
    <w:p>
      <w:pPr>
        <w:pStyle w:val="para8"/>
      </w:pPr>
      <w:r>
        <w:t xml:space="preserve">Rees, Martin, </w:t>
      </w:r>
      <w:r>
        <w:rPr>
          <w:i/>
          <w:iCs/>
        </w:rPr>
        <w:t xml:space="preserve"> On the Future, Prospects for Humanity,</w:t>
      </w:r>
      <w:r>
        <w:t xml:space="preserve"> (Princeton, Princeton University Press, 2018).</w:t>
      </w:r>
    </w:p>
    <w:p>
      <w:pPr>
        <w:pStyle w:val="para8"/>
      </w:pPr>
      <w:r>
        <w:t xml:space="preserve">Wilson, Melissa, </w:t>
      </w:r>
      <w:r>
        <w:rPr>
          <w:i/>
          <w:iCs/>
        </w:rPr>
        <w:t>It’s the end of the world as we know it … [Graphic] , This (Toronto)</w:t>
      </w:r>
      <w:r>
        <w:t xml:space="preserve"> (Toronto: Red Maple Foundation, 2008).</w:t>
      </w:r>
    </w:p>
    <w:p>
      <w:pPr>
        <w:pStyle w:val="para3"/>
      </w:pPr>
      <w:r>
        <w:t>Secondary Sources</w:t>
      </w:r>
    </w:p>
    <w:p>
      <w:pPr>
        <w:pStyle w:val="para8"/>
      </w:pPr>
      <w:r>
        <w:t>Brady, Bernadette,</w:t>
      </w:r>
      <w:r>
        <w:rPr>
          <w:i/>
          <w:iCs/>
        </w:rPr>
        <w:t xml:space="preserve"> Comos, Chaosmos and Astrology</w:t>
      </w:r>
      <w:r>
        <w:t>, (Ceredigion, Sophia Centre Press, 2014).</w:t>
      </w:r>
    </w:p>
    <w:p>
      <w:pPr>
        <w:pStyle w:val="para8"/>
      </w:pPr>
      <w:r>
        <w:t xml:space="preserve">Bryson, Bill, </w:t>
      </w:r>
      <w:r>
        <w:rPr>
          <w:i/>
          <w:iCs/>
        </w:rPr>
        <w:t>A Short History of Nearly Everything,</w:t>
      </w:r>
      <w:r>
        <w:t xml:space="preserve"> (London, Transworld Publishing 2004).</w:t>
      </w:r>
    </w:p>
    <w:p>
      <w:pPr>
        <w:pStyle w:val="para8"/>
      </w:pPr>
      <w:r>
        <w:t xml:space="preserve">Burnett Tylor, Edward </w:t>
      </w:r>
      <w:r>
        <w:rPr>
          <w:i/>
          <w:iCs/>
        </w:rPr>
        <w:t>, Primitive Cultures: Researches into the development, mythology, philosophy, religion, language, art and custom</w:t>
      </w:r>
      <w:r>
        <w:t>,  Vol. 1, 4</w:t>
      </w:r>
      <w:r>
        <w:rPr>
          <w:vertAlign w:val="superscript"/>
        </w:rPr>
        <w:t>th</w:t>
      </w:r>
      <w:r>
        <w:t xml:space="preserve"> ed. (London, John Murray,  1920).</w:t>
      </w:r>
    </w:p>
    <w:p>
      <w:pPr>
        <w:pStyle w:val="para8"/>
      </w:pPr>
      <w:r>
        <w:t xml:space="preserve">Campion, Nicholas, </w:t>
      </w:r>
      <w:r>
        <w:rPr>
          <w:i/>
          <w:iCs/>
        </w:rPr>
        <w:t>A History of Western Astrology Volume 1,</w:t>
      </w:r>
      <w:r>
        <w:t xml:space="preserve"> (2013, London and New York, Bloomsbury Academic).</w:t>
      </w:r>
    </w:p>
    <w:p>
      <w:pPr>
        <w:pStyle w:val="para8"/>
      </w:pPr>
      <w:r>
        <w:t xml:space="preserve">Campion, Nicholas, </w:t>
      </w:r>
      <w:r>
        <w:rPr>
          <w:i/>
          <w:iCs/>
        </w:rPr>
        <w:t>A History of Western Astrology Volume II,</w:t>
      </w:r>
      <w:r>
        <w:t xml:space="preserve"> (London and New York, 2013, Bloomsbury Academic).</w:t>
      </w:r>
    </w:p>
    <w:p>
      <w:pPr>
        <w:pStyle w:val="para8"/>
      </w:pPr>
      <w:r>
        <w:t xml:space="preserve">Cobb, Noel, ‘The Soul of the Sky’, in </w:t>
      </w:r>
      <w:r>
        <w:rPr>
          <w:i/>
          <w:iCs/>
        </w:rPr>
        <w:t>Sky and Psyche: The Relationship Between Cosmos and Consciousness</w:t>
      </w:r>
      <w:r>
        <w:t>, ed. By Nicholas Campion and Patrick Curry (Edinburgh, Floris Books, 2018).</w:t>
      </w:r>
    </w:p>
    <w:p>
      <w:pPr>
        <w:pStyle w:val="para8"/>
      </w:pPr>
      <w:r>
        <w:t xml:space="preserve">Curry, Patrick, </w:t>
      </w:r>
      <w:r>
        <w:rPr>
          <w:i/>
          <w:iCs/>
        </w:rPr>
        <w:t>Prophecy and Power: Astrology in Early Modern England</w:t>
      </w:r>
      <w:r>
        <w:t>,  2</w:t>
      </w:r>
      <w:r>
        <w:rPr>
          <w:vertAlign w:val="superscript"/>
        </w:rPr>
        <w:t>nd</w:t>
      </w:r>
      <w:r>
        <w:t xml:space="preserve"> ed. (Ceredigion, Sophia Centre Press, 2024).</w:t>
      </w:r>
    </w:p>
    <w:p>
      <w:pPr>
        <w:pStyle w:val="para8"/>
      </w:pPr>
      <w:r>
        <w:t xml:space="preserve">de Jong, Teije,  ‘A study of Babylonian planetary theory III. The planet Mercury’. </w:t>
      </w:r>
      <w:r>
        <w:rPr>
          <w:i/>
          <w:iCs/>
        </w:rPr>
        <w:t>Archive for History of Exact Sciences</w:t>
      </w:r>
      <w:r>
        <w:t>, 75.5, (2021) 491–522.</w:t>
      </w:r>
    </w:p>
    <w:p>
      <w:pPr>
        <w:pStyle w:val="para8"/>
      </w:pPr>
      <w:r>
        <w:t xml:space="preserve">Dunlap, Aimee, ‘Learning in the honey bee waggle dance’. </w:t>
      </w:r>
      <w:r>
        <w:rPr>
          <w:i/>
          <w:iCs/>
        </w:rPr>
        <w:t>Learning and Behaviour</w:t>
      </w:r>
      <w:r>
        <w:t>, 52.2 (2024), 133–134</w:t>
      </w:r>
    </w:p>
    <w:p>
      <w:pPr>
        <w:pStyle w:val="para8"/>
      </w:pPr>
      <w:r>
        <w:t xml:space="preserve">Eagleton, </w:t>
      </w:r>
      <w:r>
        <w:rPr>
          <w:i/>
          <w:iCs/>
        </w:rPr>
        <w:t>Terry, The Idea of Culture</w:t>
      </w:r>
      <w:r>
        <w:t>, (Oxford, Blackwell Publishers Ltd, 2000).</w:t>
      </w:r>
    </w:p>
    <w:p>
      <w:pPr>
        <w:pStyle w:val="para8"/>
      </w:pPr>
      <w:r>
        <w:t xml:space="preserve">Grier, Scott and Alex R Manara, ‘Admission to Bed 13 in the ICU Does Not Reduce the Chance of Survival’, </w:t>
      </w:r>
      <w:r>
        <w:rPr>
          <w:i/>
          <w:iCs/>
        </w:rPr>
        <w:t>Journal of Critical Care</w:t>
      </w:r>
      <w:r>
        <w:t>, 48 (2018), 39–41.</w:t>
      </w:r>
    </w:p>
    <w:p>
      <w:pPr>
        <w:pStyle w:val="para8"/>
      </w:pPr>
      <w:r>
        <w:t xml:space="preserve">Griffith, Christina,  ‘Halley’s Comet: A Frequent Guest in Earth’s Cosmic Backyard’, </w:t>
      </w:r>
      <w:r>
        <w:rPr>
          <w:i/>
          <w:iCs/>
        </w:rPr>
        <w:t>Expedition</w:t>
      </w:r>
      <w:r>
        <w:t>, 61.1, (2019), 22-27.</w:t>
      </w:r>
    </w:p>
    <w:p>
      <w:pPr>
        <w:pStyle w:val="para8"/>
      </w:pPr>
      <w:r>
        <w:t xml:space="preserve">Harrison, Thomas, </w:t>
      </w:r>
      <w:r>
        <w:rPr>
          <w:i/>
          <w:iCs/>
        </w:rPr>
        <w:t>1910 : The Emancipation of Dissonance</w:t>
      </w:r>
      <w:r>
        <w:t>. (California, University of California Press, 1996).</w:t>
      </w:r>
    </w:p>
    <w:p>
      <w:pPr>
        <w:pStyle w:val="para8"/>
      </w:pPr>
      <w:r>
        <w:t xml:space="preserve">Herrero-Senés, Juan, ‘Collective Anxieties, Reader Manipulation and the 1910 Passage of Halley’s Comet in Ramón María Tenreiro’s La Agonía de Madrid’, </w:t>
      </w:r>
      <w:r>
        <w:rPr>
          <w:i/>
          <w:iCs/>
        </w:rPr>
        <w:t>Romance Notes</w:t>
      </w:r>
      <w:r>
        <w:t>, 60.2 (2020), 231–42.</w:t>
      </w:r>
    </w:p>
    <w:p>
      <w:pPr>
        <w:pStyle w:val="para8"/>
      </w:pPr>
      <w:r>
        <w:t xml:space="preserve">Kragh, Helge, S. </w:t>
      </w:r>
      <w:r>
        <w:rPr>
          <w:i/>
          <w:iCs/>
        </w:rPr>
        <w:t>Conceptions of Cosmos: From Myths to the Accelerating Universe: A History of Cosmology,</w:t>
      </w:r>
      <w:r>
        <w:t xml:space="preserve"> online ed. (Oxford, Oxford Academic, 2010).</w:t>
      </w:r>
    </w:p>
    <w:p>
      <w:pPr>
        <w:pStyle w:val="para8"/>
      </w:pPr>
      <w:r>
        <w:t xml:space="preserve">Latour, Bruno, </w:t>
      </w:r>
      <w:r>
        <w:rPr>
          <w:i/>
          <w:iCs/>
        </w:rPr>
        <w:t>We Have Never Been Modern</w:t>
      </w:r>
      <w:r>
        <w:t>, trans. by Catherine Porter, 1</w:t>
      </w:r>
      <w:r>
        <w:rPr>
          <w:vertAlign w:val="superscript"/>
        </w:rPr>
        <w:t>st</w:t>
      </w:r>
      <w:r>
        <w:t xml:space="preserve"> ed. (Cambridge, Harvard University Press, 1993).</w:t>
      </w:r>
    </w:p>
    <w:p>
      <w:pPr>
        <w:pStyle w:val="para8"/>
        <w:rPr>
          <w:i/>
          <w:iCs/>
        </w:rPr>
      </w:pPr>
      <w:r>
        <w:t xml:space="preserve">Me´ndez, Abel and A´ngel Acosta-Colo, ‘The Fear of Halley’s Comet Visit in 1910 is Preserved in a Cave in Southern Puerto Rico’, </w:t>
      </w:r>
      <w:r>
        <w:rPr>
          <w:i/>
          <w:iCs/>
        </w:rPr>
        <w:t>PrePrint 2024.</w:t>
      </w:r>
    </w:p>
    <w:p>
      <w:pPr>
        <w:pStyle w:val="para8"/>
      </w:pPr>
      <w:r>
        <w:t xml:space="preserve">NASA, </w:t>
      </w:r>
      <w:r>
        <w:rPr>
          <w:i/>
          <w:iCs/>
        </w:rPr>
        <w:t>955 Years Ago: Halley’s Comet and the Battle of Hastings</w:t>
      </w:r>
      <w:r>
        <w:t>, &lt;https://www.nasa.gov/history/955-years-ago-halleys-comet-and-the-battle-of-hastings/&gt;.</w:t>
      </w:r>
    </w:p>
    <w:p>
      <w:pPr>
        <w:pStyle w:val="para8"/>
      </w:pPr>
      <w:r>
        <w:t xml:space="preserve">Ol'khovatov, Andrei, ‘New data on accounts of the 1908 Tunguska event’, </w:t>
      </w:r>
      <w:r>
        <w:rPr>
          <w:i/>
          <w:iCs/>
        </w:rPr>
        <w:t>Terra Nova (Oxford, England), 32.3</w:t>
      </w:r>
      <w:r>
        <w:t xml:space="preserve"> (2020)</w:t>
      </w:r>
    </w:p>
    <w:p>
      <w:pPr>
        <w:pStyle w:val="para8"/>
      </w:pPr>
      <w:r>
        <w:t xml:space="preserve">Royal Museums Greenwich, </w:t>
      </w:r>
      <w:r>
        <w:rPr>
          <w:i/>
          <w:iCs/>
        </w:rPr>
        <w:t>The Tunguska Event,</w:t>
      </w:r>
      <w:r>
        <w:t xml:space="preserve"> &lt;https://www.rmg.co.uk/stories/blog/tunguska-event&gt;.</w:t>
      </w:r>
    </w:p>
    <w:p>
      <w:pPr>
        <w:pStyle w:val="para8"/>
      </w:pPr>
      <w:r>
        <w:t xml:space="preserve">Schacter, Daniel, L. Daniel T. Gilbert, Daniel M. Wegner, Bruce Hood, </w:t>
      </w:r>
      <w:r>
        <w:rPr>
          <w:i/>
          <w:iCs/>
        </w:rPr>
        <w:t>Psychology</w:t>
      </w:r>
      <w:r>
        <w:t>, (London, Worth Publishers, 2019).</w:t>
      </w:r>
    </w:p>
    <w:p>
      <w:pPr>
        <w:pStyle w:val="para8"/>
      </w:pPr>
      <w:r>
        <w:t xml:space="preserve">Science Museum, </w:t>
      </w:r>
      <w:r>
        <w:rPr>
          <w:i/>
          <w:iCs/>
        </w:rPr>
        <w:t>Halley's Comet: Collisions with history</w:t>
      </w:r>
      <w:r>
        <w:t>, &lt;https://www.sciencemuseum.org.uk/objects-and-stories/halleys-comet-collisions-history&gt;.</w:t>
      </w:r>
    </w:p>
    <w:p>
      <w:pPr>
        <w:pStyle w:val="para8"/>
      </w:pPr>
      <w:r>
        <w:t xml:space="preserve">Shiroma Wilson, Victoria, </w:t>
      </w:r>
      <w:r>
        <w:rPr>
          <w:i/>
          <w:iCs/>
        </w:rPr>
        <w:t>Cultural Conditioning: How the World Shapes Our Beliefs and Behavior</w:t>
      </w:r>
      <w:r>
        <w:t>, &lt;https://www.exceptionalfutures.com/cultural-conditioning/&gt;.</w:t>
      </w:r>
    </w:p>
    <w:p>
      <w:pPr>
        <w:pStyle w:val="para8"/>
      </w:pPr>
      <w:r>
        <w:t xml:space="preserve">Simões, Ana,  Isabel Zilhão, Maria Paula Diogo, Ana Carneiro, ‘Halley turns Republican: How the Portuguese press presented the 1910 return of Halley’s Comet’, </w:t>
      </w:r>
      <w:r>
        <w:rPr>
          <w:i/>
          <w:iCs/>
        </w:rPr>
        <w:t>History of Science</w:t>
      </w:r>
      <w:r>
        <w:t>, 51.2, (2013) 199–219.</w:t>
      </w:r>
    </w:p>
    <w:p>
      <w:pPr>
        <w:pStyle w:val="para8"/>
      </w:pPr>
      <w:r>
        <w:t xml:space="preserve">Tarnas, Richard </w:t>
      </w:r>
      <w:r>
        <w:rPr>
          <w:i/>
          <w:iCs/>
        </w:rPr>
        <w:t>, Cosmos and Psyche</w:t>
      </w:r>
      <w:r>
        <w:t>, (London, Plume, 2007).</w:t>
      </w:r>
    </w:p>
    <w:p>
      <w:pPr>
        <w:pStyle w:val="para8"/>
      </w:pPr>
      <w:r>
        <w:t xml:space="preserve">Williams, Iwan, ‘Letters: Comet Halley in 1986: Successful Science the 80s Way’, </w:t>
      </w:r>
      <w:r>
        <w:rPr>
          <w:i/>
          <w:iCs/>
        </w:rPr>
        <w:t>Astronomy &amp; Geophysics : The Journal of the Royal Astronomical Society</w:t>
      </w:r>
      <w:r>
        <w:t>, 47.2 (2006).</w:t>
      </w:r>
    </w:p>
    <w:p>
      <w:pPr>
        <w:pStyle w:val="para8"/>
      </w:pPr>
      <w:r>
        <w:t xml:space="preserve">Zuluaga, Jorge I,  Pablo A Cuartas-Restrepo, Jonathan Ospina, Mario Sucerquia, ‘Can we predict the impact conditions of metre-sized meteoroids?’, </w:t>
      </w:r>
      <w:r>
        <w:rPr>
          <w:i/>
          <w:iCs/>
        </w:rPr>
        <w:t>Monthly Notices of the Royal Astronomical Society: Letters</w:t>
      </w:r>
      <w:r>
        <w:t>, 486.1, (2019), L69–L73.</w:t>
      </w:r>
    </w:p>
    <w:sectPr>
      <w:footnotePr>
        <w:pos w:val="pageBottom"/>
        <w:numFmt w:val="decimal"/>
        <w:numStart w:val="1"/>
        <w:numRestart w:val="continuous"/>
      </w:footnotePr>
      <w:endnotePr>
        <w:pos w:val="docEnd"/>
        <w:numFmt w:val="lowerRoman"/>
        <w:numStart w:val="1"/>
        <w:numRestart w:val="continuous"/>
      </w:endnotePr>
      <w:headerReference w:type="default" r:id="rId12"/>
      <w:type w:val="continuous"/>
      <w:pgSz w:h="16839" w:w="11907"/>
      <w:pgMar w:left="1134" w:top="1134" w:right="1134" w:bottom="1134" w:header="567" w:footer="0"/>
      <w:paperSrc w:first="0" w:other="0" a="0" b="0"/>
      <w:pgNumType w:fmt="decimal"/>
      <w:tmGutter w:val="1"/>
      <w:mirrorMargins w:val="0"/>
      <w:tmSection w:h="-1">
        <w:tmHeader w:id="0" w:h="0" edge="567" text="0">
          <w:shd w:val="none"/>
        </w:tmHead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 w:name="Noto Sans">
    <w:panose1 w:val="020B0502040504020204"/>
    <w:charset w:val="00"/>
    <w:family w:val="swiss"/>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Daniel L. Schacter, Daniel T. Gilbert, Daniel M. Wegner, Bruce Hood, </w:t>
      </w:r>
      <w:r>
        <w:rPr>
          <w:i/>
          <w:iCs/>
        </w:rPr>
        <w:t>Psychology</w:t>
      </w:r>
      <w:r>
        <w:t>, (London, Worth Publishers, 2019), p. 139.</w:t>
      </w:r>
    </w:p>
  </w:footnote>
  <w:footnote w:id="8">
    <w:p>
      <w:pPr>
        <w:pStyle w:val="para5"/>
      </w:pPr>
      <w:r>
        <w:rPr>
          <w:rStyle w:val="char1"/>
        </w:rPr>
      </w:r>
      <w:r>
        <w:rPr>
          <w:rStyle w:val="char1"/>
        </w:rPr>
        <w:footnoteRef/>
      </w:r>
      <w:r>
        <w:t xml:space="preserve"> Helge S. Kragh, </w:t>
      </w:r>
      <w:r>
        <w:rPr>
          <w:i/>
          <w:iCs/>
        </w:rPr>
        <w:t>Conceptions of Cosmos: From Myths to the Accelerating Universe: A History of Cosmology,</w:t>
      </w:r>
      <w:r>
        <w:t xml:space="preserve"> online ed. (Oxford, Oxford Academic, 2010), p. 1.</w:t>
      </w:r>
    </w:p>
  </w:footnote>
  <w:footnote w:id="9">
    <w:p>
      <w:pPr>
        <w:pStyle w:val="para5"/>
      </w:pPr>
      <w:r>
        <w:rPr>
          <w:rStyle w:val="char1"/>
        </w:rPr>
      </w:r>
      <w:r>
        <w:rPr>
          <w:rStyle w:val="char1"/>
        </w:rPr>
        <w:footnoteRef/>
      </w:r>
      <w:r>
        <w:t xml:space="preserve"> Bernadette Brady, </w:t>
      </w:r>
      <w:r>
        <w:rPr>
          <w:i/>
          <w:iCs/>
        </w:rPr>
        <w:t>Comos, Chaosmos and Astrology</w:t>
      </w:r>
      <w:r>
        <w:t>, (Ceredigion, Sophia Centre Press, 2014) p. 12.</w:t>
      </w:r>
    </w:p>
  </w:footnote>
  <w:footnote w:id="10">
    <w:p>
      <w:pPr>
        <w:pStyle w:val="para5"/>
      </w:pPr>
      <w:r>
        <w:rPr>
          <w:rStyle w:val="char1"/>
        </w:rPr>
      </w:r>
      <w:r>
        <w:rPr>
          <w:rStyle w:val="char1"/>
        </w:rPr>
        <w:footnoteRef/>
      </w:r>
      <w:r>
        <w:t xml:space="preserve"> Richard Tarnas, </w:t>
      </w:r>
      <w:r>
        <w:rPr>
          <w:i/>
          <w:iCs/>
        </w:rPr>
        <w:t>Cosmos and Psyche</w:t>
      </w:r>
      <w:r>
        <w:t>, (London, Plume, 2007) p. 109.</w:t>
      </w:r>
    </w:p>
  </w:footnote>
  <w:footnote w:id="11">
    <w:p>
      <w:pPr>
        <w:pStyle w:val="para5"/>
      </w:pPr>
      <w:r>
        <w:rPr>
          <w:rStyle w:val="char1"/>
        </w:rPr>
      </w:r>
      <w:r>
        <w:rPr>
          <w:rStyle w:val="char1"/>
        </w:rPr>
        <w:footnoteRef/>
      </w:r>
      <w:r>
        <w:t xml:space="preserve"> Edward Burnett Tylor, </w:t>
      </w:r>
      <w:r>
        <w:rPr>
          <w:i/>
          <w:iCs/>
        </w:rPr>
        <w:t>Primitive Cultures: Researches into the development, mythology, philosophy, religion, language, art and custom</w:t>
      </w:r>
      <w:r>
        <w:t>,  Vol. 1, 4</w:t>
      </w:r>
      <w:r>
        <w:rPr>
          <w:vertAlign w:val="superscript"/>
        </w:rPr>
        <w:t>th</w:t>
      </w:r>
      <w:r>
        <w:t xml:space="preserve"> ed. (London, John Murray,  1920)  p. 1.</w:t>
      </w:r>
    </w:p>
  </w:footnote>
  <w:footnote w:id="12">
    <w:p>
      <w:pPr>
        <w:pStyle w:val="para5"/>
      </w:pPr>
      <w:r>
        <w:rPr>
          <w:rStyle w:val="char1"/>
        </w:rPr>
      </w:r>
      <w:r>
        <w:rPr>
          <w:rStyle w:val="char1"/>
        </w:rPr>
        <w:footnoteRef/>
      </w:r>
      <w:r>
        <w:t xml:space="preserve"> Terry Eagleton, </w:t>
      </w:r>
      <w:r>
        <w:rPr>
          <w:i/>
          <w:iCs/>
        </w:rPr>
        <w:t>The Idea of Culture</w:t>
      </w:r>
      <w:r>
        <w:t>, (Oxford, Blackwell Publishers Ltd, 2000), p. 131.</w:t>
      </w:r>
    </w:p>
  </w:footnote>
  <w:footnote w:id="13">
    <w:p>
      <w:pPr>
        <w:pStyle w:val="para5"/>
      </w:pPr>
      <w:r>
        <w:rPr>
          <w:rStyle w:val="char1"/>
        </w:rPr>
      </w:r>
      <w:r>
        <w:rPr>
          <w:rStyle w:val="char1"/>
        </w:rPr>
        <w:footnoteRef/>
      </w:r>
      <w:r>
        <w:t xml:space="preserve"> Victoria Shiroma Wilson, </w:t>
      </w:r>
      <w:r>
        <w:rPr>
          <w:i/>
          <w:iCs/>
        </w:rPr>
        <w:t>Cultural Conditioning: How the World Shapes Our Beliefs and Behavior</w:t>
      </w:r>
      <w:r>
        <w:t>, &lt;https://www.exceptionalfutures.com/cultural-conditioning/&gt; [accessed 9</w:t>
      </w:r>
      <w:r>
        <w:rPr>
          <w:vertAlign w:val="superscript"/>
        </w:rPr>
        <w:t>th</w:t>
      </w:r>
      <w:r>
        <w:t xml:space="preserve"> December 2024].</w:t>
      </w:r>
    </w:p>
  </w:footnote>
  <w:footnote w:id="14">
    <w:p>
      <w:pPr>
        <w:pStyle w:val="para5"/>
      </w:pPr>
      <w:r>
        <w:rPr>
          <w:rStyle w:val="char1"/>
        </w:rPr>
      </w:r>
      <w:r>
        <w:rPr>
          <w:rStyle w:val="char1"/>
        </w:rPr>
        <w:footnoteRef/>
      </w:r>
      <w:r>
        <w:t xml:space="preserve"> Aimee Dunlap, ‘Learning in the honey bee waggle dance’. </w:t>
      </w:r>
      <w:r>
        <w:rPr>
          <w:i/>
          <w:iCs/>
        </w:rPr>
        <w:t>Learning and Behaviour</w:t>
      </w:r>
      <w:r>
        <w:t>, 52.2 (2024), 133–134 (p. 133), &lt;DOI: 10.3758/s13420-023-00590-4&gt;.</w:t>
      </w:r>
    </w:p>
  </w:footnote>
  <w:footnote w:id="15">
    <w:p>
      <w:pPr>
        <w:pStyle w:val="para5"/>
      </w:pPr>
      <w:r>
        <w:rPr>
          <w:rStyle w:val="char1"/>
        </w:rPr>
      </w:r>
      <w:r>
        <w:rPr>
          <w:rStyle w:val="char1"/>
        </w:rPr>
        <w:footnoteRef/>
      </w:r>
      <w:r>
        <w:t xml:space="preserve"> Nicholas Campion, </w:t>
      </w:r>
      <w:r>
        <w:rPr>
          <w:i/>
          <w:iCs/>
        </w:rPr>
        <w:t>A History of Western Astrology Volume 1,</w:t>
      </w:r>
      <w:r>
        <w:t xml:space="preserve"> (2013, London and New York, Bloomsbury Academic) p. 1.</w:t>
      </w:r>
    </w:p>
  </w:footnote>
  <w:footnote w:id="16">
    <w:p>
      <w:pPr>
        <w:pStyle w:val="para5"/>
      </w:pPr>
      <w:r>
        <w:rPr>
          <w:rStyle w:val="char1"/>
        </w:rPr>
      </w:r>
      <w:r>
        <w:rPr>
          <w:rStyle w:val="char1"/>
        </w:rPr>
        <w:footnoteRef/>
      </w:r>
      <w:r>
        <w:t xml:space="preserve"> Noel Cobb, The Soul of the Sky, in </w:t>
      </w:r>
      <w:r>
        <w:rPr>
          <w:i/>
          <w:iCs/>
        </w:rPr>
        <w:t>Sky and Psyche: The Relationship Between Cosmos and Consciousness</w:t>
      </w:r>
      <w:r>
        <w:t>, ed. By Nicholas Campion and Patrick Curry (Edinburgh, Floris Books, 2018), p. 109.</w:t>
      </w:r>
    </w:p>
  </w:footnote>
  <w:footnote w:id="17">
    <w:p>
      <w:pPr>
        <w:pStyle w:val="para5"/>
      </w:pPr>
      <w:r>
        <w:rPr>
          <w:rStyle w:val="char1"/>
        </w:rPr>
      </w:r>
      <w:r>
        <w:rPr>
          <w:rStyle w:val="char1"/>
        </w:rPr>
        <w:footnoteRef/>
      </w:r>
      <w:r>
        <w:t xml:space="preserve"> </w:t>
      </w:r>
      <w:r>
        <w:t>Plato, Timaeus Critias ; Cleitophon ; Menexenus ; Epistles, trans. by Robert Gregg Bury (Cambridge, MA: Harvard University Press, 1929) 28 B-C.</w:t>
      </w:r>
    </w:p>
  </w:footnote>
  <w:footnote w:id="18">
    <w:p>
      <w:pPr>
        <w:pStyle w:val="para5"/>
      </w:pPr>
      <w:r>
        <w:rPr>
          <w:rStyle w:val="char1"/>
        </w:rPr>
      </w:r>
      <w:r>
        <w:rPr>
          <w:rStyle w:val="char1"/>
        </w:rPr>
        <w:footnoteRef/>
      </w:r>
      <w:r>
        <w:t xml:space="preserve"> Bruno Latour, </w:t>
      </w:r>
      <w:r>
        <w:rPr>
          <w:i/>
          <w:iCs/>
        </w:rPr>
        <w:t>We Have Never Been Modern</w:t>
      </w:r>
      <w:r>
        <w:t>, trans. by Catherine Porter, 1</w:t>
      </w:r>
      <w:r>
        <w:rPr>
          <w:vertAlign w:val="superscript"/>
        </w:rPr>
        <w:t>st</w:t>
      </w:r>
      <w:r>
        <w:t xml:space="preserve"> ed. (Cambridge, Harvard University Press, 1993) p. 107.</w:t>
      </w:r>
    </w:p>
  </w:footnote>
  <w:footnote w:id="19">
    <w:p>
      <w:pPr>
        <w:pStyle w:val="para5"/>
      </w:pPr>
      <w:r>
        <w:rPr>
          <w:rStyle w:val="char1"/>
        </w:rPr>
      </w:r>
      <w:r>
        <w:rPr>
          <w:rStyle w:val="char1"/>
        </w:rPr>
        <w:footnoteRef/>
      </w:r>
      <w:r>
        <w:t xml:space="preserve"> Tarnas, </w:t>
      </w:r>
      <w:r>
        <w:rPr>
          <w:i/>
          <w:iCs/>
        </w:rPr>
        <w:t>Cosmos and Psyche</w:t>
      </w:r>
      <w:r>
        <w:t>, p. 28.</w:t>
      </w:r>
    </w:p>
  </w:footnote>
  <w:footnote w:id="20">
    <w:p>
      <w:pPr>
        <w:pStyle w:val="para5"/>
      </w:pPr>
      <w:r>
        <w:rPr>
          <w:rStyle w:val="char1"/>
        </w:rPr>
      </w:r>
      <w:r>
        <w:rPr>
          <w:rStyle w:val="char1"/>
        </w:rPr>
        <w:footnoteRef/>
      </w:r>
      <w:r>
        <w:t xml:space="preserve"> Martin Rees, </w:t>
      </w:r>
      <w:r>
        <w:rPr>
          <w:i/>
          <w:iCs/>
        </w:rPr>
        <w:t>On the Future, Prospects for Humanity,</w:t>
      </w:r>
      <w:r>
        <w:t xml:space="preserve"> (Princeton, Princeton University Press, 2018), P. 214.</w:t>
      </w:r>
    </w:p>
  </w:footnote>
  <w:footnote w:id="21">
    <w:p>
      <w:pPr>
        <w:pStyle w:val="para5"/>
      </w:pPr>
      <w:r>
        <w:rPr>
          <w:rStyle w:val="char1"/>
        </w:rPr>
      </w:r>
      <w:r>
        <w:rPr>
          <w:rStyle w:val="char1"/>
        </w:rPr>
        <w:footnoteRef/>
      </w:r>
      <w:r>
        <w:t xml:space="preserve"> Rees, </w:t>
      </w:r>
      <w:r>
        <w:rPr>
          <w:i/>
          <w:iCs/>
        </w:rPr>
        <w:t>On the Future</w:t>
      </w:r>
      <w:r>
        <w:t>, P. 214.</w:t>
      </w:r>
    </w:p>
  </w:footnote>
  <w:footnote w:id="22">
    <w:p>
      <w:pPr>
        <w:pStyle w:val="para5"/>
      </w:pPr>
      <w:r>
        <w:rPr>
          <w:rStyle w:val="char1"/>
        </w:rPr>
      </w:r>
      <w:r>
        <w:rPr>
          <w:rStyle w:val="char1"/>
        </w:rPr>
        <w:footnoteRef/>
      </w:r>
      <w:r>
        <w:t xml:space="preserve"> James Lovelock, </w:t>
      </w:r>
      <w:r>
        <w:rPr>
          <w:i/>
          <w:iCs/>
        </w:rPr>
        <w:t>Novacene: The Coming Age Of Hyperintelligence</w:t>
      </w:r>
      <w:r>
        <w:t>, (London, Penguin Random House, 2019), p. 3.</w:t>
      </w:r>
    </w:p>
  </w:footnote>
  <w:footnote w:id="23">
    <w:p>
      <w:pPr>
        <w:pStyle w:val="para5"/>
      </w:pPr>
      <w:r>
        <w:rPr>
          <w:rStyle w:val="char1"/>
        </w:rPr>
      </w:r>
      <w:r>
        <w:rPr>
          <w:rStyle w:val="char1"/>
        </w:rPr>
        <w:footnoteRef/>
      </w:r>
      <w:r>
        <w:t xml:space="preserve"> Lovelock, </w:t>
      </w:r>
      <w:r>
        <w:rPr>
          <w:i/>
          <w:iCs/>
        </w:rPr>
        <w:t>Novacene</w:t>
      </w:r>
      <w:r>
        <w:t>, p.  27.</w:t>
      </w:r>
    </w:p>
  </w:footnote>
  <w:footnote w:id="24">
    <w:p>
      <w:pPr>
        <w:pStyle w:val="para5"/>
      </w:pPr>
      <w:r>
        <w:rPr>
          <w:rStyle w:val="char1"/>
        </w:rPr>
      </w:r>
      <w:r>
        <w:rPr>
          <w:rStyle w:val="char1"/>
        </w:rPr>
        <w:footnoteRef/>
      </w:r>
      <w:r>
        <w:t xml:space="preserve"> Teije de Jong, ‘A study of Babylonian planetary theory III. The planet Mercury’. </w:t>
      </w:r>
      <w:r>
        <w:rPr>
          <w:i/>
          <w:iCs/>
        </w:rPr>
        <w:t>Archive for History of Exact Sciences</w:t>
      </w:r>
      <w:r>
        <w:t>, 75.5, (2021) 491–522 (p. 491), &lt;DOI:10.1007/s00407-020-00269-6&gt;.</w:t>
      </w:r>
    </w:p>
  </w:footnote>
  <w:footnote w:id="25">
    <w:p>
      <w:pPr>
        <w:pStyle w:val="para5"/>
      </w:pPr>
      <w:r>
        <w:rPr>
          <w:rStyle w:val="char1"/>
        </w:rPr>
      </w:r>
      <w:r>
        <w:rPr>
          <w:rStyle w:val="char1"/>
        </w:rPr>
        <w:footnoteRef/>
      </w:r>
      <w:r>
        <w:t xml:space="preserve"> Jorge I Zuluaga, Pablo A Cuartas-Restrepo, Jonathan Ospina, Mario Sucerquia, ‘Can we predict the impact conditions of metre-sized meteoroids?’, </w:t>
      </w:r>
      <w:r>
        <w:rPr>
          <w:i/>
          <w:iCs/>
        </w:rPr>
        <w:t>Monthly Notices of the Royal Astronomical Society: Letters</w:t>
      </w:r>
      <w:r>
        <w:t>, 486.1, (2019), L69–L73, (p. L69), &lt;DOI:10.1093/mnrasl/slz060&gt;.</w:t>
      </w:r>
    </w:p>
  </w:footnote>
  <w:footnote w:id="26">
    <w:p>
      <w:pPr>
        <w:pStyle w:val="para5"/>
      </w:pPr>
      <w:r>
        <w:rPr>
          <w:rStyle w:val="char1"/>
        </w:rPr>
      </w:r>
      <w:r>
        <w:rPr>
          <w:rStyle w:val="char1"/>
        </w:rPr>
        <w:footnoteRef/>
      </w:r>
      <w:r>
        <w:t xml:space="preserve"> NASA, </w:t>
      </w:r>
      <w:r>
        <w:rPr>
          <w:i/>
          <w:iCs/>
        </w:rPr>
        <w:t>Comet Facts</w:t>
      </w:r>
      <w:r>
        <w:t>, &lt;https://science.nasa.gov/solar-system/comets/facts/&gt;, [accessed 10</w:t>
      </w:r>
      <w:r>
        <w:rPr>
          <w:vertAlign w:val="superscript"/>
        </w:rPr>
        <w:t>th</w:t>
      </w:r>
      <w:r>
        <w:t xml:space="preserve"> December 2024].</w:t>
      </w:r>
    </w:p>
  </w:footnote>
  <w:footnote w:id="27">
    <w:p>
      <w:pPr>
        <w:pStyle w:val="para5"/>
      </w:pPr>
      <w:r>
        <w:rPr>
          <w:rStyle w:val="char1"/>
        </w:rPr>
      </w:r>
      <w:r>
        <w:rPr>
          <w:rStyle w:val="char1"/>
        </w:rPr>
        <w:footnoteRef/>
      </w:r>
      <w:r>
        <w:t xml:space="preserve"> NASA, Asteroids, &lt;https://science.nasa.gov/solar-system/asteroids/&gt;, [accessed 10</w:t>
      </w:r>
      <w:r>
        <w:rPr>
          <w:vertAlign w:val="superscript"/>
        </w:rPr>
        <w:t>th</w:t>
      </w:r>
      <w:r>
        <w:t xml:space="preserve"> December 2024].</w:t>
      </w:r>
    </w:p>
  </w:footnote>
  <w:footnote w:id="28">
    <w:p>
      <w:pPr>
        <w:pStyle w:val="para5"/>
      </w:pPr>
      <w:r>
        <w:rPr>
          <w:rStyle w:val="char1"/>
        </w:rPr>
      </w:r>
      <w:r>
        <w:rPr>
          <w:rStyle w:val="char1"/>
        </w:rPr>
        <w:footnoteRef/>
      </w:r>
      <w:r>
        <w:t xml:space="preserve"> NASA, </w:t>
      </w:r>
      <w:r>
        <w:rPr>
          <w:i/>
          <w:iCs/>
        </w:rPr>
        <w:t>Meteors and Meteorites</w:t>
      </w:r>
      <w:r>
        <w:t>, &lt;https://science.nasa.gov/solar-system/meteors-meteorites/&gt;, [accessed 10</w:t>
      </w:r>
      <w:r>
        <w:rPr>
          <w:vertAlign w:val="superscript"/>
        </w:rPr>
        <w:t>th</w:t>
      </w:r>
      <w:r>
        <w:t xml:space="preserve"> December 2024].</w:t>
      </w:r>
    </w:p>
  </w:footnote>
  <w:footnote w:id="29">
    <w:p>
      <w:pPr>
        <w:pStyle w:val="para5"/>
      </w:pPr>
      <w:r>
        <w:rPr>
          <w:rStyle w:val="char1"/>
        </w:rPr>
      </w:r>
      <w:r>
        <w:rPr>
          <w:rStyle w:val="char1"/>
        </w:rPr>
        <w:footnoteRef/>
      </w:r>
      <w:r>
        <w:t xml:space="preserve"> Campion, </w:t>
      </w:r>
      <w:r>
        <w:rPr>
          <w:i/>
          <w:iCs/>
        </w:rPr>
        <w:t>Western Astrology</w:t>
      </w:r>
      <w:r>
        <w:t>, p. 70.</w:t>
      </w:r>
    </w:p>
  </w:footnote>
  <w:footnote w:id="30">
    <w:p>
      <w:pPr>
        <w:pStyle w:val="para5"/>
      </w:pPr>
      <w:r>
        <w:rPr>
          <w:rStyle w:val="char1"/>
        </w:rPr>
      </w:r>
      <w:r>
        <w:rPr>
          <w:rStyle w:val="char1"/>
        </w:rPr>
        <w:footnoteRef/>
      </w:r>
      <w:r>
        <w:t xml:space="preserve"> Campion, </w:t>
      </w:r>
      <w:r>
        <w:rPr>
          <w:i/>
          <w:iCs/>
        </w:rPr>
        <w:t>Western Astrology</w:t>
      </w:r>
      <w:r>
        <w:t>, p. 238.</w:t>
      </w:r>
    </w:p>
  </w:footnote>
  <w:footnote w:id="31">
    <w:p>
      <w:pPr>
        <w:pStyle w:val="para5"/>
      </w:pPr>
      <w:r>
        <w:rPr>
          <w:rStyle w:val="char1"/>
        </w:rPr>
      </w:r>
      <w:r>
        <w:rPr>
          <w:rStyle w:val="char1"/>
        </w:rPr>
        <w:footnoteRef/>
      </w:r>
      <w:r>
        <w:t xml:space="preserve"> Campion, </w:t>
      </w:r>
      <w:r>
        <w:rPr>
          <w:i/>
          <w:iCs/>
        </w:rPr>
        <w:t>Western Astrology</w:t>
      </w:r>
      <w:r>
        <w:t>, p. 239.</w:t>
      </w:r>
    </w:p>
  </w:footnote>
  <w:footnote w:id="32">
    <w:p>
      <w:pPr>
        <w:pStyle w:val="para5"/>
      </w:pPr>
      <w:r>
        <w:rPr>
          <w:rStyle w:val="char1"/>
        </w:rPr>
      </w:r>
      <w:r>
        <w:rPr>
          <w:rStyle w:val="char1"/>
        </w:rPr>
        <w:footnoteRef/>
      </w:r>
      <w:r>
        <w:t xml:space="preserve"> Campion, </w:t>
      </w:r>
      <w:r>
        <w:rPr>
          <w:i/>
          <w:iCs/>
        </w:rPr>
        <w:t>Western Astrology</w:t>
      </w:r>
      <w:r>
        <w:t>, p. 254.</w:t>
      </w:r>
    </w:p>
  </w:footnote>
  <w:footnote w:id="33">
    <w:p>
      <w:pPr>
        <w:pStyle w:val="para5"/>
      </w:pPr>
      <w:r>
        <w:rPr>
          <w:rStyle w:val="char1"/>
        </w:rPr>
      </w:r>
      <w:r>
        <w:rPr>
          <w:rStyle w:val="char1"/>
        </w:rPr>
        <w:footnoteRef/>
      </w:r>
      <w:r>
        <w:t xml:space="preserve"> Nicholas Campion, </w:t>
      </w:r>
      <w:r>
        <w:rPr>
          <w:i/>
          <w:iCs/>
        </w:rPr>
        <w:t>A History of Western Astrology Volume II,</w:t>
      </w:r>
      <w:r>
        <w:t xml:space="preserve"> (London and New York, 2013, Bloomsbury Academic) p. 17</w:t>
      </w:r>
    </w:p>
  </w:footnote>
  <w:footnote w:id="34">
    <w:p>
      <w:pPr>
        <w:pStyle w:val="para5"/>
      </w:pPr>
      <w:r>
        <w:rPr>
          <w:rStyle w:val="char1"/>
        </w:rPr>
      </w:r>
      <w:r>
        <w:rPr>
          <w:rStyle w:val="char1"/>
        </w:rPr>
        <w:footnoteRef/>
      </w:r>
      <w:r>
        <w:t xml:space="preserve"> Campion, </w:t>
      </w:r>
      <w:r>
        <w:rPr>
          <w:i/>
          <w:iCs/>
        </w:rPr>
        <w:t>Western Astrology</w:t>
      </w:r>
      <w:r>
        <w:t>, Vol. 2, p. 18.</w:t>
      </w:r>
    </w:p>
  </w:footnote>
  <w:footnote w:id="35">
    <w:p>
      <w:pPr>
        <w:pStyle w:val="para5"/>
      </w:pPr>
      <w:r>
        <w:rPr>
          <w:rStyle w:val="char1"/>
        </w:rPr>
      </w:r>
      <w:r>
        <w:rPr>
          <w:rStyle w:val="char1"/>
        </w:rPr>
        <w:footnoteRef/>
      </w:r>
      <w:r>
        <w:t xml:space="preserve"> Bayeux Museums, </w:t>
      </w:r>
      <w:r>
        <w:rPr>
          <w:i/>
          <w:iCs/>
        </w:rPr>
        <w:t>From Odo’s Cathedral to the Louvre</w:t>
      </w:r>
      <w:r>
        <w:t>, &lt;https://www.bayeuxmuseum.com/en/the-bayeux-tapestry/over-the-centuries/from-the-cathedral-to-the-louvre/&gt; [accessed 2</w:t>
      </w:r>
      <w:r>
        <w:rPr>
          <w:vertAlign w:val="superscript"/>
        </w:rPr>
        <w:t>nd</w:t>
      </w:r>
      <w:r>
        <w:t xml:space="preserve"> January 2025].</w:t>
      </w:r>
    </w:p>
  </w:footnote>
  <w:footnote w:id="36">
    <w:p>
      <w:pPr>
        <w:pStyle w:val="para5"/>
      </w:pPr>
      <w:r>
        <w:rPr>
          <w:rStyle w:val="char1"/>
        </w:rPr>
      </w:r>
      <w:r>
        <w:rPr>
          <w:rStyle w:val="char1"/>
        </w:rPr>
        <w:footnoteRef/>
      </w:r>
      <w:r>
        <w:t xml:space="preserve"> NASA, </w:t>
      </w:r>
      <w:r>
        <w:rPr>
          <w:i/>
          <w:iCs/>
        </w:rPr>
        <w:t>955 Years Ago: Halley’s Comet and the Battle of Hastings</w:t>
      </w:r>
      <w:r>
        <w:t>, &lt;https://www.nasa.gov/history/955-years-ago-halleys-comet-and-the-battle-of-hastings/&gt; [accessed 6</w:t>
      </w:r>
      <w:r>
        <w:rPr>
          <w:vertAlign w:val="superscript"/>
        </w:rPr>
        <w:t>th</w:t>
      </w:r>
      <w:r>
        <w:t xml:space="preserve"> December 2024].</w:t>
      </w:r>
    </w:p>
  </w:footnote>
  <w:footnote w:id="37">
    <w:p>
      <w:pPr>
        <w:pStyle w:val="para5"/>
      </w:pPr>
      <w:r>
        <w:rPr>
          <w:rStyle w:val="char1"/>
        </w:rPr>
      </w:r>
      <w:r>
        <w:rPr>
          <w:rStyle w:val="char1"/>
        </w:rPr>
        <w:footnoteRef/>
      </w:r>
      <w:r>
        <w:t xml:space="preserve"> Christina Griffith, ‘Halley’s Comet: A Frequent Guest in Earth’s Cosmic Backyard’, </w:t>
      </w:r>
      <w:r>
        <w:rPr>
          <w:i/>
          <w:iCs/>
        </w:rPr>
        <w:t>Expedition</w:t>
      </w:r>
      <w:r>
        <w:t>, 61.1, (2019), 22-27, (p.  23), &lt;</w:t>
      </w:r>
      <w:r>
        <w:rPr>
          <w:rFonts w:ascii="Noto Sans" w:hAnsi="Noto Sans"/>
          <w:color w:val="000000"/>
          <w:sz w:val="18"/>
          <w:szCs w:val="22"/>
        </w:rPr>
        <w:t>https://research-ebsco-com.ezproxy.uwtsd.ac.uk/linkprocessor/plink?id=739e3cbf-1cf2-3a53-bf46-7c6c21485865</w:t>
      </w:r>
      <w:r>
        <w:t>&gt;.</w:t>
      </w:r>
    </w:p>
  </w:footnote>
  <w:footnote w:id="38">
    <w:p>
      <w:pPr>
        <w:pStyle w:val="para5"/>
      </w:pPr>
      <w:r>
        <w:rPr>
          <w:rStyle w:val="char1"/>
        </w:rPr>
      </w:r>
      <w:r>
        <w:rPr>
          <w:rStyle w:val="char1"/>
        </w:rPr>
        <w:footnoteRef/>
      </w:r>
      <w:r>
        <w:t xml:space="preserve"> Science Museum, </w:t>
      </w:r>
      <w:r>
        <w:rPr>
          <w:i/>
          <w:iCs/>
        </w:rPr>
        <w:t>Halley's Comet: Collisions with history</w:t>
      </w:r>
      <w:r>
        <w:t>, &lt;https://www.sciencemuseum.org.uk/objects-and-stories/halleys-comet-collisions-history&gt;, [accessed 10</w:t>
      </w:r>
      <w:r>
        <w:rPr>
          <w:vertAlign w:val="superscript"/>
        </w:rPr>
        <w:t>th</w:t>
      </w:r>
      <w:r>
        <w:t xml:space="preserve"> December 2024].</w:t>
      </w:r>
    </w:p>
  </w:footnote>
  <w:footnote w:id="39">
    <w:p>
      <w:pPr>
        <w:pStyle w:val="para5"/>
      </w:pPr>
      <w:r>
        <w:rPr>
          <w:rStyle w:val="char1"/>
        </w:rPr>
      </w:r>
      <w:r>
        <w:rPr>
          <w:rStyle w:val="char1"/>
        </w:rPr>
        <w:footnoteRef/>
      </w:r>
      <w:r>
        <w:t xml:space="preserve"> Science Museum, </w:t>
      </w:r>
      <w:r>
        <w:rPr>
          <w:i/>
          <w:iCs/>
        </w:rPr>
        <w:t>Halley’s Comet</w:t>
      </w:r>
      <w:r>
        <w:t>.</w:t>
      </w:r>
    </w:p>
  </w:footnote>
  <w:footnote w:id="40">
    <w:p>
      <w:pPr>
        <w:pStyle w:val="para5"/>
      </w:pPr>
      <w:r>
        <w:rPr>
          <w:rStyle w:val="char1"/>
        </w:rPr>
      </w:r>
      <w:r>
        <w:rPr>
          <w:rStyle w:val="char1"/>
        </w:rPr>
        <w:footnoteRef/>
      </w:r>
      <w:r>
        <w:t xml:space="preserve"> Science Museum, </w:t>
      </w:r>
      <w:r>
        <w:rPr>
          <w:i/>
          <w:iCs/>
        </w:rPr>
        <w:t>Halley’s Comet</w:t>
      </w:r>
      <w:r>
        <w:t>.</w:t>
      </w:r>
    </w:p>
  </w:footnote>
  <w:footnote w:id="41">
    <w:p>
      <w:pPr>
        <w:pStyle w:val="para5"/>
      </w:pPr>
      <w:r>
        <w:rPr>
          <w:rStyle w:val="char1"/>
        </w:rPr>
      </w:r>
      <w:r>
        <w:rPr>
          <w:rStyle w:val="char1"/>
        </w:rPr>
        <w:footnoteRef/>
      </w:r>
      <w:r>
        <w:t xml:space="preserve"> </w:t>
      </w:r>
      <w:r>
        <w:t xml:space="preserve">Thomas Harrison, </w:t>
      </w:r>
      <w:r>
        <w:rPr>
          <w:i/>
          <w:iCs/>
        </w:rPr>
        <w:t>1910 : The Emancipation of Dissonance</w:t>
      </w:r>
      <w:r>
        <w:t>. (California, University of California Press, 1996), p. 2.</w:t>
      </w:r>
      <w:r/>
    </w:p>
  </w:footnote>
  <w:footnote w:id="42">
    <w:p>
      <w:pPr>
        <w:pStyle w:val="para5"/>
      </w:pPr>
      <w:r>
        <w:rPr>
          <w:rStyle w:val="char1"/>
        </w:rPr>
      </w:r>
      <w:r>
        <w:rPr>
          <w:rStyle w:val="char1"/>
        </w:rPr>
        <w:footnoteRef/>
      </w:r>
      <w:r>
        <w:t xml:space="preserve"> Maxwell Hall, ‘Observations of Halley’s Comet in Jamaica’, </w:t>
      </w:r>
      <w:r>
        <w:rPr>
          <w:i/>
          <w:iCs/>
        </w:rPr>
        <w:t>Monthly Notices of the Royal Astronomical Society</w:t>
      </w:r>
      <w:r>
        <w:t>, 70.8, (1910), 615–617 &lt;DOI: 10.1093/mnras/70.8.615&gt;.</w:t>
      </w:r>
    </w:p>
  </w:footnote>
  <w:footnote w:id="43">
    <w:p>
      <w:pPr>
        <w:pStyle w:val="para5"/>
      </w:pPr>
      <w:r>
        <w:rPr>
          <w:rStyle w:val="char1"/>
        </w:rPr>
      </w:r>
      <w:r>
        <w:rPr>
          <w:rStyle w:val="char1"/>
        </w:rPr>
        <w:footnoteRef/>
      </w:r>
      <w:r>
        <w:t xml:space="preserve"> Melissa Wilson, </w:t>
      </w:r>
      <w:r>
        <w:rPr>
          <w:i/>
          <w:iCs/>
        </w:rPr>
        <w:t>It’s the end of the world as we know it … [Graphic] , This (Toronto)</w:t>
      </w:r>
      <w:r>
        <w:t xml:space="preserve"> (Toronto: Red Maple Foundation, 2008), xlii, 8, [accessed 6</w:t>
      </w:r>
      <w:r>
        <w:rPr>
          <w:vertAlign w:val="superscript"/>
        </w:rPr>
        <w:t>th</w:t>
      </w:r>
      <w:r>
        <w:t xml:space="preserve"> December 2024].</w:t>
      </w:r>
    </w:p>
  </w:footnote>
  <w:footnote w:id="44">
    <w:p>
      <w:pPr>
        <w:pStyle w:val="para5"/>
      </w:pPr>
      <w:r>
        <w:rPr>
          <w:rStyle w:val="char1"/>
        </w:rPr>
      </w:r>
      <w:r>
        <w:rPr>
          <w:rStyle w:val="char1"/>
        </w:rPr>
        <w:footnoteRef/>
      </w:r>
      <w:r>
        <w:t xml:space="preserve"> Ana Simões, Isabel Zilhão, Maria Paula Diogo, Ana Carneiro, ‘Halley turns Republican: How the Portuguese press presented the 1910 return of Halley’s Comet’, </w:t>
      </w:r>
      <w:r>
        <w:rPr>
          <w:i/>
          <w:iCs/>
        </w:rPr>
        <w:t>History of Science</w:t>
      </w:r>
      <w:r>
        <w:t>, 51.2, (2013) 199–219 (p. 207), &lt;DOI:10.1177/007327531305100204&gt;.</w:t>
      </w:r>
    </w:p>
  </w:footnote>
  <w:footnote w:id="45">
    <w:p>
      <w:pPr>
        <w:pStyle w:val="para5"/>
      </w:pPr>
      <w:r>
        <w:rPr>
          <w:rStyle w:val="char1"/>
        </w:rPr>
      </w:r>
      <w:r>
        <w:rPr>
          <w:rStyle w:val="char1"/>
        </w:rPr>
        <w:footnoteRef/>
      </w:r>
      <w:r>
        <w:t xml:space="preserve"> Juan Herrero-Senés, ‘Collective Anxieties, Reader Manipulation and the 1910 Passage of Halley’s Comet in Ramón María Tenreiro’s La Agonía de Madrid’, </w:t>
      </w:r>
      <w:r>
        <w:rPr>
          <w:i/>
          <w:iCs/>
        </w:rPr>
        <w:t>Romance Notes</w:t>
      </w:r>
      <w:r>
        <w:t>, 60.2 (2020), 231–42 (p. 233), &lt;DOI:10.1353/rmc.2020.0030&gt;.</w:t>
      </w:r>
    </w:p>
  </w:footnote>
  <w:footnote w:id="46">
    <w:p>
      <w:pPr>
        <w:pStyle w:val="para5"/>
      </w:pPr>
      <w:r>
        <w:rPr>
          <w:rStyle w:val="char1"/>
        </w:rPr>
      </w:r>
      <w:r>
        <w:rPr>
          <w:rStyle w:val="char1"/>
        </w:rPr>
        <w:footnoteRef/>
      </w:r>
      <w:r>
        <w:t xml:space="preserve"> Herrero-Senés, ‘Collective Anxieties’, p. 233.</w:t>
      </w:r>
    </w:p>
  </w:footnote>
  <w:footnote w:id="47">
    <w:p>
      <w:pPr>
        <w:pStyle w:val="para5"/>
      </w:pPr>
      <w:r>
        <w:rPr>
          <w:rStyle w:val="char1"/>
        </w:rPr>
      </w:r>
      <w:r>
        <w:rPr>
          <w:rStyle w:val="char1"/>
        </w:rPr>
        <w:footnoteRef/>
      </w:r>
      <w:r>
        <w:t xml:space="preserve"> Herrero-Senés, ‘Collective Anxieties’  p. 233.</w:t>
      </w:r>
    </w:p>
  </w:footnote>
  <w:footnote w:id="48">
    <w:p>
      <w:pPr>
        <w:pStyle w:val="para5"/>
      </w:pPr>
      <w:r>
        <w:rPr>
          <w:rStyle w:val="char1"/>
        </w:rPr>
      </w:r>
      <w:r>
        <w:rPr>
          <w:rStyle w:val="char1"/>
        </w:rPr>
        <w:footnoteRef/>
      </w:r>
      <w:r>
        <w:t xml:space="preserve"> Abel Me´ndez and A´ngel Acosta-Colo, ‘The Fear of Halley’s Comet Visit in 1910 is Preserved in a Cave in Southern Puerto Rico’, </w:t>
      </w:r>
      <w:r>
        <w:rPr>
          <w:i/>
          <w:iCs/>
        </w:rPr>
        <w:t>PrePrint 2024</w:t>
      </w:r>
      <w:r>
        <w:t>, (p. 2) &lt;DOI:10.48550/arxiv.2410.03259&gt;.</w:t>
      </w:r>
    </w:p>
  </w:footnote>
  <w:footnote w:id="49">
    <w:p>
      <w:pPr>
        <w:pStyle w:val="para5"/>
      </w:pPr>
      <w:r>
        <w:rPr>
          <w:rStyle w:val="char1"/>
        </w:rPr>
      </w:r>
      <w:r>
        <w:rPr>
          <w:rStyle w:val="char1"/>
        </w:rPr>
        <w:footnoteRef/>
      </w:r>
      <w:r>
        <w:t xml:space="preserve"> Me´ndez and Acosta-Colo, ‘The Fear of Halley’s Comet,’ p. 1.</w:t>
      </w:r>
    </w:p>
  </w:footnote>
  <w:footnote w:id="50">
    <w:p>
      <w:pPr>
        <w:pStyle w:val="para5"/>
      </w:pPr>
      <w:r>
        <w:rPr>
          <w:rStyle w:val="char1"/>
        </w:rPr>
      </w:r>
      <w:r>
        <w:rPr>
          <w:rStyle w:val="char1"/>
        </w:rPr>
        <w:footnoteRef/>
      </w:r>
      <w:r>
        <w:t xml:space="preserve"> Me´ndez and Acosta-Colo, ‘The Fear of Halley’s Comet, p. 6. </w:t>
      </w:r>
    </w:p>
  </w:footnote>
  <w:footnote w:id="51">
    <w:p>
      <w:pPr>
        <w:pStyle w:val="para5"/>
      </w:pPr>
      <w:r>
        <w:rPr>
          <w:rStyle w:val="char1"/>
        </w:rPr>
      </w:r>
      <w:r>
        <w:rPr>
          <w:rStyle w:val="char1"/>
        </w:rPr>
        <w:footnoteRef/>
      </w:r>
      <w:r>
        <w:t xml:space="preserve"> Scott Grier and Alex R Manara, ‘Admission to Bed 13 in the ICU Does Not Reduce the Chance of Survival’, </w:t>
      </w:r>
      <w:r>
        <w:rPr>
          <w:i/>
          <w:iCs/>
        </w:rPr>
        <w:t>Journal of Critical Care</w:t>
      </w:r>
      <w:r>
        <w:t>, 48 (2018), 39–41 (p. 41),  &lt;DOI:10.1016/j.jcrc.2018.08.016&gt;.</w:t>
      </w:r>
    </w:p>
  </w:footnote>
  <w:footnote w:id="52">
    <w:p>
      <w:pPr>
        <w:pStyle w:val="para5"/>
      </w:pPr>
      <w:r>
        <w:rPr>
          <w:rStyle w:val="char1"/>
        </w:rPr>
      </w:r>
      <w:r>
        <w:rPr>
          <w:rStyle w:val="char1"/>
        </w:rPr>
        <w:footnoteRef/>
      </w:r>
      <w:r>
        <w:t xml:space="preserve"> Iwan Williams, ‘Letters: Comet Halley in 1986: Successful Science the 80s Way’, </w:t>
      </w:r>
      <w:r>
        <w:rPr>
          <w:i/>
          <w:iCs/>
        </w:rPr>
        <w:t>Astronomy &amp; Geophysics : The Journal of the Royal Astronomical Society</w:t>
      </w:r>
      <w:r>
        <w:t>, 47.2 (2006), p. 2.07 &lt;DOI:10.1111/j.1468-4004.2006.47207.x&gt;.</w:t>
      </w:r>
    </w:p>
  </w:footnote>
  <w:footnote w:id="53">
    <w:p>
      <w:pPr>
        <w:pStyle w:val="para5"/>
      </w:pPr>
      <w:r>
        <w:rPr>
          <w:rStyle w:val="char1"/>
        </w:rPr>
      </w:r>
      <w:r>
        <w:rPr>
          <w:rStyle w:val="char1"/>
        </w:rPr>
        <w:footnoteRef/>
      </w:r>
      <w:r>
        <w:t>Williams, ‘Letters: Comet Halley’, p. 2.07.</w:t>
      </w:r>
    </w:p>
  </w:footnote>
  <w:footnote w:id="54">
    <w:p>
      <w:pPr>
        <w:pStyle w:val="para5"/>
      </w:pPr>
      <w:r>
        <w:rPr>
          <w:rStyle w:val="char1"/>
        </w:rPr>
      </w:r>
      <w:r>
        <w:rPr>
          <w:rStyle w:val="char1"/>
        </w:rPr>
        <w:footnoteRef/>
      </w:r>
      <w:r>
        <w:t xml:space="preserve"> Patrick Curry, </w:t>
      </w:r>
      <w:r>
        <w:rPr>
          <w:i/>
          <w:iCs/>
        </w:rPr>
        <w:t>Prophecy and Power: Astrology in Early Modern England</w:t>
      </w:r>
      <w:r>
        <w:t>,  2</w:t>
      </w:r>
      <w:r>
        <w:rPr>
          <w:vertAlign w:val="superscript"/>
        </w:rPr>
        <w:t>nd</w:t>
      </w:r>
      <w:r>
        <w:t xml:space="preserve"> ed. (Ceredigion, Sophia Centre Press, 2024) p. 142.</w:t>
      </w:r>
    </w:p>
  </w:footnote>
  <w:footnote w:id="55">
    <w:p>
      <w:pPr>
        <w:pStyle w:val="para5"/>
      </w:pPr>
      <w:r>
        <w:rPr>
          <w:rStyle w:val="char1"/>
        </w:rPr>
      </w:r>
      <w:r>
        <w:rPr>
          <w:rStyle w:val="char1"/>
        </w:rPr>
        <w:footnoteRef/>
      </w:r>
      <w:r>
        <w:t xml:space="preserve"> Bill Bryson, </w:t>
      </w:r>
      <w:r>
        <w:rPr>
          <w:i/>
          <w:iCs/>
        </w:rPr>
        <w:t>A Short History of Nearly Everything,</w:t>
      </w:r>
      <w:r>
        <w:t xml:space="preserve"> (London, Transworld Publishing 2004), p. 357.</w:t>
      </w:r>
    </w:p>
  </w:footnote>
  <w:footnote w:id="56">
    <w:p>
      <w:pPr>
        <w:pStyle w:val="para5"/>
      </w:pPr>
      <w:r>
        <w:rPr>
          <w:rStyle w:val="char1"/>
        </w:rPr>
      </w:r>
      <w:r>
        <w:rPr>
          <w:rStyle w:val="char1"/>
        </w:rPr>
        <w:footnoteRef/>
      </w:r>
      <w:r>
        <w:t xml:space="preserve"> Andrei Ol'khovatov, ‘New data on accounts of the 1908 Tunguska event’, </w:t>
      </w:r>
      <w:r>
        <w:rPr>
          <w:i/>
          <w:iCs/>
        </w:rPr>
        <w:t>Terra Nova (Oxford, England), 32.3</w:t>
      </w:r>
      <w:r>
        <w:t xml:space="preserve"> (2020), 234–237, (p. 234) &lt;DOI:10.1111/ter.12453&gt;.</w:t>
      </w:r>
    </w:p>
  </w:footnote>
  <w:footnote w:id="57">
    <w:p>
      <w:pPr>
        <w:pStyle w:val="para5"/>
      </w:pPr>
      <w:r>
        <w:rPr>
          <w:rStyle w:val="char1"/>
        </w:rPr>
      </w:r>
      <w:r>
        <w:rPr>
          <w:rStyle w:val="char1"/>
        </w:rPr>
        <w:footnoteRef/>
      </w:r>
      <w:r>
        <w:t xml:space="preserve"> Royal Museums Greenwich, </w:t>
      </w:r>
      <w:r>
        <w:rPr>
          <w:i/>
          <w:iCs/>
        </w:rPr>
        <w:t>The Tunguska Event,</w:t>
      </w:r>
      <w:r>
        <w:t xml:space="preserve"> &lt;https://www.rmg.co.uk/stories/blog/tunguska-event&gt; [accessed 11</w:t>
      </w:r>
      <w:r>
        <w:rPr>
          <w:vertAlign w:val="superscript"/>
        </w:rPr>
        <w:t>th</w:t>
      </w:r>
      <w:r>
        <w:t xml:space="preserve"> December 2024].</w:t>
      </w:r>
    </w:p>
  </w:footnote>
  <w:footnote w:id="58">
    <w:p>
      <w:pPr>
        <w:pStyle w:val="para5"/>
      </w:pPr>
      <w:r>
        <w:rPr>
          <w:rStyle w:val="char1"/>
        </w:rPr>
      </w:r>
      <w:r>
        <w:rPr>
          <w:rStyle w:val="char1"/>
        </w:rPr>
        <w:footnoteRef/>
      </w:r>
      <w:r>
        <w:t xml:space="preserve"> Peter Jenniskens, Olga P Popova, Dmitry O Glazachev, Elena D Podobnaya, and Anna P Kartashova, ‘Tunguska Eyewitness Accounts, Injuries, and Casualties’, </w:t>
      </w:r>
      <w:r>
        <w:rPr>
          <w:i/>
          <w:iCs/>
        </w:rPr>
        <w:t>Icarus (New York, N.Y. 1962)</w:t>
      </w:r>
      <w:r>
        <w:t>, 327 (2019), 4–18  (p. 5) &lt;DOI:10.1016/j.icarus.2019.01.001&gt;.</w:t>
      </w:r>
    </w:p>
  </w:footnote>
  <w:footnote w:id="59">
    <w:p>
      <w:pPr>
        <w:pStyle w:val="para5"/>
      </w:pPr>
      <w:r>
        <w:rPr>
          <w:rStyle w:val="char1"/>
        </w:rPr>
      </w:r>
      <w:r>
        <w:rPr>
          <w:rStyle w:val="char1"/>
        </w:rPr>
        <w:footnoteRef/>
      </w:r>
      <w:r>
        <w:t xml:space="preserve"> Royal Museums Greenwich, </w:t>
      </w:r>
      <w:r>
        <w:rPr>
          <w:i/>
          <w:iCs/>
        </w:rPr>
        <w:t>The Tunguska Event</w:t>
      </w:r>
      <w:r>
        <w:t>.</w:t>
      </w:r>
    </w:p>
  </w:footnote>
  <w:footnote w:id="60">
    <w:p>
      <w:pPr>
        <w:pStyle w:val="para5"/>
      </w:pPr>
      <w:r>
        <w:rPr>
          <w:rStyle w:val="char1"/>
        </w:rPr>
      </w:r>
      <w:r>
        <w:rPr>
          <w:rStyle w:val="char1"/>
        </w:rPr>
        <w:footnoteRef/>
      </w:r>
      <w:r>
        <w:t xml:space="preserve"> Royal Museums Greenwich, </w:t>
      </w:r>
      <w:r>
        <w:rPr>
          <w:i/>
          <w:iCs/>
        </w:rPr>
        <w:t>The Tunguska Event</w:t>
      </w:r>
      <w:r>
        <w:t>.</w:t>
      </w:r>
    </w:p>
  </w:footnote>
  <w:footnote w:id="61">
    <w:p>
      <w:pPr>
        <w:pStyle w:val="para5"/>
      </w:pPr>
      <w:r>
        <w:rPr>
          <w:rStyle w:val="char1"/>
        </w:rPr>
      </w:r>
      <w:r>
        <w:rPr>
          <w:rStyle w:val="char1"/>
        </w:rPr>
        <w:footnoteRef/>
      </w:r>
      <w:r>
        <w:t xml:space="preserve"> Royal Museums Greenwich, </w:t>
      </w:r>
      <w:r>
        <w:rPr>
          <w:i/>
          <w:iCs/>
        </w:rPr>
        <w:t>The Tunguska Event.</w:t>
      </w:r>
      <w:r/>
    </w:p>
  </w:footnote>
  <w:footnote w:id="62">
    <w:p>
      <w:pPr>
        <w:pStyle w:val="para5"/>
      </w:pPr>
      <w:r>
        <w:rPr>
          <w:rStyle w:val="char1"/>
        </w:rPr>
      </w:r>
      <w:r>
        <w:rPr>
          <w:rStyle w:val="char1"/>
        </w:rPr>
        <w:footnoteRef/>
      </w:r>
      <w:r>
        <w:t xml:space="preserve"> Jenniskens, ‘Tunguska eyewitness accounts’, p. 8.</w:t>
      </w:r>
    </w:p>
  </w:footnote>
  <w:footnote w:id="63">
    <w:p>
      <w:pPr>
        <w:pStyle w:val="para5"/>
      </w:pPr>
      <w:r>
        <w:rPr>
          <w:rStyle w:val="char1"/>
        </w:rPr>
      </w:r>
      <w:r>
        <w:rPr>
          <w:rStyle w:val="char1"/>
        </w:rPr>
        <w:footnoteRef/>
      </w:r>
      <w:r>
        <w:t xml:space="preserve"> Jenniskens, ‘Tunguska eyewitness accounts’, p. 6.</w:t>
      </w:r>
    </w:p>
  </w:footnote>
  <w:footnote w:id="64">
    <w:p>
      <w:pPr>
        <w:pStyle w:val="para5"/>
      </w:pPr>
      <w:r>
        <w:rPr>
          <w:rStyle w:val="char1"/>
        </w:rPr>
      </w:r>
      <w:r>
        <w:rPr>
          <w:rStyle w:val="char1"/>
        </w:rPr>
        <w:footnoteRef/>
      </w:r>
      <w:r>
        <w:t xml:space="preserve"> Jenniskens, ‘Tunguska eyewitness accounts’, p. 10.</w:t>
      </w:r>
    </w:p>
  </w:footnote>
  <w:footnote w:id="65">
    <w:p>
      <w:pPr>
        <w:pStyle w:val="para5"/>
      </w:pPr>
      <w:r>
        <w:rPr>
          <w:rStyle w:val="char1"/>
        </w:rPr>
      </w:r>
      <w:r>
        <w:rPr>
          <w:rStyle w:val="char1"/>
        </w:rPr>
        <w:footnoteRef/>
      </w:r>
      <w:r>
        <w:t xml:space="preserve"> Jenniskens, ‘Tunguska eyewitness accounts’, p. 6.</w:t>
      </w:r>
    </w:p>
  </w:footnote>
  <w:footnote w:id="66">
    <w:p>
      <w:pPr>
        <w:pStyle w:val="para5"/>
      </w:pPr>
      <w:r>
        <w:rPr>
          <w:rStyle w:val="char1"/>
        </w:rPr>
      </w:r>
      <w:r>
        <w:rPr>
          <w:rStyle w:val="char1"/>
        </w:rPr>
        <w:footnoteRef/>
      </w:r>
      <w:r>
        <w:t xml:space="preserve"> Royal Museums Greenwich, </w:t>
      </w:r>
      <w:r>
        <w:rPr>
          <w:i/>
          <w:iCs/>
        </w:rPr>
        <w:t>The Tunguska Event</w:t>
      </w:r>
      <w: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tabs defTabSz="708">
        <w:tab w:val="center" w:pos="4819" w:leader="none"/>
        <w:tab w:val="clear" w:pos="9639" w:leader="none"/>
      </w:tabs>
      <w:rPr>
        <w:color w:val="000000"/>
      </w:rPr>
    </w:pPr>
    <w:r>
      <w:tab/>
      <w:t xml:space="preserve">Linda Parkinson-Hardman, </w:t>
    </w:r>
    <w:r>
      <w:rPr>
        <w:color w:val="000000"/>
      </w:rPr>
      <w:t xml:space="preserve">2409122, Page </w:t>
    </w:r>
    <w:r>
      <w:rPr>
        <w:color w:val="000000"/>
      </w:rPr>
    </w:r>
    <w:r>
      <w:rPr>
        <w:color w:val="000000"/>
      </w:rPr>
      <w:fldChar w:fldCharType="begin"/>
      <w:instrText xml:space="preserve"> PAGE </w:instrText>
      <w:fldChar w:fldCharType="separate"/>
      <w:t>1</w:t>
      <w:fldChar w:fldCharType="end"/>
    </w:r>
    <w:r>
      <w:rPr>
        <w:color w:val="000000"/>
      </w:rPr>
      <w:t xml:space="preserve"> of</w:t>
    </w:r>
    <w:r>
      <w:rPr>
        <w:color w:val="000000"/>
      </w:rPr>
      <w:t xml:space="preserve"> 1</w:t>
    </w:r>
    <w:r>
      <w:rPr>
        <w:color w:val="000000"/>
      </w:rPr>
      <w:t>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singleLevel"/>
    <w:name w:val="Bullet 1"/>
    <w:lvl w:ilvl="0">
      <w:numFmt w:val="bullet"/>
      <w:suff w:val="tab"/>
      <w:lvlText w:val=""/>
      <w:lvlJc w:val="left"/>
      <w:pPr>
        <w:ind w:left="0" w:hanging="0"/>
      </w:pPr>
      <w:rPr>
        <w:rFonts w:ascii="Wingdings" w:hAnsi="Wingdings" w:eastAsia="Wingdings" w:cs="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2049"/>
    <o:shapelayout v:ext="edit">
      <o:rules v:ext="edit"/>
    </o:shapelayout>
  </w:shapeDefaults>
  <w:tmPrefOne w:val="16"/>
  <w:tmPrefTwo w:val="1"/>
  <w:tmFmtPref w:val="55090283"/>
  <w:tmCommentsPr>
    <w:tmCommentsPlace w:val="0"/>
    <w:tmCommentsWidth w:val="3119"/>
    <w:tmCommentsColor w:val="-1"/>
  </w:tmCommentsPr>
  <w:tmReviewPr>
    <w:tmReviewEnabled w:val="0"/>
    <w:tmReviewShow w:val="1"/>
    <w:tmReviewPrint w:val="0"/>
    <w:tmRevisionNum w:val="21"/>
    <w:tmReviewMarkIns w:val="4"/>
    <w:tmReviewColorIns w:val="-1"/>
    <w:tmReviewMarkDel w:val="6"/>
    <w:tmReviewColorDel w:val="-1"/>
    <w:tmReviewMarkFmt w:val="1"/>
    <w:tmReviewColorFmt w:val="-1"/>
    <w:tmReviewMarkLn w:val="1"/>
    <w:tmReviewColorLn w:val="0"/>
    <w:tmReviewToolTip w:val="0"/>
  </w:tmReviewPr>
  <w:tmLastPos>
    <w:tmLastPosPage w:val="0"/>
    <w:tmLastPosSelect w:val="1"/>
    <w:tmLastPosFrameIdx w:val="6"/>
    <w:tmLastPosCaret>
      <w:tmLastPosPgfIdx w:val="0"/>
      <w:tmLastPosIdx w:val="71"/>
    </w:tmLastPosCaret>
    <w:tmLastPosAnchor>
      <w:tmLastPosPgfIdx w:val="0"/>
      <w:tmLastPosIdx w:val="18"/>
    </w:tmLastPosAnchor>
    <w:tmLastPosTblRect w:left="0" w:top="0" w:right="0" w:bottom="0"/>
  </w:tmLastPos>
  <w:tmAppRevision w:date="1735910919" w:val="1222"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line="276" w:lineRule="auto"/>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Quote"/>
    <w:qFormat/>
    <w:basedOn w:val="para0"/>
    <w:next w:val="para0"/>
    <w:pPr>
      <w:ind w:left="283" w:right="283" w:firstLine="0"/>
      <w:spacing w:before="120" w:after="120"/>
    </w:pPr>
  </w:style>
  <w:style w:type="paragraph" w:styleId="para8">
    <w:name w:val="index 1"/>
    <w:qFormat/>
    <w:basedOn w:val="para0"/>
    <w:pPr>
      <w:ind w:left="180" w:hanging="180"/>
      <w:spacing w:line="240" w:lineRule="auto"/>
      <w:keepLines/>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line="276" w:lineRule="auto"/>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Quote"/>
    <w:qFormat/>
    <w:basedOn w:val="para0"/>
    <w:next w:val="para0"/>
    <w:pPr>
      <w:ind w:left="283" w:right="283" w:firstLine="0"/>
      <w:spacing w:before="120" w:after="120"/>
    </w:pPr>
  </w:style>
  <w:style w:type="paragraph" w:styleId="para8">
    <w:name w:val="index 1"/>
    <w:qFormat/>
    <w:basedOn w:val="para0"/>
    <w:pPr>
      <w:ind w:left="180" w:hanging="180"/>
      <w:spacing w:line="240" w:lineRule="auto"/>
      <w:keepLines/>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image" Target="media/image1.png"/><Relationship Id="rId9" Type="http://schemas.openxmlformats.org/officeDocument/2006/relationships/footnotes" Target="footnotes.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rev.1222</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Linda</cp:lastModifiedBy>
  <cp:revision>21</cp:revision>
  <cp:lastPrinted>2024-12-10T16:00:14Z</cp:lastPrinted>
  <dcterms:created xsi:type="dcterms:W3CDTF">2024-10-02T14:09:39Z</dcterms:created>
  <dcterms:modified xsi:type="dcterms:W3CDTF">2025-01-03T13:28:39Z</dcterms:modified>
</cp:coreProperties>
</file>