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4B3B0" w14:textId="0C79BCA6" w:rsidR="0056112D" w:rsidRPr="00383BF9" w:rsidRDefault="0056112D" w:rsidP="00383BF9">
      <w:pPr>
        <w:jc w:val="both"/>
        <w:rPr>
          <w:rFonts w:ascii="Arial" w:hAnsi="Arial" w:cs="Arial"/>
          <w:bCs/>
          <w:sz w:val="28"/>
          <w:szCs w:val="28"/>
        </w:rPr>
      </w:pPr>
      <w:bookmarkStart w:id="0" w:name="_Hlk92364797"/>
      <w:r w:rsidRPr="00383BF9">
        <w:rPr>
          <w:rFonts w:ascii="Arial" w:hAnsi="Arial" w:cs="Arial"/>
          <w:bCs/>
          <w:sz w:val="28"/>
          <w:szCs w:val="28"/>
        </w:rPr>
        <w:t xml:space="preserve">Carlton Parks Limited </w:t>
      </w:r>
      <w:r w:rsidR="00206276" w:rsidRPr="00383BF9">
        <w:rPr>
          <w:rFonts w:ascii="Arial" w:hAnsi="Arial" w:cs="Arial"/>
          <w:bCs/>
          <w:sz w:val="28"/>
          <w:szCs w:val="28"/>
        </w:rPr>
        <w:t>(</w:t>
      </w:r>
      <w:r w:rsidRPr="00383BF9">
        <w:rPr>
          <w:rFonts w:ascii="Arial" w:hAnsi="Arial" w:cs="Arial"/>
          <w:bCs/>
          <w:sz w:val="28"/>
          <w:szCs w:val="28"/>
        </w:rPr>
        <w:t>CPL) liability to Leo</w:t>
      </w:r>
    </w:p>
    <w:bookmarkEnd w:id="0"/>
    <w:p w14:paraId="4ED80F72" w14:textId="553279DB" w:rsidR="00E3470A" w:rsidRPr="00383BF9" w:rsidRDefault="00F50300" w:rsidP="00383BF9">
      <w:pPr>
        <w:spacing w:before="240"/>
        <w:jc w:val="both"/>
        <w:rPr>
          <w:rFonts w:ascii="Arial" w:hAnsi="Arial" w:cs="Arial"/>
          <w:bCs/>
          <w:sz w:val="28"/>
          <w:szCs w:val="28"/>
        </w:rPr>
      </w:pPr>
      <w:r w:rsidRPr="00383BF9">
        <w:rPr>
          <w:rFonts w:ascii="Arial" w:hAnsi="Arial" w:cs="Arial"/>
          <w:bCs/>
          <w:sz w:val="28"/>
          <w:szCs w:val="28"/>
        </w:rPr>
        <w:t>The Occupiers Liability Act (OLA) 1957 is relevant in relation to Leo</w:t>
      </w:r>
      <w:r w:rsidR="0056112D" w:rsidRPr="00383BF9">
        <w:rPr>
          <w:rFonts w:ascii="Arial" w:hAnsi="Arial" w:cs="Arial"/>
          <w:bCs/>
          <w:sz w:val="28"/>
          <w:szCs w:val="28"/>
        </w:rPr>
        <w:t xml:space="preserve"> and Leo may have a claim under Occupiers’ Liability Act 1957. A danger arose due to the state of the premises- s1(1) OLA 1957 i.e., </w:t>
      </w:r>
      <w:r w:rsidR="0056112D" w:rsidRPr="00383BF9">
        <w:rPr>
          <w:rFonts w:ascii="Arial" w:eastAsia="Times New Roman" w:hAnsi="Arial" w:cs="Arial"/>
          <w:color w:val="000000"/>
          <w:sz w:val="28"/>
          <w:szCs w:val="28"/>
        </w:rPr>
        <w:t>the rotten wooden fence above the concrete walkway (which is likely to be determined as a 'fixed structure' for the purposes of th</w:t>
      </w:r>
      <w:r w:rsidR="00206276" w:rsidRPr="00383BF9">
        <w:rPr>
          <w:rFonts w:ascii="Arial" w:eastAsia="Times New Roman" w:hAnsi="Arial" w:cs="Arial"/>
          <w:color w:val="000000"/>
          <w:sz w:val="28"/>
          <w:szCs w:val="28"/>
        </w:rPr>
        <w:t>is</w:t>
      </w:r>
      <w:r w:rsidR="0056112D" w:rsidRPr="00383BF9">
        <w:rPr>
          <w:rFonts w:ascii="Arial" w:eastAsia="Times New Roman" w:hAnsi="Arial" w:cs="Arial"/>
          <w:color w:val="000000"/>
          <w:sz w:val="28"/>
          <w:szCs w:val="28"/>
        </w:rPr>
        <w:t xml:space="preserve"> act</w:t>
      </w:r>
      <w:r w:rsidR="0056112D" w:rsidRPr="00383BF9">
        <w:rPr>
          <w:rFonts w:ascii="Arial" w:hAnsi="Arial" w:cs="Arial"/>
          <w:bCs/>
          <w:sz w:val="28"/>
          <w:szCs w:val="28"/>
        </w:rPr>
        <w:t xml:space="preserve"> – s1(3)(a) OLA 1957).</w:t>
      </w:r>
      <w:r w:rsidRPr="00383BF9">
        <w:rPr>
          <w:rFonts w:ascii="Arial" w:hAnsi="Arial" w:cs="Arial"/>
          <w:bCs/>
          <w:sz w:val="28"/>
          <w:szCs w:val="28"/>
        </w:rPr>
        <w:t xml:space="preserve"> Leo is a visitor to the </w:t>
      </w:r>
      <w:r w:rsidR="0056112D" w:rsidRPr="00383BF9">
        <w:rPr>
          <w:rFonts w:ascii="Arial" w:hAnsi="Arial" w:cs="Arial"/>
          <w:bCs/>
          <w:sz w:val="28"/>
          <w:szCs w:val="28"/>
        </w:rPr>
        <w:t>Theme Park whil</w:t>
      </w:r>
      <w:r w:rsidR="00E3470A" w:rsidRPr="00383BF9">
        <w:rPr>
          <w:rFonts w:ascii="Arial" w:hAnsi="Arial" w:cs="Arial"/>
          <w:bCs/>
          <w:sz w:val="28"/>
          <w:szCs w:val="28"/>
        </w:rPr>
        <w:t>e</w:t>
      </w:r>
      <w:r w:rsidR="0056112D" w:rsidRPr="00383BF9">
        <w:rPr>
          <w:rFonts w:ascii="Arial" w:hAnsi="Arial" w:cs="Arial"/>
          <w:bCs/>
          <w:sz w:val="28"/>
          <w:szCs w:val="28"/>
        </w:rPr>
        <w:t xml:space="preserve"> using the concrete walkway</w:t>
      </w:r>
      <w:r w:rsidR="00C74C82" w:rsidRPr="00383BF9">
        <w:rPr>
          <w:rFonts w:ascii="Arial" w:hAnsi="Arial" w:cs="Arial"/>
          <w:bCs/>
          <w:sz w:val="28"/>
          <w:szCs w:val="28"/>
        </w:rPr>
        <w:t xml:space="preserve">. He has purchased the ticket that allow him entry into the theme park and as a ticket holder, </w:t>
      </w:r>
      <w:r w:rsidR="00C341AF" w:rsidRPr="00383BF9">
        <w:rPr>
          <w:rFonts w:ascii="Arial" w:hAnsi="Arial" w:cs="Arial"/>
          <w:bCs/>
          <w:sz w:val="28"/>
          <w:szCs w:val="28"/>
        </w:rPr>
        <w:t>he will have CPL’s full permission to go to areas of the theme park to which customers are permitted access, including the concrete walkway</w:t>
      </w:r>
      <w:r w:rsidR="00D46441" w:rsidRPr="00383BF9">
        <w:rPr>
          <w:rFonts w:ascii="Arial" w:hAnsi="Arial" w:cs="Arial"/>
          <w:bCs/>
          <w:sz w:val="28"/>
          <w:szCs w:val="28"/>
        </w:rPr>
        <w:t>.</w:t>
      </w:r>
      <w:r w:rsidRPr="00383BF9">
        <w:rPr>
          <w:rFonts w:ascii="Arial" w:hAnsi="Arial" w:cs="Arial"/>
          <w:bCs/>
          <w:sz w:val="28"/>
          <w:szCs w:val="28"/>
        </w:rPr>
        <w:t xml:space="preserve"> CPL</w:t>
      </w:r>
      <w:r w:rsidR="00D46441" w:rsidRPr="00383BF9">
        <w:rPr>
          <w:rFonts w:ascii="Arial" w:hAnsi="Arial" w:cs="Arial"/>
          <w:bCs/>
          <w:sz w:val="28"/>
          <w:szCs w:val="28"/>
        </w:rPr>
        <w:t xml:space="preserve"> as occupier</w:t>
      </w:r>
      <w:r w:rsidR="00F07FD5" w:rsidRPr="00383BF9">
        <w:rPr>
          <w:rFonts w:ascii="Arial" w:hAnsi="Arial" w:cs="Arial"/>
          <w:bCs/>
          <w:sz w:val="28"/>
          <w:szCs w:val="28"/>
        </w:rPr>
        <w:t xml:space="preserve">, the person/persons who has sufficient control over the concrete </w:t>
      </w:r>
      <w:r w:rsidR="00E3470A" w:rsidRPr="00383BF9">
        <w:rPr>
          <w:rFonts w:ascii="Arial" w:hAnsi="Arial" w:cs="Arial"/>
          <w:bCs/>
          <w:sz w:val="28"/>
          <w:szCs w:val="28"/>
        </w:rPr>
        <w:t>walkway and</w:t>
      </w:r>
      <w:r w:rsidR="00F07FD5" w:rsidRPr="00383BF9">
        <w:rPr>
          <w:rFonts w:ascii="Arial" w:hAnsi="Arial" w:cs="Arial"/>
          <w:bCs/>
          <w:sz w:val="28"/>
          <w:szCs w:val="28"/>
        </w:rPr>
        <w:t xml:space="preserve"> is therefore in a position to prevent accidents – Wheat v Lacon (1966)</w:t>
      </w:r>
      <w:r w:rsidR="00206276" w:rsidRPr="00383BF9">
        <w:rPr>
          <w:rFonts w:ascii="Arial" w:hAnsi="Arial" w:cs="Arial"/>
          <w:bCs/>
          <w:sz w:val="28"/>
          <w:szCs w:val="28"/>
        </w:rPr>
        <w:t>. CPL</w:t>
      </w:r>
      <w:r w:rsidRPr="00383BF9">
        <w:rPr>
          <w:rFonts w:ascii="Arial" w:hAnsi="Arial" w:cs="Arial"/>
          <w:bCs/>
          <w:sz w:val="28"/>
          <w:szCs w:val="28"/>
        </w:rPr>
        <w:t xml:space="preserve"> owe him a duty of care</w:t>
      </w:r>
      <w:r w:rsidR="00F07FD5" w:rsidRPr="00383BF9">
        <w:rPr>
          <w:rFonts w:ascii="Arial" w:hAnsi="Arial" w:cs="Arial"/>
          <w:bCs/>
          <w:sz w:val="28"/>
          <w:szCs w:val="28"/>
        </w:rPr>
        <w:t xml:space="preserve"> under s.2(2) OLA 1957</w:t>
      </w:r>
      <w:r w:rsidRPr="00383BF9">
        <w:rPr>
          <w:rFonts w:ascii="Arial" w:hAnsi="Arial" w:cs="Arial"/>
          <w:bCs/>
          <w:sz w:val="28"/>
          <w:szCs w:val="28"/>
        </w:rPr>
        <w:t xml:space="preserve"> to</w:t>
      </w:r>
      <w:r w:rsidR="00E3470A" w:rsidRPr="00383BF9">
        <w:rPr>
          <w:rFonts w:ascii="Arial" w:hAnsi="Arial" w:cs="Arial"/>
          <w:bCs/>
          <w:sz w:val="28"/>
          <w:szCs w:val="28"/>
        </w:rPr>
        <w:t xml:space="preserve"> ‘take such care as in all circumstances of the case to see that the visitor will be reasonably safe in using the premises for which he was invited or permitted’(to</w:t>
      </w:r>
      <w:r w:rsidRPr="00383BF9">
        <w:rPr>
          <w:rFonts w:ascii="Arial" w:hAnsi="Arial" w:cs="Arial"/>
          <w:bCs/>
          <w:sz w:val="28"/>
          <w:szCs w:val="28"/>
        </w:rPr>
        <w:t xml:space="preserve"> ensure he is safe while on the premises</w:t>
      </w:r>
      <w:r w:rsidR="00E3470A" w:rsidRPr="00383BF9">
        <w:rPr>
          <w:rFonts w:ascii="Arial" w:hAnsi="Arial" w:cs="Arial"/>
          <w:bCs/>
          <w:sz w:val="28"/>
          <w:szCs w:val="28"/>
        </w:rPr>
        <w:t>)</w:t>
      </w:r>
      <w:r w:rsidR="00F07FD5" w:rsidRPr="00383BF9">
        <w:rPr>
          <w:rFonts w:ascii="Arial" w:hAnsi="Arial" w:cs="Arial"/>
          <w:bCs/>
          <w:sz w:val="28"/>
          <w:szCs w:val="28"/>
        </w:rPr>
        <w:t>.</w:t>
      </w:r>
    </w:p>
    <w:p w14:paraId="74B40621" w14:textId="1B0A5A10" w:rsidR="00BB5FBB" w:rsidRPr="00383BF9" w:rsidRDefault="00D80773" w:rsidP="00383BF9">
      <w:pPr>
        <w:spacing w:before="240"/>
        <w:jc w:val="both"/>
        <w:rPr>
          <w:rFonts w:ascii="Arial" w:hAnsi="Arial" w:cs="Arial"/>
          <w:bCs/>
          <w:sz w:val="28"/>
          <w:szCs w:val="28"/>
        </w:rPr>
      </w:pPr>
      <w:r w:rsidRPr="00383BF9">
        <w:rPr>
          <w:rFonts w:ascii="Arial" w:hAnsi="Arial" w:cs="Arial"/>
          <w:bCs/>
          <w:sz w:val="28"/>
          <w:szCs w:val="28"/>
        </w:rPr>
        <w:t xml:space="preserve">CPL’s responsibility towards Leo is that of the ‘common duty’. s2(1) OLA 1957 “An occupier of premises owes the same duty, the “common duty of care”, to all his visitors, except in so far as he is free to and does extend, restrict, modify or exclude his duty to any visitor or visitors by agreement or otherwise”. </w:t>
      </w:r>
    </w:p>
    <w:p w14:paraId="59238C8D" w14:textId="2DF6AA86" w:rsidR="0027485A" w:rsidRPr="00383BF9" w:rsidRDefault="00E3470A" w:rsidP="00383BF9">
      <w:pPr>
        <w:spacing w:before="240"/>
        <w:jc w:val="both"/>
        <w:rPr>
          <w:rFonts w:ascii="Arial" w:hAnsi="Arial" w:cs="Arial"/>
          <w:bCs/>
          <w:sz w:val="28"/>
          <w:szCs w:val="28"/>
        </w:rPr>
      </w:pPr>
      <w:r w:rsidRPr="00383BF9">
        <w:rPr>
          <w:rFonts w:ascii="Arial" w:hAnsi="Arial" w:cs="Arial"/>
          <w:bCs/>
          <w:sz w:val="28"/>
          <w:szCs w:val="28"/>
        </w:rPr>
        <w:t>The likelihood and seriousness of injury associated with falling through the rotten wooden fence onto the concrete path below</w:t>
      </w:r>
      <w:r w:rsidR="001E1D85" w:rsidRPr="00383BF9">
        <w:rPr>
          <w:rFonts w:ascii="Arial" w:hAnsi="Arial" w:cs="Arial"/>
          <w:bCs/>
          <w:sz w:val="28"/>
          <w:szCs w:val="28"/>
        </w:rPr>
        <w:t xml:space="preserve"> (Tomlinson v Congleton BC (2003) together with the fact that the CPL runs a commercial venture undertaken for profit (Watt v Hertfordshire CC (1954) points to a high standard of care expected of CPL.</w:t>
      </w:r>
      <w:r w:rsidR="00206276" w:rsidRPr="00383BF9">
        <w:rPr>
          <w:rFonts w:ascii="Arial" w:hAnsi="Arial" w:cs="Arial"/>
          <w:bCs/>
          <w:sz w:val="28"/>
          <w:szCs w:val="28"/>
        </w:rPr>
        <w:t xml:space="preserve"> </w:t>
      </w:r>
      <w:r w:rsidR="00206276" w:rsidRPr="00383BF9">
        <w:rPr>
          <w:rFonts w:ascii="Arial" w:hAnsi="Arial" w:cs="Arial"/>
          <w:bCs/>
          <w:sz w:val="28"/>
          <w:szCs w:val="28"/>
        </w:rPr>
        <w:t>There are reasonable grounds for them to know that the children are in the vicinity of danger or that they may come into the vicinity of danger so they are reasonable expected to offer them some protection against any risk they may come in contact with.</w:t>
      </w:r>
      <w:r w:rsidR="00206276" w:rsidRPr="00383BF9">
        <w:rPr>
          <w:rFonts w:ascii="Arial" w:hAnsi="Arial" w:cs="Arial"/>
          <w:bCs/>
          <w:sz w:val="28"/>
          <w:szCs w:val="28"/>
        </w:rPr>
        <w:t xml:space="preserve"> </w:t>
      </w:r>
      <w:r w:rsidR="001E1D85" w:rsidRPr="00383BF9">
        <w:rPr>
          <w:rFonts w:ascii="Arial" w:hAnsi="Arial" w:cs="Arial"/>
          <w:bCs/>
          <w:sz w:val="28"/>
          <w:szCs w:val="28"/>
        </w:rPr>
        <w:t>They should expect that most of the customers that would be coming to the theme park would be children, teenagers, young adults and students, though accompanied by their parents or any other responsible adults. So, they should have taken reasonable care, be extremely careful and ensured their ‘common duty of care’.</w:t>
      </w:r>
      <w:r w:rsidR="00CC6CCC" w:rsidRPr="00383BF9">
        <w:rPr>
          <w:rFonts w:ascii="Arial" w:hAnsi="Arial" w:cs="Arial"/>
          <w:bCs/>
          <w:sz w:val="28"/>
          <w:szCs w:val="28"/>
        </w:rPr>
        <w:t xml:space="preserve"> </w:t>
      </w:r>
      <w:r w:rsidR="00CC6CCC" w:rsidRPr="00383BF9">
        <w:rPr>
          <w:rFonts w:ascii="Arial" w:hAnsi="Arial" w:cs="Arial"/>
          <w:bCs/>
          <w:sz w:val="28"/>
          <w:szCs w:val="28"/>
        </w:rPr>
        <w:t xml:space="preserve">s2(3) OLA 1957 says “The circumstances relevant for the present purpose include the degree of care and of want of care, which would or ordinarily be looked for in such a visitor, so that (for example) in proper case”. </w:t>
      </w:r>
      <w:r w:rsidR="001E1D85" w:rsidRPr="00383BF9">
        <w:rPr>
          <w:rFonts w:ascii="Arial" w:hAnsi="Arial" w:cs="Arial"/>
          <w:bCs/>
          <w:sz w:val="28"/>
          <w:szCs w:val="28"/>
        </w:rPr>
        <w:t xml:space="preserve"> Section 2(3</w:t>
      </w:r>
      <w:r w:rsidR="00CC6CCC" w:rsidRPr="00383BF9">
        <w:rPr>
          <w:rFonts w:ascii="Arial" w:hAnsi="Arial" w:cs="Arial"/>
          <w:bCs/>
          <w:sz w:val="28"/>
          <w:szCs w:val="28"/>
        </w:rPr>
        <w:t>a</w:t>
      </w:r>
      <w:r w:rsidR="001E1D85" w:rsidRPr="00383BF9">
        <w:rPr>
          <w:rFonts w:ascii="Arial" w:hAnsi="Arial" w:cs="Arial"/>
          <w:bCs/>
          <w:sz w:val="28"/>
          <w:szCs w:val="28"/>
        </w:rPr>
        <w:t xml:space="preserve">) OLA 1957 provides </w:t>
      </w:r>
      <w:r w:rsidR="00371CC1" w:rsidRPr="00383BF9">
        <w:rPr>
          <w:rFonts w:ascii="Arial" w:hAnsi="Arial" w:cs="Arial"/>
          <w:bCs/>
          <w:sz w:val="28"/>
          <w:szCs w:val="28"/>
        </w:rPr>
        <w:t xml:space="preserve">that ‘an </w:t>
      </w:r>
      <w:r w:rsidR="001E1D85" w:rsidRPr="00383BF9">
        <w:rPr>
          <w:rFonts w:ascii="Arial" w:hAnsi="Arial" w:cs="Arial"/>
          <w:bCs/>
          <w:sz w:val="28"/>
          <w:szCs w:val="28"/>
        </w:rPr>
        <w:t xml:space="preserve">occupiers must be prepared for children to be less careful than </w:t>
      </w:r>
      <w:r w:rsidR="00371CC1" w:rsidRPr="00383BF9">
        <w:rPr>
          <w:rFonts w:ascii="Arial" w:hAnsi="Arial" w:cs="Arial"/>
          <w:bCs/>
          <w:sz w:val="28"/>
          <w:szCs w:val="28"/>
        </w:rPr>
        <w:t>adults. However, occupiers may assume that</w:t>
      </w:r>
      <w:r w:rsidR="001E1D85" w:rsidRPr="00383BF9">
        <w:rPr>
          <w:rFonts w:ascii="Arial" w:hAnsi="Arial" w:cs="Arial"/>
          <w:bCs/>
          <w:sz w:val="28"/>
          <w:szCs w:val="28"/>
        </w:rPr>
        <w:t xml:space="preserve"> </w:t>
      </w:r>
      <w:r w:rsidR="00371CC1" w:rsidRPr="00383BF9">
        <w:rPr>
          <w:rFonts w:ascii="Arial" w:hAnsi="Arial" w:cs="Arial"/>
          <w:bCs/>
          <w:sz w:val="28"/>
          <w:szCs w:val="28"/>
        </w:rPr>
        <w:t xml:space="preserve">younger </w:t>
      </w:r>
      <w:r w:rsidR="00371CC1" w:rsidRPr="00383BF9">
        <w:rPr>
          <w:rFonts w:ascii="Arial" w:hAnsi="Arial" w:cs="Arial"/>
          <w:bCs/>
          <w:sz w:val="28"/>
          <w:szCs w:val="28"/>
        </w:rPr>
        <w:lastRenderedPageBreak/>
        <w:t>children accompanied by their parents or any other responsible adult, will be supervised by their parents or a responsible adult – Phipps v Rochester Corp (1955) and will be prevented from encountering the risk. However, this case (Phipps) may not apply where the danger</w:t>
      </w:r>
      <w:r w:rsidR="00516B33" w:rsidRPr="00383BF9">
        <w:rPr>
          <w:rFonts w:ascii="Arial" w:hAnsi="Arial" w:cs="Arial"/>
          <w:bCs/>
          <w:sz w:val="28"/>
          <w:szCs w:val="28"/>
        </w:rPr>
        <w:t xml:space="preserve"> is not apparent. It seems unlikely that </w:t>
      </w:r>
      <w:r w:rsidR="008B450C" w:rsidRPr="00383BF9">
        <w:rPr>
          <w:rFonts w:ascii="Arial" w:hAnsi="Arial" w:cs="Arial"/>
          <w:bCs/>
          <w:sz w:val="28"/>
          <w:szCs w:val="28"/>
        </w:rPr>
        <w:t>Leo’s parents could reasonably expected to have been aware of the danger posed by the rotten fence (e.g., Marsden v Bourne Leisure (2009),</w:t>
      </w:r>
      <w:r w:rsidR="00371CC1" w:rsidRPr="00383BF9">
        <w:rPr>
          <w:rFonts w:ascii="Arial" w:hAnsi="Arial" w:cs="Arial"/>
          <w:bCs/>
          <w:sz w:val="28"/>
          <w:szCs w:val="28"/>
        </w:rPr>
        <w:t xml:space="preserve"> </w:t>
      </w:r>
      <w:r w:rsidR="008B450C" w:rsidRPr="00383BF9">
        <w:rPr>
          <w:rFonts w:ascii="Arial" w:hAnsi="Arial" w:cs="Arial"/>
          <w:bCs/>
          <w:sz w:val="28"/>
          <w:szCs w:val="28"/>
        </w:rPr>
        <w:t>and there is no suggestion that Leo was not being properly supervised by his parents at the time the accident occurred.</w:t>
      </w:r>
    </w:p>
    <w:p w14:paraId="7DFC5B82" w14:textId="3AEE445F" w:rsidR="008667AE" w:rsidRPr="00383BF9" w:rsidRDefault="00D9710A" w:rsidP="00383BF9">
      <w:pPr>
        <w:spacing w:before="240"/>
        <w:jc w:val="both"/>
        <w:rPr>
          <w:rFonts w:ascii="Arial" w:hAnsi="Arial" w:cs="Arial"/>
          <w:bCs/>
          <w:sz w:val="28"/>
          <w:szCs w:val="28"/>
        </w:rPr>
      </w:pPr>
      <w:r w:rsidRPr="00383BF9">
        <w:rPr>
          <w:rFonts w:ascii="Arial" w:hAnsi="Arial" w:cs="Arial"/>
          <w:bCs/>
          <w:sz w:val="28"/>
          <w:szCs w:val="28"/>
        </w:rPr>
        <w:t xml:space="preserve">CPL may have mitigated the risk to see that anyone that comes into the premises would be safe. </w:t>
      </w:r>
      <w:r w:rsidR="0027485A" w:rsidRPr="00383BF9">
        <w:rPr>
          <w:rFonts w:ascii="Arial" w:eastAsia="Times New Roman" w:hAnsi="Arial" w:cs="Arial"/>
          <w:color w:val="000000"/>
          <w:sz w:val="28"/>
          <w:szCs w:val="28"/>
        </w:rPr>
        <w:t xml:space="preserve">Low cost and easy actions for example, </w:t>
      </w:r>
      <w:r w:rsidRPr="00383BF9">
        <w:rPr>
          <w:rFonts w:ascii="Arial" w:hAnsi="Arial" w:cs="Arial"/>
          <w:bCs/>
          <w:sz w:val="28"/>
          <w:szCs w:val="28"/>
        </w:rPr>
        <w:t xml:space="preserve">routine maintenance/renovation work that is carried out on all equipment and the general premises </w:t>
      </w:r>
      <w:r w:rsidR="0027485A" w:rsidRPr="00383BF9">
        <w:rPr>
          <w:rFonts w:ascii="Arial" w:eastAsia="Times New Roman" w:hAnsi="Arial" w:cs="Arial"/>
          <w:color w:val="000000"/>
          <w:sz w:val="28"/>
          <w:szCs w:val="28"/>
        </w:rPr>
        <w:t>so that they can identify early enough and fix the leaking</w:t>
      </w:r>
      <w:r w:rsidR="008667AE" w:rsidRPr="00383BF9">
        <w:rPr>
          <w:rFonts w:ascii="Arial" w:eastAsia="Times New Roman" w:hAnsi="Arial" w:cs="Arial"/>
          <w:color w:val="000000"/>
          <w:sz w:val="28"/>
          <w:szCs w:val="28"/>
        </w:rPr>
        <w:t xml:space="preserve"> funhouse </w:t>
      </w:r>
      <w:r w:rsidR="0027485A" w:rsidRPr="00383BF9">
        <w:rPr>
          <w:rFonts w:ascii="Arial" w:eastAsia="Times New Roman" w:hAnsi="Arial" w:cs="Arial"/>
          <w:color w:val="000000"/>
          <w:sz w:val="28"/>
          <w:szCs w:val="28"/>
        </w:rPr>
        <w:t>roof and then replace the rotten wooden fence</w:t>
      </w:r>
      <w:r w:rsidR="008667AE" w:rsidRPr="00383BF9">
        <w:rPr>
          <w:rFonts w:ascii="Arial" w:eastAsia="Times New Roman" w:hAnsi="Arial" w:cs="Arial"/>
          <w:color w:val="000000"/>
          <w:sz w:val="28"/>
          <w:szCs w:val="28"/>
        </w:rPr>
        <w:t xml:space="preserve"> (perhaps with less degradable material)</w:t>
      </w:r>
      <w:r w:rsidR="00340D24" w:rsidRPr="00383BF9">
        <w:rPr>
          <w:rFonts w:ascii="Arial" w:eastAsia="Times New Roman" w:hAnsi="Arial" w:cs="Arial"/>
          <w:color w:val="000000"/>
          <w:sz w:val="28"/>
          <w:szCs w:val="28"/>
        </w:rPr>
        <w:t xml:space="preserve">. This </w:t>
      </w:r>
      <w:r w:rsidR="0027485A" w:rsidRPr="00383BF9">
        <w:rPr>
          <w:rFonts w:ascii="Arial" w:eastAsia="Times New Roman" w:hAnsi="Arial" w:cs="Arial"/>
          <w:color w:val="000000"/>
          <w:sz w:val="28"/>
          <w:szCs w:val="28"/>
        </w:rPr>
        <w:t>could have been undertaken by CPL</w:t>
      </w:r>
      <w:r w:rsidR="00340D24" w:rsidRPr="00383BF9">
        <w:rPr>
          <w:rFonts w:ascii="Arial" w:eastAsia="Times New Roman" w:hAnsi="Arial" w:cs="Arial"/>
          <w:color w:val="000000"/>
          <w:sz w:val="28"/>
          <w:szCs w:val="28"/>
        </w:rPr>
        <w:t>;</w:t>
      </w:r>
      <w:r w:rsidR="008667AE" w:rsidRPr="00383BF9">
        <w:rPr>
          <w:rFonts w:ascii="Arial" w:eastAsia="Times New Roman" w:hAnsi="Arial" w:cs="Arial"/>
          <w:color w:val="000000"/>
          <w:sz w:val="28"/>
          <w:szCs w:val="28"/>
        </w:rPr>
        <w:t xml:space="preserve"> CPL will be expected to have taken these steps.</w:t>
      </w:r>
      <w:r w:rsidR="0027485A" w:rsidRPr="00383BF9">
        <w:rPr>
          <w:rFonts w:ascii="Arial" w:eastAsia="Times New Roman" w:hAnsi="Arial" w:cs="Arial"/>
          <w:color w:val="000000"/>
          <w:sz w:val="28"/>
          <w:szCs w:val="28"/>
        </w:rPr>
        <w:t xml:space="preserve"> and these could have limited the risk</w:t>
      </w:r>
      <w:r w:rsidRPr="00383BF9">
        <w:rPr>
          <w:rFonts w:ascii="Arial" w:eastAsia="Times New Roman" w:hAnsi="Arial" w:cs="Arial"/>
          <w:color w:val="000000"/>
          <w:sz w:val="28"/>
          <w:szCs w:val="28"/>
        </w:rPr>
        <w:t xml:space="preserve"> </w:t>
      </w:r>
      <w:r w:rsidRPr="00383BF9">
        <w:rPr>
          <w:rFonts w:ascii="Arial" w:hAnsi="Arial" w:cs="Arial"/>
          <w:bCs/>
          <w:sz w:val="28"/>
          <w:szCs w:val="28"/>
        </w:rPr>
        <w:t>to ensure that the premises are not left in a dangerous state and that people that use the premises are safe</w:t>
      </w:r>
      <w:r w:rsidR="00C67EA6" w:rsidRPr="00383BF9">
        <w:rPr>
          <w:rFonts w:ascii="Arial" w:hAnsi="Arial" w:cs="Arial"/>
          <w:bCs/>
          <w:sz w:val="28"/>
          <w:szCs w:val="28"/>
        </w:rPr>
        <w:t xml:space="preserve"> Tomlinson v Congleton Borough Council (2003). </w:t>
      </w:r>
      <w:r w:rsidR="008667AE" w:rsidRPr="00383BF9">
        <w:rPr>
          <w:rFonts w:ascii="Arial" w:eastAsia="Times New Roman" w:hAnsi="Arial" w:cs="Arial"/>
          <w:color w:val="000000"/>
          <w:sz w:val="28"/>
          <w:szCs w:val="28"/>
        </w:rPr>
        <w:t xml:space="preserve">This suggests a breach of CPL’s </w:t>
      </w:r>
      <w:r w:rsidRPr="00383BF9">
        <w:rPr>
          <w:rFonts w:ascii="Arial" w:eastAsia="Times New Roman" w:hAnsi="Arial" w:cs="Arial"/>
          <w:color w:val="000000"/>
          <w:sz w:val="28"/>
          <w:szCs w:val="28"/>
        </w:rPr>
        <w:t>duty,</w:t>
      </w:r>
      <w:r w:rsidR="008667AE" w:rsidRPr="00383BF9">
        <w:rPr>
          <w:rFonts w:ascii="Arial" w:eastAsia="Times New Roman" w:hAnsi="Arial" w:cs="Arial"/>
          <w:color w:val="000000"/>
          <w:sz w:val="28"/>
          <w:szCs w:val="28"/>
        </w:rPr>
        <w:t xml:space="preserve"> and it may be regarded</w:t>
      </w:r>
      <w:r w:rsidR="008667AE" w:rsidRPr="00383BF9">
        <w:rPr>
          <w:rFonts w:ascii="Arial" w:hAnsi="Arial" w:cs="Arial"/>
          <w:bCs/>
          <w:sz w:val="28"/>
          <w:szCs w:val="28"/>
        </w:rPr>
        <w:t xml:space="preserve"> as gross negligence in which CPL may be </w:t>
      </w:r>
      <w:r w:rsidR="005E0CF3" w:rsidRPr="00383BF9">
        <w:rPr>
          <w:rFonts w:ascii="Arial" w:hAnsi="Arial" w:cs="Arial"/>
          <w:bCs/>
          <w:sz w:val="28"/>
          <w:szCs w:val="28"/>
        </w:rPr>
        <w:t>h</w:t>
      </w:r>
      <w:r w:rsidR="008667AE" w:rsidRPr="00383BF9">
        <w:rPr>
          <w:rFonts w:ascii="Arial" w:hAnsi="Arial" w:cs="Arial"/>
          <w:bCs/>
          <w:sz w:val="28"/>
          <w:szCs w:val="28"/>
        </w:rPr>
        <w:t>e</w:t>
      </w:r>
      <w:r w:rsidR="005E0CF3" w:rsidRPr="00383BF9">
        <w:rPr>
          <w:rFonts w:ascii="Arial" w:hAnsi="Arial" w:cs="Arial"/>
          <w:bCs/>
          <w:sz w:val="28"/>
          <w:szCs w:val="28"/>
        </w:rPr>
        <w:t>l</w:t>
      </w:r>
      <w:r w:rsidR="008667AE" w:rsidRPr="00383BF9">
        <w:rPr>
          <w:rFonts w:ascii="Arial" w:hAnsi="Arial" w:cs="Arial"/>
          <w:bCs/>
          <w:sz w:val="28"/>
          <w:szCs w:val="28"/>
        </w:rPr>
        <w:t>d liable. Section 1(a) Compensation Act (CA) (2006) provides that “A court considering a considering a claim in negligence or breach of statutory duty may in determining whether the defendant should have taken particular steps to meet a standard of care (whether by taking precautions against a risk or otherwise), have regard to whether a requirement to take those steps might prevent a desirable activity from being undertaken at all, to a particular extent or in a particular way”.</w:t>
      </w:r>
    </w:p>
    <w:p w14:paraId="585713F5" w14:textId="376ADE7A" w:rsidR="007A1D7B" w:rsidRPr="00383BF9" w:rsidRDefault="007A1D7B" w:rsidP="00383BF9">
      <w:pPr>
        <w:spacing w:before="240"/>
        <w:jc w:val="both"/>
        <w:rPr>
          <w:rFonts w:ascii="Arial" w:hAnsi="Arial" w:cs="Arial"/>
          <w:sz w:val="28"/>
          <w:szCs w:val="28"/>
        </w:rPr>
      </w:pPr>
      <w:r w:rsidRPr="00383BF9">
        <w:rPr>
          <w:rFonts w:ascii="Arial" w:hAnsi="Arial" w:cs="Arial"/>
          <w:bCs/>
          <w:sz w:val="28"/>
          <w:szCs w:val="28"/>
        </w:rPr>
        <w:t xml:space="preserve">CPL has a duty of care towards </w:t>
      </w:r>
      <w:r w:rsidR="005E0CF3" w:rsidRPr="00383BF9">
        <w:rPr>
          <w:rFonts w:ascii="Arial" w:hAnsi="Arial" w:cs="Arial"/>
          <w:bCs/>
          <w:sz w:val="28"/>
          <w:szCs w:val="28"/>
        </w:rPr>
        <w:t>Leo,</w:t>
      </w:r>
      <w:r w:rsidRPr="00383BF9">
        <w:rPr>
          <w:rFonts w:ascii="Arial" w:hAnsi="Arial" w:cs="Arial"/>
          <w:bCs/>
          <w:sz w:val="28"/>
          <w:szCs w:val="28"/>
        </w:rPr>
        <w:t xml:space="preserve"> and they failed in their common duty of care. They breached that </w:t>
      </w:r>
      <w:r w:rsidR="005E0CF3" w:rsidRPr="00383BF9">
        <w:rPr>
          <w:rFonts w:ascii="Arial" w:hAnsi="Arial" w:cs="Arial"/>
          <w:bCs/>
          <w:sz w:val="28"/>
          <w:szCs w:val="28"/>
        </w:rPr>
        <w:t>duty,</w:t>
      </w:r>
      <w:r w:rsidRPr="00383BF9">
        <w:rPr>
          <w:rFonts w:ascii="Arial" w:hAnsi="Arial" w:cs="Arial"/>
          <w:bCs/>
          <w:sz w:val="28"/>
          <w:szCs w:val="28"/>
        </w:rPr>
        <w:t xml:space="preserve"> and it was </w:t>
      </w:r>
      <w:r w:rsidR="005E0CF3" w:rsidRPr="00383BF9">
        <w:rPr>
          <w:rFonts w:ascii="Arial" w:hAnsi="Arial" w:cs="Arial"/>
          <w:bCs/>
          <w:sz w:val="28"/>
          <w:szCs w:val="28"/>
        </w:rPr>
        <w:t>because of</w:t>
      </w:r>
      <w:r w:rsidRPr="00383BF9">
        <w:rPr>
          <w:rFonts w:ascii="Arial" w:hAnsi="Arial" w:cs="Arial"/>
          <w:bCs/>
          <w:sz w:val="28"/>
          <w:szCs w:val="28"/>
        </w:rPr>
        <w:t xml:space="preserve"> that that there was a damage. They breached the duty since the maintenance of the fence would have been part of their periodic management duties. They should have been able to foresee that damage would occur </w:t>
      </w:r>
      <w:r w:rsidR="005E0CF3" w:rsidRPr="00383BF9">
        <w:rPr>
          <w:rFonts w:ascii="Arial" w:hAnsi="Arial" w:cs="Arial"/>
          <w:bCs/>
          <w:sz w:val="28"/>
          <w:szCs w:val="28"/>
        </w:rPr>
        <w:t>because of</w:t>
      </w:r>
      <w:r w:rsidRPr="00383BF9">
        <w:rPr>
          <w:rFonts w:ascii="Arial" w:hAnsi="Arial" w:cs="Arial"/>
          <w:bCs/>
          <w:sz w:val="28"/>
          <w:szCs w:val="28"/>
        </w:rPr>
        <w:t xml:space="preserve"> routine maintenance not carried out in their equipment and premises to the extent that the fence became rotten</w:t>
      </w:r>
      <w:r w:rsidRPr="00383BF9">
        <w:rPr>
          <w:rFonts w:ascii="Arial" w:hAnsi="Arial" w:cs="Arial"/>
          <w:sz w:val="28"/>
          <w:szCs w:val="28"/>
        </w:rPr>
        <w:t xml:space="preserve"> overtime due to water dripping onto it from the funhouse roof above</w:t>
      </w:r>
      <w:r w:rsidR="00340D24" w:rsidRPr="00383BF9">
        <w:rPr>
          <w:rFonts w:ascii="Arial" w:hAnsi="Arial" w:cs="Arial"/>
          <w:sz w:val="28"/>
          <w:szCs w:val="28"/>
        </w:rPr>
        <w:t xml:space="preserve"> (s1 OLA 1957).</w:t>
      </w:r>
    </w:p>
    <w:p w14:paraId="1C4B1541" w14:textId="0862429E" w:rsidR="008667AE" w:rsidRPr="00383BF9" w:rsidRDefault="008667AE" w:rsidP="00383BF9">
      <w:pPr>
        <w:spacing w:before="240"/>
        <w:jc w:val="both"/>
        <w:rPr>
          <w:rFonts w:ascii="Arial" w:hAnsi="Arial" w:cs="Arial"/>
          <w:bCs/>
          <w:sz w:val="28"/>
          <w:szCs w:val="28"/>
        </w:rPr>
      </w:pPr>
      <w:r w:rsidRPr="00383BF9">
        <w:rPr>
          <w:rFonts w:ascii="Arial" w:hAnsi="Arial" w:cs="Arial"/>
          <w:bCs/>
          <w:sz w:val="28"/>
          <w:szCs w:val="28"/>
        </w:rPr>
        <w:t>There are no issues concerning causation or remoteness of danger in Leo’s case, and no defences appear to apply.</w:t>
      </w:r>
    </w:p>
    <w:p w14:paraId="6176318A" w14:textId="77777777" w:rsidR="00206276" w:rsidRPr="00383BF9" w:rsidRDefault="00206276" w:rsidP="00383BF9">
      <w:pPr>
        <w:spacing w:before="240"/>
        <w:jc w:val="both"/>
        <w:rPr>
          <w:rFonts w:ascii="Arial" w:hAnsi="Arial" w:cs="Arial"/>
          <w:bCs/>
          <w:sz w:val="28"/>
          <w:szCs w:val="28"/>
        </w:rPr>
      </w:pPr>
    </w:p>
    <w:p w14:paraId="49019381" w14:textId="77777777" w:rsidR="00206276" w:rsidRPr="00383BF9" w:rsidRDefault="00206276" w:rsidP="00383BF9">
      <w:pPr>
        <w:spacing w:before="240"/>
        <w:jc w:val="both"/>
        <w:rPr>
          <w:rFonts w:ascii="Arial" w:hAnsi="Arial" w:cs="Arial"/>
          <w:bCs/>
          <w:sz w:val="28"/>
          <w:szCs w:val="28"/>
        </w:rPr>
      </w:pPr>
    </w:p>
    <w:p w14:paraId="34221EAE" w14:textId="0E575FC4" w:rsidR="008667AE" w:rsidRPr="00383BF9" w:rsidRDefault="008667AE" w:rsidP="00383BF9">
      <w:pPr>
        <w:spacing w:before="240"/>
        <w:jc w:val="both"/>
        <w:rPr>
          <w:rFonts w:ascii="Arial" w:hAnsi="Arial" w:cs="Arial"/>
          <w:bCs/>
          <w:sz w:val="28"/>
          <w:szCs w:val="28"/>
        </w:rPr>
      </w:pPr>
      <w:r w:rsidRPr="00383BF9">
        <w:rPr>
          <w:rFonts w:ascii="Arial" w:hAnsi="Arial" w:cs="Arial"/>
          <w:bCs/>
          <w:sz w:val="28"/>
          <w:szCs w:val="28"/>
        </w:rPr>
        <w:lastRenderedPageBreak/>
        <w:t>CPL’s liability to Mille</w:t>
      </w:r>
    </w:p>
    <w:p w14:paraId="11E9BF47" w14:textId="77777777" w:rsidR="00340D24" w:rsidRPr="00383BF9" w:rsidRDefault="000F17B5" w:rsidP="00383BF9">
      <w:pPr>
        <w:jc w:val="both"/>
        <w:rPr>
          <w:rFonts w:ascii="Arial" w:hAnsi="Arial" w:cs="Arial"/>
          <w:sz w:val="28"/>
          <w:szCs w:val="28"/>
        </w:rPr>
      </w:pPr>
      <w:r w:rsidRPr="00383BF9">
        <w:rPr>
          <w:rFonts w:ascii="Arial" w:hAnsi="Arial" w:cs="Arial"/>
          <w:bCs/>
          <w:sz w:val="28"/>
          <w:szCs w:val="28"/>
        </w:rPr>
        <w:t>The Occupiers Liability Act 1984 is relevant in the case of Millie. Mille has been injured by a danger due to the state of the premises (s1(1)(a) Occupiers’ Liability Act 1984- the electric wire being a ‘fixed structure’- s.1(2</w:t>
      </w:r>
      <w:r w:rsidR="0034263B" w:rsidRPr="00383BF9">
        <w:rPr>
          <w:rFonts w:ascii="Arial" w:hAnsi="Arial" w:cs="Arial"/>
          <w:bCs/>
          <w:sz w:val="28"/>
          <w:szCs w:val="28"/>
        </w:rPr>
        <w:t xml:space="preserve">) OLA 1984. Nevertheless, in climbing over the fence, Mille entered the park as a nonvisitor that is, a trespasser. She did not have CPL implied or express permission to be in the park or use the </w:t>
      </w:r>
      <w:r w:rsidR="0034263B" w:rsidRPr="00383BF9">
        <w:rPr>
          <w:rFonts w:ascii="Arial" w:hAnsi="Arial" w:cs="Arial"/>
          <w:sz w:val="28"/>
          <w:szCs w:val="28"/>
        </w:rPr>
        <w:t xml:space="preserve">waltzers. </w:t>
      </w:r>
      <w:r w:rsidR="0034263B" w:rsidRPr="00383BF9">
        <w:rPr>
          <w:rFonts w:ascii="Arial" w:hAnsi="Arial" w:cs="Arial"/>
          <w:bCs/>
          <w:sz w:val="28"/>
          <w:szCs w:val="28"/>
        </w:rPr>
        <w:t>Permission was not granted her to enter the premises of the park nor to climb the perimeter fence and jump in. Permission is granted only when you pay the single entrance fee.</w:t>
      </w:r>
      <w:r w:rsidRPr="00383BF9">
        <w:rPr>
          <w:rFonts w:ascii="Arial" w:hAnsi="Arial" w:cs="Arial"/>
          <w:bCs/>
          <w:sz w:val="28"/>
          <w:szCs w:val="28"/>
        </w:rPr>
        <w:t xml:space="preserve"> </w:t>
      </w:r>
      <w:r w:rsidR="0034263B" w:rsidRPr="00383BF9">
        <w:rPr>
          <w:rFonts w:ascii="Arial" w:hAnsi="Arial" w:cs="Arial"/>
          <w:bCs/>
          <w:sz w:val="28"/>
          <w:szCs w:val="28"/>
        </w:rPr>
        <w:t>However, Mille will only be able to establish that CPL owed her a duty of care if the</w:t>
      </w:r>
      <w:r w:rsidR="005E0CF3" w:rsidRPr="00383BF9">
        <w:rPr>
          <w:rFonts w:ascii="Arial" w:hAnsi="Arial" w:cs="Arial"/>
          <w:bCs/>
          <w:sz w:val="28"/>
          <w:szCs w:val="28"/>
        </w:rPr>
        <w:t>se</w:t>
      </w:r>
      <w:r w:rsidR="0034263B" w:rsidRPr="00383BF9">
        <w:rPr>
          <w:rFonts w:ascii="Arial" w:hAnsi="Arial" w:cs="Arial"/>
          <w:bCs/>
          <w:sz w:val="28"/>
          <w:szCs w:val="28"/>
        </w:rPr>
        <w:t xml:space="preserve"> three-stage test under s.1(3) OLA 1984 is met</w:t>
      </w:r>
      <w:r w:rsidR="005E0CF3" w:rsidRPr="00383BF9">
        <w:rPr>
          <w:rFonts w:ascii="Arial" w:hAnsi="Arial" w:cs="Arial"/>
          <w:bCs/>
          <w:sz w:val="28"/>
          <w:szCs w:val="28"/>
        </w:rPr>
        <w:t>:</w:t>
      </w:r>
      <w:r w:rsidR="00DB1A1D" w:rsidRPr="00383BF9">
        <w:rPr>
          <w:rFonts w:ascii="Arial" w:hAnsi="Arial" w:cs="Arial"/>
          <w:bCs/>
          <w:sz w:val="28"/>
          <w:szCs w:val="28"/>
        </w:rPr>
        <w:t xml:space="preserve"> </w:t>
      </w:r>
      <w:r w:rsidR="005E0CF3" w:rsidRPr="00383BF9">
        <w:rPr>
          <w:rFonts w:ascii="Arial" w:hAnsi="Arial" w:cs="Arial"/>
          <w:bCs/>
          <w:sz w:val="28"/>
          <w:szCs w:val="28"/>
        </w:rPr>
        <w:t>k</w:t>
      </w:r>
      <w:r w:rsidR="00DB1A1D" w:rsidRPr="00383BF9">
        <w:rPr>
          <w:rFonts w:ascii="Arial" w:hAnsi="Arial" w:cs="Arial"/>
          <w:bCs/>
          <w:sz w:val="28"/>
          <w:szCs w:val="28"/>
        </w:rPr>
        <w:t xml:space="preserve">nowledge of the foresight of the danger, </w:t>
      </w:r>
      <w:r w:rsidR="005E0CF3" w:rsidRPr="00383BF9">
        <w:rPr>
          <w:rFonts w:ascii="Arial" w:hAnsi="Arial" w:cs="Arial"/>
          <w:bCs/>
          <w:sz w:val="28"/>
          <w:szCs w:val="28"/>
        </w:rPr>
        <w:t>k</w:t>
      </w:r>
      <w:r w:rsidR="00DB1A1D" w:rsidRPr="00383BF9">
        <w:rPr>
          <w:rFonts w:ascii="Arial" w:hAnsi="Arial" w:cs="Arial"/>
          <w:bCs/>
          <w:sz w:val="28"/>
          <w:szCs w:val="28"/>
        </w:rPr>
        <w:t xml:space="preserve">nowledge of the presence of the trespassers and </w:t>
      </w:r>
      <w:r w:rsidR="005E0CF3" w:rsidRPr="00383BF9">
        <w:rPr>
          <w:rFonts w:ascii="Arial" w:hAnsi="Arial" w:cs="Arial"/>
          <w:bCs/>
          <w:sz w:val="28"/>
          <w:szCs w:val="28"/>
        </w:rPr>
        <w:t>r</w:t>
      </w:r>
      <w:r w:rsidR="00DB1A1D" w:rsidRPr="00383BF9">
        <w:rPr>
          <w:rFonts w:ascii="Arial" w:hAnsi="Arial" w:cs="Arial"/>
          <w:bCs/>
          <w:sz w:val="28"/>
          <w:szCs w:val="28"/>
        </w:rPr>
        <w:t xml:space="preserve">easonable to expect protection. </w:t>
      </w:r>
      <w:r w:rsidR="0034263B" w:rsidRPr="00383BF9">
        <w:rPr>
          <w:rFonts w:ascii="Arial" w:hAnsi="Arial" w:cs="Arial"/>
          <w:bCs/>
          <w:sz w:val="28"/>
          <w:szCs w:val="28"/>
        </w:rPr>
        <w:t xml:space="preserve">Any duty will not </w:t>
      </w:r>
      <w:r w:rsidR="007A1D7B" w:rsidRPr="00383BF9">
        <w:rPr>
          <w:rFonts w:ascii="Arial" w:hAnsi="Arial" w:cs="Arial"/>
          <w:bCs/>
          <w:sz w:val="28"/>
          <w:szCs w:val="28"/>
        </w:rPr>
        <w:t>extend</w:t>
      </w:r>
      <w:r w:rsidR="007A1D7B" w:rsidRPr="00383BF9">
        <w:rPr>
          <w:rFonts w:ascii="Arial" w:hAnsi="Arial" w:cs="Arial"/>
          <w:sz w:val="28"/>
          <w:szCs w:val="28"/>
        </w:rPr>
        <w:t xml:space="preserve"> to the </w:t>
      </w:r>
      <w:r w:rsidR="007A1D7B" w:rsidRPr="00383BF9">
        <w:rPr>
          <w:rFonts w:ascii="Arial" w:hAnsi="Arial" w:cs="Arial"/>
          <w:bCs/>
          <w:sz w:val="28"/>
          <w:szCs w:val="28"/>
        </w:rPr>
        <w:t xml:space="preserve">protection of Mille’s property </w:t>
      </w:r>
      <w:r w:rsidR="0002469C" w:rsidRPr="00383BF9">
        <w:rPr>
          <w:rFonts w:ascii="Arial" w:hAnsi="Arial" w:cs="Arial"/>
          <w:bCs/>
          <w:sz w:val="28"/>
          <w:szCs w:val="28"/>
        </w:rPr>
        <w:t>i.e.,</w:t>
      </w:r>
      <w:r w:rsidR="007A1D7B" w:rsidRPr="00383BF9">
        <w:rPr>
          <w:rFonts w:ascii="Arial" w:hAnsi="Arial" w:cs="Arial"/>
          <w:bCs/>
          <w:sz w:val="28"/>
          <w:szCs w:val="28"/>
        </w:rPr>
        <w:t xml:space="preserve"> his sunglass.  Also, CPL may not be held liable of the injury of </w:t>
      </w:r>
      <w:r w:rsidR="007A1D7B" w:rsidRPr="00383BF9">
        <w:rPr>
          <w:rFonts w:ascii="Arial" w:hAnsi="Arial" w:cs="Arial"/>
          <w:sz w:val="28"/>
          <w:szCs w:val="28"/>
        </w:rPr>
        <w:t xml:space="preserve">fractured skull sustained by Millie when some of the lights and electrics crashed on her head. Firstly, it is unclear whether CPL were aware of, or had reasonable grounds to believe that </w:t>
      </w:r>
      <w:r w:rsidR="00226527" w:rsidRPr="00383BF9">
        <w:rPr>
          <w:rFonts w:ascii="Arial" w:hAnsi="Arial" w:cs="Arial"/>
          <w:sz w:val="28"/>
          <w:szCs w:val="28"/>
        </w:rPr>
        <w:t>this particular</w:t>
      </w:r>
      <w:r w:rsidR="007A1D7B" w:rsidRPr="00383BF9">
        <w:rPr>
          <w:rFonts w:ascii="Arial" w:hAnsi="Arial" w:cs="Arial"/>
          <w:sz w:val="28"/>
          <w:szCs w:val="28"/>
        </w:rPr>
        <w:t xml:space="preserve"> danger existed </w:t>
      </w:r>
      <w:r w:rsidR="00226527" w:rsidRPr="00383BF9">
        <w:rPr>
          <w:rFonts w:ascii="Arial" w:hAnsi="Arial" w:cs="Arial"/>
          <w:bCs/>
          <w:sz w:val="28"/>
          <w:szCs w:val="28"/>
        </w:rPr>
        <w:t>because they may never have envisaged that someone would go to that extent to gain access into the premises</w:t>
      </w:r>
      <w:r w:rsidR="00226527" w:rsidRPr="00383BF9">
        <w:rPr>
          <w:rFonts w:ascii="Arial" w:hAnsi="Arial" w:cs="Arial"/>
          <w:bCs/>
          <w:sz w:val="28"/>
          <w:szCs w:val="28"/>
        </w:rPr>
        <w:t xml:space="preserve"> </w:t>
      </w:r>
      <w:r w:rsidR="00226527" w:rsidRPr="00383BF9">
        <w:rPr>
          <w:rFonts w:ascii="Arial" w:hAnsi="Arial" w:cs="Arial"/>
          <w:bCs/>
          <w:sz w:val="28"/>
          <w:szCs w:val="28"/>
        </w:rPr>
        <w:t>so there was no how they would have prepared for the risk of injury of any danger due to the state of the premises or to things done or omitted to be done on them’’</w:t>
      </w:r>
      <w:r w:rsidR="00226527" w:rsidRPr="00383BF9">
        <w:rPr>
          <w:rFonts w:ascii="Arial" w:hAnsi="Arial" w:cs="Arial"/>
          <w:bCs/>
          <w:sz w:val="28"/>
          <w:szCs w:val="28"/>
        </w:rPr>
        <w:t xml:space="preserve"> </w:t>
      </w:r>
      <w:r w:rsidR="00226527" w:rsidRPr="00383BF9">
        <w:rPr>
          <w:rFonts w:ascii="Arial" w:hAnsi="Arial" w:cs="Arial"/>
          <w:sz w:val="28"/>
          <w:szCs w:val="28"/>
        </w:rPr>
        <w:t xml:space="preserve">(s.1(3)(a) OLA 1984). </w:t>
      </w:r>
      <w:r w:rsidR="00226527" w:rsidRPr="00383BF9">
        <w:rPr>
          <w:rFonts w:ascii="Arial" w:hAnsi="Arial" w:cs="Arial"/>
          <w:bCs/>
          <w:sz w:val="28"/>
          <w:szCs w:val="28"/>
        </w:rPr>
        <w:t>They</w:t>
      </w:r>
      <w:r w:rsidR="00226527" w:rsidRPr="00383BF9">
        <w:rPr>
          <w:rFonts w:ascii="Arial" w:hAnsi="Arial" w:cs="Arial"/>
          <w:bCs/>
          <w:sz w:val="28"/>
          <w:szCs w:val="28"/>
        </w:rPr>
        <w:t xml:space="preserve"> may</w:t>
      </w:r>
      <w:r w:rsidR="00226527" w:rsidRPr="00383BF9">
        <w:rPr>
          <w:rFonts w:ascii="Arial" w:hAnsi="Arial" w:cs="Arial"/>
          <w:bCs/>
          <w:sz w:val="28"/>
          <w:szCs w:val="28"/>
        </w:rPr>
        <w:t xml:space="preserve"> not have been able to foresee that someone would go up the roof above where the electric and the lights are and that the lights and electrics would come loose and fall onto</w:t>
      </w:r>
      <w:r w:rsidR="00226527" w:rsidRPr="00383BF9">
        <w:rPr>
          <w:rFonts w:ascii="Arial" w:hAnsi="Arial" w:cs="Arial"/>
          <w:bCs/>
          <w:sz w:val="28"/>
          <w:szCs w:val="28"/>
        </w:rPr>
        <w:t xml:space="preserve"> the</w:t>
      </w:r>
      <w:r w:rsidR="00226527" w:rsidRPr="00383BF9">
        <w:rPr>
          <w:rFonts w:ascii="Arial" w:hAnsi="Arial" w:cs="Arial"/>
          <w:bCs/>
          <w:sz w:val="28"/>
          <w:szCs w:val="28"/>
        </w:rPr>
        <w:t xml:space="preserve"> head causing a fractured skull and broke her sunglasses.</w:t>
      </w:r>
      <w:r w:rsidR="00340D24" w:rsidRPr="00383BF9">
        <w:rPr>
          <w:rFonts w:ascii="Arial" w:hAnsi="Arial" w:cs="Arial"/>
          <w:bCs/>
          <w:sz w:val="28"/>
          <w:szCs w:val="28"/>
        </w:rPr>
        <w:t xml:space="preserve"> </w:t>
      </w:r>
      <w:r w:rsidR="0002469C" w:rsidRPr="00383BF9">
        <w:rPr>
          <w:rFonts w:ascii="Arial" w:hAnsi="Arial" w:cs="Arial"/>
          <w:sz w:val="28"/>
          <w:szCs w:val="28"/>
        </w:rPr>
        <w:t>It would need to be established whether the ride had been subject to regular inspection and maintenance.</w:t>
      </w:r>
    </w:p>
    <w:p w14:paraId="50576D2B" w14:textId="71101B07" w:rsidR="007C7F0E" w:rsidRPr="00383BF9" w:rsidRDefault="0002469C" w:rsidP="00383BF9">
      <w:pPr>
        <w:jc w:val="both"/>
        <w:rPr>
          <w:rFonts w:ascii="Arial" w:hAnsi="Arial" w:cs="Arial"/>
          <w:bCs/>
          <w:sz w:val="28"/>
          <w:szCs w:val="28"/>
        </w:rPr>
      </w:pPr>
      <w:r w:rsidRPr="00383BF9">
        <w:rPr>
          <w:rFonts w:ascii="Arial" w:hAnsi="Arial" w:cs="Arial"/>
          <w:sz w:val="28"/>
          <w:szCs w:val="28"/>
        </w:rPr>
        <w:t xml:space="preserve"> It is unclear whether CPL knew or had reasonable grounds to believe that Millie may come into the vicinity of the danger. If a trespasser were to gain entry to the park, it is inevitable that he/she would gain entry to the various rides, including the </w:t>
      </w:r>
      <w:r w:rsidR="0053643B" w:rsidRPr="00383BF9">
        <w:rPr>
          <w:rFonts w:ascii="Arial" w:hAnsi="Arial" w:cs="Arial"/>
          <w:sz w:val="28"/>
          <w:szCs w:val="28"/>
        </w:rPr>
        <w:t>waltzers ride.</w:t>
      </w:r>
      <w:r w:rsidRPr="00383BF9">
        <w:rPr>
          <w:rFonts w:ascii="Arial" w:hAnsi="Arial" w:cs="Arial"/>
          <w:sz w:val="28"/>
          <w:szCs w:val="28"/>
        </w:rPr>
        <w:t xml:space="preserve"> It would be relevant to discover whether CPL were aware that persons were gaining unauthorised entry to the park. </w:t>
      </w:r>
      <w:r w:rsidR="00F53518" w:rsidRPr="00383BF9">
        <w:rPr>
          <w:rFonts w:ascii="Arial" w:hAnsi="Arial" w:cs="Arial"/>
          <w:sz w:val="28"/>
          <w:szCs w:val="28"/>
        </w:rPr>
        <w:t>On the other hand, CPL may argue that, with a robust entry system and the erection of the tall perimeter fence, the presence of a trespasser on the waltzers</w:t>
      </w:r>
      <w:r w:rsidR="0053643B" w:rsidRPr="00383BF9">
        <w:rPr>
          <w:rFonts w:ascii="Arial" w:hAnsi="Arial" w:cs="Arial"/>
          <w:sz w:val="28"/>
          <w:szCs w:val="28"/>
        </w:rPr>
        <w:t xml:space="preserve"> ride</w:t>
      </w:r>
      <w:r w:rsidR="00F53518" w:rsidRPr="00383BF9">
        <w:rPr>
          <w:rFonts w:ascii="Arial" w:hAnsi="Arial" w:cs="Arial"/>
          <w:sz w:val="28"/>
          <w:szCs w:val="28"/>
        </w:rPr>
        <w:t xml:space="preserve"> could not have reasonably been anticipated e.g., White v St Albans City and District Council (1990)- s.1(3) (b). Arguably the risk was not one against </w:t>
      </w:r>
      <w:r w:rsidR="007368E9" w:rsidRPr="00383BF9">
        <w:rPr>
          <w:rFonts w:ascii="Arial" w:hAnsi="Arial" w:cs="Arial"/>
          <w:sz w:val="28"/>
          <w:szCs w:val="28"/>
        </w:rPr>
        <w:t>which CPL could reasonably have been expected to offer Millie some protection</w:t>
      </w:r>
      <w:r w:rsidR="00EC2537" w:rsidRPr="00383BF9">
        <w:rPr>
          <w:rFonts w:ascii="Arial" w:hAnsi="Arial" w:cs="Arial"/>
          <w:sz w:val="28"/>
          <w:szCs w:val="28"/>
        </w:rPr>
        <w:t xml:space="preserve"> as they would not </w:t>
      </w:r>
      <w:r w:rsidR="00EC2537" w:rsidRPr="00383BF9">
        <w:rPr>
          <w:rFonts w:ascii="Arial" w:hAnsi="Arial" w:cs="Arial"/>
          <w:bCs/>
          <w:sz w:val="28"/>
          <w:szCs w:val="28"/>
        </w:rPr>
        <w:t>foresee someone would go up the roof above where the electric and the lights are.</w:t>
      </w:r>
      <w:r w:rsidR="007368E9" w:rsidRPr="00383BF9">
        <w:rPr>
          <w:rFonts w:ascii="Arial" w:hAnsi="Arial" w:cs="Arial"/>
          <w:sz w:val="28"/>
          <w:szCs w:val="28"/>
        </w:rPr>
        <w:t xml:space="preserve"> (s1(3)(c) given that Millie’s entry to the park and the waltzers</w:t>
      </w:r>
      <w:r w:rsidR="0053643B" w:rsidRPr="00383BF9">
        <w:rPr>
          <w:rFonts w:ascii="Arial" w:hAnsi="Arial" w:cs="Arial"/>
          <w:sz w:val="28"/>
          <w:szCs w:val="28"/>
        </w:rPr>
        <w:t xml:space="preserve"> ride</w:t>
      </w:r>
      <w:r w:rsidR="007368E9" w:rsidRPr="00383BF9">
        <w:rPr>
          <w:rFonts w:ascii="Arial" w:hAnsi="Arial" w:cs="Arial"/>
          <w:sz w:val="28"/>
          <w:szCs w:val="28"/>
        </w:rPr>
        <w:t xml:space="preserve"> involved the commission of </w:t>
      </w:r>
      <w:r w:rsidR="007368E9" w:rsidRPr="00383BF9">
        <w:rPr>
          <w:rFonts w:ascii="Arial" w:hAnsi="Arial" w:cs="Arial"/>
          <w:sz w:val="28"/>
          <w:szCs w:val="28"/>
        </w:rPr>
        <w:lastRenderedPageBreak/>
        <w:t>a criminal offence (obtaining services dishonesty contrary to s.11 Fraud Act 2006).</w:t>
      </w:r>
      <w:r w:rsidR="00EC2537" w:rsidRPr="00383BF9">
        <w:rPr>
          <w:rFonts w:ascii="Arial" w:hAnsi="Arial" w:cs="Arial"/>
          <w:bCs/>
          <w:sz w:val="28"/>
          <w:szCs w:val="28"/>
        </w:rPr>
        <w:t xml:space="preserve"> </w:t>
      </w:r>
    </w:p>
    <w:p w14:paraId="754B4D70" w14:textId="7E07AFEF" w:rsidR="0053643B" w:rsidRPr="00383BF9" w:rsidRDefault="0053643B" w:rsidP="00383BF9">
      <w:pPr>
        <w:spacing w:before="240"/>
        <w:jc w:val="both"/>
        <w:rPr>
          <w:rFonts w:ascii="Arial" w:hAnsi="Arial" w:cs="Arial"/>
          <w:sz w:val="28"/>
          <w:szCs w:val="28"/>
        </w:rPr>
      </w:pPr>
      <w:r w:rsidRPr="00383BF9">
        <w:rPr>
          <w:rFonts w:ascii="Arial" w:hAnsi="Arial" w:cs="Arial"/>
          <w:sz w:val="28"/>
          <w:szCs w:val="28"/>
        </w:rPr>
        <w:t>Assuming Millie is a lawful visitor</w:t>
      </w:r>
      <w:r w:rsidR="007C7F0E" w:rsidRPr="00383BF9">
        <w:rPr>
          <w:rFonts w:ascii="Arial" w:hAnsi="Arial" w:cs="Arial"/>
          <w:sz w:val="28"/>
          <w:szCs w:val="28"/>
        </w:rPr>
        <w:t xml:space="preserve"> i.e., she </w:t>
      </w:r>
      <w:r w:rsidR="007C7F0E" w:rsidRPr="00383BF9">
        <w:rPr>
          <w:rFonts w:ascii="Arial" w:hAnsi="Arial" w:cs="Arial"/>
          <w:bCs/>
          <w:sz w:val="28"/>
          <w:szCs w:val="28"/>
        </w:rPr>
        <w:t>paid the single entrance fee for admittance to enter the</w:t>
      </w:r>
      <w:r w:rsidR="007C7F0E" w:rsidRPr="00383BF9">
        <w:rPr>
          <w:rFonts w:ascii="Arial" w:hAnsi="Arial" w:cs="Arial"/>
          <w:sz w:val="28"/>
          <w:szCs w:val="28"/>
        </w:rPr>
        <w:t xml:space="preserve"> </w:t>
      </w:r>
      <w:r w:rsidRPr="00383BF9">
        <w:rPr>
          <w:rFonts w:ascii="Arial" w:hAnsi="Arial" w:cs="Arial"/>
          <w:sz w:val="28"/>
          <w:szCs w:val="28"/>
        </w:rPr>
        <w:t xml:space="preserve">Theme Park, CPL will owe her a duty of care in relation to any personal injury or property damage under s.2(2) OLA 1957. Breach of duty would have been established here. </w:t>
      </w:r>
      <w:r w:rsidR="007C7F0E" w:rsidRPr="00383BF9">
        <w:rPr>
          <w:rFonts w:ascii="Arial" w:hAnsi="Arial" w:cs="Arial"/>
          <w:sz w:val="28"/>
          <w:szCs w:val="28"/>
        </w:rPr>
        <w:t>Here, the principle of</w:t>
      </w:r>
      <w:r w:rsidR="004E3FBD" w:rsidRPr="00383BF9">
        <w:rPr>
          <w:rFonts w:ascii="Arial" w:hAnsi="Arial" w:cs="Arial"/>
          <w:sz w:val="28"/>
          <w:szCs w:val="28"/>
        </w:rPr>
        <w:t xml:space="preserve"> the available evidence speaking for itself </w:t>
      </w:r>
      <w:r w:rsidR="007C7F0E" w:rsidRPr="00383BF9">
        <w:rPr>
          <w:rFonts w:ascii="Arial" w:hAnsi="Arial" w:cs="Arial"/>
          <w:sz w:val="28"/>
          <w:szCs w:val="28"/>
        </w:rPr>
        <w:t xml:space="preserve">may enable the court to presume a breach, assuming the reason for the accident is unknown: the electric wire was either under CPL’s control, or persons for whom CPL were responsible (e.g. Gee v Metropolitan Rly (1873) and the </w:t>
      </w:r>
      <w:r w:rsidR="00EC2537" w:rsidRPr="00383BF9">
        <w:rPr>
          <w:rFonts w:ascii="Arial" w:hAnsi="Arial" w:cs="Arial"/>
          <w:sz w:val="28"/>
          <w:szCs w:val="28"/>
        </w:rPr>
        <w:t>electric</w:t>
      </w:r>
      <w:r w:rsidR="007C7F0E" w:rsidRPr="00383BF9">
        <w:rPr>
          <w:rFonts w:ascii="Arial" w:hAnsi="Arial" w:cs="Arial"/>
          <w:sz w:val="28"/>
          <w:szCs w:val="28"/>
        </w:rPr>
        <w:t xml:space="preserve"> wire would not normally come loose unless proper care had been taken (e.g Ward v Tesco Stores (1976).</w:t>
      </w:r>
    </w:p>
    <w:p w14:paraId="07FB587F" w14:textId="3C688FE8" w:rsidR="00EC2537" w:rsidRPr="00383BF9" w:rsidRDefault="00EC2537" w:rsidP="00383BF9">
      <w:pPr>
        <w:jc w:val="both"/>
        <w:rPr>
          <w:rFonts w:ascii="Arial" w:hAnsi="Arial" w:cs="Arial"/>
          <w:bCs/>
          <w:sz w:val="28"/>
          <w:szCs w:val="28"/>
        </w:rPr>
      </w:pPr>
      <w:r w:rsidRPr="00383BF9">
        <w:rPr>
          <w:rFonts w:ascii="Arial" w:hAnsi="Arial" w:cs="Arial"/>
          <w:bCs/>
          <w:sz w:val="28"/>
          <w:szCs w:val="28"/>
        </w:rPr>
        <w:t>Millie is the process of avoiding paying voluntarily engaged in an activity which had inherent risk. When she jumped, she should be aware of the risk. The court could rule that the risk arose from the decision she took and not out of the state of the premises or things done or omitted to be done. She might argue that the premises were not safe after the first incident but the court could rule that that particular danger was not one CPL would be aware of. There was therefore no risk to the claimant due to the state of the premises or anything done or omitted.</w:t>
      </w:r>
      <w:r w:rsidR="00887E3A" w:rsidRPr="00383BF9">
        <w:rPr>
          <w:rFonts w:ascii="Arial" w:hAnsi="Arial" w:cs="Arial"/>
          <w:bCs/>
          <w:sz w:val="28"/>
          <w:szCs w:val="28"/>
        </w:rPr>
        <w:t xml:space="preserve"> </w:t>
      </w:r>
      <w:r w:rsidRPr="00383BF9">
        <w:rPr>
          <w:rFonts w:ascii="Arial" w:hAnsi="Arial" w:cs="Arial"/>
          <w:bCs/>
          <w:sz w:val="28"/>
          <w:szCs w:val="28"/>
        </w:rPr>
        <w:t>Though it can be argued that although</w:t>
      </w:r>
      <w:r w:rsidR="00887E3A" w:rsidRPr="00383BF9">
        <w:rPr>
          <w:rFonts w:ascii="Arial" w:hAnsi="Arial" w:cs="Arial"/>
          <w:bCs/>
          <w:sz w:val="28"/>
          <w:szCs w:val="28"/>
        </w:rPr>
        <w:t xml:space="preserve"> CPL</w:t>
      </w:r>
      <w:r w:rsidRPr="00383BF9">
        <w:rPr>
          <w:rFonts w:ascii="Arial" w:hAnsi="Arial" w:cs="Arial"/>
          <w:bCs/>
          <w:sz w:val="28"/>
          <w:szCs w:val="28"/>
        </w:rPr>
        <w:t xml:space="preserve"> were not aware that particular danger existed, they were aware other dangers existed and they should have taken necessary steps all the equipment on the premises. When the incident of Leo happened some days ago, that</w:t>
      </w:r>
      <w:r w:rsidR="00887E3A" w:rsidRPr="00383BF9">
        <w:rPr>
          <w:rFonts w:ascii="Arial" w:hAnsi="Arial" w:cs="Arial"/>
          <w:bCs/>
          <w:sz w:val="28"/>
          <w:szCs w:val="28"/>
        </w:rPr>
        <w:t xml:space="preserve"> may have been</w:t>
      </w:r>
      <w:r w:rsidRPr="00383BF9">
        <w:rPr>
          <w:rFonts w:ascii="Arial" w:hAnsi="Arial" w:cs="Arial"/>
          <w:bCs/>
          <w:sz w:val="28"/>
          <w:szCs w:val="28"/>
        </w:rPr>
        <w:t xml:space="preserve"> enough</w:t>
      </w:r>
      <w:r w:rsidR="00887E3A" w:rsidRPr="00383BF9">
        <w:rPr>
          <w:rFonts w:ascii="Arial" w:hAnsi="Arial" w:cs="Arial"/>
          <w:bCs/>
          <w:sz w:val="28"/>
          <w:szCs w:val="28"/>
        </w:rPr>
        <w:t xml:space="preserve"> reason</w:t>
      </w:r>
      <w:r w:rsidRPr="00383BF9">
        <w:rPr>
          <w:rFonts w:ascii="Arial" w:hAnsi="Arial" w:cs="Arial"/>
          <w:bCs/>
          <w:sz w:val="28"/>
          <w:szCs w:val="28"/>
        </w:rPr>
        <w:t xml:space="preserve"> for them to shut down</w:t>
      </w:r>
      <w:r w:rsidR="00887E3A" w:rsidRPr="00383BF9">
        <w:rPr>
          <w:rFonts w:ascii="Arial" w:hAnsi="Arial" w:cs="Arial"/>
          <w:bCs/>
          <w:sz w:val="28"/>
          <w:szCs w:val="28"/>
        </w:rPr>
        <w:t xml:space="preserve"> the park</w:t>
      </w:r>
      <w:r w:rsidRPr="00383BF9">
        <w:rPr>
          <w:rFonts w:ascii="Arial" w:hAnsi="Arial" w:cs="Arial"/>
          <w:bCs/>
          <w:sz w:val="28"/>
          <w:szCs w:val="28"/>
        </w:rPr>
        <w:t xml:space="preserve"> and carry out a general maintenance on all their equipment and premises. That is Gross Negligence. It could also be argued that even if they had carried out a general maintenance and Millie had gate crashed, the accident would have still happened.</w:t>
      </w:r>
    </w:p>
    <w:p w14:paraId="56EF90E1" w14:textId="77777777" w:rsidR="00887E3A" w:rsidRPr="00383BF9" w:rsidRDefault="00EC2537" w:rsidP="00383BF9">
      <w:pPr>
        <w:jc w:val="both"/>
        <w:rPr>
          <w:rFonts w:ascii="Arial" w:hAnsi="Arial" w:cs="Arial"/>
          <w:bCs/>
          <w:sz w:val="28"/>
          <w:szCs w:val="28"/>
        </w:rPr>
      </w:pPr>
      <w:r w:rsidRPr="00383BF9">
        <w:rPr>
          <w:rFonts w:ascii="Arial" w:hAnsi="Arial" w:cs="Arial"/>
          <w:bCs/>
          <w:sz w:val="28"/>
          <w:szCs w:val="28"/>
        </w:rPr>
        <w:t>It could also be argued that CPL</w:t>
      </w:r>
      <w:r w:rsidR="00031B92" w:rsidRPr="00383BF9">
        <w:rPr>
          <w:rFonts w:ascii="Arial" w:hAnsi="Arial" w:cs="Arial"/>
          <w:bCs/>
          <w:sz w:val="28"/>
          <w:szCs w:val="28"/>
        </w:rPr>
        <w:t xml:space="preserve"> </w:t>
      </w:r>
      <w:r w:rsidRPr="00383BF9">
        <w:rPr>
          <w:rFonts w:ascii="Arial" w:hAnsi="Arial" w:cs="Arial"/>
          <w:bCs/>
          <w:sz w:val="28"/>
          <w:szCs w:val="28"/>
        </w:rPr>
        <w:t>should be aware that considering the peculiarities of their customers (Children, teenagers and students)</w:t>
      </w:r>
      <w:r w:rsidR="00031B92" w:rsidRPr="00383BF9">
        <w:rPr>
          <w:rFonts w:ascii="Arial" w:hAnsi="Arial" w:cs="Arial"/>
          <w:bCs/>
          <w:sz w:val="28"/>
          <w:szCs w:val="28"/>
        </w:rPr>
        <w:t>, some of them</w:t>
      </w:r>
      <w:r w:rsidRPr="00383BF9">
        <w:rPr>
          <w:rFonts w:ascii="Arial" w:hAnsi="Arial" w:cs="Arial"/>
          <w:bCs/>
          <w:sz w:val="28"/>
          <w:szCs w:val="28"/>
        </w:rPr>
        <w:t xml:space="preserve"> could be naughty and want to gate crashed, get into the premises by all means without paying. There might be reasonable grounds that the danger existed though they could argue that they did not foresee the danger of the lights coming off, they are not aware of the danger of have reasonable grounds that it existed (s 1(3) (a) OLA 1984). They should have been prepared for any risk. Anyone can come into the vicinity of danger even if she does not have lawful authority to be there (s1(3)(b) OLA 1</w:t>
      </w:r>
      <w:r w:rsidR="00031B92" w:rsidRPr="00383BF9">
        <w:rPr>
          <w:rFonts w:ascii="Arial" w:hAnsi="Arial" w:cs="Arial"/>
          <w:bCs/>
          <w:sz w:val="28"/>
          <w:szCs w:val="28"/>
        </w:rPr>
        <w:t>(</w:t>
      </w:r>
      <w:r w:rsidRPr="00383BF9">
        <w:rPr>
          <w:rFonts w:ascii="Arial" w:hAnsi="Arial" w:cs="Arial"/>
          <w:bCs/>
          <w:sz w:val="28"/>
          <w:szCs w:val="28"/>
        </w:rPr>
        <w:t>984).</w:t>
      </w:r>
      <w:r w:rsidR="00887E3A" w:rsidRPr="00383BF9">
        <w:rPr>
          <w:rFonts w:ascii="Arial" w:hAnsi="Arial" w:cs="Arial"/>
          <w:bCs/>
          <w:sz w:val="28"/>
          <w:szCs w:val="28"/>
        </w:rPr>
        <w:t xml:space="preserve">  </w:t>
      </w:r>
    </w:p>
    <w:p w14:paraId="0B5988EF" w14:textId="30CD818B" w:rsidR="00887E3A" w:rsidRPr="00383BF9" w:rsidRDefault="007C7F0E" w:rsidP="00383BF9">
      <w:pPr>
        <w:jc w:val="both"/>
        <w:rPr>
          <w:rFonts w:ascii="Arial" w:hAnsi="Arial" w:cs="Arial"/>
          <w:bCs/>
          <w:sz w:val="28"/>
          <w:szCs w:val="28"/>
        </w:rPr>
      </w:pPr>
      <w:r w:rsidRPr="00383BF9">
        <w:rPr>
          <w:rFonts w:ascii="Arial" w:hAnsi="Arial" w:cs="Arial"/>
          <w:sz w:val="28"/>
          <w:szCs w:val="28"/>
        </w:rPr>
        <w:lastRenderedPageBreak/>
        <w:t xml:space="preserve">The issue is whether the duty of care would extend to protect </w:t>
      </w:r>
      <w:r w:rsidRPr="00383BF9">
        <w:rPr>
          <w:rFonts w:ascii="Arial" w:hAnsi="Arial" w:cs="Arial"/>
          <w:bCs/>
          <w:sz w:val="28"/>
          <w:szCs w:val="28"/>
        </w:rPr>
        <w:t>Nia and Owen</w:t>
      </w:r>
      <w:r w:rsidRPr="00383BF9">
        <w:rPr>
          <w:rFonts w:ascii="Arial" w:hAnsi="Arial" w:cs="Arial"/>
          <w:sz w:val="28"/>
          <w:szCs w:val="28"/>
        </w:rPr>
        <w:t xml:space="preserve"> from suffering recognisable psychiatric injury.</w:t>
      </w:r>
    </w:p>
    <w:p w14:paraId="0F040E94" w14:textId="5BB6B563" w:rsidR="00D9710A" w:rsidRPr="00383BF9" w:rsidRDefault="007C7F0E" w:rsidP="00383BF9">
      <w:pPr>
        <w:jc w:val="both"/>
        <w:rPr>
          <w:rFonts w:ascii="Arial" w:hAnsi="Arial" w:cs="Arial"/>
          <w:bCs/>
          <w:sz w:val="28"/>
          <w:szCs w:val="28"/>
        </w:rPr>
      </w:pPr>
      <w:r w:rsidRPr="00383BF9">
        <w:rPr>
          <w:rFonts w:ascii="Arial" w:hAnsi="Arial" w:cs="Arial"/>
          <w:bCs/>
          <w:sz w:val="28"/>
          <w:szCs w:val="28"/>
        </w:rPr>
        <w:t>CPL’s liability to Nia</w:t>
      </w:r>
    </w:p>
    <w:p w14:paraId="72492B85" w14:textId="754C0D4E" w:rsidR="00AD0BBB" w:rsidRPr="00383BF9" w:rsidRDefault="00DB1A1D" w:rsidP="00383BF9">
      <w:pPr>
        <w:spacing w:before="240"/>
        <w:jc w:val="both"/>
        <w:rPr>
          <w:rFonts w:ascii="Arial" w:hAnsi="Arial" w:cs="Arial"/>
          <w:sz w:val="28"/>
          <w:szCs w:val="28"/>
        </w:rPr>
      </w:pPr>
      <w:r w:rsidRPr="00383BF9">
        <w:rPr>
          <w:rFonts w:ascii="Arial" w:hAnsi="Arial" w:cs="Arial"/>
          <w:sz w:val="28"/>
          <w:szCs w:val="28"/>
        </w:rPr>
        <w:t xml:space="preserve">Since the incident, Nia has suffered from post-traumatic stress disorder as a result of her experience which is a medically recognised psychiatric harm and thus potentially recoverable. </w:t>
      </w:r>
      <w:r w:rsidR="008A6F74" w:rsidRPr="00383BF9">
        <w:rPr>
          <w:rFonts w:ascii="Arial" w:hAnsi="Arial" w:cs="Arial"/>
          <w:sz w:val="28"/>
          <w:szCs w:val="28"/>
        </w:rPr>
        <w:t xml:space="preserve">If Nia was physically endangered by CPL’s negligence, she will be a primary victim (Page v Smith (1996)). It is unclear whether Nia was placed in the immediate ‘zone of danger’ during her escape from the waltzers ride, though the fire is said to spread rapidly and engulfed the whole waltzers ride. If some personal Injury </w:t>
      </w:r>
      <w:r w:rsidR="00887E3A" w:rsidRPr="00383BF9">
        <w:rPr>
          <w:rFonts w:ascii="Arial" w:hAnsi="Arial" w:cs="Arial"/>
          <w:sz w:val="28"/>
          <w:szCs w:val="28"/>
        </w:rPr>
        <w:t>(</w:t>
      </w:r>
      <w:r w:rsidR="008A6F74" w:rsidRPr="00383BF9">
        <w:rPr>
          <w:rFonts w:ascii="Arial" w:hAnsi="Arial" w:cs="Arial"/>
          <w:sz w:val="28"/>
          <w:szCs w:val="28"/>
        </w:rPr>
        <w:t xml:space="preserve">either physical or psychiatric) would have been foreseeable as a result of CPL’s negligence (Page). </w:t>
      </w:r>
      <w:r w:rsidR="00AD0BBB" w:rsidRPr="00383BF9">
        <w:rPr>
          <w:rFonts w:ascii="Arial" w:hAnsi="Arial" w:cs="Arial"/>
          <w:sz w:val="28"/>
          <w:szCs w:val="28"/>
        </w:rPr>
        <w:t>Thus,</w:t>
      </w:r>
      <w:r w:rsidR="008A6F74" w:rsidRPr="00383BF9">
        <w:rPr>
          <w:rFonts w:ascii="Arial" w:hAnsi="Arial" w:cs="Arial"/>
          <w:sz w:val="28"/>
          <w:szCs w:val="28"/>
        </w:rPr>
        <w:t xml:space="preserve"> Nia will be able </w:t>
      </w:r>
      <w:r w:rsidR="00EC2537" w:rsidRPr="00383BF9">
        <w:rPr>
          <w:rFonts w:ascii="Arial" w:hAnsi="Arial" w:cs="Arial"/>
          <w:sz w:val="28"/>
          <w:szCs w:val="28"/>
        </w:rPr>
        <w:t xml:space="preserve">(may go on) </w:t>
      </w:r>
      <w:r w:rsidR="008A6F74" w:rsidRPr="00383BF9">
        <w:rPr>
          <w:rFonts w:ascii="Arial" w:hAnsi="Arial" w:cs="Arial"/>
          <w:sz w:val="28"/>
          <w:szCs w:val="28"/>
        </w:rPr>
        <w:t>to recover for her psychiatric harm as a primary victim</w:t>
      </w:r>
      <w:r w:rsidR="00EC2537" w:rsidRPr="00383BF9">
        <w:rPr>
          <w:rFonts w:ascii="Arial" w:hAnsi="Arial" w:cs="Arial"/>
          <w:sz w:val="28"/>
          <w:szCs w:val="28"/>
        </w:rPr>
        <w:t xml:space="preserve"> while her brother who has been unable to live a normal life since the incident may not recover </w:t>
      </w:r>
      <w:r w:rsidR="00AD0BBB" w:rsidRPr="00383BF9">
        <w:rPr>
          <w:rFonts w:ascii="Arial" w:hAnsi="Arial" w:cs="Arial"/>
          <w:sz w:val="28"/>
          <w:szCs w:val="28"/>
        </w:rPr>
        <w:t>(</w:t>
      </w:r>
      <w:r w:rsidR="00AD0BBB" w:rsidRPr="00383BF9">
        <w:rPr>
          <w:rFonts w:ascii="Arial" w:hAnsi="Arial" w:cs="Arial"/>
          <w:bCs/>
          <w:sz w:val="28"/>
          <w:szCs w:val="28"/>
        </w:rPr>
        <w:t>Dulieu v White &amp; Son (1901</w:t>
      </w:r>
      <w:r w:rsidR="00EC2537" w:rsidRPr="00383BF9">
        <w:rPr>
          <w:rFonts w:ascii="Arial" w:hAnsi="Arial" w:cs="Arial"/>
          <w:bCs/>
          <w:sz w:val="28"/>
          <w:szCs w:val="28"/>
        </w:rPr>
        <w:t>)</w:t>
      </w:r>
      <w:r w:rsidR="00AD0BBB" w:rsidRPr="00383BF9">
        <w:rPr>
          <w:rFonts w:ascii="Arial" w:hAnsi="Arial" w:cs="Arial"/>
          <w:bCs/>
          <w:sz w:val="28"/>
          <w:szCs w:val="28"/>
        </w:rPr>
        <w:t xml:space="preserve">) </w:t>
      </w:r>
      <w:r w:rsidR="008A6F74" w:rsidRPr="00383BF9">
        <w:rPr>
          <w:rFonts w:ascii="Arial" w:hAnsi="Arial" w:cs="Arial"/>
          <w:sz w:val="28"/>
          <w:szCs w:val="28"/>
        </w:rPr>
        <w:t>even if her illness was induced by the perception of what happened to others, rather than through fear for her own personal safety (e.g. Young v Charles Church (Southern) Ltd (1997)).</w:t>
      </w:r>
      <w:r w:rsidR="00AD0BBB" w:rsidRPr="00383BF9">
        <w:rPr>
          <w:rFonts w:ascii="Arial" w:hAnsi="Arial" w:cs="Arial"/>
          <w:sz w:val="28"/>
          <w:szCs w:val="28"/>
        </w:rPr>
        <w:t xml:space="preserve"> These facts may change the victim status </w:t>
      </w:r>
      <w:r w:rsidR="00EC2537" w:rsidRPr="00383BF9">
        <w:rPr>
          <w:rFonts w:ascii="Arial" w:hAnsi="Arial" w:cs="Arial"/>
          <w:sz w:val="28"/>
          <w:szCs w:val="28"/>
        </w:rPr>
        <w:t>of Nia and may assist Owen.</w:t>
      </w:r>
    </w:p>
    <w:p w14:paraId="2FB6C93F" w14:textId="77777777" w:rsidR="00852892" w:rsidRPr="00383BF9" w:rsidRDefault="008A6F74" w:rsidP="00383BF9">
      <w:pPr>
        <w:spacing w:before="240"/>
        <w:jc w:val="both"/>
        <w:rPr>
          <w:rFonts w:ascii="Arial" w:hAnsi="Arial" w:cs="Arial"/>
          <w:sz w:val="28"/>
          <w:szCs w:val="28"/>
        </w:rPr>
      </w:pPr>
      <w:r w:rsidRPr="00383BF9">
        <w:rPr>
          <w:rFonts w:ascii="Arial" w:hAnsi="Arial" w:cs="Arial"/>
          <w:sz w:val="28"/>
          <w:szCs w:val="28"/>
        </w:rPr>
        <w:t>If a court were to find Nia was not personally endangered in the fire, she will</w:t>
      </w:r>
      <w:r w:rsidR="00852892" w:rsidRPr="00383BF9">
        <w:rPr>
          <w:rFonts w:ascii="Arial" w:hAnsi="Arial" w:cs="Arial"/>
          <w:sz w:val="28"/>
          <w:szCs w:val="28"/>
        </w:rPr>
        <w:t xml:space="preserve"> be a secondary victim, and her claim will fail for want of close ties of love and affection with any of the immediate victims (Alcock v CC South Yorkshire (1992)). </w:t>
      </w:r>
    </w:p>
    <w:p w14:paraId="686C89A9" w14:textId="77777777" w:rsidR="00206276" w:rsidRPr="00383BF9" w:rsidRDefault="00206276" w:rsidP="00383BF9">
      <w:pPr>
        <w:spacing w:before="240"/>
        <w:jc w:val="both"/>
        <w:rPr>
          <w:rFonts w:ascii="Arial" w:hAnsi="Arial" w:cs="Arial"/>
          <w:sz w:val="28"/>
          <w:szCs w:val="28"/>
        </w:rPr>
      </w:pPr>
    </w:p>
    <w:p w14:paraId="7A601E0C" w14:textId="77777777" w:rsidR="00206276" w:rsidRPr="00383BF9" w:rsidRDefault="00206276" w:rsidP="00383BF9">
      <w:pPr>
        <w:spacing w:before="240"/>
        <w:jc w:val="both"/>
        <w:rPr>
          <w:rFonts w:ascii="Arial" w:hAnsi="Arial" w:cs="Arial"/>
          <w:sz w:val="28"/>
          <w:szCs w:val="28"/>
        </w:rPr>
      </w:pPr>
    </w:p>
    <w:p w14:paraId="10A441D6" w14:textId="77777777" w:rsidR="00206276" w:rsidRPr="00383BF9" w:rsidRDefault="00206276" w:rsidP="00383BF9">
      <w:pPr>
        <w:spacing w:before="240"/>
        <w:jc w:val="both"/>
        <w:rPr>
          <w:rFonts w:ascii="Arial" w:hAnsi="Arial" w:cs="Arial"/>
          <w:sz w:val="28"/>
          <w:szCs w:val="28"/>
        </w:rPr>
      </w:pPr>
    </w:p>
    <w:p w14:paraId="7593189B" w14:textId="77777777" w:rsidR="00206276" w:rsidRPr="00383BF9" w:rsidRDefault="00206276" w:rsidP="00383BF9">
      <w:pPr>
        <w:spacing w:before="240"/>
        <w:jc w:val="both"/>
        <w:rPr>
          <w:rFonts w:ascii="Arial" w:hAnsi="Arial" w:cs="Arial"/>
          <w:sz w:val="28"/>
          <w:szCs w:val="28"/>
        </w:rPr>
      </w:pPr>
    </w:p>
    <w:p w14:paraId="267D9B8C" w14:textId="77777777" w:rsidR="00206276" w:rsidRPr="00383BF9" w:rsidRDefault="00206276" w:rsidP="00383BF9">
      <w:pPr>
        <w:spacing w:before="240"/>
        <w:jc w:val="both"/>
        <w:rPr>
          <w:rFonts w:ascii="Arial" w:hAnsi="Arial" w:cs="Arial"/>
          <w:sz w:val="28"/>
          <w:szCs w:val="28"/>
        </w:rPr>
      </w:pPr>
    </w:p>
    <w:p w14:paraId="116824B3" w14:textId="77777777" w:rsidR="00206276" w:rsidRPr="00383BF9" w:rsidRDefault="00206276" w:rsidP="00383BF9">
      <w:pPr>
        <w:spacing w:before="240"/>
        <w:jc w:val="both"/>
        <w:rPr>
          <w:rFonts w:ascii="Arial" w:hAnsi="Arial" w:cs="Arial"/>
          <w:sz w:val="28"/>
          <w:szCs w:val="28"/>
        </w:rPr>
      </w:pPr>
    </w:p>
    <w:p w14:paraId="3FF475D2" w14:textId="77777777" w:rsidR="00206276" w:rsidRPr="00383BF9" w:rsidRDefault="00206276" w:rsidP="00383BF9">
      <w:pPr>
        <w:spacing w:before="240"/>
        <w:jc w:val="both"/>
        <w:rPr>
          <w:rFonts w:ascii="Arial" w:hAnsi="Arial" w:cs="Arial"/>
          <w:sz w:val="28"/>
          <w:szCs w:val="28"/>
        </w:rPr>
      </w:pPr>
    </w:p>
    <w:p w14:paraId="091E9C62" w14:textId="77777777" w:rsidR="00206276" w:rsidRPr="00383BF9" w:rsidRDefault="00206276" w:rsidP="00383BF9">
      <w:pPr>
        <w:spacing w:before="240"/>
        <w:jc w:val="both"/>
        <w:rPr>
          <w:rFonts w:ascii="Arial" w:hAnsi="Arial" w:cs="Arial"/>
          <w:sz w:val="28"/>
          <w:szCs w:val="28"/>
        </w:rPr>
      </w:pPr>
    </w:p>
    <w:p w14:paraId="2DD612B8" w14:textId="77777777" w:rsidR="00206276" w:rsidRPr="00383BF9" w:rsidRDefault="00206276" w:rsidP="00383BF9">
      <w:pPr>
        <w:spacing w:before="240"/>
        <w:jc w:val="both"/>
        <w:rPr>
          <w:rFonts w:ascii="Arial" w:hAnsi="Arial" w:cs="Arial"/>
          <w:sz w:val="28"/>
          <w:szCs w:val="28"/>
        </w:rPr>
      </w:pPr>
    </w:p>
    <w:p w14:paraId="6CF7C35E" w14:textId="77777777" w:rsidR="00206276" w:rsidRPr="00383BF9" w:rsidRDefault="00206276" w:rsidP="00383BF9">
      <w:pPr>
        <w:spacing w:before="240"/>
        <w:jc w:val="both"/>
        <w:rPr>
          <w:rFonts w:ascii="Arial" w:hAnsi="Arial" w:cs="Arial"/>
          <w:sz w:val="28"/>
          <w:szCs w:val="28"/>
        </w:rPr>
      </w:pPr>
    </w:p>
    <w:p w14:paraId="4E0CCC32" w14:textId="780EE15C" w:rsidR="00852892" w:rsidRPr="00383BF9" w:rsidRDefault="00852892" w:rsidP="00383BF9">
      <w:pPr>
        <w:spacing w:before="240"/>
        <w:jc w:val="both"/>
        <w:rPr>
          <w:rFonts w:ascii="Arial" w:hAnsi="Arial" w:cs="Arial"/>
          <w:sz w:val="28"/>
          <w:szCs w:val="28"/>
        </w:rPr>
      </w:pPr>
      <w:r w:rsidRPr="00383BF9">
        <w:rPr>
          <w:rFonts w:ascii="Arial" w:hAnsi="Arial" w:cs="Arial"/>
          <w:sz w:val="28"/>
          <w:szCs w:val="28"/>
        </w:rPr>
        <w:lastRenderedPageBreak/>
        <w:t>CPL’s liability to Owen</w:t>
      </w:r>
    </w:p>
    <w:p w14:paraId="303503F8" w14:textId="28BB8ACD" w:rsidR="00AD0BBB" w:rsidRPr="00383BF9" w:rsidRDefault="00852892" w:rsidP="00383BF9">
      <w:pPr>
        <w:shd w:val="clear" w:color="auto" w:fill="FFFFFF"/>
        <w:spacing w:after="200" w:line="240" w:lineRule="auto"/>
        <w:jc w:val="both"/>
        <w:rPr>
          <w:rFonts w:ascii="Arial" w:eastAsia="Times New Roman" w:hAnsi="Arial" w:cs="Arial"/>
          <w:color w:val="000000"/>
          <w:sz w:val="28"/>
          <w:szCs w:val="28"/>
          <w:lang w:eastAsia="en-GB"/>
        </w:rPr>
      </w:pPr>
      <w:r w:rsidRPr="00383BF9">
        <w:rPr>
          <w:rFonts w:ascii="Arial" w:hAnsi="Arial" w:cs="Arial"/>
          <w:sz w:val="28"/>
          <w:szCs w:val="28"/>
        </w:rPr>
        <w:t xml:space="preserve">Owen is a secondary victim, as he was some distance away from the danger zone at the time of the accident (Alcock). The permanence and severity of his symptoms, together with his need to take medication for depression suggests that he has also suffered medically recognisable psychiatric injury. </w:t>
      </w:r>
      <w:r w:rsidR="000E4948" w:rsidRPr="00383BF9">
        <w:rPr>
          <w:rFonts w:ascii="Arial" w:hAnsi="Arial" w:cs="Arial"/>
          <w:sz w:val="28"/>
          <w:szCs w:val="28"/>
        </w:rPr>
        <w:t>Owen may be able to establish that CPL owed a duty of care in relation to his psychiatric harm. For secondary victims to succeed in a claim</w:t>
      </w:r>
      <w:r w:rsidR="000E4948" w:rsidRPr="00383BF9">
        <w:rPr>
          <w:rFonts w:ascii="Arial" w:eastAsia="Times New Roman" w:hAnsi="Arial" w:cs="Arial"/>
          <w:color w:val="000000"/>
          <w:sz w:val="28"/>
          <w:szCs w:val="28"/>
          <w:lang w:eastAsia="en-GB"/>
        </w:rPr>
        <w:t xml:space="preserve"> for psychiatric harm they must meet the following criteria: a close tie of love and affection to a primary victim, witness the event with their own unaided senses, proximity to the event or its immediate aftermath and the psychiatric injury must be caused by a shocking event</w:t>
      </w:r>
      <w:r w:rsidR="005600E3" w:rsidRPr="00383BF9">
        <w:rPr>
          <w:rFonts w:ascii="Arial" w:eastAsia="Times New Roman" w:hAnsi="Arial" w:cs="Arial"/>
          <w:color w:val="000000"/>
          <w:sz w:val="28"/>
          <w:szCs w:val="28"/>
          <w:lang w:eastAsia="en-GB"/>
        </w:rPr>
        <w:t xml:space="preserve"> (</w:t>
      </w:r>
      <w:r w:rsidR="005600E3" w:rsidRPr="00383BF9">
        <w:rPr>
          <w:rFonts w:ascii="Arial" w:hAnsi="Arial" w:cs="Arial"/>
          <w:bCs/>
          <w:sz w:val="28"/>
          <w:szCs w:val="28"/>
        </w:rPr>
        <w:t>s1(3)(a)(b)(c) OLA (1984)).</w:t>
      </w:r>
      <w:r w:rsidR="00F5470B" w:rsidRPr="00383BF9">
        <w:rPr>
          <w:rFonts w:ascii="Arial" w:hAnsi="Arial" w:cs="Arial"/>
          <w:sz w:val="28"/>
          <w:szCs w:val="28"/>
        </w:rPr>
        <w:t>Owen, is Nia’s brother</w:t>
      </w:r>
      <w:bookmarkStart w:id="1" w:name="_Hlk92408828"/>
      <w:r w:rsidR="00F5470B" w:rsidRPr="00383BF9">
        <w:rPr>
          <w:rFonts w:ascii="Arial" w:hAnsi="Arial" w:cs="Arial"/>
          <w:sz w:val="28"/>
          <w:szCs w:val="28"/>
        </w:rPr>
        <w:t xml:space="preserve">, was at the other side of the park on a cable car but saw the events unfold.  </w:t>
      </w:r>
      <w:bookmarkEnd w:id="1"/>
      <w:r w:rsidR="00F5470B" w:rsidRPr="00383BF9">
        <w:rPr>
          <w:rFonts w:ascii="Arial" w:hAnsi="Arial" w:cs="Arial"/>
          <w:sz w:val="28"/>
          <w:szCs w:val="28"/>
        </w:rPr>
        <w:t xml:space="preserve">Nia had messaged him to say she was going to ride the waltzers and was so concerned for her safety that he was unable to lead a normal life again and had to take medication. from the foregoing, </w:t>
      </w:r>
      <w:r w:rsidR="000E4948" w:rsidRPr="00383BF9">
        <w:rPr>
          <w:rFonts w:ascii="Arial" w:eastAsia="Times New Roman" w:hAnsi="Arial" w:cs="Arial"/>
          <w:color w:val="000000"/>
          <w:sz w:val="28"/>
          <w:szCs w:val="28"/>
          <w:lang w:eastAsia="en-GB"/>
        </w:rPr>
        <w:t>Owen’s psychiatric harm may have been caused by a ‘sudden shock’, the necessary close ties of love and affection are presumed to exist in the case of siblings</w:t>
      </w:r>
      <w:r w:rsidR="00F5470B" w:rsidRPr="00383BF9">
        <w:rPr>
          <w:rFonts w:ascii="Arial" w:eastAsia="Times New Roman" w:hAnsi="Arial" w:cs="Arial"/>
          <w:color w:val="000000"/>
          <w:sz w:val="28"/>
          <w:szCs w:val="28"/>
          <w:lang w:eastAsia="en-GB"/>
        </w:rPr>
        <w:t xml:space="preserve"> (Alcock). Proximity may require closeness of care and not just close relationship (McLounghlin v O’Brian (1983)). Nia and Owen are siblings though it is not clear if they live in the same house</w:t>
      </w:r>
      <w:r w:rsidR="00AD0BBB" w:rsidRPr="00383BF9">
        <w:rPr>
          <w:rFonts w:ascii="Arial" w:eastAsia="Times New Roman" w:hAnsi="Arial" w:cs="Arial"/>
          <w:color w:val="000000"/>
          <w:sz w:val="28"/>
          <w:szCs w:val="28"/>
          <w:lang w:eastAsia="en-GB"/>
        </w:rPr>
        <w:t xml:space="preserve"> for us to establish a close relationship.</w:t>
      </w:r>
      <w:r w:rsidR="00AE1EC9" w:rsidRPr="00383BF9">
        <w:rPr>
          <w:rFonts w:ascii="Arial" w:eastAsia="Times New Roman" w:hAnsi="Arial" w:cs="Arial"/>
          <w:color w:val="000000"/>
          <w:sz w:val="28"/>
          <w:szCs w:val="28"/>
          <w:lang w:eastAsia="en-GB"/>
        </w:rPr>
        <w:t xml:space="preserve"> However, closeness of care comparable with typical spousal or parent/child relationship may be absent</w:t>
      </w:r>
    </w:p>
    <w:p w14:paraId="3A074BF4" w14:textId="42C5E2FE" w:rsidR="00383BF9" w:rsidRPr="00383BF9" w:rsidRDefault="00AD0BBB" w:rsidP="00383BF9">
      <w:pPr>
        <w:jc w:val="both"/>
        <w:rPr>
          <w:rFonts w:ascii="Arial" w:hAnsi="Arial" w:cs="Arial"/>
          <w:sz w:val="28"/>
          <w:szCs w:val="28"/>
        </w:rPr>
      </w:pPr>
      <w:r w:rsidRPr="00383BF9">
        <w:rPr>
          <w:rFonts w:ascii="Arial" w:eastAsia="Times New Roman" w:hAnsi="Arial" w:cs="Arial"/>
          <w:color w:val="000000"/>
          <w:sz w:val="28"/>
          <w:szCs w:val="28"/>
          <w:lang w:eastAsia="en-GB"/>
        </w:rPr>
        <w:t xml:space="preserve">Owen may struggle to establish that CPL owed a duty of care in relation to physical harm if he were not siblings with Nia and was just close to the place of the incident or witnessed it. While Nia was present, and had a direct perception of the accident, and his psychiatric </w:t>
      </w:r>
      <w:r w:rsidR="00AE1EC9" w:rsidRPr="00383BF9">
        <w:rPr>
          <w:rFonts w:ascii="Arial" w:eastAsia="Times New Roman" w:hAnsi="Arial" w:cs="Arial"/>
          <w:color w:val="000000"/>
          <w:sz w:val="28"/>
          <w:szCs w:val="28"/>
          <w:lang w:eastAsia="en-GB"/>
        </w:rPr>
        <w:t>harm</w:t>
      </w:r>
      <w:r w:rsidRPr="00383BF9">
        <w:rPr>
          <w:rFonts w:ascii="Arial" w:eastAsia="Times New Roman" w:hAnsi="Arial" w:cs="Arial"/>
          <w:color w:val="000000"/>
          <w:sz w:val="28"/>
          <w:szCs w:val="28"/>
          <w:lang w:eastAsia="en-GB"/>
        </w:rPr>
        <w:t xml:space="preserve"> may have been caused by a ‘sudden shock’, the necessary close ties of love and affection are not </w:t>
      </w:r>
      <w:r w:rsidR="00AE1EC9" w:rsidRPr="00383BF9">
        <w:rPr>
          <w:rFonts w:ascii="Arial" w:eastAsia="Times New Roman" w:hAnsi="Arial" w:cs="Arial"/>
          <w:color w:val="000000"/>
          <w:sz w:val="28"/>
          <w:szCs w:val="28"/>
          <w:lang w:eastAsia="en-GB"/>
        </w:rPr>
        <w:t>presumed</w:t>
      </w:r>
      <w:r w:rsidRPr="00383BF9">
        <w:rPr>
          <w:rFonts w:ascii="Arial" w:eastAsia="Times New Roman" w:hAnsi="Arial" w:cs="Arial"/>
          <w:color w:val="000000"/>
          <w:sz w:val="28"/>
          <w:szCs w:val="28"/>
          <w:lang w:eastAsia="en-GB"/>
        </w:rPr>
        <w:t xml:space="preserve"> to exist in the case of siblings</w:t>
      </w:r>
      <w:r w:rsidR="00AE1EC9" w:rsidRPr="00383BF9">
        <w:rPr>
          <w:rFonts w:ascii="Arial" w:eastAsia="Times New Roman" w:hAnsi="Arial" w:cs="Arial"/>
          <w:color w:val="000000"/>
          <w:sz w:val="28"/>
          <w:szCs w:val="28"/>
          <w:lang w:eastAsia="en-GB"/>
        </w:rPr>
        <w:t xml:space="preserve"> (</w:t>
      </w:r>
      <w:r w:rsidR="009379C7" w:rsidRPr="00383BF9">
        <w:rPr>
          <w:rFonts w:ascii="Arial" w:hAnsi="Arial" w:cs="Arial"/>
          <w:bCs/>
          <w:sz w:val="28"/>
          <w:szCs w:val="28"/>
        </w:rPr>
        <w:t>Bourhill v Young (1943)</w:t>
      </w:r>
      <w:r w:rsidR="00AE1EC9" w:rsidRPr="00383BF9">
        <w:rPr>
          <w:rFonts w:ascii="Arial" w:eastAsia="Times New Roman" w:hAnsi="Arial" w:cs="Arial"/>
          <w:color w:val="000000"/>
          <w:sz w:val="28"/>
          <w:szCs w:val="28"/>
          <w:lang w:eastAsia="en-GB"/>
        </w:rPr>
        <w:t>. Proximity may require closeness of care and not just close relationship (McLounghlin v O’Brian (1983)). If Owen and Nia are young siblings li</w:t>
      </w:r>
      <w:r w:rsidR="003F63ED" w:rsidRPr="00383BF9">
        <w:rPr>
          <w:rFonts w:ascii="Arial" w:eastAsia="Times New Roman" w:hAnsi="Arial" w:cs="Arial"/>
          <w:color w:val="000000"/>
          <w:sz w:val="28"/>
          <w:szCs w:val="28"/>
          <w:lang w:eastAsia="en-GB"/>
        </w:rPr>
        <w:t>v</w:t>
      </w:r>
      <w:r w:rsidR="00AE1EC9" w:rsidRPr="00383BF9">
        <w:rPr>
          <w:rFonts w:ascii="Arial" w:eastAsia="Times New Roman" w:hAnsi="Arial" w:cs="Arial"/>
          <w:color w:val="000000"/>
          <w:sz w:val="28"/>
          <w:szCs w:val="28"/>
          <w:lang w:eastAsia="en-GB"/>
        </w:rPr>
        <w:t xml:space="preserve">ing in the same family unit, a close relationship will be easier to establish. </w:t>
      </w:r>
      <w:r w:rsidR="00383BF9" w:rsidRPr="00383BF9">
        <w:rPr>
          <w:rFonts w:ascii="Arial" w:hAnsi="Arial" w:cs="Arial"/>
          <w:sz w:val="28"/>
          <w:szCs w:val="28"/>
        </w:rPr>
        <w:t>However, closeness of care</w:t>
      </w:r>
      <w:r w:rsidR="003831D3">
        <w:rPr>
          <w:rFonts w:ascii="Arial" w:hAnsi="Arial" w:cs="Arial"/>
          <w:sz w:val="28"/>
          <w:szCs w:val="28"/>
        </w:rPr>
        <w:t xml:space="preserve"> when compared</w:t>
      </w:r>
      <w:r w:rsidR="00383BF9" w:rsidRPr="00383BF9">
        <w:rPr>
          <w:rFonts w:ascii="Arial" w:hAnsi="Arial" w:cs="Arial"/>
          <w:sz w:val="28"/>
          <w:szCs w:val="28"/>
        </w:rPr>
        <w:t xml:space="preserve"> with </w:t>
      </w:r>
      <w:r w:rsidR="003831D3">
        <w:rPr>
          <w:rFonts w:ascii="Arial" w:hAnsi="Arial" w:cs="Arial"/>
          <w:sz w:val="28"/>
          <w:szCs w:val="28"/>
        </w:rPr>
        <w:t xml:space="preserve">a </w:t>
      </w:r>
      <w:r w:rsidR="00383BF9" w:rsidRPr="00383BF9">
        <w:rPr>
          <w:rFonts w:ascii="Arial" w:hAnsi="Arial" w:cs="Arial"/>
          <w:sz w:val="28"/>
          <w:szCs w:val="28"/>
        </w:rPr>
        <w:t>spous</w:t>
      </w:r>
      <w:r w:rsidR="003831D3">
        <w:rPr>
          <w:rFonts w:ascii="Arial" w:hAnsi="Arial" w:cs="Arial"/>
          <w:sz w:val="28"/>
          <w:szCs w:val="28"/>
        </w:rPr>
        <w:t xml:space="preserve">e </w:t>
      </w:r>
      <w:r w:rsidR="00383BF9" w:rsidRPr="00383BF9">
        <w:rPr>
          <w:rFonts w:ascii="Arial" w:hAnsi="Arial" w:cs="Arial"/>
          <w:sz w:val="28"/>
          <w:szCs w:val="28"/>
        </w:rPr>
        <w:t>or parent/child relationships may be absent.</w:t>
      </w:r>
    </w:p>
    <w:p w14:paraId="29EE1823" w14:textId="44F9B34C" w:rsidR="000E4948" w:rsidRPr="00383BF9" w:rsidRDefault="000E4948" w:rsidP="00383BF9">
      <w:pPr>
        <w:shd w:val="clear" w:color="auto" w:fill="FFFFFF"/>
        <w:spacing w:after="200" w:line="240" w:lineRule="auto"/>
        <w:jc w:val="both"/>
        <w:rPr>
          <w:rFonts w:ascii="Arial" w:eastAsia="Times New Roman" w:hAnsi="Arial" w:cs="Arial"/>
          <w:color w:val="000000"/>
          <w:sz w:val="28"/>
          <w:szCs w:val="28"/>
          <w:lang w:eastAsia="en-GB"/>
        </w:rPr>
      </w:pPr>
    </w:p>
    <w:p w14:paraId="6A3B87A7" w14:textId="77777777" w:rsidR="00277F30" w:rsidRPr="00383BF9" w:rsidRDefault="00277F30" w:rsidP="00383BF9">
      <w:pPr>
        <w:spacing w:before="240"/>
        <w:jc w:val="both"/>
        <w:rPr>
          <w:rFonts w:ascii="Arial" w:hAnsi="Arial" w:cs="Arial"/>
          <w:sz w:val="28"/>
          <w:szCs w:val="28"/>
        </w:rPr>
      </w:pPr>
    </w:p>
    <w:p w14:paraId="29373778" w14:textId="77777777" w:rsidR="00206276" w:rsidRPr="00383BF9" w:rsidRDefault="00206276" w:rsidP="00383BF9">
      <w:pPr>
        <w:spacing w:before="240"/>
        <w:jc w:val="both"/>
        <w:rPr>
          <w:rFonts w:ascii="Arial" w:hAnsi="Arial" w:cs="Arial"/>
          <w:sz w:val="28"/>
          <w:szCs w:val="28"/>
        </w:rPr>
      </w:pPr>
    </w:p>
    <w:p w14:paraId="2D5AB83F" w14:textId="77777777" w:rsidR="00206276" w:rsidRPr="00383BF9" w:rsidRDefault="00206276" w:rsidP="00383BF9">
      <w:pPr>
        <w:spacing w:before="240"/>
        <w:jc w:val="both"/>
        <w:rPr>
          <w:rFonts w:ascii="Arial" w:hAnsi="Arial" w:cs="Arial"/>
          <w:sz w:val="28"/>
          <w:szCs w:val="28"/>
        </w:rPr>
      </w:pPr>
    </w:p>
    <w:p w14:paraId="2AFDBC24" w14:textId="220DEBDF" w:rsidR="00C37064" w:rsidRPr="00383BF9" w:rsidRDefault="00F50300" w:rsidP="003831D3">
      <w:pPr>
        <w:spacing w:before="240"/>
        <w:jc w:val="center"/>
        <w:rPr>
          <w:rFonts w:ascii="Arial" w:hAnsi="Arial" w:cs="Arial"/>
          <w:sz w:val="28"/>
          <w:szCs w:val="28"/>
        </w:rPr>
      </w:pPr>
      <w:r w:rsidRPr="00383BF9">
        <w:rPr>
          <w:rFonts w:ascii="Arial" w:hAnsi="Arial" w:cs="Arial"/>
          <w:sz w:val="28"/>
          <w:szCs w:val="28"/>
        </w:rPr>
        <w:lastRenderedPageBreak/>
        <w:t>REFERENCES</w:t>
      </w:r>
    </w:p>
    <w:p w14:paraId="1E037FEB" w14:textId="6FCA0878" w:rsidR="00D80773" w:rsidRPr="00383BF9" w:rsidRDefault="00D80773" w:rsidP="00383BF9">
      <w:pPr>
        <w:pStyle w:val="ListParagraph"/>
        <w:numPr>
          <w:ilvl w:val="0"/>
          <w:numId w:val="1"/>
        </w:numPr>
        <w:spacing w:before="240"/>
        <w:jc w:val="both"/>
        <w:rPr>
          <w:rFonts w:ascii="Arial" w:hAnsi="Arial" w:cs="Arial"/>
          <w:sz w:val="28"/>
          <w:szCs w:val="28"/>
        </w:rPr>
      </w:pPr>
      <w:r w:rsidRPr="00383BF9">
        <w:rPr>
          <w:rFonts w:ascii="Arial" w:hAnsi="Arial" w:cs="Arial"/>
          <w:sz w:val="28"/>
          <w:szCs w:val="28"/>
        </w:rPr>
        <w:t xml:space="preserve">Cameroun, C. and Gumbel, E. (2007) </w:t>
      </w:r>
      <w:r w:rsidRPr="00383BF9">
        <w:rPr>
          <w:rFonts w:ascii="Arial" w:hAnsi="Arial" w:cs="Arial"/>
          <w:i/>
          <w:iCs/>
          <w:sz w:val="28"/>
          <w:szCs w:val="28"/>
        </w:rPr>
        <w:t>Clinical Negligence</w:t>
      </w:r>
      <w:r w:rsidRPr="00383BF9">
        <w:rPr>
          <w:rFonts w:ascii="Arial" w:hAnsi="Arial" w:cs="Arial"/>
          <w:sz w:val="28"/>
          <w:szCs w:val="28"/>
        </w:rPr>
        <w:t xml:space="preserve">, </w:t>
      </w:r>
      <w:r w:rsidRPr="00383BF9">
        <w:rPr>
          <w:rFonts w:ascii="Arial" w:hAnsi="Arial" w:cs="Arial"/>
          <w:i/>
          <w:iCs/>
          <w:sz w:val="28"/>
          <w:szCs w:val="28"/>
        </w:rPr>
        <w:t>A Practitioner’s Handbook</w:t>
      </w:r>
      <w:r w:rsidRPr="00383BF9">
        <w:rPr>
          <w:rFonts w:ascii="Arial" w:hAnsi="Arial" w:cs="Arial"/>
          <w:sz w:val="28"/>
          <w:szCs w:val="28"/>
        </w:rPr>
        <w:t>. Oxford: Oxford University Press</w:t>
      </w:r>
    </w:p>
    <w:p w14:paraId="074F2886" w14:textId="0EFF07BB" w:rsidR="00D80773" w:rsidRPr="00383BF9" w:rsidRDefault="00D80773" w:rsidP="00383BF9">
      <w:pPr>
        <w:pStyle w:val="ListParagraph"/>
        <w:numPr>
          <w:ilvl w:val="0"/>
          <w:numId w:val="1"/>
        </w:numPr>
        <w:jc w:val="both"/>
        <w:rPr>
          <w:rFonts w:ascii="Arial" w:hAnsi="Arial" w:cs="Arial"/>
          <w:sz w:val="28"/>
          <w:szCs w:val="28"/>
        </w:rPr>
      </w:pPr>
      <w:r w:rsidRPr="00383BF9">
        <w:rPr>
          <w:rFonts w:ascii="Arial" w:hAnsi="Arial" w:cs="Arial"/>
          <w:sz w:val="28"/>
          <w:szCs w:val="28"/>
        </w:rPr>
        <w:t xml:space="preserve">Elliot, C. and Quinn, F. (2013) </w:t>
      </w:r>
      <w:r w:rsidRPr="00383BF9">
        <w:rPr>
          <w:rFonts w:ascii="Arial" w:hAnsi="Arial" w:cs="Arial"/>
          <w:i/>
          <w:iCs/>
          <w:sz w:val="28"/>
          <w:szCs w:val="28"/>
        </w:rPr>
        <w:t>Tort Law.9</w:t>
      </w:r>
      <w:r w:rsidRPr="00383BF9">
        <w:rPr>
          <w:rFonts w:ascii="Arial" w:hAnsi="Arial" w:cs="Arial"/>
          <w:i/>
          <w:iCs/>
          <w:sz w:val="28"/>
          <w:szCs w:val="28"/>
          <w:vertAlign w:val="superscript"/>
        </w:rPr>
        <w:t>th</w:t>
      </w:r>
      <w:r w:rsidRPr="00383BF9">
        <w:rPr>
          <w:rFonts w:ascii="Arial" w:hAnsi="Arial" w:cs="Arial"/>
          <w:i/>
          <w:iCs/>
          <w:sz w:val="28"/>
          <w:szCs w:val="28"/>
        </w:rPr>
        <w:t xml:space="preserve"> edn.</w:t>
      </w:r>
      <w:r w:rsidRPr="00383BF9">
        <w:rPr>
          <w:rFonts w:ascii="Arial" w:hAnsi="Arial" w:cs="Arial"/>
          <w:sz w:val="28"/>
          <w:szCs w:val="28"/>
        </w:rPr>
        <w:t xml:space="preserve"> Harlow: Pearson Educational Limited.</w:t>
      </w:r>
    </w:p>
    <w:p w14:paraId="02D26178" w14:textId="1CF3BBA5" w:rsidR="00D80773" w:rsidRPr="00383BF9" w:rsidRDefault="00D80773" w:rsidP="00383BF9">
      <w:pPr>
        <w:pStyle w:val="ListParagraph"/>
        <w:numPr>
          <w:ilvl w:val="0"/>
          <w:numId w:val="1"/>
        </w:numPr>
        <w:jc w:val="both"/>
        <w:rPr>
          <w:rFonts w:ascii="Arial" w:hAnsi="Arial" w:cs="Arial"/>
          <w:sz w:val="28"/>
          <w:szCs w:val="28"/>
        </w:rPr>
      </w:pPr>
      <w:r w:rsidRPr="00383BF9">
        <w:rPr>
          <w:rFonts w:ascii="Arial" w:hAnsi="Arial" w:cs="Arial"/>
          <w:sz w:val="28"/>
          <w:szCs w:val="28"/>
        </w:rPr>
        <w:t xml:space="preserve">Giliker, P. (2014) </w:t>
      </w:r>
      <w:r w:rsidRPr="00383BF9">
        <w:rPr>
          <w:rFonts w:ascii="Arial" w:hAnsi="Arial" w:cs="Arial"/>
          <w:i/>
          <w:iCs/>
          <w:sz w:val="28"/>
          <w:szCs w:val="28"/>
        </w:rPr>
        <w:t>Tort Sweet &amp; Maxwell’s Textbook Series</w:t>
      </w:r>
      <w:r w:rsidRPr="00383BF9">
        <w:rPr>
          <w:rFonts w:ascii="Arial" w:hAnsi="Arial" w:cs="Arial"/>
          <w:sz w:val="28"/>
          <w:szCs w:val="28"/>
        </w:rPr>
        <w:t>. 5</w:t>
      </w:r>
      <w:r w:rsidRPr="00383BF9">
        <w:rPr>
          <w:rFonts w:ascii="Arial" w:hAnsi="Arial" w:cs="Arial"/>
          <w:sz w:val="28"/>
          <w:szCs w:val="28"/>
          <w:vertAlign w:val="superscript"/>
        </w:rPr>
        <w:t>th</w:t>
      </w:r>
      <w:r w:rsidRPr="00383BF9">
        <w:rPr>
          <w:rFonts w:ascii="Arial" w:hAnsi="Arial" w:cs="Arial"/>
          <w:sz w:val="28"/>
          <w:szCs w:val="28"/>
        </w:rPr>
        <w:t xml:space="preserve"> edn. London: Thomson Reuters (Professional) UK Limited.</w:t>
      </w:r>
    </w:p>
    <w:p w14:paraId="5BF1E254" w14:textId="1E08BA50" w:rsidR="00D80773" w:rsidRPr="00383BF9" w:rsidRDefault="00D80773" w:rsidP="00383BF9">
      <w:pPr>
        <w:pStyle w:val="ListParagraph"/>
        <w:numPr>
          <w:ilvl w:val="0"/>
          <w:numId w:val="1"/>
        </w:numPr>
        <w:jc w:val="both"/>
        <w:rPr>
          <w:rFonts w:ascii="Arial" w:hAnsi="Arial" w:cs="Arial"/>
          <w:sz w:val="28"/>
          <w:szCs w:val="28"/>
        </w:rPr>
      </w:pPr>
      <w:r w:rsidRPr="00383BF9">
        <w:rPr>
          <w:rFonts w:ascii="Arial" w:hAnsi="Arial" w:cs="Arial"/>
          <w:sz w:val="28"/>
          <w:szCs w:val="28"/>
        </w:rPr>
        <w:t xml:space="preserve">Herring, J. (2008) </w:t>
      </w:r>
      <w:r w:rsidRPr="00383BF9">
        <w:rPr>
          <w:rFonts w:ascii="Arial" w:hAnsi="Arial" w:cs="Arial"/>
          <w:i/>
          <w:iCs/>
          <w:sz w:val="28"/>
          <w:szCs w:val="28"/>
        </w:rPr>
        <w:t>Medical Law and Ethics</w:t>
      </w:r>
      <w:r w:rsidRPr="00383BF9">
        <w:rPr>
          <w:rFonts w:ascii="Arial" w:hAnsi="Arial" w:cs="Arial"/>
          <w:sz w:val="28"/>
          <w:szCs w:val="28"/>
        </w:rPr>
        <w:t>. 2</w:t>
      </w:r>
      <w:r w:rsidRPr="00383BF9">
        <w:rPr>
          <w:rFonts w:ascii="Arial" w:hAnsi="Arial" w:cs="Arial"/>
          <w:sz w:val="28"/>
          <w:szCs w:val="28"/>
          <w:vertAlign w:val="superscript"/>
        </w:rPr>
        <w:t>nd</w:t>
      </w:r>
      <w:r w:rsidRPr="00383BF9">
        <w:rPr>
          <w:rFonts w:ascii="Arial" w:hAnsi="Arial" w:cs="Arial"/>
          <w:sz w:val="28"/>
          <w:szCs w:val="28"/>
        </w:rPr>
        <w:t xml:space="preserve"> edn. Oxford: Oxford University Press</w:t>
      </w:r>
    </w:p>
    <w:p w14:paraId="69849106" w14:textId="1E5F7C42" w:rsidR="00D80773" w:rsidRPr="00383BF9" w:rsidRDefault="00D80773" w:rsidP="00383BF9">
      <w:pPr>
        <w:pStyle w:val="ListParagraph"/>
        <w:numPr>
          <w:ilvl w:val="0"/>
          <w:numId w:val="1"/>
        </w:numPr>
        <w:jc w:val="both"/>
        <w:rPr>
          <w:rFonts w:ascii="Arial" w:hAnsi="Arial" w:cs="Arial"/>
          <w:sz w:val="28"/>
          <w:szCs w:val="28"/>
        </w:rPr>
      </w:pPr>
      <w:r w:rsidRPr="00383BF9">
        <w:rPr>
          <w:rFonts w:ascii="Arial" w:hAnsi="Arial" w:cs="Arial"/>
          <w:sz w:val="28"/>
          <w:szCs w:val="28"/>
        </w:rPr>
        <w:t xml:space="preserve">Horsey, K. and Rackley, E. (2015) </w:t>
      </w:r>
      <w:r w:rsidRPr="00383BF9">
        <w:rPr>
          <w:rFonts w:ascii="Arial" w:hAnsi="Arial" w:cs="Arial"/>
          <w:i/>
          <w:iCs/>
          <w:sz w:val="28"/>
          <w:szCs w:val="28"/>
        </w:rPr>
        <w:t>Kinder’s Casebook on Torts</w:t>
      </w:r>
      <w:r w:rsidRPr="00383BF9">
        <w:rPr>
          <w:rFonts w:ascii="Arial" w:hAnsi="Arial" w:cs="Arial"/>
          <w:sz w:val="28"/>
          <w:szCs w:val="28"/>
        </w:rPr>
        <w:t xml:space="preserve"> 13</w:t>
      </w:r>
      <w:r w:rsidRPr="00383BF9">
        <w:rPr>
          <w:rFonts w:ascii="Arial" w:hAnsi="Arial" w:cs="Arial"/>
          <w:sz w:val="28"/>
          <w:szCs w:val="28"/>
          <w:vertAlign w:val="superscript"/>
        </w:rPr>
        <w:t>th</w:t>
      </w:r>
      <w:r w:rsidRPr="00383BF9">
        <w:rPr>
          <w:rFonts w:ascii="Arial" w:hAnsi="Arial" w:cs="Arial"/>
          <w:sz w:val="28"/>
          <w:szCs w:val="28"/>
        </w:rPr>
        <w:t xml:space="preserve"> edn. Oxford: Oxford University Press.</w:t>
      </w:r>
    </w:p>
    <w:p w14:paraId="1DBC823A" w14:textId="1AEA129F" w:rsidR="00D80773" w:rsidRPr="00383BF9" w:rsidRDefault="00D80773" w:rsidP="00383BF9">
      <w:pPr>
        <w:pStyle w:val="ListParagraph"/>
        <w:numPr>
          <w:ilvl w:val="0"/>
          <w:numId w:val="1"/>
        </w:numPr>
        <w:jc w:val="both"/>
        <w:rPr>
          <w:rFonts w:ascii="Arial" w:hAnsi="Arial" w:cs="Arial"/>
          <w:sz w:val="28"/>
          <w:szCs w:val="28"/>
        </w:rPr>
      </w:pPr>
      <w:r w:rsidRPr="00383BF9">
        <w:rPr>
          <w:rFonts w:ascii="Arial" w:hAnsi="Arial" w:cs="Arial"/>
          <w:sz w:val="28"/>
          <w:szCs w:val="28"/>
        </w:rPr>
        <w:t xml:space="preserve">Jackson, E. (2010) </w:t>
      </w:r>
      <w:r w:rsidRPr="00383BF9">
        <w:rPr>
          <w:rFonts w:ascii="Arial" w:hAnsi="Arial" w:cs="Arial"/>
          <w:i/>
          <w:iCs/>
          <w:sz w:val="28"/>
          <w:szCs w:val="28"/>
        </w:rPr>
        <w:t xml:space="preserve">Medical Law: Text, Cases and Materials. </w:t>
      </w:r>
      <w:r w:rsidRPr="00383BF9">
        <w:rPr>
          <w:rFonts w:ascii="Arial" w:hAnsi="Arial" w:cs="Arial"/>
          <w:sz w:val="28"/>
          <w:szCs w:val="28"/>
        </w:rPr>
        <w:t>2</w:t>
      </w:r>
      <w:r w:rsidRPr="00383BF9">
        <w:rPr>
          <w:rFonts w:ascii="Arial" w:hAnsi="Arial" w:cs="Arial"/>
          <w:sz w:val="28"/>
          <w:szCs w:val="28"/>
          <w:vertAlign w:val="superscript"/>
        </w:rPr>
        <w:t>nd</w:t>
      </w:r>
      <w:r w:rsidRPr="00383BF9">
        <w:rPr>
          <w:rFonts w:ascii="Arial" w:hAnsi="Arial" w:cs="Arial"/>
          <w:sz w:val="28"/>
          <w:szCs w:val="28"/>
        </w:rPr>
        <w:t xml:space="preserve"> edn. Oxford: Oxford </w:t>
      </w:r>
      <w:r w:rsidRPr="00383BF9">
        <w:rPr>
          <w:rFonts w:ascii="Arial" w:hAnsi="Arial" w:cs="Arial"/>
          <w:sz w:val="28"/>
          <w:szCs w:val="28"/>
          <w:u w:val="single"/>
        </w:rPr>
        <w:t xml:space="preserve">University Press </w:t>
      </w:r>
    </w:p>
    <w:p w14:paraId="63DCA5E3" w14:textId="4FE84AF4" w:rsidR="00D80773" w:rsidRPr="00383BF9" w:rsidRDefault="00D80773" w:rsidP="00383BF9">
      <w:pPr>
        <w:pStyle w:val="ListParagraph"/>
        <w:numPr>
          <w:ilvl w:val="0"/>
          <w:numId w:val="1"/>
        </w:numPr>
        <w:jc w:val="both"/>
        <w:rPr>
          <w:rFonts w:ascii="Arial" w:hAnsi="Arial" w:cs="Arial"/>
          <w:sz w:val="28"/>
          <w:szCs w:val="28"/>
        </w:rPr>
      </w:pPr>
      <w:r w:rsidRPr="00383BF9">
        <w:rPr>
          <w:rFonts w:ascii="Arial" w:hAnsi="Arial" w:cs="Arial"/>
          <w:sz w:val="28"/>
          <w:szCs w:val="28"/>
        </w:rPr>
        <w:t xml:space="preserve">Jones, L. (2019) </w:t>
      </w:r>
      <w:r w:rsidRPr="00383BF9">
        <w:rPr>
          <w:rFonts w:ascii="Arial" w:hAnsi="Arial" w:cs="Arial"/>
          <w:i/>
          <w:iCs/>
          <w:sz w:val="28"/>
          <w:szCs w:val="28"/>
        </w:rPr>
        <w:t>Introduction to Business Law</w:t>
      </w:r>
      <w:r w:rsidRPr="00383BF9">
        <w:rPr>
          <w:rFonts w:ascii="Arial" w:hAnsi="Arial" w:cs="Arial"/>
          <w:sz w:val="28"/>
          <w:szCs w:val="28"/>
        </w:rPr>
        <w:t>.</w:t>
      </w:r>
      <w:r w:rsidRPr="00383BF9">
        <w:rPr>
          <w:rFonts w:ascii="Arial" w:hAnsi="Arial" w:cs="Arial"/>
          <w:i/>
          <w:iCs/>
          <w:sz w:val="28"/>
          <w:szCs w:val="28"/>
        </w:rPr>
        <w:t xml:space="preserve"> </w:t>
      </w:r>
      <w:r w:rsidRPr="00383BF9">
        <w:rPr>
          <w:rFonts w:ascii="Arial" w:hAnsi="Arial" w:cs="Arial"/>
          <w:sz w:val="28"/>
          <w:szCs w:val="28"/>
        </w:rPr>
        <w:t>5</w:t>
      </w:r>
      <w:r w:rsidRPr="00383BF9">
        <w:rPr>
          <w:rFonts w:ascii="Arial" w:hAnsi="Arial" w:cs="Arial"/>
          <w:sz w:val="28"/>
          <w:szCs w:val="28"/>
          <w:vertAlign w:val="superscript"/>
        </w:rPr>
        <w:t>th</w:t>
      </w:r>
      <w:r w:rsidRPr="00383BF9">
        <w:rPr>
          <w:rFonts w:ascii="Arial" w:hAnsi="Arial" w:cs="Arial"/>
          <w:sz w:val="28"/>
          <w:szCs w:val="28"/>
        </w:rPr>
        <w:t xml:space="preserve"> edn. Oxford: Oxford University Press.</w:t>
      </w:r>
    </w:p>
    <w:p w14:paraId="22D4E5DC" w14:textId="6CBD2472" w:rsidR="00D80773" w:rsidRPr="00383BF9" w:rsidRDefault="00D80773" w:rsidP="00383BF9">
      <w:pPr>
        <w:pStyle w:val="ListParagraph"/>
        <w:numPr>
          <w:ilvl w:val="0"/>
          <w:numId w:val="1"/>
        </w:numPr>
        <w:spacing w:before="240"/>
        <w:jc w:val="both"/>
        <w:rPr>
          <w:rFonts w:ascii="Arial" w:hAnsi="Arial" w:cs="Arial"/>
          <w:sz w:val="28"/>
          <w:szCs w:val="28"/>
        </w:rPr>
      </w:pPr>
      <w:r w:rsidRPr="00383BF9">
        <w:rPr>
          <w:rFonts w:ascii="Arial" w:hAnsi="Arial" w:cs="Arial"/>
          <w:sz w:val="28"/>
          <w:szCs w:val="28"/>
        </w:rPr>
        <w:t xml:space="preserve">Kov, A. (2016) </w:t>
      </w:r>
      <w:r w:rsidRPr="00383BF9">
        <w:rPr>
          <w:rFonts w:ascii="Arial" w:hAnsi="Arial" w:cs="Arial"/>
          <w:i/>
          <w:iCs/>
          <w:sz w:val="28"/>
          <w:szCs w:val="28"/>
        </w:rPr>
        <w:t>Exploring mediator liability in negligence Common Law World Review</w:t>
      </w:r>
      <w:r w:rsidRPr="00383BF9">
        <w:rPr>
          <w:rFonts w:ascii="Arial" w:hAnsi="Arial" w:cs="Arial"/>
          <w:sz w:val="28"/>
          <w:szCs w:val="28"/>
        </w:rPr>
        <w:t>, 45(2-3), pp.105-185. Available at: doi:10.1177/1473779516668718 (Accessed:1</w:t>
      </w:r>
      <w:r w:rsidRPr="00383BF9">
        <w:rPr>
          <w:rFonts w:ascii="Arial" w:hAnsi="Arial" w:cs="Arial"/>
          <w:sz w:val="28"/>
          <w:szCs w:val="28"/>
          <w:vertAlign w:val="superscript"/>
        </w:rPr>
        <w:t>st</w:t>
      </w:r>
      <w:r w:rsidRPr="00383BF9">
        <w:rPr>
          <w:rFonts w:ascii="Arial" w:hAnsi="Arial" w:cs="Arial"/>
          <w:sz w:val="28"/>
          <w:szCs w:val="28"/>
        </w:rPr>
        <w:t xml:space="preserve"> November 2021)</w:t>
      </w:r>
    </w:p>
    <w:p w14:paraId="662D96B5" w14:textId="4E0D404D" w:rsidR="00D80773" w:rsidRPr="00383BF9" w:rsidRDefault="00D80773" w:rsidP="00383BF9">
      <w:pPr>
        <w:pStyle w:val="ListParagraph"/>
        <w:numPr>
          <w:ilvl w:val="0"/>
          <w:numId w:val="1"/>
        </w:numPr>
        <w:jc w:val="both"/>
        <w:rPr>
          <w:rFonts w:ascii="Arial" w:hAnsi="Arial" w:cs="Arial"/>
          <w:bCs/>
          <w:sz w:val="28"/>
          <w:szCs w:val="28"/>
        </w:rPr>
      </w:pPr>
      <w:r w:rsidRPr="00383BF9">
        <w:rPr>
          <w:rFonts w:ascii="Arial" w:hAnsi="Arial" w:cs="Arial"/>
          <w:bCs/>
          <w:sz w:val="28"/>
          <w:szCs w:val="28"/>
        </w:rPr>
        <w:t>LexiNexis- lexisnexis.co.uk/legal/guidance/psychiatric-injury-primary-victims</w:t>
      </w:r>
    </w:p>
    <w:p w14:paraId="25F46835" w14:textId="2AB64409" w:rsidR="00D80773" w:rsidRPr="00383BF9" w:rsidRDefault="00D80773" w:rsidP="00383BF9">
      <w:pPr>
        <w:pStyle w:val="ListParagraph"/>
        <w:numPr>
          <w:ilvl w:val="0"/>
          <w:numId w:val="1"/>
        </w:numPr>
        <w:jc w:val="both"/>
        <w:rPr>
          <w:rFonts w:ascii="Arial" w:hAnsi="Arial" w:cs="Arial"/>
          <w:sz w:val="28"/>
          <w:szCs w:val="28"/>
        </w:rPr>
      </w:pPr>
      <w:r w:rsidRPr="00383BF9">
        <w:rPr>
          <w:rFonts w:ascii="Arial" w:hAnsi="Arial" w:cs="Arial"/>
          <w:sz w:val="28"/>
          <w:szCs w:val="28"/>
        </w:rPr>
        <w:t xml:space="preserve">Lunney, M. and Oliphant, K. (2013) </w:t>
      </w:r>
      <w:r w:rsidRPr="00383BF9">
        <w:rPr>
          <w:rFonts w:ascii="Arial" w:hAnsi="Arial" w:cs="Arial"/>
          <w:i/>
          <w:iCs/>
          <w:sz w:val="28"/>
          <w:szCs w:val="28"/>
        </w:rPr>
        <w:t>Tort Law Text and Material</w:t>
      </w:r>
      <w:r w:rsidRPr="00383BF9">
        <w:rPr>
          <w:rFonts w:ascii="Arial" w:hAnsi="Arial" w:cs="Arial"/>
          <w:sz w:val="28"/>
          <w:szCs w:val="28"/>
        </w:rPr>
        <w:t>. 5</w:t>
      </w:r>
      <w:r w:rsidRPr="00383BF9">
        <w:rPr>
          <w:rFonts w:ascii="Arial" w:hAnsi="Arial" w:cs="Arial"/>
          <w:sz w:val="28"/>
          <w:szCs w:val="28"/>
          <w:vertAlign w:val="superscript"/>
        </w:rPr>
        <w:t>th</w:t>
      </w:r>
      <w:r w:rsidRPr="00383BF9">
        <w:rPr>
          <w:rFonts w:ascii="Arial" w:hAnsi="Arial" w:cs="Arial"/>
          <w:sz w:val="28"/>
          <w:szCs w:val="28"/>
        </w:rPr>
        <w:t xml:space="preserve"> edn. Oxford:</w:t>
      </w:r>
      <w:r w:rsidR="001B6D0F" w:rsidRPr="00383BF9">
        <w:rPr>
          <w:rFonts w:ascii="Arial" w:hAnsi="Arial" w:cs="Arial"/>
          <w:sz w:val="28"/>
          <w:szCs w:val="28"/>
        </w:rPr>
        <w:t xml:space="preserve"> </w:t>
      </w:r>
      <w:r w:rsidRPr="00383BF9">
        <w:rPr>
          <w:rFonts w:ascii="Arial" w:hAnsi="Arial" w:cs="Arial"/>
          <w:sz w:val="28"/>
          <w:szCs w:val="28"/>
        </w:rPr>
        <w:t xml:space="preserve">Oxford University Press. </w:t>
      </w:r>
    </w:p>
    <w:p w14:paraId="2C4E8528" w14:textId="2EBF7505" w:rsidR="00D80773" w:rsidRPr="00383BF9" w:rsidRDefault="001B6D0F" w:rsidP="00383BF9">
      <w:pPr>
        <w:pStyle w:val="ListParagraph"/>
        <w:numPr>
          <w:ilvl w:val="0"/>
          <w:numId w:val="1"/>
        </w:numPr>
        <w:spacing w:before="240"/>
        <w:jc w:val="both"/>
        <w:rPr>
          <w:rFonts w:ascii="Arial" w:hAnsi="Arial" w:cs="Arial"/>
          <w:sz w:val="28"/>
          <w:szCs w:val="28"/>
        </w:rPr>
      </w:pPr>
      <w:r w:rsidRPr="00383BF9">
        <w:rPr>
          <w:rFonts w:ascii="Arial" w:hAnsi="Arial" w:cs="Arial"/>
          <w:sz w:val="28"/>
          <w:szCs w:val="28"/>
        </w:rPr>
        <w:t>1</w:t>
      </w:r>
      <w:r w:rsidR="00D80773" w:rsidRPr="00383BF9">
        <w:rPr>
          <w:rFonts w:ascii="Arial" w:hAnsi="Arial" w:cs="Arial"/>
          <w:sz w:val="28"/>
          <w:szCs w:val="28"/>
        </w:rPr>
        <w:t xml:space="preserve">Mehlam, M. (2012) ‘Medical Practice Guidelines as Malpractice Safe Harbours: Illusion or Deceit?, Journal of Law, Medicine &amp; Ethics, 40(2), pp. 286-300. Available at: DOI: </w:t>
      </w:r>
      <w:hyperlink r:id="rId7" w:history="1">
        <w:r w:rsidR="00D80773" w:rsidRPr="00383BF9">
          <w:rPr>
            <w:rStyle w:val="Hyperlink"/>
            <w:rFonts w:ascii="Arial" w:hAnsi="Arial" w:cs="Arial"/>
            <w:sz w:val="28"/>
            <w:szCs w:val="28"/>
          </w:rPr>
          <w:t>https://doi.org/10.1111/j.1748-720X.2012.006664.X</w:t>
        </w:r>
      </w:hyperlink>
      <w:r w:rsidR="00D80773" w:rsidRPr="00383BF9">
        <w:rPr>
          <w:rFonts w:ascii="Arial" w:hAnsi="Arial" w:cs="Arial"/>
          <w:sz w:val="28"/>
          <w:szCs w:val="28"/>
        </w:rPr>
        <w:t xml:space="preserve"> (Accessed: 1</w:t>
      </w:r>
      <w:r w:rsidR="00D80773" w:rsidRPr="00383BF9">
        <w:rPr>
          <w:rFonts w:ascii="Arial" w:hAnsi="Arial" w:cs="Arial"/>
          <w:sz w:val="28"/>
          <w:szCs w:val="28"/>
          <w:vertAlign w:val="superscript"/>
        </w:rPr>
        <w:t>st</w:t>
      </w:r>
      <w:r w:rsidR="00D80773" w:rsidRPr="00383BF9">
        <w:rPr>
          <w:rFonts w:ascii="Arial" w:hAnsi="Arial" w:cs="Arial"/>
          <w:sz w:val="28"/>
          <w:szCs w:val="28"/>
        </w:rPr>
        <w:t xml:space="preserve"> November 2021)</w:t>
      </w:r>
    </w:p>
    <w:p w14:paraId="5B572972" w14:textId="122B8370" w:rsidR="00D80773" w:rsidRPr="00383BF9" w:rsidRDefault="001B6D0F" w:rsidP="00383BF9">
      <w:pPr>
        <w:pStyle w:val="ListParagraph"/>
        <w:numPr>
          <w:ilvl w:val="0"/>
          <w:numId w:val="1"/>
        </w:numPr>
        <w:spacing w:before="240"/>
        <w:jc w:val="both"/>
        <w:rPr>
          <w:rFonts w:ascii="Arial" w:hAnsi="Arial" w:cs="Arial"/>
          <w:sz w:val="28"/>
          <w:szCs w:val="28"/>
        </w:rPr>
      </w:pPr>
      <w:r w:rsidRPr="00383BF9">
        <w:rPr>
          <w:rFonts w:ascii="Arial" w:hAnsi="Arial" w:cs="Arial"/>
          <w:sz w:val="28"/>
          <w:szCs w:val="28"/>
        </w:rPr>
        <w:t>1</w:t>
      </w:r>
      <w:r w:rsidR="00D80773" w:rsidRPr="00383BF9">
        <w:rPr>
          <w:rFonts w:ascii="Arial" w:hAnsi="Arial" w:cs="Arial"/>
          <w:sz w:val="28"/>
          <w:szCs w:val="28"/>
        </w:rPr>
        <w:t>Miola, J. (2012) “</w:t>
      </w:r>
      <w:r w:rsidR="00D80773" w:rsidRPr="00383BF9">
        <w:rPr>
          <w:rFonts w:ascii="Arial" w:hAnsi="Arial" w:cs="Arial"/>
          <w:i/>
          <w:iCs/>
          <w:sz w:val="28"/>
          <w:szCs w:val="28"/>
        </w:rPr>
        <w:t>The Reasonable Woman and the Standard of Care</w:t>
      </w:r>
      <w:r w:rsidR="00D80773" w:rsidRPr="00383BF9">
        <w:rPr>
          <w:rFonts w:ascii="Arial" w:hAnsi="Arial" w:cs="Arial"/>
          <w:sz w:val="28"/>
          <w:szCs w:val="28"/>
        </w:rPr>
        <w:t xml:space="preserve">” Rackley, E. and Richardson, J. (eds), </w:t>
      </w:r>
      <w:r w:rsidR="00D80773" w:rsidRPr="00383BF9">
        <w:rPr>
          <w:rFonts w:ascii="Arial" w:hAnsi="Arial" w:cs="Arial"/>
          <w:i/>
          <w:iCs/>
          <w:sz w:val="28"/>
          <w:szCs w:val="28"/>
        </w:rPr>
        <w:t>Feminist Perspectives on Tort Law</w:t>
      </w:r>
      <w:r w:rsidR="00D80773" w:rsidRPr="00383BF9">
        <w:rPr>
          <w:rFonts w:ascii="Arial" w:hAnsi="Arial" w:cs="Arial"/>
          <w:sz w:val="28"/>
          <w:szCs w:val="28"/>
        </w:rPr>
        <w:t>. London: Routledge</w:t>
      </w:r>
    </w:p>
    <w:p w14:paraId="39DDD30E" w14:textId="4A00FBC9" w:rsidR="00D80773" w:rsidRPr="00383BF9" w:rsidRDefault="001B6D0F" w:rsidP="00383BF9">
      <w:pPr>
        <w:pStyle w:val="ListParagraph"/>
        <w:numPr>
          <w:ilvl w:val="0"/>
          <w:numId w:val="1"/>
        </w:numPr>
        <w:spacing w:before="240"/>
        <w:jc w:val="both"/>
        <w:rPr>
          <w:rFonts w:ascii="Arial" w:hAnsi="Arial" w:cs="Arial"/>
          <w:sz w:val="28"/>
          <w:szCs w:val="28"/>
        </w:rPr>
      </w:pPr>
      <w:r w:rsidRPr="00383BF9">
        <w:rPr>
          <w:rFonts w:ascii="Arial" w:hAnsi="Arial" w:cs="Arial"/>
          <w:sz w:val="28"/>
          <w:szCs w:val="28"/>
        </w:rPr>
        <w:t>1</w:t>
      </w:r>
      <w:r w:rsidR="00D80773" w:rsidRPr="00383BF9">
        <w:rPr>
          <w:rFonts w:ascii="Arial" w:hAnsi="Arial" w:cs="Arial"/>
          <w:sz w:val="28"/>
          <w:szCs w:val="28"/>
        </w:rPr>
        <w:t xml:space="preserve">Mulheron, R. (2010) </w:t>
      </w:r>
      <w:r w:rsidR="00D80773" w:rsidRPr="00383BF9">
        <w:rPr>
          <w:rFonts w:ascii="Arial" w:hAnsi="Arial" w:cs="Arial"/>
          <w:i/>
          <w:iCs/>
          <w:sz w:val="28"/>
          <w:szCs w:val="28"/>
        </w:rPr>
        <w:t xml:space="preserve">Trumping Bolam: A Critical Legal Analysis of Bolitho’s Gloss </w:t>
      </w:r>
      <w:r w:rsidR="00D80773" w:rsidRPr="00383BF9">
        <w:rPr>
          <w:rFonts w:ascii="Arial" w:hAnsi="Arial" w:cs="Arial"/>
          <w:sz w:val="28"/>
          <w:szCs w:val="28"/>
        </w:rPr>
        <w:t xml:space="preserve"> CLJ 609</w:t>
      </w:r>
    </w:p>
    <w:p w14:paraId="7A710F45" w14:textId="346726A0" w:rsidR="00C37064" w:rsidRPr="00383BF9" w:rsidRDefault="001B6D0F" w:rsidP="00383BF9">
      <w:pPr>
        <w:pStyle w:val="ListParagraph"/>
        <w:numPr>
          <w:ilvl w:val="0"/>
          <w:numId w:val="1"/>
        </w:numPr>
        <w:jc w:val="both"/>
        <w:rPr>
          <w:rFonts w:ascii="Arial" w:hAnsi="Arial" w:cs="Arial"/>
          <w:sz w:val="28"/>
          <w:szCs w:val="28"/>
        </w:rPr>
      </w:pPr>
      <w:hyperlink r:id="rId8" w:history="1">
        <w:r w:rsidRPr="00383BF9">
          <w:rPr>
            <w:rStyle w:val="Hyperlink"/>
            <w:rFonts w:ascii="Arial" w:hAnsi="Arial" w:cs="Arial"/>
            <w:sz w:val="28"/>
            <w:szCs w:val="28"/>
          </w:rPr>
          <w:t>www.parliament.uk</w:t>
        </w:r>
      </w:hyperlink>
      <w:r w:rsidR="00F50300" w:rsidRPr="00383BF9">
        <w:rPr>
          <w:rFonts w:ascii="Arial" w:hAnsi="Arial" w:cs="Arial"/>
          <w:sz w:val="28"/>
          <w:szCs w:val="28"/>
        </w:rPr>
        <w:t xml:space="preserve"> Judgments-Tomlinson (FC) Original Respondent and Cross-appellant) v. Congleton Borough Council and others (Original Appellants and Cross-respondents) Available at: </w:t>
      </w:r>
      <w:hyperlink r:id="rId9" w:history="1">
        <w:r w:rsidRPr="00383BF9">
          <w:rPr>
            <w:rStyle w:val="Hyperlink"/>
            <w:rFonts w:ascii="Arial" w:hAnsi="Arial" w:cs="Arial"/>
            <w:sz w:val="28"/>
            <w:szCs w:val="28"/>
          </w:rPr>
          <w:t>https://publications.parliament.uk/pa/ld200203/ldjudgmt/jd030731/tomlin-2.htm</w:t>
        </w:r>
      </w:hyperlink>
      <w:r w:rsidR="00F50300" w:rsidRPr="00383BF9">
        <w:rPr>
          <w:rFonts w:ascii="Arial" w:hAnsi="Arial" w:cs="Arial"/>
          <w:sz w:val="28"/>
          <w:szCs w:val="28"/>
        </w:rPr>
        <w:t xml:space="preserve"> (Accessed: 6</w:t>
      </w:r>
      <w:r w:rsidR="00F50300" w:rsidRPr="00383BF9">
        <w:rPr>
          <w:rFonts w:ascii="Arial" w:hAnsi="Arial" w:cs="Arial"/>
          <w:sz w:val="28"/>
          <w:szCs w:val="28"/>
          <w:vertAlign w:val="superscript"/>
        </w:rPr>
        <w:t>th</w:t>
      </w:r>
      <w:r w:rsidR="00F50300" w:rsidRPr="00383BF9">
        <w:rPr>
          <w:rFonts w:ascii="Arial" w:hAnsi="Arial" w:cs="Arial"/>
          <w:sz w:val="28"/>
          <w:szCs w:val="28"/>
        </w:rPr>
        <w:t xml:space="preserve"> December 2021</w:t>
      </w:r>
    </w:p>
    <w:p w14:paraId="64C99FBE" w14:textId="77777777" w:rsidR="00383BF9" w:rsidRDefault="00383BF9" w:rsidP="00383BF9">
      <w:pPr>
        <w:jc w:val="both"/>
        <w:rPr>
          <w:rFonts w:ascii="Arial" w:hAnsi="Arial" w:cs="Arial"/>
          <w:sz w:val="28"/>
          <w:szCs w:val="28"/>
        </w:rPr>
      </w:pPr>
    </w:p>
    <w:p w14:paraId="39C588AE" w14:textId="77777777" w:rsidR="00383BF9" w:rsidRDefault="00383BF9" w:rsidP="00383BF9">
      <w:pPr>
        <w:jc w:val="both"/>
        <w:rPr>
          <w:rFonts w:ascii="Arial" w:hAnsi="Arial" w:cs="Arial"/>
          <w:sz w:val="28"/>
          <w:szCs w:val="28"/>
        </w:rPr>
      </w:pPr>
    </w:p>
    <w:p w14:paraId="69875DE4" w14:textId="77777777" w:rsidR="00383BF9" w:rsidRDefault="00383BF9" w:rsidP="00383BF9">
      <w:pPr>
        <w:jc w:val="both"/>
        <w:rPr>
          <w:rFonts w:ascii="Arial" w:hAnsi="Arial" w:cs="Arial"/>
          <w:sz w:val="28"/>
          <w:szCs w:val="28"/>
        </w:rPr>
      </w:pPr>
    </w:p>
    <w:p w14:paraId="281F389E" w14:textId="77777777" w:rsidR="00383BF9" w:rsidRDefault="00383BF9" w:rsidP="00383BF9">
      <w:pPr>
        <w:jc w:val="both"/>
        <w:rPr>
          <w:rFonts w:ascii="Arial" w:hAnsi="Arial" w:cs="Arial"/>
          <w:sz w:val="28"/>
          <w:szCs w:val="28"/>
        </w:rPr>
      </w:pPr>
    </w:p>
    <w:p w14:paraId="3446669D" w14:textId="77777777" w:rsidR="00383BF9" w:rsidRDefault="00383BF9" w:rsidP="00383BF9">
      <w:pPr>
        <w:jc w:val="both"/>
        <w:rPr>
          <w:rFonts w:ascii="Arial" w:hAnsi="Arial" w:cs="Arial"/>
          <w:sz w:val="28"/>
          <w:szCs w:val="28"/>
        </w:rPr>
      </w:pPr>
    </w:p>
    <w:p w14:paraId="7C505802" w14:textId="77777777" w:rsidR="00383BF9" w:rsidRDefault="00383BF9" w:rsidP="00383BF9">
      <w:pPr>
        <w:jc w:val="both"/>
        <w:rPr>
          <w:rFonts w:ascii="Arial" w:hAnsi="Arial" w:cs="Arial"/>
          <w:sz w:val="28"/>
          <w:szCs w:val="28"/>
        </w:rPr>
      </w:pPr>
    </w:p>
    <w:p w14:paraId="7D17E7AB" w14:textId="77777777" w:rsidR="00383BF9" w:rsidRDefault="00383BF9" w:rsidP="00383BF9">
      <w:pPr>
        <w:jc w:val="both"/>
        <w:rPr>
          <w:rFonts w:ascii="Arial" w:hAnsi="Arial" w:cs="Arial"/>
          <w:sz w:val="28"/>
          <w:szCs w:val="28"/>
        </w:rPr>
      </w:pPr>
    </w:p>
    <w:p w14:paraId="6AA69B85" w14:textId="77777777" w:rsidR="00383BF9" w:rsidRDefault="00383BF9" w:rsidP="00383BF9">
      <w:pPr>
        <w:jc w:val="both"/>
        <w:rPr>
          <w:rFonts w:ascii="Arial" w:hAnsi="Arial" w:cs="Arial"/>
          <w:sz w:val="28"/>
          <w:szCs w:val="28"/>
        </w:rPr>
      </w:pPr>
    </w:p>
    <w:p w14:paraId="3945A489" w14:textId="77777777" w:rsidR="00383BF9" w:rsidRDefault="00383BF9" w:rsidP="00383BF9">
      <w:pPr>
        <w:jc w:val="both"/>
        <w:rPr>
          <w:rFonts w:ascii="Arial" w:hAnsi="Arial" w:cs="Arial"/>
          <w:sz w:val="28"/>
          <w:szCs w:val="28"/>
        </w:rPr>
      </w:pPr>
    </w:p>
    <w:p w14:paraId="27AB9C03" w14:textId="77777777" w:rsidR="00383BF9" w:rsidRDefault="00383BF9" w:rsidP="00383BF9">
      <w:pPr>
        <w:jc w:val="both"/>
        <w:rPr>
          <w:rFonts w:ascii="Arial" w:hAnsi="Arial" w:cs="Arial"/>
          <w:sz w:val="28"/>
          <w:szCs w:val="28"/>
        </w:rPr>
      </w:pPr>
    </w:p>
    <w:p w14:paraId="1F87EA10" w14:textId="77777777" w:rsidR="00383BF9" w:rsidRDefault="00383BF9" w:rsidP="00383BF9">
      <w:pPr>
        <w:jc w:val="both"/>
        <w:rPr>
          <w:rFonts w:ascii="Arial" w:hAnsi="Arial" w:cs="Arial"/>
          <w:sz w:val="28"/>
          <w:szCs w:val="28"/>
        </w:rPr>
      </w:pPr>
    </w:p>
    <w:p w14:paraId="61464390" w14:textId="77777777" w:rsidR="00383BF9" w:rsidRDefault="00383BF9" w:rsidP="00383BF9">
      <w:pPr>
        <w:jc w:val="both"/>
        <w:rPr>
          <w:rFonts w:ascii="Arial" w:hAnsi="Arial" w:cs="Arial"/>
          <w:sz w:val="28"/>
          <w:szCs w:val="28"/>
        </w:rPr>
      </w:pPr>
    </w:p>
    <w:p w14:paraId="542A858F" w14:textId="77777777" w:rsidR="00383BF9" w:rsidRDefault="00383BF9" w:rsidP="00383BF9">
      <w:pPr>
        <w:jc w:val="both"/>
        <w:rPr>
          <w:rFonts w:ascii="Arial" w:hAnsi="Arial" w:cs="Arial"/>
          <w:sz w:val="28"/>
          <w:szCs w:val="28"/>
        </w:rPr>
      </w:pPr>
    </w:p>
    <w:p w14:paraId="402FA0E7" w14:textId="77777777" w:rsidR="00383BF9" w:rsidRDefault="00383BF9" w:rsidP="00383BF9">
      <w:pPr>
        <w:jc w:val="both"/>
        <w:rPr>
          <w:rFonts w:ascii="Arial" w:hAnsi="Arial" w:cs="Arial"/>
          <w:sz w:val="28"/>
          <w:szCs w:val="28"/>
        </w:rPr>
      </w:pPr>
    </w:p>
    <w:p w14:paraId="7482CB90" w14:textId="77777777" w:rsidR="00383BF9" w:rsidRDefault="00383BF9" w:rsidP="00383BF9">
      <w:pPr>
        <w:jc w:val="both"/>
        <w:rPr>
          <w:rFonts w:ascii="Arial" w:hAnsi="Arial" w:cs="Arial"/>
          <w:sz w:val="28"/>
          <w:szCs w:val="28"/>
        </w:rPr>
      </w:pPr>
    </w:p>
    <w:p w14:paraId="14396EBE" w14:textId="77777777" w:rsidR="00383BF9" w:rsidRDefault="00383BF9" w:rsidP="00383BF9">
      <w:pPr>
        <w:jc w:val="both"/>
        <w:rPr>
          <w:rFonts w:ascii="Arial" w:hAnsi="Arial" w:cs="Arial"/>
          <w:sz w:val="28"/>
          <w:szCs w:val="28"/>
        </w:rPr>
      </w:pPr>
    </w:p>
    <w:p w14:paraId="7148DEE2" w14:textId="77777777" w:rsidR="00383BF9" w:rsidRDefault="00383BF9" w:rsidP="00383BF9">
      <w:pPr>
        <w:jc w:val="both"/>
        <w:rPr>
          <w:rFonts w:ascii="Arial" w:hAnsi="Arial" w:cs="Arial"/>
          <w:sz w:val="28"/>
          <w:szCs w:val="28"/>
        </w:rPr>
      </w:pPr>
    </w:p>
    <w:p w14:paraId="4C4CE2D4" w14:textId="77777777" w:rsidR="00383BF9" w:rsidRDefault="00383BF9" w:rsidP="00383BF9">
      <w:pPr>
        <w:jc w:val="both"/>
        <w:rPr>
          <w:rFonts w:ascii="Arial" w:hAnsi="Arial" w:cs="Arial"/>
          <w:sz w:val="28"/>
          <w:szCs w:val="28"/>
        </w:rPr>
      </w:pPr>
    </w:p>
    <w:p w14:paraId="64FFC4DB" w14:textId="77777777" w:rsidR="00383BF9" w:rsidRDefault="00383BF9" w:rsidP="00383BF9">
      <w:pPr>
        <w:jc w:val="both"/>
        <w:rPr>
          <w:rFonts w:ascii="Arial" w:hAnsi="Arial" w:cs="Arial"/>
          <w:sz w:val="28"/>
          <w:szCs w:val="28"/>
        </w:rPr>
      </w:pPr>
    </w:p>
    <w:p w14:paraId="20ED22F5" w14:textId="77777777" w:rsidR="00383BF9" w:rsidRDefault="00383BF9" w:rsidP="00383BF9">
      <w:pPr>
        <w:jc w:val="both"/>
        <w:rPr>
          <w:rFonts w:ascii="Arial" w:hAnsi="Arial" w:cs="Arial"/>
          <w:sz w:val="28"/>
          <w:szCs w:val="28"/>
        </w:rPr>
      </w:pPr>
    </w:p>
    <w:p w14:paraId="206B2291" w14:textId="77777777" w:rsidR="00383BF9" w:rsidRDefault="00383BF9" w:rsidP="00383BF9">
      <w:pPr>
        <w:jc w:val="both"/>
        <w:rPr>
          <w:rFonts w:ascii="Arial" w:hAnsi="Arial" w:cs="Arial"/>
          <w:sz w:val="28"/>
          <w:szCs w:val="28"/>
        </w:rPr>
      </w:pPr>
    </w:p>
    <w:p w14:paraId="00C0C812" w14:textId="77777777" w:rsidR="00383BF9" w:rsidRDefault="00383BF9" w:rsidP="00383BF9">
      <w:pPr>
        <w:jc w:val="both"/>
        <w:rPr>
          <w:rFonts w:ascii="Arial" w:hAnsi="Arial" w:cs="Arial"/>
          <w:sz w:val="28"/>
          <w:szCs w:val="28"/>
        </w:rPr>
      </w:pPr>
    </w:p>
    <w:p w14:paraId="5D7ACDDB" w14:textId="77777777" w:rsidR="00383BF9" w:rsidRDefault="00383BF9" w:rsidP="00383BF9">
      <w:pPr>
        <w:jc w:val="both"/>
        <w:rPr>
          <w:rFonts w:ascii="Arial" w:hAnsi="Arial" w:cs="Arial"/>
          <w:sz w:val="28"/>
          <w:szCs w:val="28"/>
        </w:rPr>
      </w:pPr>
    </w:p>
    <w:p w14:paraId="457CDBD8" w14:textId="77777777" w:rsidR="00383BF9" w:rsidRDefault="00383BF9" w:rsidP="00383BF9">
      <w:pPr>
        <w:jc w:val="both"/>
        <w:rPr>
          <w:rFonts w:ascii="Arial" w:hAnsi="Arial" w:cs="Arial"/>
          <w:sz w:val="28"/>
          <w:szCs w:val="28"/>
        </w:rPr>
      </w:pPr>
    </w:p>
    <w:p w14:paraId="5F3B9229" w14:textId="4B382F56" w:rsidR="00C37064" w:rsidRPr="00383BF9" w:rsidRDefault="00F50300" w:rsidP="00D805F7">
      <w:pPr>
        <w:jc w:val="center"/>
        <w:rPr>
          <w:rFonts w:ascii="Arial" w:hAnsi="Arial" w:cs="Arial"/>
          <w:sz w:val="28"/>
          <w:szCs w:val="28"/>
        </w:rPr>
      </w:pPr>
      <w:r w:rsidRPr="00383BF9">
        <w:rPr>
          <w:rFonts w:ascii="Arial" w:hAnsi="Arial" w:cs="Arial"/>
          <w:sz w:val="28"/>
          <w:szCs w:val="28"/>
        </w:rPr>
        <w:lastRenderedPageBreak/>
        <w:t>CASE LAWS</w:t>
      </w:r>
    </w:p>
    <w:p w14:paraId="12DAD6B8" w14:textId="3A6EC911" w:rsidR="004E3FBD" w:rsidRPr="00383BF9" w:rsidRDefault="004E3FBD" w:rsidP="00383BF9">
      <w:pPr>
        <w:jc w:val="both"/>
        <w:rPr>
          <w:rFonts w:ascii="Arial" w:hAnsi="Arial" w:cs="Arial"/>
          <w:sz w:val="28"/>
          <w:szCs w:val="28"/>
        </w:rPr>
      </w:pPr>
      <w:r w:rsidRPr="00383BF9">
        <w:rPr>
          <w:rFonts w:ascii="Arial" w:hAnsi="Arial" w:cs="Arial"/>
          <w:sz w:val="28"/>
          <w:szCs w:val="28"/>
        </w:rPr>
        <w:t>Gee v Metropolitan Rly (1873)</w:t>
      </w:r>
      <w:r w:rsidRPr="00383BF9">
        <w:rPr>
          <w:rFonts w:ascii="Arial" w:hAnsi="Arial" w:cs="Arial"/>
          <w:sz w:val="28"/>
          <w:szCs w:val="28"/>
        </w:rPr>
        <w:t xml:space="preserve"> LR 8 QB 161</w:t>
      </w:r>
    </w:p>
    <w:p w14:paraId="2E22B3E3" w14:textId="4F79E88A" w:rsidR="0027485A" w:rsidRPr="00383BF9" w:rsidRDefault="0027485A" w:rsidP="00383BF9">
      <w:pPr>
        <w:jc w:val="both"/>
        <w:rPr>
          <w:rFonts w:ascii="Arial" w:hAnsi="Arial" w:cs="Arial"/>
          <w:bCs/>
          <w:sz w:val="28"/>
          <w:szCs w:val="28"/>
        </w:rPr>
      </w:pPr>
      <w:r w:rsidRPr="00383BF9">
        <w:rPr>
          <w:rFonts w:ascii="Arial" w:hAnsi="Arial" w:cs="Arial"/>
          <w:bCs/>
          <w:sz w:val="28"/>
          <w:szCs w:val="28"/>
        </w:rPr>
        <w:t>Dulieu v White &amp; Son [1901] 2 KB 669 (KB)</w:t>
      </w:r>
    </w:p>
    <w:p w14:paraId="69599CEA" w14:textId="5CAAAB10" w:rsidR="0027485A" w:rsidRPr="00383BF9" w:rsidRDefault="0027485A" w:rsidP="00383BF9">
      <w:pPr>
        <w:jc w:val="both"/>
        <w:rPr>
          <w:rFonts w:ascii="Arial" w:hAnsi="Arial" w:cs="Arial"/>
          <w:bCs/>
          <w:sz w:val="28"/>
          <w:szCs w:val="28"/>
        </w:rPr>
      </w:pPr>
      <w:r w:rsidRPr="00383BF9">
        <w:rPr>
          <w:rFonts w:ascii="Arial" w:hAnsi="Arial" w:cs="Arial"/>
          <w:bCs/>
          <w:sz w:val="28"/>
          <w:szCs w:val="28"/>
        </w:rPr>
        <w:t>Bourhill v Young [1943] AC 92 (HL) 103</w:t>
      </w:r>
    </w:p>
    <w:p w14:paraId="6BCE4AD4" w14:textId="0B84F108" w:rsidR="00D326C7" w:rsidRPr="00383BF9" w:rsidRDefault="00D326C7" w:rsidP="00383BF9">
      <w:pPr>
        <w:jc w:val="both"/>
        <w:rPr>
          <w:rFonts w:ascii="Arial" w:hAnsi="Arial" w:cs="Arial"/>
          <w:sz w:val="28"/>
          <w:szCs w:val="28"/>
        </w:rPr>
      </w:pPr>
      <w:r w:rsidRPr="00383BF9">
        <w:rPr>
          <w:rFonts w:ascii="Arial" w:hAnsi="Arial" w:cs="Arial"/>
          <w:sz w:val="28"/>
          <w:szCs w:val="28"/>
        </w:rPr>
        <w:t>Watt v Hertfordshire CC [1954]</w:t>
      </w:r>
    </w:p>
    <w:p w14:paraId="061F7833" w14:textId="54EC9F0B" w:rsidR="00D326C7" w:rsidRPr="00383BF9" w:rsidRDefault="00D326C7" w:rsidP="00383BF9">
      <w:pPr>
        <w:jc w:val="both"/>
        <w:rPr>
          <w:rFonts w:ascii="Arial" w:hAnsi="Arial" w:cs="Arial"/>
          <w:sz w:val="28"/>
          <w:szCs w:val="28"/>
        </w:rPr>
      </w:pPr>
      <w:r w:rsidRPr="00383BF9">
        <w:rPr>
          <w:rFonts w:ascii="Arial" w:hAnsi="Arial" w:cs="Arial"/>
          <w:sz w:val="28"/>
          <w:szCs w:val="28"/>
        </w:rPr>
        <w:t>Phipps v Rochester Corp [1955]</w:t>
      </w:r>
      <w:r w:rsidR="005A0A40" w:rsidRPr="00383BF9">
        <w:rPr>
          <w:rFonts w:ascii="Arial" w:hAnsi="Arial" w:cs="Arial"/>
          <w:sz w:val="28"/>
          <w:szCs w:val="28"/>
        </w:rPr>
        <w:t xml:space="preserve"> 1 QB 450</w:t>
      </w:r>
    </w:p>
    <w:p w14:paraId="0B6323B6" w14:textId="3AD2768E" w:rsidR="00C37064" w:rsidRPr="00383BF9" w:rsidRDefault="00F50300" w:rsidP="00383BF9">
      <w:pPr>
        <w:jc w:val="both"/>
        <w:rPr>
          <w:rFonts w:ascii="Arial" w:hAnsi="Arial" w:cs="Arial"/>
          <w:bCs/>
          <w:sz w:val="28"/>
          <w:szCs w:val="28"/>
        </w:rPr>
      </w:pPr>
      <w:r w:rsidRPr="00383BF9">
        <w:rPr>
          <w:rFonts w:ascii="Arial" w:hAnsi="Arial" w:cs="Arial"/>
          <w:bCs/>
          <w:sz w:val="28"/>
          <w:szCs w:val="28"/>
        </w:rPr>
        <w:t>Wheat v Lacon [1966]</w:t>
      </w:r>
      <w:r w:rsidR="005A0A40" w:rsidRPr="00383BF9">
        <w:rPr>
          <w:rFonts w:ascii="Arial" w:hAnsi="Arial" w:cs="Arial"/>
          <w:bCs/>
          <w:sz w:val="28"/>
          <w:szCs w:val="28"/>
        </w:rPr>
        <w:t xml:space="preserve"> 1 All ER 582</w:t>
      </w:r>
    </w:p>
    <w:p w14:paraId="38CC531B" w14:textId="58EBD1F9" w:rsidR="0027485A" w:rsidRPr="00383BF9" w:rsidRDefault="0027485A" w:rsidP="00383BF9">
      <w:pPr>
        <w:jc w:val="both"/>
        <w:rPr>
          <w:rFonts w:ascii="Arial" w:hAnsi="Arial" w:cs="Arial"/>
          <w:bCs/>
          <w:sz w:val="28"/>
          <w:szCs w:val="28"/>
        </w:rPr>
      </w:pPr>
      <w:r w:rsidRPr="00383BF9">
        <w:rPr>
          <w:rFonts w:ascii="Arial" w:hAnsi="Arial" w:cs="Arial"/>
          <w:bCs/>
          <w:sz w:val="28"/>
          <w:szCs w:val="28"/>
        </w:rPr>
        <w:t xml:space="preserve">Ward v Tesco Stores </w:t>
      </w:r>
      <w:r w:rsidR="005A0A40" w:rsidRPr="00383BF9">
        <w:rPr>
          <w:rFonts w:ascii="Arial" w:hAnsi="Arial" w:cs="Arial"/>
          <w:bCs/>
          <w:sz w:val="28"/>
          <w:szCs w:val="28"/>
        </w:rPr>
        <w:t>[</w:t>
      </w:r>
      <w:r w:rsidRPr="00383BF9">
        <w:rPr>
          <w:rFonts w:ascii="Arial" w:hAnsi="Arial" w:cs="Arial"/>
          <w:bCs/>
          <w:sz w:val="28"/>
          <w:szCs w:val="28"/>
        </w:rPr>
        <w:t>1976</w:t>
      </w:r>
      <w:r w:rsidR="005A0A40" w:rsidRPr="00383BF9">
        <w:rPr>
          <w:rFonts w:ascii="Arial" w:hAnsi="Arial" w:cs="Arial"/>
          <w:bCs/>
          <w:sz w:val="28"/>
          <w:szCs w:val="28"/>
        </w:rPr>
        <w:t>] 1 WLR 810</w:t>
      </w:r>
    </w:p>
    <w:p w14:paraId="5BD757D7" w14:textId="6BD46B86" w:rsidR="0027485A" w:rsidRPr="00383BF9" w:rsidRDefault="0027485A" w:rsidP="00383BF9">
      <w:pPr>
        <w:jc w:val="both"/>
        <w:rPr>
          <w:rFonts w:ascii="Arial" w:hAnsi="Arial" w:cs="Arial"/>
          <w:bCs/>
          <w:sz w:val="28"/>
          <w:szCs w:val="28"/>
        </w:rPr>
      </w:pPr>
      <w:r w:rsidRPr="00383BF9">
        <w:rPr>
          <w:rFonts w:ascii="Arial" w:hAnsi="Arial" w:cs="Arial"/>
          <w:bCs/>
          <w:sz w:val="28"/>
          <w:szCs w:val="28"/>
        </w:rPr>
        <w:t xml:space="preserve">McCloughlin v O’Brian </w:t>
      </w:r>
      <w:r w:rsidR="005A0A40" w:rsidRPr="00383BF9">
        <w:rPr>
          <w:rFonts w:ascii="Arial" w:hAnsi="Arial" w:cs="Arial"/>
          <w:bCs/>
          <w:sz w:val="28"/>
          <w:szCs w:val="28"/>
        </w:rPr>
        <w:t>[</w:t>
      </w:r>
      <w:r w:rsidRPr="00383BF9">
        <w:rPr>
          <w:rFonts w:ascii="Arial" w:hAnsi="Arial" w:cs="Arial"/>
          <w:bCs/>
          <w:sz w:val="28"/>
          <w:szCs w:val="28"/>
        </w:rPr>
        <w:t>1983</w:t>
      </w:r>
      <w:r w:rsidR="005A0A40" w:rsidRPr="00383BF9">
        <w:rPr>
          <w:rFonts w:ascii="Arial" w:hAnsi="Arial" w:cs="Arial"/>
          <w:bCs/>
          <w:sz w:val="28"/>
          <w:szCs w:val="28"/>
        </w:rPr>
        <w:t>] 1 AC 410</w:t>
      </w:r>
    </w:p>
    <w:p w14:paraId="242D723C" w14:textId="2E1132DA" w:rsidR="0027485A" w:rsidRPr="00383BF9" w:rsidRDefault="0027485A" w:rsidP="00383BF9">
      <w:pPr>
        <w:shd w:val="clear" w:color="auto" w:fill="FFFFFF"/>
        <w:spacing w:after="200" w:line="240" w:lineRule="auto"/>
        <w:jc w:val="both"/>
        <w:rPr>
          <w:rFonts w:ascii="Arial" w:hAnsi="Arial" w:cs="Arial"/>
          <w:sz w:val="28"/>
          <w:szCs w:val="28"/>
        </w:rPr>
      </w:pPr>
      <w:r w:rsidRPr="00383BF9">
        <w:rPr>
          <w:rFonts w:ascii="Arial" w:eastAsia="Times New Roman" w:hAnsi="Arial" w:cs="Arial"/>
          <w:bCs/>
          <w:i/>
          <w:iCs/>
          <w:color w:val="000000"/>
          <w:sz w:val="28"/>
          <w:szCs w:val="28"/>
          <w:lang w:eastAsia="en-GB"/>
        </w:rPr>
        <w:t>Alcock &amp; ors v Chief Constable of South Yorkshire</w:t>
      </w:r>
      <w:r w:rsidRPr="00383BF9">
        <w:rPr>
          <w:rFonts w:ascii="Arial" w:eastAsia="Times New Roman" w:hAnsi="Arial" w:cs="Arial"/>
          <w:color w:val="000000"/>
          <w:sz w:val="28"/>
          <w:szCs w:val="28"/>
          <w:lang w:eastAsia="en-GB"/>
        </w:rPr>
        <w:t> [1992] AC 310 HL</w:t>
      </w:r>
    </w:p>
    <w:p w14:paraId="30AF0D99" w14:textId="02802632" w:rsidR="0027485A" w:rsidRPr="00383BF9" w:rsidRDefault="0027485A" w:rsidP="00383BF9">
      <w:pPr>
        <w:jc w:val="both"/>
        <w:rPr>
          <w:rFonts w:ascii="Arial" w:hAnsi="Arial" w:cs="Arial"/>
          <w:bCs/>
          <w:sz w:val="28"/>
          <w:szCs w:val="28"/>
        </w:rPr>
      </w:pPr>
      <w:r w:rsidRPr="00383BF9">
        <w:rPr>
          <w:rFonts w:ascii="Arial" w:hAnsi="Arial" w:cs="Arial"/>
          <w:bCs/>
          <w:sz w:val="28"/>
          <w:szCs w:val="28"/>
        </w:rPr>
        <w:t xml:space="preserve">Page v Smith </w:t>
      </w:r>
      <w:r w:rsidR="005A0A40" w:rsidRPr="00383BF9">
        <w:rPr>
          <w:rFonts w:ascii="Arial" w:hAnsi="Arial" w:cs="Arial"/>
          <w:bCs/>
          <w:sz w:val="28"/>
          <w:szCs w:val="28"/>
        </w:rPr>
        <w:t>[</w:t>
      </w:r>
      <w:r w:rsidRPr="00383BF9">
        <w:rPr>
          <w:rFonts w:ascii="Arial" w:hAnsi="Arial" w:cs="Arial"/>
          <w:bCs/>
          <w:sz w:val="28"/>
          <w:szCs w:val="28"/>
        </w:rPr>
        <w:t>1996</w:t>
      </w:r>
      <w:r w:rsidR="005A0A40" w:rsidRPr="00383BF9">
        <w:rPr>
          <w:rFonts w:ascii="Arial" w:hAnsi="Arial" w:cs="Arial"/>
          <w:bCs/>
          <w:sz w:val="28"/>
          <w:szCs w:val="28"/>
        </w:rPr>
        <w:t>] 1 AC 155</w:t>
      </w:r>
    </w:p>
    <w:p w14:paraId="755DB769" w14:textId="28084D76" w:rsidR="00C37064" w:rsidRPr="00383BF9" w:rsidRDefault="00F50300" w:rsidP="00383BF9">
      <w:pPr>
        <w:jc w:val="both"/>
        <w:rPr>
          <w:rFonts w:ascii="Arial" w:hAnsi="Arial" w:cs="Arial"/>
          <w:bCs/>
          <w:sz w:val="28"/>
          <w:szCs w:val="28"/>
        </w:rPr>
      </w:pPr>
      <w:r w:rsidRPr="00383BF9">
        <w:rPr>
          <w:rFonts w:ascii="Arial" w:hAnsi="Arial" w:cs="Arial"/>
          <w:bCs/>
          <w:sz w:val="28"/>
          <w:szCs w:val="28"/>
        </w:rPr>
        <w:t>Tomlinson v Congleton BC [2003]</w:t>
      </w:r>
      <w:r w:rsidR="005A0A40" w:rsidRPr="00383BF9">
        <w:rPr>
          <w:rFonts w:ascii="Arial" w:hAnsi="Arial" w:cs="Arial"/>
          <w:bCs/>
          <w:sz w:val="28"/>
          <w:szCs w:val="28"/>
        </w:rPr>
        <w:t xml:space="preserve"> UKHL 47</w:t>
      </w:r>
    </w:p>
    <w:p w14:paraId="61907138" w14:textId="77777777" w:rsidR="004E3FBD" w:rsidRPr="00383BF9" w:rsidRDefault="004E3FBD" w:rsidP="00383BF9">
      <w:pPr>
        <w:jc w:val="both"/>
        <w:rPr>
          <w:rFonts w:ascii="Arial" w:hAnsi="Arial" w:cs="Arial"/>
          <w:bCs/>
          <w:sz w:val="28"/>
          <w:szCs w:val="28"/>
        </w:rPr>
      </w:pPr>
    </w:p>
    <w:p w14:paraId="7F174CC8" w14:textId="77777777" w:rsidR="00C37064" w:rsidRPr="00383BF9" w:rsidRDefault="00C37064" w:rsidP="00383BF9">
      <w:pPr>
        <w:jc w:val="both"/>
        <w:rPr>
          <w:rFonts w:ascii="Arial" w:hAnsi="Arial" w:cs="Arial"/>
          <w:bCs/>
          <w:sz w:val="28"/>
          <w:szCs w:val="28"/>
        </w:rPr>
      </w:pPr>
    </w:p>
    <w:p w14:paraId="3BE983C7" w14:textId="77777777" w:rsidR="00C37064" w:rsidRPr="00383BF9" w:rsidRDefault="00C37064" w:rsidP="00383BF9">
      <w:pPr>
        <w:jc w:val="both"/>
        <w:rPr>
          <w:rFonts w:ascii="Arial" w:hAnsi="Arial" w:cs="Arial"/>
          <w:sz w:val="28"/>
          <w:szCs w:val="28"/>
        </w:rPr>
      </w:pPr>
    </w:p>
    <w:p w14:paraId="08712B29" w14:textId="77777777" w:rsidR="00C37064" w:rsidRPr="00383BF9" w:rsidRDefault="00C37064" w:rsidP="00383BF9">
      <w:pPr>
        <w:jc w:val="both"/>
        <w:rPr>
          <w:rFonts w:ascii="Arial" w:hAnsi="Arial" w:cs="Arial"/>
          <w:sz w:val="28"/>
          <w:szCs w:val="28"/>
        </w:rPr>
      </w:pPr>
    </w:p>
    <w:p w14:paraId="78916A68" w14:textId="77777777" w:rsidR="00C37064" w:rsidRPr="00383BF9" w:rsidRDefault="00C37064" w:rsidP="00383BF9">
      <w:pPr>
        <w:jc w:val="both"/>
        <w:rPr>
          <w:rFonts w:ascii="Arial" w:hAnsi="Arial" w:cs="Arial"/>
          <w:sz w:val="28"/>
          <w:szCs w:val="28"/>
        </w:rPr>
      </w:pPr>
    </w:p>
    <w:p w14:paraId="7DABFF8E" w14:textId="77777777" w:rsidR="00C37064" w:rsidRPr="00383BF9" w:rsidRDefault="00C37064" w:rsidP="00383BF9">
      <w:pPr>
        <w:jc w:val="both"/>
        <w:rPr>
          <w:rFonts w:ascii="Arial" w:hAnsi="Arial" w:cs="Arial"/>
          <w:sz w:val="28"/>
          <w:szCs w:val="28"/>
        </w:rPr>
      </w:pPr>
    </w:p>
    <w:p w14:paraId="4A77DA74" w14:textId="77777777" w:rsidR="00C37064" w:rsidRPr="00383BF9" w:rsidRDefault="00C37064" w:rsidP="00383BF9">
      <w:pPr>
        <w:jc w:val="both"/>
        <w:rPr>
          <w:rFonts w:ascii="Arial" w:hAnsi="Arial" w:cs="Arial"/>
          <w:sz w:val="28"/>
          <w:szCs w:val="28"/>
        </w:rPr>
      </w:pPr>
    </w:p>
    <w:p w14:paraId="73047552" w14:textId="77777777" w:rsidR="00C37064" w:rsidRPr="00383BF9" w:rsidRDefault="00C37064" w:rsidP="00383BF9">
      <w:pPr>
        <w:jc w:val="both"/>
        <w:rPr>
          <w:rFonts w:ascii="Arial" w:hAnsi="Arial" w:cs="Arial"/>
          <w:sz w:val="28"/>
          <w:szCs w:val="28"/>
        </w:rPr>
      </w:pPr>
    </w:p>
    <w:p w14:paraId="0D15BB2F" w14:textId="77777777" w:rsidR="00C37064" w:rsidRPr="00383BF9" w:rsidRDefault="00C37064" w:rsidP="00383BF9">
      <w:pPr>
        <w:jc w:val="both"/>
        <w:rPr>
          <w:rFonts w:ascii="Arial" w:hAnsi="Arial" w:cs="Arial"/>
          <w:sz w:val="28"/>
          <w:szCs w:val="28"/>
        </w:rPr>
      </w:pPr>
    </w:p>
    <w:p w14:paraId="15BABF3C" w14:textId="77777777" w:rsidR="00C37064" w:rsidRPr="00383BF9" w:rsidRDefault="00C37064" w:rsidP="00383BF9">
      <w:pPr>
        <w:jc w:val="both"/>
        <w:rPr>
          <w:rFonts w:ascii="Arial" w:hAnsi="Arial" w:cs="Arial"/>
          <w:sz w:val="28"/>
          <w:szCs w:val="28"/>
        </w:rPr>
      </w:pPr>
    </w:p>
    <w:p w14:paraId="38472D60" w14:textId="77777777" w:rsidR="00C37064" w:rsidRPr="00383BF9" w:rsidRDefault="00C37064" w:rsidP="00383BF9">
      <w:pPr>
        <w:jc w:val="both"/>
        <w:rPr>
          <w:rFonts w:ascii="Arial" w:hAnsi="Arial" w:cs="Arial"/>
          <w:sz w:val="28"/>
          <w:szCs w:val="28"/>
        </w:rPr>
      </w:pPr>
    </w:p>
    <w:p w14:paraId="1DA487C8" w14:textId="77777777" w:rsidR="00C37064" w:rsidRPr="00383BF9" w:rsidRDefault="00C37064" w:rsidP="00383BF9">
      <w:pPr>
        <w:jc w:val="both"/>
        <w:rPr>
          <w:rFonts w:ascii="Arial" w:hAnsi="Arial" w:cs="Arial"/>
          <w:sz w:val="28"/>
          <w:szCs w:val="28"/>
        </w:rPr>
      </w:pPr>
    </w:p>
    <w:p w14:paraId="4BF9B735" w14:textId="77777777" w:rsidR="00C37064" w:rsidRPr="00383BF9" w:rsidRDefault="00C37064" w:rsidP="00383BF9">
      <w:pPr>
        <w:jc w:val="both"/>
        <w:rPr>
          <w:rFonts w:ascii="Arial" w:hAnsi="Arial" w:cs="Arial"/>
          <w:sz w:val="28"/>
          <w:szCs w:val="28"/>
        </w:rPr>
      </w:pPr>
    </w:p>
    <w:p w14:paraId="45F644E5" w14:textId="77777777" w:rsidR="00C37064" w:rsidRPr="00383BF9" w:rsidRDefault="00C37064" w:rsidP="00383BF9">
      <w:pPr>
        <w:jc w:val="both"/>
        <w:rPr>
          <w:rFonts w:ascii="Arial" w:hAnsi="Arial" w:cs="Arial"/>
          <w:sz w:val="28"/>
          <w:szCs w:val="28"/>
        </w:rPr>
      </w:pPr>
    </w:p>
    <w:p w14:paraId="13BDDA76" w14:textId="77777777" w:rsidR="00C37064" w:rsidRPr="00383BF9" w:rsidRDefault="00C37064" w:rsidP="00383BF9">
      <w:pPr>
        <w:jc w:val="both"/>
        <w:rPr>
          <w:rFonts w:ascii="Arial" w:hAnsi="Arial" w:cs="Arial"/>
          <w:sz w:val="28"/>
          <w:szCs w:val="28"/>
        </w:rPr>
      </w:pPr>
    </w:p>
    <w:p w14:paraId="7572AF77" w14:textId="77777777" w:rsidR="00C37064" w:rsidRPr="00383BF9" w:rsidRDefault="00C37064" w:rsidP="00383BF9">
      <w:pPr>
        <w:jc w:val="both"/>
        <w:rPr>
          <w:rFonts w:ascii="Arial" w:hAnsi="Arial" w:cs="Arial"/>
          <w:sz w:val="28"/>
          <w:szCs w:val="28"/>
        </w:rPr>
      </w:pPr>
    </w:p>
    <w:p w14:paraId="49D04659" w14:textId="379637A0" w:rsidR="00C37064" w:rsidRPr="00383BF9" w:rsidRDefault="00F50300" w:rsidP="00383BF9">
      <w:pPr>
        <w:jc w:val="center"/>
        <w:rPr>
          <w:rFonts w:ascii="Arial" w:hAnsi="Arial" w:cs="Arial"/>
          <w:sz w:val="28"/>
          <w:szCs w:val="28"/>
        </w:rPr>
      </w:pPr>
      <w:r w:rsidRPr="00383BF9">
        <w:rPr>
          <w:rFonts w:ascii="Arial" w:hAnsi="Arial" w:cs="Arial"/>
          <w:sz w:val="28"/>
          <w:szCs w:val="28"/>
        </w:rPr>
        <w:lastRenderedPageBreak/>
        <w:t>STATUES</w:t>
      </w:r>
    </w:p>
    <w:p w14:paraId="562790AF" w14:textId="77777777" w:rsidR="00C37064" w:rsidRPr="00383BF9" w:rsidRDefault="00F50300" w:rsidP="00383BF9">
      <w:pPr>
        <w:jc w:val="both"/>
        <w:rPr>
          <w:rFonts w:ascii="Arial" w:hAnsi="Arial" w:cs="Arial"/>
          <w:sz w:val="28"/>
          <w:szCs w:val="28"/>
        </w:rPr>
      </w:pPr>
      <w:r w:rsidRPr="00383BF9">
        <w:rPr>
          <w:rFonts w:ascii="Arial" w:hAnsi="Arial" w:cs="Arial"/>
          <w:sz w:val="28"/>
          <w:szCs w:val="28"/>
        </w:rPr>
        <w:t>Law Reform (Contributory Negligence) Act 1945</w:t>
      </w:r>
    </w:p>
    <w:p w14:paraId="46E666EF" w14:textId="77777777" w:rsidR="00C37064" w:rsidRPr="00383BF9" w:rsidRDefault="00F50300" w:rsidP="00383BF9">
      <w:pPr>
        <w:jc w:val="both"/>
        <w:rPr>
          <w:rFonts w:ascii="Arial" w:hAnsi="Arial" w:cs="Arial"/>
          <w:sz w:val="28"/>
          <w:szCs w:val="28"/>
        </w:rPr>
      </w:pPr>
      <w:r w:rsidRPr="00383BF9">
        <w:rPr>
          <w:rFonts w:ascii="Arial" w:hAnsi="Arial" w:cs="Arial"/>
          <w:sz w:val="28"/>
          <w:szCs w:val="28"/>
        </w:rPr>
        <w:t>Occupiers Liability Act 1957</w:t>
      </w:r>
    </w:p>
    <w:p w14:paraId="1007C51B" w14:textId="77777777" w:rsidR="00C37064" w:rsidRPr="00383BF9" w:rsidRDefault="00F50300" w:rsidP="00383BF9">
      <w:pPr>
        <w:jc w:val="both"/>
        <w:rPr>
          <w:rFonts w:ascii="Arial" w:hAnsi="Arial" w:cs="Arial"/>
          <w:sz w:val="28"/>
          <w:szCs w:val="28"/>
        </w:rPr>
      </w:pPr>
      <w:r w:rsidRPr="00383BF9">
        <w:rPr>
          <w:rFonts w:ascii="Arial" w:hAnsi="Arial" w:cs="Arial"/>
          <w:sz w:val="28"/>
          <w:szCs w:val="28"/>
        </w:rPr>
        <w:t>Occupiers Liability Act 1984</w:t>
      </w:r>
    </w:p>
    <w:p w14:paraId="15214DF7" w14:textId="77777777" w:rsidR="00C37064" w:rsidRPr="00383BF9" w:rsidRDefault="00F50300" w:rsidP="00383BF9">
      <w:pPr>
        <w:jc w:val="both"/>
        <w:rPr>
          <w:rFonts w:ascii="Arial" w:hAnsi="Arial" w:cs="Arial"/>
          <w:sz w:val="28"/>
          <w:szCs w:val="28"/>
        </w:rPr>
      </w:pPr>
      <w:r w:rsidRPr="00383BF9">
        <w:rPr>
          <w:rFonts w:ascii="Arial" w:hAnsi="Arial" w:cs="Arial"/>
          <w:sz w:val="28"/>
          <w:szCs w:val="28"/>
        </w:rPr>
        <w:t>Unfair Contract Term 1977</w:t>
      </w:r>
    </w:p>
    <w:p w14:paraId="39B8B634" w14:textId="230D6FFB" w:rsidR="00C37064" w:rsidRPr="00383BF9" w:rsidRDefault="00F50300" w:rsidP="00383BF9">
      <w:pPr>
        <w:jc w:val="both"/>
        <w:rPr>
          <w:rFonts w:ascii="Arial" w:hAnsi="Arial" w:cs="Arial"/>
          <w:sz w:val="28"/>
          <w:szCs w:val="28"/>
        </w:rPr>
      </w:pPr>
      <w:r w:rsidRPr="00383BF9">
        <w:rPr>
          <w:rFonts w:ascii="Arial" w:hAnsi="Arial" w:cs="Arial"/>
          <w:sz w:val="28"/>
          <w:szCs w:val="28"/>
        </w:rPr>
        <w:t>Civil Liability (Contributory Act) (CL(C)1978</w:t>
      </w:r>
    </w:p>
    <w:p w14:paraId="558DBC9C" w14:textId="51536396" w:rsidR="009E6DC5" w:rsidRPr="00383BF9" w:rsidRDefault="009E6DC5" w:rsidP="00383BF9">
      <w:pPr>
        <w:jc w:val="both"/>
        <w:rPr>
          <w:rFonts w:ascii="Arial" w:hAnsi="Arial" w:cs="Arial"/>
          <w:sz w:val="28"/>
          <w:szCs w:val="28"/>
        </w:rPr>
      </w:pPr>
      <w:r w:rsidRPr="00383BF9">
        <w:rPr>
          <w:rFonts w:ascii="Arial" w:hAnsi="Arial" w:cs="Arial"/>
          <w:sz w:val="28"/>
          <w:szCs w:val="28"/>
        </w:rPr>
        <w:t>Limitation Act 1980</w:t>
      </w:r>
    </w:p>
    <w:p w14:paraId="29DBD804" w14:textId="71FAEBF7" w:rsidR="009E6DC5" w:rsidRPr="00383BF9" w:rsidRDefault="009E6DC5" w:rsidP="00383BF9">
      <w:pPr>
        <w:jc w:val="both"/>
        <w:rPr>
          <w:rFonts w:ascii="Arial" w:hAnsi="Arial" w:cs="Arial"/>
          <w:sz w:val="28"/>
          <w:szCs w:val="28"/>
        </w:rPr>
      </w:pPr>
      <w:r w:rsidRPr="00383BF9">
        <w:rPr>
          <w:rFonts w:ascii="Arial" w:hAnsi="Arial" w:cs="Arial"/>
          <w:sz w:val="28"/>
          <w:szCs w:val="28"/>
        </w:rPr>
        <w:t>Mental Health Act 1983</w:t>
      </w:r>
    </w:p>
    <w:p w14:paraId="7E32A894" w14:textId="63A7904A" w:rsidR="00C37064" w:rsidRPr="00383BF9" w:rsidRDefault="00F50300" w:rsidP="00383BF9">
      <w:pPr>
        <w:jc w:val="both"/>
        <w:rPr>
          <w:rFonts w:ascii="Arial" w:hAnsi="Arial" w:cs="Arial"/>
          <w:sz w:val="28"/>
          <w:szCs w:val="28"/>
        </w:rPr>
      </w:pPr>
      <w:r w:rsidRPr="00383BF9">
        <w:rPr>
          <w:rFonts w:ascii="Arial" w:hAnsi="Arial" w:cs="Arial"/>
          <w:sz w:val="28"/>
          <w:szCs w:val="28"/>
        </w:rPr>
        <w:t>Compensation Act 2006</w:t>
      </w:r>
    </w:p>
    <w:p w14:paraId="65605F1C" w14:textId="713E00F5" w:rsidR="009E6DC5" w:rsidRPr="00383BF9" w:rsidRDefault="009E6DC5" w:rsidP="00383BF9">
      <w:pPr>
        <w:jc w:val="both"/>
        <w:rPr>
          <w:rFonts w:ascii="Arial" w:hAnsi="Arial" w:cs="Arial"/>
          <w:sz w:val="28"/>
          <w:szCs w:val="28"/>
        </w:rPr>
      </w:pPr>
      <w:r w:rsidRPr="00383BF9">
        <w:rPr>
          <w:rFonts w:ascii="Arial" w:hAnsi="Arial" w:cs="Arial"/>
          <w:sz w:val="28"/>
          <w:szCs w:val="28"/>
        </w:rPr>
        <w:t>Mental Health Act 2007</w:t>
      </w:r>
    </w:p>
    <w:p w14:paraId="2E57478B" w14:textId="77777777" w:rsidR="009E6DC5" w:rsidRPr="00383BF9" w:rsidRDefault="009E6DC5" w:rsidP="00383BF9">
      <w:pPr>
        <w:jc w:val="both"/>
        <w:rPr>
          <w:rFonts w:ascii="Arial" w:hAnsi="Arial" w:cs="Arial"/>
          <w:sz w:val="28"/>
          <w:szCs w:val="28"/>
        </w:rPr>
      </w:pPr>
    </w:p>
    <w:p w14:paraId="77FC62D9" w14:textId="77777777" w:rsidR="009E6DC5" w:rsidRPr="00383BF9" w:rsidRDefault="009E6DC5" w:rsidP="00383BF9">
      <w:pPr>
        <w:jc w:val="both"/>
        <w:rPr>
          <w:rFonts w:ascii="Arial" w:hAnsi="Arial" w:cs="Arial"/>
          <w:sz w:val="28"/>
          <w:szCs w:val="28"/>
        </w:rPr>
      </w:pPr>
    </w:p>
    <w:p w14:paraId="787A1EBD" w14:textId="77777777" w:rsidR="00C37064" w:rsidRPr="00383BF9" w:rsidRDefault="00C37064" w:rsidP="00383BF9">
      <w:pPr>
        <w:jc w:val="both"/>
        <w:rPr>
          <w:rFonts w:ascii="Arial" w:hAnsi="Arial" w:cs="Arial"/>
          <w:sz w:val="28"/>
          <w:szCs w:val="28"/>
        </w:rPr>
      </w:pPr>
    </w:p>
    <w:p w14:paraId="7FFA24EE" w14:textId="77777777" w:rsidR="00C37064" w:rsidRPr="00383BF9" w:rsidRDefault="00C37064" w:rsidP="00383BF9">
      <w:pPr>
        <w:jc w:val="both"/>
        <w:rPr>
          <w:rFonts w:ascii="Arial" w:hAnsi="Arial" w:cs="Arial"/>
          <w:sz w:val="28"/>
          <w:szCs w:val="28"/>
        </w:rPr>
      </w:pPr>
    </w:p>
    <w:sectPr w:rsidR="00C37064" w:rsidRPr="00383BF9">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0F3A4" w14:textId="77777777" w:rsidR="005026C5" w:rsidRDefault="005026C5">
      <w:pPr>
        <w:spacing w:after="0" w:line="240" w:lineRule="auto"/>
      </w:pPr>
      <w:r>
        <w:separator/>
      </w:r>
    </w:p>
  </w:endnote>
  <w:endnote w:type="continuationSeparator" w:id="0">
    <w:p w14:paraId="26325A89" w14:textId="77777777" w:rsidR="005026C5" w:rsidRDefault="00502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074711"/>
      <w:docPartObj>
        <w:docPartGallery w:val="Page Numbers (Bottom of Page)"/>
        <w:docPartUnique/>
      </w:docPartObj>
    </w:sdtPr>
    <w:sdtEndPr>
      <w:rPr>
        <w:noProof/>
      </w:rPr>
    </w:sdtEndPr>
    <w:sdtContent>
      <w:p w14:paraId="6885FCF7" w14:textId="63FC2FD2" w:rsidR="001B6D0F" w:rsidRDefault="001B6D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A2619" w14:textId="77777777" w:rsidR="001B6D0F" w:rsidRDefault="001B6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E1880" w14:textId="77777777" w:rsidR="005026C5" w:rsidRDefault="005026C5">
      <w:pPr>
        <w:spacing w:after="0" w:line="240" w:lineRule="auto"/>
      </w:pPr>
      <w:r>
        <w:rPr>
          <w:color w:val="000000"/>
        </w:rPr>
        <w:separator/>
      </w:r>
    </w:p>
  </w:footnote>
  <w:footnote w:type="continuationSeparator" w:id="0">
    <w:p w14:paraId="749C199C" w14:textId="77777777" w:rsidR="005026C5" w:rsidRDefault="005026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370C3"/>
    <w:multiLevelType w:val="hybridMultilevel"/>
    <w:tmpl w:val="A05696E4"/>
    <w:lvl w:ilvl="0" w:tplc="28F6DB8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064"/>
    <w:rsid w:val="0002469C"/>
    <w:rsid w:val="00031B92"/>
    <w:rsid w:val="000E4948"/>
    <w:rsid w:val="000F17B5"/>
    <w:rsid w:val="001B6D0F"/>
    <w:rsid w:val="001E1D85"/>
    <w:rsid w:val="00206276"/>
    <w:rsid w:val="00226527"/>
    <w:rsid w:val="0027485A"/>
    <w:rsid w:val="00277F30"/>
    <w:rsid w:val="00286265"/>
    <w:rsid w:val="002E2159"/>
    <w:rsid w:val="00340D24"/>
    <w:rsid w:val="0034263B"/>
    <w:rsid w:val="00371CC1"/>
    <w:rsid w:val="003831D3"/>
    <w:rsid w:val="00383BF9"/>
    <w:rsid w:val="003F63ED"/>
    <w:rsid w:val="004E3FBD"/>
    <w:rsid w:val="005026C5"/>
    <w:rsid w:val="00516B33"/>
    <w:rsid w:val="0053643B"/>
    <w:rsid w:val="005600E3"/>
    <w:rsid w:val="0056112D"/>
    <w:rsid w:val="005A0A40"/>
    <w:rsid w:val="005E0CF3"/>
    <w:rsid w:val="007368E9"/>
    <w:rsid w:val="007A1D7B"/>
    <w:rsid w:val="007C7F0E"/>
    <w:rsid w:val="00852892"/>
    <w:rsid w:val="008667AE"/>
    <w:rsid w:val="00887E3A"/>
    <w:rsid w:val="00895CDD"/>
    <w:rsid w:val="008A6F74"/>
    <w:rsid w:val="008B450C"/>
    <w:rsid w:val="009379C7"/>
    <w:rsid w:val="009E6DC5"/>
    <w:rsid w:val="00AD0BBB"/>
    <w:rsid w:val="00AE1EC9"/>
    <w:rsid w:val="00BB5FBB"/>
    <w:rsid w:val="00C341AF"/>
    <w:rsid w:val="00C37064"/>
    <w:rsid w:val="00C67EA6"/>
    <w:rsid w:val="00C74C82"/>
    <w:rsid w:val="00CC6CCC"/>
    <w:rsid w:val="00D326C7"/>
    <w:rsid w:val="00D46441"/>
    <w:rsid w:val="00D7749F"/>
    <w:rsid w:val="00D805F7"/>
    <w:rsid w:val="00D80773"/>
    <w:rsid w:val="00D9710A"/>
    <w:rsid w:val="00DB1A1D"/>
    <w:rsid w:val="00E3470A"/>
    <w:rsid w:val="00E42678"/>
    <w:rsid w:val="00E76A20"/>
    <w:rsid w:val="00EC2537"/>
    <w:rsid w:val="00F07FD5"/>
    <w:rsid w:val="00F50300"/>
    <w:rsid w:val="00F53518"/>
    <w:rsid w:val="00F547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FC961"/>
  <w15:docId w15:val="{6829CE26-2969-4DB3-A8FA-8A44743B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character" w:styleId="CommentReference">
    <w:name w:val="annotation reference"/>
    <w:basedOn w:val="DefaultParagraphFont"/>
    <w:uiPriority w:val="99"/>
    <w:semiHidden/>
    <w:unhideWhenUsed/>
    <w:rsid w:val="00D46441"/>
    <w:rPr>
      <w:sz w:val="16"/>
      <w:szCs w:val="16"/>
    </w:rPr>
  </w:style>
  <w:style w:type="paragraph" w:styleId="CommentText">
    <w:name w:val="annotation text"/>
    <w:basedOn w:val="Normal"/>
    <w:link w:val="CommentTextChar"/>
    <w:uiPriority w:val="99"/>
    <w:semiHidden/>
    <w:unhideWhenUsed/>
    <w:rsid w:val="00D46441"/>
    <w:pPr>
      <w:spacing w:line="240" w:lineRule="auto"/>
    </w:pPr>
    <w:rPr>
      <w:sz w:val="20"/>
      <w:szCs w:val="20"/>
    </w:rPr>
  </w:style>
  <w:style w:type="character" w:customStyle="1" w:styleId="CommentTextChar">
    <w:name w:val="Comment Text Char"/>
    <w:basedOn w:val="DefaultParagraphFont"/>
    <w:link w:val="CommentText"/>
    <w:uiPriority w:val="99"/>
    <w:semiHidden/>
    <w:rsid w:val="00D46441"/>
    <w:rPr>
      <w:sz w:val="20"/>
      <w:szCs w:val="20"/>
    </w:rPr>
  </w:style>
  <w:style w:type="paragraph" w:styleId="CommentSubject">
    <w:name w:val="annotation subject"/>
    <w:basedOn w:val="CommentText"/>
    <w:next w:val="CommentText"/>
    <w:link w:val="CommentSubjectChar"/>
    <w:uiPriority w:val="99"/>
    <w:semiHidden/>
    <w:unhideWhenUsed/>
    <w:rsid w:val="00D46441"/>
    <w:rPr>
      <w:b/>
      <w:bCs/>
    </w:rPr>
  </w:style>
  <w:style w:type="character" w:customStyle="1" w:styleId="CommentSubjectChar">
    <w:name w:val="Comment Subject Char"/>
    <w:basedOn w:val="CommentTextChar"/>
    <w:link w:val="CommentSubject"/>
    <w:uiPriority w:val="99"/>
    <w:semiHidden/>
    <w:rsid w:val="00D46441"/>
    <w:rPr>
      <w:b/>
      <w:bCs/>
      <w:sz w:val="20"/>
      <w:szCs w:val="20"/>
    </w:rPr>
  </w:style>
  <w:style w:type="paragraph" w:styleId="Header">
    <w:name w:val="header"/>
    <w:basedOn w:val="Normal"/>
    <w:link w:val="HeaderChar"/>
    <w:uiPriority w:val="99"/>
    <w:unhideWhenUsed/>
    <w:rsid w:val="003F6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3ED"/>
  </w:style>
  <w:style w:type="paragraph" w:styleId="Footer">
    <w:name w:val="footer"/>
    <w:basedOn w:val="Normal"/>
    <w:link w:val="FooterChar"/>
    <w:uiPriority w:val="99"/>
    <w:unhideWhenUsed/>
    <w:rsid w:val="003F6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arliament.uk" TargetMode="External"/><Relationship Id="rId3" Type="http://schemas.openxmlformats.org/officeDocument/2006/relationships/settings" Target="settings.xml"/><Relationship Id="rId7" Type="http://schemas.openxmlformats.org/officeDocument/2006/relationships/hyperlink" Target="https://doi.org/10.1111/j.1748-720X.2012.006664.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ublications.parliament.uk/pa/ld200203/ldjudgmt/jd030731/tomlin-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10</Pages>
  <Words>2573</Words>
  <Characters>14671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Funmilayo Bunmi Olaniyan (2018882)</dc:creator>
  <dc:description/>
  <cp:lastModifiedBy>Funmilayo Bunmi Olaniyan (2018882)</cp:lastModifiedBy>
  <cp:revision>27</cp:revision>
  <dcterms:created xsi:type="dcterms:W3CDTF">2022-01-06T12:40:00Z</dcterms:created>
  <dcterms:modified xsi:type="dcterms:W3CDTF">2022-01-07T23:36:00Z</dcterms:modified>
</cp:coreProperties>
</file>