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5BD0A" w14:textId="77777777" w:rsidR="00462886" w:rsidRDefault="00462886">
      <w:pPr>
        <w:rPr>
          <w:rFonts w:ascii="Arial" w:eastAsia="Arial" w:hAnsi="Arial" w:cs="Arial"/>
          <w:color w:val="000000" w:themeColor="text1"/>
          <w:sz w:val="36"/>
          <w:szCs w:val="36"/>
        </w:rPr>
      </w:pPr>
      <w:proofErr w:type="spellStart"/>
      <w:r w:rsidRPr="285AA254">
        <w:rPr>
          <w:rFonts w:ascii="Arial" w:eastAsia="Arial" w:hAnsi="Arial" w:cs="Arial"/>
          <w:b/>
          <w:bCs/>
          <w:color w:val="000000" w:themeColor="text1"/>
          <w:sz w:val="36"/>
          <w:szCs w:val="36"/>
        </w:rPr>
        <w:t>Bsc</w:t>
      </w:r>
      <w:proofErr w:type="spellEnd"/>
      <w:r w:rsidRPr="285AA254">
        <w:rPr>
          <w:rFonts w:ascii="Arial" w:eastAsia="Arial" w:hAnsi="Arial" w:cs="Arial"/>
          <w:b/>
          <w:bCs/>
          <w:color w:val="000000" w:themeColor="text1"/>
          <w:sz w:val="36"/>
          <w:szCs w:val="36"/>
        </w:rPr>
        <w:t xml:space="preserve"> Health and Social Care</w:t>
      </w:r>
    </w:p>
    <w:p w14:paraId="2C81E267" w14:textId="77777777" w:rsidR="00462886" w:rsidRDefault="00462886">
      <w:pPr>
        <w:rPr>
          <w:rFonts w:ascii="Arial" w:eastAsia="Arial" w:hAnsi="Arial" w:cs="Arial"/>
          <w:color w:val="000000" w:themeColor="text1"/>
          <w:sz w:val="36"/>
          <w:szCs w:val="36"/>
        </w:rPr>
      </w:pPr>
      <w:r w:rsidRPr="285AA254">
        <w:rPr>
          <w:rFonts w:ascii="Arial" w:eastAsia="Arial" w:hAnsi="Arial" w:cs="Arial"/>
          <w:b/>
          <w:bCs/>
          <w:color w:val="000000" w:themeColor="text1"/>
          <w:sz w:val="36"/>
          <w:szCs w:val="36"/>
        </w:rPr>
        <w:t>Principles of Health and Social Care Practice</w:t>
      </w:r>
    </w:p>
    <w:p w14:paraId="0DD764FC" w14:textId="77777777" w:rsidR="00462886" w:rsidRDefault="00462886">
      <w:pPr>
        <w:rPr>
          <w:rFonts w:ascii="Arial" w:eastAsia="Arial" w:hAnsi="Arial" w:cs="Arial"/>
          <w:color w:val="000000" w:themeColor="text1"/>
          <w:sz w:val="36"/>
          <w:szCs w:val="36"/>
        </w:rPr>
      </w:pPr>
      <w:r w:rsidRPr="285AA254">
        <w:rPr>
          <w:rFonts w:ascii="Arial" w:eastAsia="Arial" w:hAnsi="Arial" w:cs="Arial"/>
          <w:b/>
          <w:bCs/>
          <w:color w:val="000000" w:themeColor="text1"/>
          <w:sz w:val="36"/>
          <w:szCs w:val="36"/>
        </w:rPr>
        <w:t>BMHP5016</w:t>
      </w:r>
    </w:p>
    <w:p w14:paraId="1B49C9AD" w14:textId="492FB5FD" w:rsidR="00462886" w:rsidRDefault="00462886">
      <w:pPr>
        <w:rPr>
          <w:rFonts w:ascii="Arial" w:eastAsia="Arial" w:hAnsi="Arial" w:cs="Arial"/>
          <w:color w:val="000000" w:themeColor="text1"/>
          <w:sz w:val="36"/>
          <w:szCs w:val="36"/>
        </w:rPr>
      </w:pPr>
      <w:r w:rsidRPr="285AA254">
        <w:rPr>
          <w:rFonts w:ascii="Arial" w:eastAsia="Arial" w:hAnsi="Arial" w:cs="Arial"/>
          <w:b/>
          <w:bCs/>
          <w:color w:val="000000" w:themeColor="text1"/>
          <w:sz w:val="36"/>
          <w:szCs w:val="36"/>
        </w:rPr>
        <w:t xml:space="preserve">Component </w:t>
      </w:r>
      <w:r w:rsidR="006412B5">
        <w:rPr>
          <w:rFonts w:ascii="Arial" w:eastAsia="Arial" w:hAnsi="Arial" w:cs="Arial"/>
          <w:b/>
          <w:bCs/>
          <w:color w:val="000000" w:themeColor="text1"/>
          <w:sz w:val="36"/>
          <w:szCs w:val="36"/>
        </w:rPr>
        <w:t>2</w:t>
      </w:r>
      <w:r w:rsidRPr="285AA254">
        <w:rPr>
          <w:rFonts w:ascii="Arial" w:eastAsia="Arial" w:hAnsi="Arial" w:cs="Arial"/>
          <w:b/>
          <w:bCs/>
          <w:color w:val="000000" w:themeColor="text1"/>
          <w:sz w:val="36"/>
          <w:szCs w:val="36"/>
        </w:rPr>
        <w:t>: Written Assignment ( Report)</w:t>
      </w:r>
    </w:p>
    <w:p w14:paraId="78CAB92D" w14:textId="3F483BEB" w:rsidR="00462886" w:rsidRDefault="00462886">
      <w:pPr>
        <w:spacing w:before="120" w:after="120"/>
        <w:jc w:val="both"/>
        <w:rPr>
          <w:rFonts w:ascii="Arial" w:eastAsia="Arial" w:hAnsi="Arial" w:cs="Arial"/>
          <w:color w:val="000000" w:themeColor="text1"/>
          <w:sz w:val="36"/>
          <w:szCs w:val="36"/>
        </w:rPr>
      </w:pPr>
      <w:r w:rsidRPr="285AA254">
        <w:rPr>
          <w:rFonts w:ascii="Arial" w:eastAsia="Arial" w:hAnsi="Arial" w:cs="Arial"/>
          <w:b/>
          <w:bCs/>
          <w:color w:val="000000" w:themeColor="text1"/>
          <w:sz w:val="36"/>
          <w:szCs w:val="36"/>
        </w:rPr>
        <w:t xml:space="preserve">Submission deadline: </w:t>
      </w:r>
      <w:r w:rsidR="00B25C3F">
        <w:rPr>
          <w:rFonts w:ascii="Arial" w:eastAsia="Arial" w:hAnsi="Arial" w:cs="Arial"/>
          <w:b/>
          <w:bCs/>
          <w:color w:val="000000" w:themeColor="text1"/>
          <w:sz w:val="36"/>
          <w:szCs w:val="36"/>
        </w:rPr>
        <w:t>29</w:t>
      </w:r>
      <w:r w:rsidR="00B25C3F" w:rsidRPr="00B25C3F">
        <w:rPr>
          <w:rFonts w:ascii="Arial" w:eastAsia="Arial" w:hAnsi="Arial" w:cs="Arial"/>
          <w:b/>
          <w:bCs/>
          <w:color w:val="000000" w:themeColor="text1"/>
          <w:sz w:val="36"/>
          <w:szCs w:val="36"/>
          <w:vertAlign w:val="superscript"/>
        </w:rPr>
        <w:t>th</w:t>
      </w:r>
      <w:r w:rsidR="00B25C3F">
        <w:rPr>
          <w:rFonts w:ascii="Arial" w:eastAsia="Arial" w:hAnsi="Arial" w:cs="Arial"/>
          <w:b/>
          <w:bCs/>
          <w:color w:val="000000" w:themeColor="text1"/>
          <w:sz w:val="36"/>
          <w:szCs w:val="36"/>
        </w:rPr>
        <w:t xml:space="preserve"> March</w:t>
      </w:r>
      <w:r w:rsidRPr="285AA254">
        <w:rPr>
          <w:rFonts w:ascii="Arial" w:eastAsia="Arial" w:hAnsi="Arial" w:cs="Arial"/>
          <w:b/>
          <w:bCs/>
          <w:color w:val="000000" w:themeColor="text1"/>
          <w:sz w:val="36"/>
          <w:szCs w:val="36"/>
        </w:rPr>
        <w:t xml:space="preserve"> 202</w:t>
      </w:r>
      <w:r w:rsidR="00CD2343">
        <w:rPr>
          <w:rFonts w:ascii="Arial" w:eastAsia="Arial" w:hAnsi="Arial" w:cs="Arial"/>
          <w:b/>
          <w:bCs/>
          <w:color w:val="000000" w:themeColor="text1"/>
          <w:sz w:val="36"/>
          <w:szCs w:val="36"/>
        </w:rPr>
        <w:t>6</w:t>
      </w:r>
    </w:p>
    <w:p w14:paraId="142EF08E" w14:textId="77777777" w:rsidR="00462886" w:rsidRDefault="00462886">
      <w:pPr>
        <w:rPr>
          <w:rFonts w:ascii="Arial" w:eastAsia="Arial" w:hAnsi="Arial" w:cs="Arial"/>
          <w:color w:val="000000" w:themeColor="text1"/>
          <w:sz w:val="36"/>
          <w:szCs w:val="36"/>
        </w:rPr>
      </w:pPr>
      <w:r w:rsidRPr="285AA254">
        <w:rPr>
          <w:rFonts w:ascii="Arial" w:eastAsia="Arial" w:hAnsi="Arial" w:cs="Arial"/>
          <w:b/>
          <w:bCs/>
          <w:color w:val="000000" w:themeColor="text1"/>
          <w:sz w:val="36"/>
          <w:szCs w:val="36"/>
        </w:rPr>
        <w:t>Student: Sienna Russell 2406760</w:t>
      </w:r>
    </w:p>
    <w:p w14:paraId="67CF3F24" w14:textId="77777777" w:rsidR="00462886" w:rsidRDefault="00462886"/>
    <w:p w14:paraId="5D00EF2B" w14:textId="2A687B4E" w:rsidR="6BDA5542" w:rsidRDefault="6BDA5542"/>
    <w:p w14:paraId="2DA1B1DE" w14:textId="15EAFEAE" w:rsidR="6BDA5542" w:rsidRDefault="6BDA5542"/>
    <w:p w14:paraId="30152AE3" w14:textId="7B84FA63" w:rsidR="6BDA5542" w:rsidRDefault="6BDA5542"/>
    <w:p w14:paraId="7ADCE188" w14:textId="4D9C8B4B" w:rsidR="6BDA5542" w:rsidRDefault="6BDA5542"/>
    <w:p w14:paraId="6B682995" w14:textId="580DE732" w:rsidR="6BDA5542" w:rsidRDefault="6BDA5542"/>
    <w:p w14:paraId="04DBD2DE" w14:textId="0D6805AB" w:rsidR="6BDA5542" w:rsidRDefault="6BDA5542"/>
    <w:p w14:paraId="59D7FA0D" w14:textId="0598F3F7" w:rsidR="6BDA5542" w:rsidRDefault="6BDA5542"/>
    <w:p w14:paraId="2BC17FFE" w14:textId="78514584" w:rsidR="6BDA5542" w:rsidRDefault="6BDA5542"/>
    <w:p w14:paraId="70A33335" w14:textId="2CE885C3" w:rsidR="6BDA5542" w:rsidRDefault="6BDA5542"/>
    <w:p w14:paraId="09F8AC18" w14:textId="30717E54" w:rsidR="6BDA5542" w:rsidRDefault="6BDA5542"/>
    <w:p w14:paraId="160934E0" w14:textId="3251B982" w:rsidR="6BDA5542" w:rsidRDefault="6BDA5542"/>
    <w:p w14:paraId="34057FA3" w14:textId="1EE15543" w:rsidR="6BDA5542" w:rsidRDefault="6BDA5542"/>
    <w:p w14:paraId="2B2294A4" w14:textId="2CFFA41E" w:rsidR="6BDA5542" w:rsidRDefault="6BDA5542"/>
    <w:p w14:paraId="46131181" w14:textId="6DA39A0A" w:rsidR="6BDA5542" w:rsidRDefault="6BDA5542"/>
    <w:p w14:paraId="162947CC" w14:textId="4441C119" w:rsidR="6BDA5542" w:rsidRDefault="6BDA5542"/>
    <w:p w14:paraId="7CFC0111" w14:textId="6AB067F6" w:rsidR="6BDA5542" w:rsidRDefault="6BDA5542"/>
    <w:p w14:paraId="14B633D4" w14:textId="77777777" w:rsidR="00462886" w:rsidRDefault="00462886"/>
    <w:p w14:paraId="60F24623" w14:textId="77777777" w:rsidR="00462886" w:rsidRDefault="00462886" w:rsidP="000A193E">
      <w:pPr>
        <w:spacing w:after="0" w:line="240" w:lineRule="auto"/>
        <w:rPr>
          <w:rFonts w:ascii="Open Sans" w:eastAsia="Times New Roman" w:hAnsi="Open Sans" w:cs="Open Sans"/>
          <w:color w:val="2C3E5D"/>
          <w:kern w:val="0"/>
          <w14:ligatures w14:val="none"/>
        </w:rPr>
      </w:pPr>
    </w:p>
    <w:p w14:paraId="57FA926F" w14:textId="77777777" w:rsidR="00462886" w:rsidRDefault="00462886" w:rsidP="000A193E">
      <w:pPr>
        <w:spacing w:after="0" w:line="240" w:lineRule="auto"/>
        <w:rPr>
          <w:rFonts w:ascii="Open Sans" w:eastAsia="Times New Roman" w:hAnsi="Open Sans" w:cs="Open Sans"/>
          <w:color w:val="2C3E5D"/>
          <w:kern w:val="0"/>
          <w14:ligatures w14:val="none"/>
        </w:rPr>
      </w:pPr>
    </w:p>
    <w:p w14:paraId="58B43D05" w14:textId="77777777" w:rsidR="00462886" w:rsidRDefault="00462886" w:rsidP="000A193E">
      <w:pPr>
        <w:spacing w:after="0" w:line="240" w:lineRule="auto"/>
        <w:rPr>
          <w:rFonts w:ascii="Open Sans" w:eastAsia="Times New Roman" w:hAnsi="Open Sans" w:cs="Open Sans"/>
          <w:color w:val="2C3E5D"/>
          <w:kern w:val="0"/>
          <w14:ligatures w14:val="none"/>
        </w:rPr>
      </w:pPr>
    </w:p>
    <w:p w14:paraId="7F626452" w14:textId="77777777" w:rsidR="000A193E" w:rsidRPr="000A193E" w:rsidRDefault="0BDEBD93" w:rsidP="6BDA5542">
      <w:pPr>
        <w:spacing w:after="0" w:line="240" w:lineRule="auto"/>
        <w:rPr>
          <w:rFonts w:ascii="Arial" w:eastAsia="Arial" w:hAnsi="Arial" w:cs="Arial"/>
          <w:b/>
          <w:bCs/>
          <w:kern w:val="0"/>
          <w:sz w:val="22"/>
          <w:szCs w:val="22"/>
          <w:u w:val="single"/>
          <w14:ligatures w14:val="none"/>
        </w:rPr>
      </w:pPr>
      <w:r w:rsidRPr="6BDA5542">
        <w:rPr>
          <w:rFonts w:ascii="Arial" w:eastAsia="Arial" w:hAnsi="Arial" w:cs="Arial"/>
          <w:b/>
          <w:bCs/>
          <w:kern w:val="0"/>
          <w:sz w:val="22"/>
          <w:szCs w:val="22"/>
          <w:u w:val="single"/>
          <w14:ligatures w14:val="none"/>
        </w:rPr>
        <w:lastRenderedPageBreak/>
        <w:t>Evaluation of Person-Centered Care (PCC) and Partnership Working (PW)</w:t>
      </w:r>
    </w:p>
    <w:p w14:paraId="7CAFA794" w14:textId="77777777" w:rsidR="000A193E" w:rsidRPr="000A193E" w:rsidRDefault="000A193E" w:rsidP="6BDA5542">
      <w:pPr>
        <w:spacing w:after="0" w:line="240" w:lineRule="auto"/>
        <w:rPr>
          <w:rFonts w:ascii="Arial" w:eastAsia="Arial" w:hAnsi="Arial" w:cs="Arial"/>
          <w:kern w:val="0"/>
          <w:sz w:val="22"/>
          <w:szCs w:val="22"/>
          <w14:ligatures w14:val="none"/>
        </w:rPr>
      </w:pPr>
    </w:p>
    <w:p w14:paraId="79BCDA77" w14:textId="3133F780" w:rsidR="000A193E" w:rsidRPr="000A193E" w:rsidRDefault="56A2A4ED" w:rsidP="4B084EE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Person-centered care (PCC) is an approach that prioritizes the individual's needs, preferences, and values in all aspects of their care. It moves away from a paternalistic model where professionals dictate treatment, and instead focuses on shared decision-making and empowering individuals to take an active role in managing their health and well-being. Partnership working (PW) involves collaboration between different professionals, organizations, and service users to deliver seamless and coordinated care</w:t>
      </w:r>
      <w:r w:rsidR="7DD7C71B" w:rsidRPr="6BDA5542">
        <w:rPr>
          <w:rFonts w:ascii="Arial" w:eastAsia="Arial" w:hAnsi="Arial" w:cs="Arial"/>
          <w:kern w:val="0"/>
          <w:sz w:val="22"/>
          <w:szCs w:val="22"/>
          <w14:ligatures w14:val="none"/>
        </w:rPr>
        <w:t xml:space="preserve"> ( </w:t>
      </w:r>
      <w:r w:rsidR="7DD7C71B" w:rsidRPr="4B084EE2">
        <w:rPr>
          <w:rFonts w:ascii="Arial" w:eastAsia="Arial" w:hAnsi="Arial" w:cs="Arial"/>
          <w:sz w:val="19"/>
          <w:szCs w:val="19"/>
        </w:rPr>
        <w:t xml:space="preserve">S Morgan, </w:t>
      </w:r>
      <w:hyperlink r:id="rId4">
        <w:r w:rsidR="7DD7C71B" w:rsidRPr="4B084EE2">
          <w:rPr>
            <w:rStyle w:val="Hyperlink"/>
            <w:rFonts w:ascii="Arial" w:eastAsia="Arial" w:hAnsi="Arial" w:cs="Arial"/>
            <w:color w:val="auto"/>
            <w:sz w:val="19"/>
            <w:szCs w:val="19"/>
          </w:rPr>
          <w:t>LH Yoder,2</w:t>
        </w:r>
        <w:r w:rsidR="26EE3593" w:rsidRPr="4B084EE2">
          <w:rPr>
            <w:rStyle w:val="Hyperlink"/>
            <w:rFonts w:ascii="Arial" w:eastAsia="Arial" w:hAnsi="Arial" w:cs="Arial"/>
            <w:color w:val="auto"/>
            <w:sz w:val="19"/>
            <w:szCs w:val="19"/>
          </w:rPr>
          <w:t>012).</w:t>
        </w:r>
      </w:hyperlink>
    </w:p>
    <w:p w14:paraId="5D15F141" w14:textId="77777777" w:rsidR="000A193E" w:rsidRPr="000A193E" w:rsidRDefault="000A193E" w:rsidP="6BDA5542">
      <w:pPr>
        <w:spacing w:after="0" w:line="240" w:lineRule="auto"/>
        <w:rPr>
          <w:rFonts w:ascii="Arial" w:eastAsia="Arial" w:hAnsi="Arial" w:cs="Arial"/>
          <w:kern w:val="0"/>
          <w:sz w:val="22"/>
          <w:szCs w:val="22"/>
          <w14:ligatures w14:val="none"/>
        </w:rPr>
      </w:pPr>
    </w:p>
    <w:p w14:paraId="2DD5255A"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Benefits of Person-Centered Care:</w:t>
      </w:r>
    </w:p>
    <w:p w14:paraId="6506C642" w14:textId="77777777" w:rsidR="000A193E" w:rsidRPr="000A193E" w:rsidRDefault="000A193E" w:rsidP="6BDA5542">
      <w:pPr>
        <w:spacing w:after="0" w:line="240" w:lineRule="auto"/>
        <w:rPr>
          <w:rFonts w:ascii="Arial" w:eastAsia="Arial" w:hAnsi="Arial" w:cs="Arial"/>
          <w:kern w:val="0"/>
          <w:sz w:val="22"/>
          <w:szCs w:val="22"/>
          <w14:ligatures w14:val="none"/>
        </w:rPr>
      </w:pPr>
    </w:p>
    <w:p w14:paraId="4FF0C6A4"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Improved health outcomes: When individuals are actively involved in their care, they are more likely to adhere to treatment plans and make positive lifestyle changes, leading to better health outcomes.</w:t>
      </w:r>
    </w:p>
    <w:p w14:paraId="6301544C"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Increased patient satisfaction: PCC can lead to higher levels of satisfaction with healthcare services, as individuals feel respected, valued, and heard.</w:t>
      </w:r>
    </w:p>
    <w:p w14:paraId="450BD5D4"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Enhanced quality of life: By addressing the individual's holistic needs, PCC can improve their overall quality of life, including their physical, emotional, and social well-being.</w:t>
      </w:r>
    </w:p>
    <w:p w14:paraId="72170745" w14:textId="77777777" w:rsidR="000A193E" w:rsidRPr="000A193E" w:rsidRDefault="000A193E" w:rsidP="6BDA5542">
      <w:pPr>
        <w:spacing w:after="0" w:line="240" w:lineRule="auto"/>
        <w:rPr>
          <w:rFonts w:ascii="Arial" w:eastAsia="Arial" w:hAnsi="Arial" w:cs="Arial"/>
          <w:kern w:val="0"/>
          <w:sz w:val="22"/>
          <w:szCs w:val="22"/>
          <w14:ligatures w14:val="none"/>
        </w:rPr>
      </w:pPr>
    </w:p>
    <w:p w14:paraId="787ED96D"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Limitations of Person-Centered Care:</w:t>
      </w:r>
    </w:p>
    <w:p w14:paraId="35681213" w14:textId="77777777" w:rsidR="000A193E" w:rsidRPr="000A193E" w:rsidRDefault="000A193E" w:rsidP="6BDA5542">
      <w:pPr>
        <w:spacing w:after="0" w:line="240" w:lineRule="auto"/>
        <w:rPr>
          <w:rFonts w:ascii="Arial" w:eastAsia="Arial" w:hAnsi="Arial" w:cs="Arial"/>
          <w:kern w:val="0"/>
          <w:sz w:val="22"/>
          <w:szCs w:val="22"/>
          <w14:ligatures w14:val="none"/>
        </w:rPr>
      </w:pPr>
    </w:p>
    <w:p w14:paraId="748A36E5"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Time constraints: PCC can be time-consuming, as it requires professionals to spend more time listening to individuals and involving them in decision-making.</w:t>
      </w:r>
    </w:p>
    <w:p w14:paraId="7568E0C8"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Conflicting preferences: It can be challenging to balance the individual's preferences with professional guidelines and resource constraints.</w:t>
      </w:r>
    </w:p>
    <w:p w14:paraId="53844095" w14:textId="77777777" w:rsidR="000A193E" w:rsidRPr="000A193E" w:rsidRDefault="0BDEBD9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Lack of training: Some professionals may not have adequate training in PCC principles and techniques.</w:t>
      </w:r>
    </w:p>
    <w:p w14:paraId="13AE6B93" w14:textId="77777777" w:rsidR="000A193E" w:rsidRPr="000A193E" w:rsidRDefault="000A193E" w:rsidP="6BDA5542">
      <w:pPr>
        <w:spacing w:after="0" w:line="240" w:lineRule="auto"/>
        <w:rPr>
          <w:rFonts w:ascii="Arial" w:eastAsia="Arial" w:hAnsi="Arial" w:cs="Arial"/>
          <w:kern w:val="0"/>
          <w:sz w:val="22"/>
          <w:szCs w:val="22"/>
          <w14:ligatures w14:val="none"/>
        </w:rPr>
      </w:pPr>
    </w:p>
    <w:p w14:paraId="29A8FE0B" w14:textId="58E674DD" w:rsidR="000A193E" w:rsidRPr="000A193E" w:rsidRDefault="56A2A4ED" w:rsidP="4B084EE2">
      <w:pPr>
        <w:spacing w:after="0" w:line="240" w:lineRule="auto"/>
        <w:rPr>
          <w:rFonts w:ascii="Arial" w:eastAsia="Arial" w:hAnsi="Arial" w:cs="Arial"/>
          <w:sz w:val="22"/>
          <w:szCs w:val="22"/>
        </w:rPr>
      </w:pPr>
      <w:r w:rsidRPr="6BDA5542">
        <w:rPr>
          <w:rFonts w:ascii="Arial" w:eastAsia="Arial" w:hAnsi="Arial" w:cs="Arial"/>
          <w:kern w:val="0"/>
          <w:sz w:val="22"/>
          <w:szCs w:val="22"/>
          <w14:ligatures w14:val="none"/>
        </w:rPr>
        <w:t>PCC and PW are integral to modern Health and Social Care policy and practice. They are embedded in national guidelines and legislation, such as the Care Act 2014 in England, which emphasizes the importance of individual well-being and promoting independence. When these components work together, they can create a more effective, efficient, and equitable healthcare system that truly meets the needs of the people it serves</w:t>
      </w:r>
      <w:r w:rsidR="72EA9C4D" w:rsidRPr="6BDA5542">
        <w:rPr>
          <w:rFonts w:ascii="Arial" w:eastAsia="Arial" w:hAnsi="Arial" w:cs="Arial"/>
          <w:kern w:val="0"/>
          <w:sz w:val="22"/>
          <w:szCs w:val="22"/>
          <w14:ligatures w14:val="none"/>
        </w:rPr>
        <w:t xml:space="preserve"> (</w:t>
      </w:r>
    </w:p>
    <w:p w14:paraId="256198E8" w14:textId="3D30A9D2" w:rsidR="000A193E" w:rsidRPr="000A193E" w:rsidRDefault="72EA9C4D" w:rsidP="4B084EE2">
      <w:pPr>
        <w:spacing w:after="0" w:line="240" w:lineRule="auto"/>
        <w:rPr>
          <w:rFonts w:ascii="Arial" w:eastAsia="Arial" w:hAnsi="Arial" w:cs="Arial"/>
          <w:kern w:val="0"/>
          <w:sz w:val="22"/>
          <w:szCs w:val="22"/>
          <w14:ligatures w14:val="none"/>
        </w:rPr>
      </w:pPr>
      <w:r w:rsidRPr="4B084EE2">
        <w:rPr>
          <w:rFonts w:ascii="Arial" w:eastAsia="Arial" w:hAnsi="Arial" w:cs="Arial"/>
          <w:color w:val="006621"/>
          <w:sz w:val="19"/>
          <w:szCs w:val="19"/>
        </w:rPr>
        <w:t>S Karajicic, 2021).</w:t>
      </w:r>
    </w:p>
    <w:p w14:paraId="7FA47CB9" w14:textId="77777777" w:rsidR="000A193E" w:rsidRDefault="000A193E" w:rsidP="6BDA5542">
      <w:pPr>
        <w:rPr>
          <w:rFonts w:ascii="Arial" w:eastAsia="Arial" w:hAnsi="Arial" w:cs="Arial"/>
          <w:sz w:val="22"/>
          <w:szCs w:val="22"/>
        </w:rPr>
      </w:pPr>
    </w:p>
    <w:p w14:paraId="03900441" w14:textId="7BCF4BFD" w:rsidR="6BDA5542" w:rsidRDefault="6BDA5542" w:rsidP="6BDA5542">
      <w:pPr>
        <w:rPr>
          <w:rFonts w:ascii="Arial" w:eastAsia="Arial" w:hAnsi="Arial" w:cs="Arial"/>
          <w:sz w:val="22"/>
          <w:szCs w:val="22"/>
        </w:rPr>
      </w:pPr>
    </w:p>
    <w:p w14:paraId="371DE3BD" w14:textId="1747497B" w:rsidR="6BDA5542" w:rsidRDefault="6BDA5542" w:rsidP="6BDA5542">
      <w:pPr>
        <w:rPr>
          <w:rFonts w:ascii="Arial" w:eastAsia="Arial" w:hAnsi="Arial" w:cs="Arial"/>
          <w:sz w:val="22"/>
          <w:szCs w:val="22"/>
        </w:rPr>
      </w:pPr>
    </w:p>
    <w:p w14:paraId="1B7AD61C" w14:textId="73CE7BF5" w:rsidR="6BDA5542" w:rsidRDefault="6BDA5542" w:rsidP="6BDA5542">
      <w:pPr>
        <w:rPr>
          <w:rFonts w:ascii="Arial" w:eastAsia="Arial" w:hAnsi="Arial" w:cs="Arial"/>
          <w:sz w:val="22"/>
          <w:szCs w:val="22"/>
        </w:rPr>
      </w:pPr>
    </w:p>
    <w:p w14:paraId="0383E6BC" w14:textId="10BD9445" w:rsidR="6BDA5542" w:rsidRDefault="6BDA5542" w:rsidP="6BDA5542">
      <w:pPr>
        <w:rPr>
          <w:rFonts w:ascii="Arial" w:eastAsia="Arial" w:hAnsi="Arial" w:cs="Arial"/>
          <w:sz w:val="22"/>
          <w:szCs w:val="22"/>
        </w:rPr>
      </w:pPr>
    </w:p>
    <w:p w14:paraId="2D8A03C1" w14:textId="5F895D0F" w:rsidR="6BDA5542" w:rsidRDefault="6BDA5542" w:rsidP="6BDA5542">
      <w:pPr>
        <w:rPr>
          <w:rFonts w:ascii="Arial" w:eastAsia="Arial" w:hAnsi="Arial" w:cs="Arial"/>
          <w:sz w:val="22"/>
          <w:szCs w:val="22"/>
        </w:rPr>
      </w:pPr>
    </w:p>
    <w:p w14:paraId="23B36F1F" w14:textId="3E2F93D7" w:rsidR="6BDA5542" w:rsidRDefault="6BDA5542" w:rsidP="6BDA5542">
      <w:pPr>
        <w:rPr>
          <w:rFonts w:ascii="Arial" w:eastAsia="Arial" w:hAnsi="Arial" w:cs="Arial"/>
          <w:sz w:val="22"/>
          <w:szCs w:val="22"/>
        </w:rPr>
      </w:pPr>
    </w:p>
    <w:p w14:paraId="1212DA54" w14:textId="5CAF748A" w:rsidR="6BDA5542" w:rsidRDefault="6BDA5542" w:rsidP="6BDA5542">
      <w:pPr>
        <w:rPr>
          <w:rFonts w:ascii="Arial" w:eastAsia="Arial" w:hAnsi="Arial" w:cs="Arial"/>
          <w:sz w:val="22"/>
          <w:szCs w:val="22"/>
        </w:rPr>
      </w:pPr>
    </w:p>
    <w:p w14:paraId="705509A8" w14:textId="4E9E9C14" w:rsidR="6BDA5542" w:rsidRDefault="6BDA5542" w:rsidP="6BDA5542">
      <w:pPr>
        <w:rPr>
          <w:rFonts w:ascii="Arial" w:eastAsia="Arial" w:hAnsi="Arial" w:cs="Arial"/>
          <w:sz w:val="22"/>
          <w:szCs w:val="22"/>
        </w:rPr>
      </w:pPr>
    </w:p>
    <w:p w14:paraId="01F87F00" w14:textId="2A6243B4" w:rsidR="6BDA5542" w:rsidRDefault="6BDA5542" w:rsidP="6BDA5542">
      <w:pPr>
        <w:rPr>
          <w:rFonts w:ascii="Arial" w:eastAsia="Arial" w:hAnsi="Arial" w:cs="Arial"/>
          <w:sz w:val="22"/>
          <w:szCs w:val="22"/>
        </w:rPr>
      </w:pPr>
    </w:p>
    <w:p w14:paraId="499EF817" w14:textId="76CF0805" w:rsidR="6BDA5542" w:rsidRDefault="6BDA5542" w:rsidP="6BDA5542">
      <w:pPr>
        <w:rPr>
          <w:rFonts w:ascii="Arial" w:eastAsia="Arial" w:hAnsi="Arial" w:cs="Arial"/>
          <w:sz w:val="22"/>
          <w:szCs w:val="22"/>
        </w:rPr>
      </w:pPr>
    </w:p>
    <w:p w14:paraId="4ADD1A7B" w14:textId="3CBBB1B0" w:rsidR="6BDA5542" w:rsidRDefault="6BDA5542" w:rsidP="6BDA5542">
      <w:pPr>
        <w:rPr>
          <w:rFonts w:ascii="Arial" w:eastAsia="Arial" w:hAnsi="Arial" w:cs="Arial"/>
          <w:sz w:val="22"/>
          <w:szCs w:val="22"/>
        </w:rPr>
      </w:pPr>
    </w:p>
    <w:p w14:paraId="67A5C07F" w14:textId="77777777" w:rsidR="00741D38" w:rsidRPr="00741D38" w:rsidRDefault="00741D38" w:rsidP="6BDA5542">
      <w:pPr>
        <w:spacing w:after="0" w:line="240" w:lineRule="auto"/>
        <w:rPr>
          <w:rFonts w:ascii="Arial" w:eastAsia="Arial" w:hAnsi="Arial" w:cs="Arial"/>
          <w:b/>
          <w:bCs/>
          <w:kern w:val="0"/>
          <w:sz w:val="22"/>
          <w:szCs w:val="22"/>
          <w:u w:val="single"/>
          <w14:ligatures w14:val="none"/>
        </w:rPr>
      </w:pPr>
      <w:r w:rsidRPr="00741D38">
        <w:rPr>
          <w:rFonts w:ascii="Open Sans" w:eastAsia="Times New Roman" w:hAnsi="Open Sans" w:cs="Open Sans"/>
          <w:color w:val="2C3E5D"/>
          <w:kern w:val="0"/>
          <w14:ligatures w14:val="none"/>
        </w:rPr>
        <w:br/>
      </w:r>
      <w:r w:rsidR="6D76B8E5" w:rsidRPr="6BDA5542">
        <w:rPr>
          <w:rFonts w:ascii="Arial" w:eastAsia="Arial" w:hAnsi="Arial" w:cs="Arial"/>
          <w:b/>
          <w:bCs/>
          <w:kern w:val="0"/>
          <w:sz w:val="22"/>
          <w:szCs w:val="22"/>
          <w:u w:val="single"/>
          <w14:ligatures w14:val="none"/>
        </w:rPr>
        <w:t>Critical Examination of the Humanistic Theory</w:t>
      </w:r>
    </w:p>
    <w:p w14:paraId="5CD6C797" w14:textId="77777777" w:rsidR="00741D38" w:rsidRPr="00741D38" w:rsidRDefault="00741D38" w:rsidP="6BDA5542">
      <w:pPr>
        <w:spacing w:after="0" w:line="240" w:lineRule="auto"/>
        <w:rPr>
          <w:rFonts w:ascii="Arial" w:eastAsia="Arial" w:hAnsi="Arial" w:cs="Arial"/>
          <w:kern w:val="0"/>
          <w:sz w:val="22"/>
          <w:szCs w:val="22"/>
          <w14:ligatures w14:val="none"/>
        </w:rPr>
      </w:pPr>
    </w:p>
    <w:p w14:paraId="36B3C492"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One theory that significantly underpins person-centered care is humanistic psychology, particularly the work of Carl Rogers. Rogers' theory emphasizes the inherent potential for good within all individuals and the importance of creating conditions that allow people to grow and self-actualize. Key concepts include:</w:t>
      </w:r>
    </w:p>
    <w:p w14:paraId="2988F147" w14:textId="77777777" w:rsidR="00741D38" w:rsidRPr="00741D38" w:rsidRDefault="00741D38" w:rsidP="6BDA5542">
      <w:pPr>
        <w:spacing w:after="0" w:line="240" w:lineRule="auto"/>
        <w:rPr>
          <w:rFonts w:ascii="Arial" w:eastAsia="Arial" w:hAnsi="Arial" w:cs="Arial"/>
          <w:kern w:val="0"/>
          <w:sz w:val="22"/>
          <w:szCs w:val="22"/>
          <w14:ligatures w14:val="none"/>
        </w:rPr>
      </w:pPr>
    </w:p>
    <w:p w14:paraId="059CFB47"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Unconditional Positive Regard: Accepting and valuing a person for who they are, without judgment.</w:t>
      </w:r>
    </w:p>
    <w:p w14:paraId="72607508"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Empathy: Understanding and sharing the feelings of another.</w:t>
      </w:r>
    </w:p>
    <w:p w14:paraId="7976B47B"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Congruence: Being genuine and authentic in interactions.</w:t>
      </w:r>
    </w:p>
    <w:p w14:paraId="59F6C732" w14:textId="77777777" w:rsidR="00741D38" w:rsidRPr="00741D38" w:rsidRDefault="00741D38" w:rsidP="6BDA5542">
      <w:pPr>
        <w:spacing w:after="0" w:line="240" w:lineRule="auto"/>
        <w:rPr>
          <w:rFonts w:ascii="Arial" w:eastAsia="Arial" w:hAnsi="Arial" w:cs="Arial"/>
          <w:kern w:val="0"/>
          <w:sz w:val="22"/>
          <w:szCs w:val="22"/>
          <w14:ligatures w14:val="none"/>
        </w:rPr>
      </w:pPr>
    </w:p>
    <w:p w14:paraId="6B44B462"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How Humanistic Theory Underpins PCC:</w:t>
      </w:r>
    </w:p>
    <w:p w14:paraId="45C91108" w14:textId="77777777" w:rsidR="00741D38" w:rsidRPr="00741D38" w:rsidRDefault="00741D38" w:rsidP="6BDA5542">
      <w:pPr>
        <w:spacing w:after="0" w:line="240" w:lineRule="auto"/>
        <w:rPr>
          <w:rFonts w:ascii="Arial" w:eastAsia="Arial" w:hAnsi="Arial" w:cs="Arial"/>
          <w:kern w:val="0"/>
          <w:sz w:val="22"/>
          <w:szCs w:val="22"/>
          <w14:ligatures w14:val="none"/>
        </w:rPr>
      </w:pPr>
    </w:p>
    <w:p w14:paraId="4D9F3C4B"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Empowerment: By focusing on the individual's strengths and potential, PCC empowers them to take control of their health and well-being.</w:t>
      </w:r>
    </w:p>
    <w:p w14:paraId="70D8E1A9"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Therapeutic Relationship: The principles of unconditional positive regard, empathy, and congruence foster a strong therapeutic relationship between the individual and the healthcare provider.</w:t>
      </w:r>
    </w:p>
    <w:p w14:paraId="62E58931" w14:textId="4101A910" w:rsidR="00741D38" w:rsidRPr="00741D38" w:rsidRDefault="664030C7" w:rsidP="4B084EE2">
      <w:pPr>
        <w:spacing w:after="0" w:line="240" w:lineRule="auto"/>
        <w:rPr>
          <w:rFonts w:ascii="Arial" w:eastAsia="Arial" w:hAnsi="Arial" w:cs="Arial"/>
          <w:sz w:val="19"/>
          <w:szCs w:val="19"/>
        </w:rPr>
      </w:pPr>
      <w:r w:rsidRPr="6BDA5542">
        <w:rPr>
          <w:rFonts w:ascii="Arial" w:eastAsia="Arial" w:hAnsi="Arial" w:cs="Arial"/>
          <w:kern w:val="0"/>
          <w:sz w:val="22"/>
          <w:szCs w:val="22"/>
          <w14:ligatures w14:val="none"/>
        </w:rPr>
        <w:t>* Holistic Approach: Humanistic theory encourages a holistic approach to care, considering the individual's physical, emotional, and social needs</w:t>
      </w:r>
      <w:r w:rsidR="17120A62" w:rsidRPr="6BDA5542">
        <w:rPr>
          <w:rFonts w:ascii="Arial" w:eastAsia="Arial" w:hAnsi="Arial" w:cs="Arial"/>
          <w:kern w:val="0"/>
          <w:sz w:val="22"/>
          <w:szCs w:val="22"/>
          <w14:ligatures w14:val="none"/>
        </w:rPr>
        <w:t>(</w:t>
      </w:r>
      <w:hyperlink r:id="rId5">
        <w:r w:rsidR="2A2ED785" w:rsidRPr="4B084EE2">
          <w:rPr>
            <w:rStyle w:val="Hyperlink"/>
            <w:rFonts w:ascii="Arial" w:eastAsia="Arial" w:hAnsi="Arial" w:cs="Arial"/>
            <w:color w:val="auto"/>
            <w:sz w:val="19"/>
            <w:szCs w:val="19"/>
          </w:rPr>
          <w:t>S Joseph</w:t>
        </w:r>
      </w:hyperlink>
      <w:r w:rsidR="2A2ED785" w:rsidRPr="4B084EE2">
        <w:rPr>
          <w:rFonts w:ascii="Arial" w:eastAsia="Arial" w:hAnsi="Arial" w:cs="Arial"/>
          <w:sz w:val="19"/>
          <w:szCs w:val="19"/>
        </w:rPr>
        <w:t>, 2021).</w:t>
      </w:r>
    </w:p>
    <w:p w14:paraId="1DDE776A" w14:textId="1E70A42D" w:rsidR="00741D38" w:rsidRPr="00741D38" w:rsidRDefault="00741D38" w:rsidP="4B084EE2">
      <w:pPr>
        <w:spacing w:after="0" w:line="240" w:lineRule="auto"/>
        <w:rPr>
          <w:rFonts w:ascii="Arial" w:eastAsia="Arial" w:hAnsi="Arial" w:cs="Arial"/>
          <w:sz w:val="19"/>
          <w:szCs w:val="19"/>
        </w:rPr>
      </w:pPr>
    </w:p>
    <w:p w14:paraId="34CE32ED" w14:textId="0E6B9217" w:rsidR="4B084EE2" w:rsidRDefault="4B084EE2" w:rsidP="4B084EE2">
      <w:pPr>
        <w:spacing w:after="0" w:line="240" w:lineRule="auto"/>
        <w:rPr>
          <w:rFonts w:ascii="Arial" w:eastAsia="Arial" w:hAnsi="Arial" w:cs="Arial"/>
          <w:sz w:val="19"/>
          <w:szCs w:val="19"/>
        </w:rPr>
      </w:pPr>
    </w:p>
    <w:p w14:paraId="704DC70C"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Limitations of the Humanistic Approach:</w:t>
      </w:r>
    </w:p>
    <w:p w14:paraId="72D9FB89" w14:textId="77777777" w:rsidR="00741D38" w:rsidRPr="00741D38" w:rsidRDefault="00741D38" w:rsidP="6BDA5542">
      <w:pPr>
        <w:spacing w:after="0" w:line="240" w:lineRule="auto"/>
        <w:rPr>
          <w:rFonts w:ascii="Arial" w:eastAsia="Arial" w:hAnsi="Arial" w:cs="Arial"/>
          <w:kern w:val="0"/>
          <w:sz w:val="22"/>
          <w:szCs w:val="22"/>
          <w14:ligatures w14:val="none"/>
        </w:rPr>
      </w:pPr>
    </w:p>
    <w:p w14:paraId="2F93B16E"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While humanistic theory provides a strong foundation for PCC, it also has limitations. It can be challenging to apply in certain contexts, such as when individuals have severe mental health conditions or cognitive impairments. Additionally, the emphasis on individual autonomy may conflict with professional guidelines or resource constraints.</w:t>
      </w:r>
    </w:p>
    <w:p w14:paraId="500A89C6" w14:textId="77777777" w:rsidR="00741D38" w:rsidRPr="00741D38" w:rsidRDefault="00741D38" w:rsidP="6BDA5542">
      <w:pPr>
        <w:spacing w:after="0" w:line="240" w:lineRule="auto"/>
        <w:rPr>
          <w:rFonts w:ascii="Arial" w:eastAsia="Arial" w:hAnsi="Arial" w:cs="Arial"/>
          <w:kern w:val="0"/>
          <w:sz w:val="22"/>
          <w:szCs w:val="22"/>
          <w14:ligatures w14:val="none"/>
        </w:rPr>
      </w:pPr>
    </w:p>
    <w:p w14:paraId="3F544F57" w14:textId="77777777" w:rsidR="00741D38" w:rsidRPr="00741D38" w:rsidRDefault="6D76B8E5"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PCC and PW are foundational to contemporary Health and Social Care policy, aiming to deliver a more responsive and effective healthcare system. When grounded in theories like humanistic psychology, these approaches can lead to improved outcomes and a greater sense of dignity and respect for individuals receiving care.</w:t>
      </w:r>
    </w:p>
    <w:p w14:paraId="4BC3B78E" w14:textId="77777777" w:rsidR="00741D38" w:rsidRDefault="00741D38" w:rsidP="6BDA5542">
      <w:pPr>
        <w:rPr>
          <w:rFonts w:ascii="Arial" w:eastAsia="Arial" w:hAnsi="Arial" w:cs="Arial"/>
          <w:sz w:val="22"/>
          <w:szCs w:val="22"/>
        </w:rPr>
      </w:pPr>
    </w:p>
    <w:p w14:paraId="66A96ABE" w14:textId="07AEE62A" w:rsidR="00900019" w:rsidRDefault="5FFE29FC" w:rsidP="4B084EE2">
      <w:pPr>
        <w:rPr>
          <w:rFonts w:ascii="Arial" w:eastAsia="Arial" w:hAnsi="Arial" w:cs="Arial"/>
          <w:sz w:val="22"/>
          <w:szCs w:val="22"/>
        </w:rPr>
      </w:pPr>
      <w:r w:rsidRPr="4B084EE2">
        <w:rPr>
          <w:rFonts w:ascii="Arial" w:eastAsia="Arial" w:hAnsi="Arial" w:cs="Arial"/>
          <w:sz w:val="22"/>
          <w:szCs w:val="22"/>
        </w:rPr>
        <w:t>Ethical Fundamentals of Health and Social Care Ethical considerations are central to health and social care, guiding professionals in making decisions that uphold the rights and well-being of service users. Key ethical principles include: * Autonomy: Respecting the individual's right to make their own decisions, ensuring they have the information and support needed to exercise this right. * Beneficence: Acting in the best interests of the service user, aiming to promote their well-being and improve their health outcomes. * Non-Maleficence: Avoiding harm to service users, ensuring that interventions and treatments do not cause unnecessary suffering or injury. * Justice: Ensuring fair and equitable distribution of resources and opportunities, treating all individuals with impartiality and respect. How PCC and PW Align with Ethical Principles: * Autonomy: PCC empowers individuals to actively participate in their care planning, respecting their autonomy and preferences. * Beneficence: By focusing on the individual's needs and goals, PCC aims to maximize their well-being and achieve positive outcomes. * Non-Maleficence: Partnership working ensures that care is coordinated and safe, minimizing the risk of harm or adverse events.</w:t>
      </w:r>
    </w:p>
    <w:p w14:paraId="08C3C3FE" w14:textId="6E5BD57B" w:rsidR="00900019" w:rsidRDefault="5FFE29FC" w:rsidP="4B084EE2">
      <w:pPr>
        <w:rPr>
          <w:rFonts w:ascii="Arial" w:eastAsia="Arial" w:hAnsi="Arial" w:cs="Arial"/>
          <w:sz w:val="22"/>
          <w:szCs w:val="22"/>
        </w:rPr>
      </w:pPr>
      <w:r w:rsidRPr="4B084EE2">
        <w:rPr>
          <w:rFonts w:ascii="Arial" w:eastAsia="Arial" w:hAnsi="Arial" w:cs="Arial"/>
          <w:sz w:val="22"/>
          <w:szCs w:val="22"/>
        </w:rPr>
        <w:lastRenderedPageBreak/>
        <w:t xml:space="preserve"> * Justice: PCC and PW promote equitable access to care, addressing disparities and ensuring that all individuals receive the support they need. Challenges and Considerations: Implementing PCC and PW within an ethical framework can present challenges. Resource constraints, conflicting values, and complex decision-making scenarios require careful consideration. Professionals must navigate these challenges by engaging in ethical reflection, seeking guidance from colleagues, and adhering to professional codes of conduct. PCC and PW are integral to contemporary health and social care policy, reflecting a commitment to ethical practice and person-centered approaches. By upholding ethical principles and fostering collaborative partnerships, healthcare providers can create a system that truly prioritizes the well-being and rights of individuals</w:t>
      </w:r>
      <w:r w:rsidR="31338F33" w:rsidRPr="4B084EE2">
        <w:rPr>
          <w:rFonts w:ascii="Arial" w:eastAsia="Arial" w:hAnsi="Arial" w:cs="Arial"/>
          <w:sz w:val="22"/>
          <w:szCs w:val="22"/>
        </w:rPr>
        <w:t xml:space="preserve"> (</w:t>
      </w:r>
      <w:hyperlink r:id="rId6">
        <w:r w:rsidR="31338F33" w:rsidRPr="4B084EE2">
          <w:rPr>
            <w:rStyle w:val="Hyperlink"/>
            <w:rFonts w:ascii="Arial" w:eastAsia="Arial" w:hAnsi="Arial" w:cs="Arial"/>
            <w:color w:val="auto"/>
            <w:sz w:val="19"/>
            <w:szCs w:val="19"/>
          </w:rPr>
          <w:t>FG Reamer</w:t>
        </w:r>
      </w:hyperlink>
      <w:r w:rsidR="31338F33" w:rsidRPr="4B084EE2">
        <w:rPr>
          <w:rFonts w:ascii="Arial" w:eastAsia="Arial" w:hAnsi="Arial" w:cs="Arial"/>
          <w:sz w:val="19"/>
          <w:szCs w:val="19"/>
        </w:rPr>
        <w:t xml:space="preserve"> - 2024).</w:t>
      </w:r>
      <w:r w:rsidR="31338F33" w:rsidRPr="4B084EE2">
        <w:rPr>
          <w:rFonts w:ascii="Arial" w:eastAsia="Arial" w:hAnsi="Arial" w:cs="Arial"/>
          <w:sz w:val="22"/>
          <w:szCs w:val="22"/>
        </w:rPr>
        <w:t xml:space="preserve"> </w:t>
      </w:r>
    </w:p>
    <w:p w14:paraId="34FC1A0D" w14:textId="77777777" w:rsidR="003B4E5A" w:rsidRDefault="003B4E5A" w:rsidP="6BDA5542">
      <w:pPr>
        <w:rPr>
          <w:rFonts w:ascii="Arial" w:eastAsia="Arial" w:hAnsi="Arial" w:cs="Arial"/>
          <w:sz w:val="22"/>
          <w:szCs w:val="22"/>
        </w:rPr>
      </w:pPr>
    </w:p>
    <w:p w14:paraId="404073BF" w14:textId="365307A1" w:rsidR="003B4E5A" w:rsidRPr="00981BB1" w:rsidRDefault="77AB044F" w:rsidP="4B084EE2">
      <w:pPr>
        <w:rPr>
          <w:rFonts w:ascii="Arial" w:eastAsia="Arial" w:hAnsi="Arial" w:cs="Arial"/>
          <w:color w:val="000000" w:themeColor="text1"/>
          <w:sz w:val="22"/>
          <w:szCs w:val="22"/>
        </w:rPr>
      </w:pPr>
      <w:r w:rsidRPr="4B084EE2">
        <w:rPr>
          <w:rFonts w:ascii="Arial" w:eastAsia="Arial" w:hAnsi="Arial" w:cs="Arial"/>
          <w:sz w:val="22"/>
          <w:szCs w:val="22"/>
        </w:rPr>
        <w:t>Partnership Working in Health and Social Care Partnership working is essential in health and social care because it promotes a holistic and integrated approach to service delivery</w:t>
      </w:r>
      <w:r w:rsidR="3B7BE8AD" w:rsidRPr="4B084EE2">
        <w:rPr>
          <w:rFonts w:ascii="Arial" w:eastAsia="Arial" w:hAnsi="Arial" w:cs="Arial"/>
          <w:sz w:val="22"/>
          <w:szCs w:val="22"/>
        </w:rPr>
        <w:t>(</w:t>
      </w:r>
      <w:hyperlink r:id="rId7">
        <w:r w:rsidR="3B7BE8AD" w:rsidRPr="4B084EE2">
          <w:rPr>
            <w:rStyle w:val="Hyperlink"/>
            <w:rFonts w:ascii="Arial" w:eastAsia="Arial" w:hAnsi="Arial" w:cs="Arial"/>
            <w:color w:val="auto"/>
            <w:sz w:val="19"/>
            <w:szCs w:val="19"/>
          </w:rPr>
          <w:t>H Alderwick</w:t>
        </w:r>
      </w:hyperlink>
      <w:r w:rsidR="3B7BE8AD" w:rsidRPr="4B084EE2">
        <w:rPr>
          <w:rFonts w:ascii="Arial" w:eastAsia="Arial" w:hAnsi="Arial" w:cs="Arial"/>
          <w:sz w:val="22"/>
          <w:szCs w:val="22"/>
        </w:rPr>
        <w:t xml:space="preserve"> et al,2021</w:t>
      </w:r>
      <w:r w:rsidR="58A1041F" w:rsidRPr="4B084EE2">
        <w:rPr>
          <w:rFonts w:ascii="Arial" w:eastAsia="Arial" w:hAnsi="Arial" w:cs="Arial"/>
          <w:sz w:val="22"/>
          <w:szCs w:val="22"/>
        </w:rPr>
        <w:t>).</w:t>
      </w:r>
      <w:r w:rsidRPr="4B084EE2">
        <w:rPr>
          <w:rFonts w:ascii="Arial" w:eastAsia="Arial" w:hAnsi="Arial" w:cs="Arial"/>
          <w:sz w:val="22"/>
          <w:szCs w:val="22"/>
        </w:rPr>
        <w:t xml:space="preserve"> Effective partnership working can lead to better outcomes for service users, improved efficiency, and enhanced job satisfaction for professionals. Benefits of Partnership Working: * Improved Outcomes: When professionals from different disciplines work together, they can provide more comprehensive and coordinated care, leading to better outcomes for service users. * Enhanced Efficiency: Partnership working can reduce duplication of services, streamline processes, and improve resource utilization. * Increased Job Satisfaction: Collaboration and teamwork can increase job satisfaction for professionals, as they feel more supported and valued. * Better Communication: Partnership working promotes open communication and information sharing, which can improve the quality of care. Challenges of Partnership Working: * Conflicting Priorities: Different organizations and professionals may have conflicting priorities, making it difficult to align goals and objectives. * Communication Barriers: Communication barriers can arise due to differences in language, culture, and professional jargon. * Power Imbalances: Power imbalances between different organizations and professionals can hinder effective collaboration</w:t>
      </w:r>
      <w:r w:rsidR="008F360C">
        <w:rPr>
          <w:rFonts w:ascii="Arial" w:eastAsia="Arial" w:hAnsi="Arial" w:cs="Arial"/>
          <w:sz w:val="22"/>
          <w:szCs w:val="22"/>
        </w:rPr>
        <w:t>(</w:t>
      </w:r>
      <w:r w:rsidR="008F360C" w:rsidRPr="008F360C">
        <w:rPr>
          <w:rFonts w:ascii="Times New Roman" w:eastAsia="Times New Roman" w:hAnsi="Times New Roman" w:cs="Times New Roman"/>
          <w:kern w:val="0"/>
          <w14:ligatures w14:val="none"/>
        </w:rPr>
        <w:t xml:space="preserve"> </w:t>
      </w:r>
      <w:hyperlink r:id="rId8" w:history="1">
        <w:r w:rsidR="008F360C" w:rsidRPr="008F360C">
          <w:rPr>
            <w:rFonts w:ascii="Arial" w:eastAsia="Times New Roman" w:hAnsi="Arial" w:cs="Arial"/>
            <w:color w:val="000000" w:themeColor="text1"/>
            <w:kern w:val="0"/>
            <w:sz w:val="20"/>
            <w:szCs w:val="20"/>
            <w:u w:val="single"/>
            <w14:ligatures w14:val="none"/>
          </w:rPr>
          <w:t>J Cameron</w:t>
        </w:r>
      </w:hyperlink>
      <w:r w:rsidR="008F360C" w:rsidRPr="008F360C">
        <w:rPr>
          <w:rFonts w:ascii="Times New Roman" w:eastAsia="Times New Roman" w:hAnsi="Times New Roman" w:cs="Times New Roman"/>
          <w:color w:val="000000" w:themeColor="text1"/>
          <w:kern w:val="0"/>
          <w14:ligatures w14:val="none"/>
        </w:rPr>
        <w:t xml:space="preserve"> </w:t>
      </w:r>
      <w:r w:rsidR="008F360C" w:rsidRPr="008F360C">
        <w:rPr>
          <w:rFonts w:ascii="Arial" w:eastAsia="Times New Roman" w:hAnsi="Arial" w:cs="Arial"/>
          <w:color w:val="000000" w:themeColor="text1"/>
          <w:kern w:val="0"/>
          <w:sz w:val="20"/>
          <w:szCs w:val="20"/>
          <w14:ligatures w14:val="none"/>
        </w:rPr>
        <w:t>Et al,2025</w:t>
      </w:r>
      <w:r w:rsidR="008F360C">
        <w:rPr>
          <w:rFonts w:ascii="Arial" w:eastAsia="Times New Roman" w:hAnsi="Arial" w:cs="Arial"/>
          <w:color w:val="000000" w:themeColor="text1"/>
          <w:kern w:val="0"/>
          <w:sz w:val="20"/>
          <w:szCs w:val="20"/>
          <w14:ligatures w14:val="none"/>
        </w:rPr>
        <w:t>)</w:t>
      </w:r>
      <w:r w:rsidRPr="008F360C">
        <w:rPr>
          <w:rFonts w:ascii="Arial" w:eastAsia="Arial" w:hAnsi="Arial" w:cs="Arial"/>
          <w:sz w:val="20"/>
          <w:szCs w:val="20"/>
        </w:rPr>
        <w:t>.</w:t>
      </w:r>
      <w:r w:rsidRPr="4B084EE2">
        <w:rPr>
          <w:rFonts w:ascii="Arial" w:eastAsia="Arial" w:hAnsi="Arial" w:cs="Arial"/>
          <w:sz w:val="22"/>
          <w:szCs w:val="22"/>
        </w:rPr>
        <w:t xml:space="preserve"> * Lack of Resources: Limited resources can make it difficult to invest in partnership working initiatives. Recommendations for Improving Partnership Working: * Establish Clear Goals and Objectives: Clearly define the goals and objectives of the partnership to ensure that all partners are working towards the same outcomes. * Promote Open Communication: Encourage open communication and information sharing between partners to build trust and understanding. * Address Power Imbalances: Recognize and address power imbalances between partners to ensure that all voices are heard and valued. * Invest in Training and Development: Provide training and development opportunities for professionals to enhance their skills in partnership working. Conclusion PCC and PW are essential components of modern health and social care. By working together in partnership, professionals can provide more effective, efficient, and person-centered care. Addressing the challenges of partnership working and implementing the recommendations outlined above can further enhance the benefits of this approach</w:t>
      </w:r>
      <w:r w:rsidR="00981BB1">
        <w:rPr>
          <w:rFonts w:ascii="Arial" w:eastAsia="Arial" w:hAnsi="Arial" w:cs="Arial"/>
          <w:sz w:val="22"/>
          <w:szCs w:val="22"/>
        </w:rPr>
        <w:t>(</w:t>
      </w:r>
      <w:r w:rsidR="00981BB1" w:rsidRPr="00981BB1">
        <w:rPr>
          <w:rFonts w:ascii="Arial" w:eastAsia="Times New Roman" w:hAnsi="Arial" w:cs="Arial"/>
          <w:color w:val="000000" w:themeColor="text1"/>
          <w:sz w:val="20"/>
          <w:szCs w:val="20"/>
          <w:shd w:val="clear" w:color="auto" w:fill="FFFFFF"/>
        </w:rPr>
        <w:t xml:space="preserve">World Health </w:t>
      </w:r>
      <w:proofErr w:type="spellStart"/>
      <w:r w:rsidR="00981BB1" w:rsidRPr="00981BB1">
        <w:rPr>
          <w:rFonts w:ascii="Arial" w:eastAsia="Times New Roman" w:hAnsi="Arial" w:cs="Arial"/>
          <w:color w:val="000000" w:themeColor="text1"/>
          <w:sz w:val="20"/>
          <w:szCs w:val="20"/>
          <w:shd w:val="clear" w:color="auto" w:fill="FFFFFF"/>
        </w:rPr>
        <w:t>Organization,2024</w:t>
      </w:r>
      <w:proofErr w:type="spellEnd"/>
      <w:r w:rsidR="00981BB1" w:rsidRPr="00981BB1">
        <w:rPr>
          <w:rFonts w:ascii="Arial" w:eastAsia="Times New Roman" w:hAnsi="Arial" w:cs="Arial"/>
          <w:color w:val="000000" w:themeColor="text1"/>
          <w:sz w:val="20"/>
          <w:szCs w:val="20"/>
          <w:shd w:val="clear" w:color="auto" w:fill="FFFFFF"/>
        </w:rPr>
        <w:t>)</w:t>
      </w:r>
    </w:p>
    <w:p w14:paraId="2A31BBF5" w14:textId="77777777" w:rsidR="003B4E5A" w:rsidRDefault="003B4E5A" w:rsidP="6BDA5542">
      <w:pPr>
        <w:rPr>
          <w:rFonts w:ascii="Arial" w:eastAsia="Arial" w:hAnsi="Arial" w:cs="Arial"/>
          <w:sz w:val="22"/>
          <w:szCs w:val="22"/>
        </w:rPr>
      </w:pPr>
    </w:p>
    <w:p w14:paraId="303CC619" w14:textId="4E6C76EF" w:rsidR="003B4E5A" w:rsidRPr="0058796D" w:rsidRDefault="4F98CEA3" w:rsidP="6BDA5542">
      <w:pPr>
        <w:rPr>
          <w:rFonts w:ascii="Arial" w:eastAsia="Times New Roman" w:hAnsi="Arial" w:cs="Arial"/>
          <w:color w:val="006621"/>
          <w:kern w:val="0"/>
          <w:sz w:val="20"/>
          <w:szCs w:val="20"/>
          <w:shd w:val="clear" w:color="auto" w:fill="FFFFFF"/>
          <w14:ligatures w14:val="none"/>
        </w:rPr>
      </w:pPr>
      <w:r w:rsidRPr="6BDA5542">
        <w:rPr>
          <w:rFonts w:ascii="Arial" w:eastAsia="Arial" w:hAnsi="Arial" w:cs="Arial"/>
          <w:sz w:val="22"/>
          <w:szCs w:val="22"/>
        </w:rPr>
        <w:t xml:space="preserve">Integration of PCC and PW in Health and Social Care Policy Health and Social Care policies increasingly recognize the importance of PCC and PW. For example, the National Health Service (NHS) in the United Kingdom has adopted a person-centered approach to care, emphasizing the need to involve patients in decision-making and provide them with </w:t>
      </w:r>
      <w:r w:rsidRPr="6BDA5542">
        <w:rPr>
          <w:rFonts w:ascii="Arial" w:eastAsia="Arial" w:hAnsi="Arial" w:cs="Arial"/>
          <w:sz w:val="22"/>
          <w:szCs w:val="22"/>
        </w:rPr>
        <w:lastRenderedPageBreak/>
        <w:t xml:space="preserve">information and support to manage their health conditions. Similarly, social care policies promote the involvement of service users and their families in care planning and decision-making. These policies aim to ensure that individuals receive care that is tailored to their needs and preferences and that services are delivered in a coordinated and collaborative manner. Application of Partnership Working in a Practical Health and Social Care Setting: A Case Study of a Community Mental Health Team To illustrate the application of partnership working in practice, let us consider a community mental health team (CMHT). CMHTs typically consist of a range of professionals, including psychiatrists, psychologists, social workers, nurses, and occupational </w:t>
      </w:r>
      <w:r w:rsidR="00EC1880" w:rsidRPr="6BDA5542">
        <w:rPr>
          <w:rFonts w:ascii="Arial" w:eastAsia="Arial" w:hAnsi="Arial" w:cs="Arial"/>
          <w:sz w:val="22"/>
          <w:szCs w:val="22"/>
        </w:rPr>
        <w:t>therapists</w:t>
      </w:r>
      <w:r w:rsidR="00EC1880">
        <w:rPr>
          <w:rFonts w:ascii="Arial" w:eastAsia="Arial" w:hAnsi="Arial" w:cs="Arial"/>
          <w:sz w:val="22"/>
          <w:szCs w:val="22"/>
        </w:rPr>
        <w:t xml:space="preserve"> (</w:t>
      </w:r>
      <w:r w:rsidR="00EC1880" w:rsidRPr="00EC1880">
        <w:rPr>
          <w:rFonts w:ascii="Arial" w:eastAsia="Arial" w:hAnsi="Arial" w:cs="Arial"/>
          <w:color w:val="000000" w:themeColor="text1"/>
          <w:sz w:val="22"/>
          <w:szCs w:val="22"/>
        </w:rPr>
        <w:t>M</w:t>
      </w:r>
      <w:r w:rsidR="00A9549A" w:rsidRPr="00EC1880">
        <w:rPr>
          <w:rFonts w:ascii="Arial" w:eastAsia="Times New Roman" w:hAnsi="Arial" w:cs="Arial"/>
          <w:color w:val="000000" w:themeColor="text1"/>
          <w:sz w:val="20"/>
          <w:szCs w:val="20"/>
          <w:shd w:val="clear" w:color="auto" w:fill="FFFFFF"/>
        </w:rPr>
        <w:t xml:space="preserve"> </w:t>
      </w:r>
      <w:proofErr w:type="spellStart"/>
      <w:r w:rsidR="00A9549A" w:rsidRPr="00EC1880">
        <w:rPr>
          <w:rFonts w:ascii="Arial" w:eastAsia="Times New Roman" w:hAnsi="Arial" w:cs="Arial"/>
          <w:color w:val="000000" w:themeColor="text1"/>
          <w:sz w:val="20"/>
          <w:szCs w:val="20"/>
          <w:shd w:val="clear" w:color="auto" w:fill="FFFFFF"/>
        </w:rPr>
        <w:t>Abendstern</w:t>
      </w:r>
      <w:proofErr w:type="spellEnd"/>
      <w:r w:rsidR="00A9549A" w:rsidRPr="00EC1880">
        <w:rPr>
          <w:rFonts w:ascii="Arial" w:eastAsia="Times New Roman" w:hAnsi="Arial" w:cs="Arial"/>
          <w:color w:val="000000" w:themeColor="text1"/>
          <w:sz w:val="20"/>
          <w:szCs w:val="20"/>
          <w:shd w:val="clear" w:color="auto" w:fill="FFFFFF"/>
        </w:rPr>
        <w:t xml:space="preserve"> et al,</w:t>
      </w:r>
      <w:r w:rsidR="00EC1880" w:rsidRPr="00EC1880">
        <w:rPr>
          <w:rFonts w:ascii="Arial" w:eastAsia="Times New Roman" w:hAnsi="Arial" w:cs="Arial"/>
          <w:color w:val="000000" w:themeColor="text1"/>
          <w:sz w:val="20"/>
          <w:szCs w:val="20"/>
          <w:shd w:val="clear" w:color="auto" w:fill="FFFFFF"/>
        </w:rPr>
        <w:t>2022)</w:t>
      </w:r>
      <w:r w:rsidR="00EC1880" w:rsidRPr="00EC1880">
        <w:rPr>
          <w:rFonts w:ascii="Arial" w:eastAsia="Arial" w:hAnsi="Arial" w:cs="Arial"/>
          <w:color w:val="000000" w:themeColor="text1"/>
          <w:sz w:val="22"/>
          <w:szCs w:val="22"/>
        </w:rPr>
        <w:t xml:space="preserve"> </w:t>
      </w:r>
      <w:r w:rsidR="00EC1880" w:rsidRPr="6BDA5542">
        <w:rPr>
          <w:rFonts w:ascii="Arial" w:eastAsia="Arial" w:hAnsi="Arial" w:cs="Arial"/>
          <w:sz w:val="22"/>
          <w:szCs w:val="22"/>
        </w:rPr>
        <w:t>These</w:t>
      </w:r>
      <w:r w:rsidRPr="6BDA5542">
        <w:rPr>
          <w:rFonts w:ascii="Arial" w:eastAsia="Arial" w:hAnsi="Arial" w:cs="Arial"/>
          <w:sz w:val="22"/>
          <w:szCs w:val="22"/>
        </w:rPr>
        <w:t xml:space="preserve"> professionals work together to provide assessment, treatment, and support to individuals with mental health problems in their own homes and communities. Partnership working is essential in CMHTs to ensure that individuals receive coordinated and effective care</w:t>
      </w:r>
      <w:r w:rsidR="0058796D" w:rsidRPr="0058796D">
        <w:rPr>
          <w:rFonts w:ascii="Times New Roman" w:eastAsia="Times New Roman" w:hAnsi="Times New Roman" w:cs="Times New Roman"/>
          <w:kern w:val="0"/>
          <w14:ligatures w14:val="none"/>
        </w:rPr>
        <w:t xml:space="preserve"> </w:t>
      </w:r>
      <w:r w:rsidR="0058796D">
        <w:rPr>
          <w:rFonts w:ascii="Times New Roman" w:eastAsia="Times New Roman" w:hAnsi="Times New Roman" w:cs="Times New Roman"/>
          <w:kern w:val="0"/>
          <w14:ligatures w14:val="none"/>
        </w:rPr>
        <w:t>(</w:t>
      </w:r>
      <w:hyperlink r:id="rId9" w:history="1">
        <w:r w:rsidR="0058796D" w:rsidRPr="0058796D">
          <w:rPr>
            <w:rFonts w:ascii="Arial" w:eastAsia="Times New Roman" w:hAnsi="Arial" w:cs="Arial"/>
            <w:color w:val="000000" w:themeColor="text1"/>
            <w:kern w:val="0"/>
            <w:sz w:val="20"/>
            <w:szCs w:val="20"/>
            <w:u w:val="single"/>
            <w14:ligatures w14:val="none"/>
          </w:rPr>
          <w:t>G Davidson</w:t>
        </w:r>
      </w:hyperlink>
      <w:r w:rsidR="0058796D" w:rsidRPr="0058796D">
        <w:rPr>
          <w:rFonts w:ascii="Arial" w:eastAsia="Times New Roman" w:hAnsi="Arial" w:cs="Arial"/>
          <w:color w:val="000000" w:themeColor="text1"/>
          <w:kern w:val="0"/>
          <w:sz w:val="20"/>
          <w:szCs w:val="20"/>
          <w:shd w:val="clear" w:color="auto" w:fill="FFFFFF"/>
          <w14:ligatures w14:val="none"/>
        </w:rPr>
        <w:t> – 2025)</w:t>
      </w:r>
      <w:r w:rsidRPr="6BDA5542">
        <w:rPr>
          <w:rFonts w:ascii="Arial" w:eastAsia="Arial" w:hAnsi="Arial" w:cs="Arial"/>
          <w:sz w:val="22"/>
          <w:szCs w:val="22"/>
        </w:rPr>
        <w:t>. For example, a psychiatrist may be responsible for prescribing medication, while a social worker may provide support with housing and financial issues. By working together, these professionals can address the individual's needs in a holistic and integrated manner.</w:t>
      </w:r>
    </w:p>
    <w:p w14:paraId="389AE832" w14:textId="77777777" w:rsidR="00F259C3" w:rsidRDefault="00F259C3" w:rsidP="6BDA5542">
      <w:pPr>
        <w:rPr>
          <w:rFonts w:ascii="Arial" w:eastAsia="Arial" w:hAnsi="Arial" w:cs="Arial"/>
          <w:sz w:val="22"/>
          <w:szCs w:val="22"/>
        </w:rPr>
      </w:pPr>
    </w:p>
    <w:p w14:paraId="637D92EE" w14:textId="7AF71333" w:rsidR="00F259C3" w:rsidRPr="00F259C3" w:rsidRDefault="343A5E2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Health and Social Care policies increasingly recognize the importance of PCC and PW</w:t>
      </w:r>
      <w:r w:rsidR="00060B5A" w:rsidRPr="00060B5A">
        <w:rPr>
          <w:rFonts w:ascii="Arial" w:eastAsia="Times New Roman" w:hAnsi="Arial" w:cs="Arial"/>
          <w:color w:val="006621"/>
          <w:sz w:val="20"/>
          <w:szCs w:val="20"/>
          <w:shd w:val="clear" w:color="auto" w:fill="FFFFFF"/>
        </w:rPr>
        <w:t xml:space="preserve"> </w:t>
      </w:r>
      <w:r w:rsidR="00060B5A" w:rsidRPr="00060B5A">
        <w:rPr>
          <w:rFonts w:ascii="Arial" w:eastAsia="Times New Roman" w:hAnsi="Arial" w:cs="Arial"/>
          <w:color w:val="000000" w:themeColor="text1"/>
          <w:sz w:val="20"/>
          <w:szCs w:val="20"/>
          <w:shd w:val="clear" w:color="auto" w:fill="FFFFFF"/>
        </w:rPr>
        <w:t>(</w:t>
      </w:r>
      <w:proofErr w:type="spellStart"/>
      <w:r w:rsidR="00060B5A" w:rsidRPr="00060B5A">
        <w:rPr>
          <w:rFonts w:ascii="Arial" w:eastAsia="Times New Roman" w:hAnsi="Arial" w:cs="Arial"/>
          <w:color w:val="000000" w:themeColor="text1"/>
          <w:sz w:val="20"/>
          <w:szCs w:val="20"/>
          <w:shd w:val="clear" w:color="auto" w:fill="FFFFFF"/>
        </w:rPr>
        <w:t>AR</w:t>
      </w:r>
      <w:proofErr w:type="spellEnd"/>
      <w:r w:rsidR="00060B5A" w:rsidRPr="00060B5A">
        <w:rPr>
          <w:rFonts w:ascii="Arial" w:eastAsia="Times New Roman" w:hAnsi="Arial" w:cs="Arial"/>
          <w:color w:val="000000" w:themeColor="text1"/>
          <w:sz w:val="20"/>
          <w:szCs w:val="20"/>
          <w:shd w:val="clear" w:color="auto" w:fill="FFFFFF"/>
        </w:rPr>
        <w:t xml:space="preserve"> </w:t>
      </w:r>
      <w:proofErr w:type="spellStart"/>
      <w:r w:rsidR="00060B5A" w:rsidRPr="00060B5A">
        <w:rPr>
          <w:rFonts w:ascii="Arial" w:eastAsia="Times New Roman" w:hAnsi="Arial" w:cs="Arial"/>
          <w:color w:val="000000" w:themeColor="text1"/>
          <w:sz w:val="20"/>
          <w:szCs w:val="20"/>
          <w:shd w:val="clear" w:color="auto" w:fill="FFFFFF"/>
        </w:rPr>
        <w:t>Gagliardi</w:t>
      </w:r>
      <w:proofErr w:type="spellEnd"/>
      <w:r w:rsidR="00060B5A" w:rsidRPr="00060B5A">
        <w:rPr>
          <w:rFonts w:ascii="Arial" w:eastAsia="Times New Roman" w:hAnsi="Arial" w:cs="Arial"/>
          <w:color w:val="000000" w:themeColor="text1"/>
          <w:sz w:val="20"/>
          <w:szCs w:val="20"/>
          <w:shd w:val="clear" w:color="auto" w:fill="FFFFFF"/>
        </w:rPr>
        <w:t xml:space="preserve"> et al,2020)</w:t>
      </w:r>
      <w:r w:rsidRPr="6BDA5542">
        <w:rPr>
          <w:rFonts w:ascii="Arial" w:eastAsia="Arial" w:hAnsi="Arial" w:cs="Arial"/>
          <w:kern w:val="0"/>
          <w:sz w:val="22"/>
          <w:szCs w:val="22"/>
          <w14:ligatures w14:val="none"/>
        </w:rPr>
        <w:t>. For example, the National Health Service (NHS) in the United Kingdom has adopted a person-centered approach to care, emphasizing the need to involve patients in decision-making and provide them with information and support to manage their health conditions. Similarly, social care policies promote the involvement of service users and their families in care planning and decision-making. These policies aim to ensure that individuals receive care that is tailored to their needs and preferences and that services are delivered in a coordinated and collaborative manner.</w:t>
      </w:r>
    </w:p>
    <w:p w14:paraId="637AA9A6" w14:textId="77777777" w:rsidR="00F259C3" w:rsidRPr="00F259C3" w:rsidRDefault="00F259C3" w:rsidP="6BDA5542">
      <w:pPr>
        <w:spacing w:after="0" w:line="240" w:lineRule="auto"/>
        <w:rPr>
          <w:rFonts w:ascii="Arial" w:eastAsia="Arial" w:hAnsi="Arial" w:cs="Arial"/>
          <w:kern w:val="0"/>
          <w:sz w:val="22"/>
          <w:szCs w:val="22"/>
          <w14:ligatures w14:val="none"/>
        </w:rPr>
      </w:pPr>
    </w:p>
    <w:p w14:paraId="73CB2270" w14:textId="77777777" w:rsidR="00F259C3" w:rsidRPr="00F259C3" w:rsidRDefault="343A5E2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Relevant Policy and Legislation in Relation to PCC and PW</w:t>
      </w:r>
    </w:p>
    <w:p w14:paraId="52F51A6C" w14:textId="77777777" w:rsidR="00F259C3" w:rsidRPr="00F259C3" w:rsidRDefault="00F259C3" w:rsidP="6BDA5542">
      <w:pPr>
        <w:spacing w:after="0" w:line="240" w:lineRule="auto"/>
        <w:rPr>
          <w:rFonts w:ascii="Arial" w:eastAsia="Arial" w:hAnsi="Arial" w:cs="Arial"/>
          <w:kern w:val="0"/>
          <w:sz w:val="22"/>
          <w:szCs w:val="22"/>
          <w14:ligatures w14:val="none"/>
        </w:rPr>
      </w:pPr>
    </w:p>
    <w:p w14:paraId="2003851E" w14:textId="5A626337" w:rsidR="00F259C3" w:rsidRPr="00F259C3" w:rsidRDefault="343A5E2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 xml:space="preserve">Several pieces of legislation and policy frameworks support PCC and PW in the UK. The Care Act 2014 is a key piece of legislation that places a duty on local authorities to promote individual well-being and provide </w:t>
      </w:r>
      <w:proofErr w:type="spellStart"/>
      <w:r w:rsidRPr="6BDA5542">
        <w:rPr>
          <w:rFonts w:ascii="Arial" w:eastAsia="Arial" w:hAnsi="Arial" w:cs="Arial"/>
          <w:kern w:val="0"/>
          <w:sz w:val="22"/>
          <w:szCs w:val="22"/>
          <w14:ligatures w14:val="none"/>
        </w:rPr>
        <w:t>person-centered</w:t>
      </w:r>
      <w:proofErr w:type="spellEnd"/>
      <w:r w:rsidRPr="6BDA5542">
        <w:rPr>
          <w:rFonts w:ascii="Arial" w:eastAsia="Arial" w:hAnsi="Arial" w:cs="Arial"/>
          <w:kern w:val="0"/>
          <w:sz w:val="22"/>
          <w:szCs w:val="22"/>
          <w14:ligatures w14:val="none"/>
        </w:rPr>
        <w:t xml:space="preserve"> care</w:t>
      </w:r>
      <w:r w:rsidR="00D60D9D" w:rsidRPr="00D60D9D">
        <w:rPr>
          <w:rFonts w:ascii="Arial" w:eastAsia="Times New Roman" w:hAnsi="Arial" w:cs="Arial"/>
          <w:color w:val="006621"/>
          <w:sz w:val="20"/>
          <w:szCs w:val="20"/>
          <w:shd w:val="clear" w:color="auto" w:fill="FFFFFF"/>
        </w:rPr>
        <w:t xml:space="preserve"> </w:t>
      </w:r>
      <w:r w:rsidR="00D60D9D" w:rsidRPr="00D60D9D">
        <w:rPr>
          <w:rFonts w:ascii="Arial" w:eastAsia="Times New Roman" w:hAnsi="Arial" w:cs="Arial"/>
          <w:color w:val="000000" w:themeColor="text1"/>
          <w:sz w:val="20"/>
          <w:szCs w:val="20"/>
          <w:shd w:val="clear" w:color="auto" w:fill="FFFFFF"/>
        </w:rPr>
        <w:t xml:space="preserve">(L </w:t>
      </w:r>
      <w:proofErr w:type="spellStart"/>
      <w:r w:rsidR="00D60D9D" w:rsidRPr="00D60D9D">
        <w:rPr>
          <w:rFonts w:ascii="Arial" w:eastAsia="Times New Roman" w:hAnsi="Arial" w:cs="Arial"/>
          <w:color w:val="000000" w:themeColor="text1"/>
          <w:sz w:val="20"/>
          <w:szCs w:val="20"/>
          <w:shd w:val="clear" w:color="auto" w:fill="FFFFFF"/>
        </w:rPr>
        <w:t>Camoni</w:t>
      </w:r>
      <w:proofErr w:type="spellEnd"/>
      <w:r w:rsidR="00D60D9D" w:rsidRPr="00D60D9D">
        <w:rPr>
          <w:rFonts w:ascii="Arial" w:eastAsia="Times New Roman" w:hAnsi="Arial" w:cs="Arial"/>
          <w:color w:val="000000" w:themeColor="text1"/>
          <w:sz w:val="20"/>
          <w:szCs w:val="20"/>
          <w:shd w:val="clear" w:color="auto" w:fill="FFFFFF"/>
        </w:rPr>
        <w:t xml:space="preserve"> et al,2020)</w:t>
      </w:r>
      <w:r w:rsidRPr="6BDA5542">
        <w:rPr>
          <w:rFonts w:ascii="Arial" w:eastAsia="Arial" w:hAnsi="Arial" w:cs="Arial"/>
          <w:kern w:val="0"/>
          <w:sz w:val="22"/>
          <w:szCs w:val="22"/>
          <w14:ligatures w14:val="none"/>
        </w:rPr>
        <w:t>. It emphasizes the importance of involving individuals in decisions about their care and support and promoting their independence and choice. The Children and Families Act 2014 also promotes PCC and PW in the context of children's services</w:t>
      </w:r>
      <w:r w:rsidR="00AF241E">
        <w:rPr>
          <w:rFonts w:ascii="Arial" w:eastAsia="Arial" w:hAnsi="Arial" w:cs="Arial"/>
          <w:kern w:val="0"/>
          <w:sz w:val="22"/>
          <w:szCs w:val="22"/>
          <w14:ligatures w14:val="none"/>
        </w:rPr>
        <w:t xml:space="preserve"> </w:t>
      </w:r>
      <w:r w:rsidR="00AF241E" w:rsidRPr="00AF241E">
        <w:rPr>
          <w:rFonts w:ascii="Arial" w:eastAsia="Arial" w:hAnsi="Arial" w:cs="Arial"/>
          <w:color w:val="000000" w:themeColor="text1"/>
          <w:kern w:val="0"/>
          <w:sz w:val="22"/>
          <w:szCs w:val="22"/>
          <w14:ligatures w14:val="none"/>
        </w:rPr>
        <w:t>(</w:t>
      </w:r>
      <w:r w:rsidR="00AF241E" w:rsidRPr="00AF241E">
        <w:rPr>
          <w:rFonts w:ascii="Arial" w:eastAsia="Times New Roman" w:hAnsi="Arial" w:cs="Arial"/>
          <w:color w:val="000000" w:themeColor="text1"/>
          <w:sz w:val="20"/>
          <w:szCs w:val="20"/>
          <w:shd w:val="clear" w:color="auto" w:fill="FFFFFF"/>
        </w:rPr>
        <w:t>K Britt et all,2025)</w:t>
      </w:r>
      <w:r w:rsidRPr="6BDA5542">
        <w:rPr>
          <w:rFonts w:ascii="Arial" w:eastAsia="Arial" w:hAnsi="Arial" w:cs="Arial"/>
          <w:kern w:val="0"/>
          <w:sz w:val="22"/>
          <w:szCs w:val="22"/>
          <w14:ligatures w14:val="none"/>
        </w:rPr>
        <w:t xml:space="preserve"> It requires local authorities to work in partnership with families and other agencies to provide coordinated support to children with special educational needs and disabilities.</w:t>
      </w:r>
    </w:p>
    <w:p w14:paraId="4216883F" w14:textId="77777777" w:rsidR="00F259C3" w:rsidRPr="00F259C3" w:rsidRDefault="00F259C3" w:rsidP="6BDA5542">
      <w:pPr>
        <w:spacing w:after="0" w:line="240" w:lineRule="auto"/>
        <w:rPr>
          <w:rFonts w:ascii="Arial" w:eastAsia="Arial" w:hAnsi="Arial" w:cs="Arial"/>
          <w:kern w:val="0"/>
          <w:sz w:val="22"/>
          <w:szCs w:val="22"/>
          <w14:ligatures w14:val="none"/>
        </w:rPr>
      </w:pPr>
    </w:p>
    <w:p w14:paraId="7575A323" w14:textId="77777777" w:rsidR="00F259C3" w:rsidRPr="00F259C3" w:rsidRDefault="343A5E23"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These policies and legislations provide a framework for promoting PCC and PW in health and social care settings. They emphasize the importance of individualized care, collaboration, and the involvement of service users in decision-making. By implementing these policies and legislations effectively, health and social care professionals can ensure that individuals receive high-quality, person-centered care that meets their needs and preferences.</w:t>
      </w:r>
    </w:p>
    <w:p w14:paraId="5C2CE642" w14:textId="77777777" w:rsidR="00F259C3" w:rsidRDefault="00F259C3" w:rsidP="6BDA5542">
      <w:pPr>
        <w:rPr>
          <w:rFonts w:ascii="Arial" w:eastAsia="Arial" w:hAnsi="Arial" w:cs="Arial"/>
          <w:sz w:val="22"/>
          <w:szCs w:val="22"/>
        </w:rPr>
      </w:pPr>
    </w:p>
    <w:p w14:paraId="65E4F512" w14:textId="77777777" w:rsidR="004E2FE1" w:rsidRDefault="004E2FE1" w:rsidP="6BDA5542">
      <w:pPr>
        <w:rPr>
          <w:rFonts w:ascii="Arial" w:eastAsia="Arial" w:hAnsi="Arial" w:cs="Arial"/>
          <w:sz w:val="22"/>
          <w:szCs w:val="22"/>
        </w:rPr>
      </w:pPr>
    </w:p>
    <w:p w14:paraId="0E7F7AFA" w14:textId="77777777" w:rsidR="00C319E4" w:rsidRPr="00C319E4" w:rsidRDefault="00C319E4" w:rsidP="00C319E4">
      <w:pPr>
        <w:spacing w:after="0" w:line="240" w:lineRule="auto"/>
      </w:pPr>
      <w:r w:rsidRPr="00C319E4">
        <w:rPr>
          <w:rFonts w:ascii="Open Sans" w:eastAsia="Times New Roman" w:hAnsi="Open Sans" w:cs="Open Sans"/>
          <w:color w:val="2C3E5D"/>
          <w:kern w:val="0"/>
          <w14:ligatures w14:val="none"/>
        </w:rPr>
        <w:br/>
      </w:r>
    </w:p>
    <w:p w14:paraId="2DA54B4A" w14:textId="499D418A" w:rsidR="00C319E4" w:rsidRPr="00C319E4" w:rsidRDefault="00C319E4" w:rsidP="6BDA5542">
      <w:pPr>
        <w:spacing w:after="0" w:line="240" w:lineRule="auto"/>
        <w:rPr>
          <w:rFonts w:ascii="Arial" w:eastAsia="Arial" w:hAnsi="Arial" w:cs="Arial"/>
          <w:sz w:val="22"/>
          <w:szCs w:val="22"/>
        </w:rPr>
      </w:pPr>
    </w:p>
    <w:p w14:paraId="2FCF79A1" w14:textId="0A9C4223" w:rsidR="00C319E4" w:rsidRPr="00C319E4" w:rsidRDefault="00C319E4" w:rsidP="6BDA5542">
      <w:pPr>
        <w:spacing w:after="0" w:line="240" w:lineRule="auto"/>
        <w:rPr>
          <w:rFonts w:ascii="Arial" w:eastAsia="Arial" w:hAnsi="Arial" w:cs="Arial"/>
          <w:sz w:val="22"/>
          <w:szCs w:val="22"/>
        </w:rPr>
      </w:pPr>
    </w:p>
    <w:p w14:paraId="0601F46C" w14:textId="380921BE" w:rsidR="00C319E4" w:rsidRPr="00C319E4" w:rsidRDefault="00C319E4" w:rsidP="6BDA5542">
      <w:pPr>
        <w:spacing w:after="0" w:line="240" w:lineRule="auto"/>
        <w:rPr>
          <w:rFonts w:ascii="Arial" w:eastAsia="Arial" w:hAnsi="Arial" w:cs="Arial"/>
          <w:sz w:val="22"/>
          <w:szCs w:val="22"/>
        </w:rPr>
      </w:pPr>
    </w:p>
    <w:p w14:paraId="008BC143" w14:textId="7F90DB6F" w:rsidR="00C319E4" w:rsidRPr="00C319E4" w:rsidRDefault="00C319E4" w:rsidP="6BDA5542">
      <w:pPr>
        <w:spacing w:after="0" w:line="240" w:lineRule="auto"/>
        <w:rPr>
          <w:rFonts w:ascii="Arial" w:eastAsia="Arial" w:hAnsi="Arial" w:cs="Arial"/>
          <w:sz w:val="22"/>
          <w:szCs w:val="22"/>
        </w:rPr>
      </w:pPr>
    </w:p>
    <w:p w14:paraId="7DAD9D5B" w14:textId="0C3F7178" w:rsidR="00C319E4" w:rsidRPr="00C319E4" w:rsidRDefault="00C319E4" w:rsidP="6BDA5542">
      <w:pPr>
        <w:spacing w:after="0" w:line="240" w:lineRule="auto"/>
        <w:rPr>
          <w:rFonts w:ascii="Arial" w:eastAsia="Arial" w:hAnsi="Arial" w:cs="Arial"/>
          <w:sz w:val="22"/>
          <w:szCs w:val="22"/>
        </w:rPr>
      </w:pPr>
    </w:p>
    <w:p w14:paraId="5A0BEE25" w14:textId="5DD22A58" w:rsidR="521EC2A9" w:rsidRDefault="521EC2A9" w:rsidP="521EC2A9">
      <w:pPr>
        <w:spacing w:after="0" w:line="240" w:lineRule="auto"/>
        <w:rPr>
          <w:rFonts w:ascii="Arial" w:eastAsia="Arial" w:hAnsi="Arial" w:cs="Arial"/>
          <w:sz w:val="22"/>
          <w:szCs w:val="22"/>
        </w:rPr>
      </w:pPr>
    </w:p>
    <w:p w14:paraId="44AA38C3" w14:textId="2009CCF0" w:rsidR="521EC2A9" w:rsidRDefault="521EC2A9" w:rsidP="521EC2A9">
      <w:pPr>
        <w:spacing w:after="0" w:line="240" w:lineRule="auto"/>
        <w:rPr>
          <w:rFonts w:ascii="Arial" w:eastAsia="Arial" w:hAnsi="Arial" w:cs="Arial"/>
          <w:sz w:val="22"/>
          <w:szCs w:val="22"/>
        </w:rPr>
      </w:pPr>
    </w:p>
    <w:p w14:paraId="1C052438" w14:textId="200BDF1B" w:rsidR="521EC2A9" w:rsidRDefault="521EC2A9" w:rsidP="521EC2A9">
      <w:pPr>
        <w:spacing w:after="0" w:line="240" w:lineRule="auto"/>
        <w:rPr>
          <w:rFonts w:ascii="Arial" w:eastAsia="Arial" w:hAnsi="Arial" w:cs="Arial"/>
          <w:sz w:val="22"/>
          <w:szCs w:val="22"/>
        </w:rPr>
      </w:pPr>
    </w:p>
    <w:p w14:paraId="618758D1" w14:textId="6853553E" w:rsidR="00C319E4" w:rsidRPr="00C319E4" w:rsidRDefault="00C319E4" w:rsidP="6BDA5542">
      <w:pPr>
        <w:spacing w:after="0" w:line="240" w:lineRule="auto"/>
        <w:rPr>
          <w:rFonts w:ascii="Arial" w:eastAsia="Arial" w:hAnsi="Arial" w:cs="Arial"/>
          <w:sz w:val="22"/>
          <w:szCs w:val="22"/>
        </w:rPr>
      </w:pPr>
    </w:p>
    <w:p w14:paraId="30C8F69B" w14:textId="54C275C6" w:rsidR="00C319E4" w:rsidRPr="00C319E4" w:rsidRDefault="00C319E4" w:rsidP="6BDA5542">
      <w:pPr>
        <w:spacing w:after="0" w:line="240" w:lineRule="auto"/>
        <w:rPr>
          <w:rFonts w:ascii="Arial" w:eastAsia="Arial" w:hAnsi="Arial" w:cs="Arial"/>
          <w:sz w:val="22"/>
          <w:szCs w:val="22"/>
        </w:rPr>
      </w:pPr>
    </w:p>
    <w:p w14:paraId="45CDFDCD" w14:textId="2A8AF468" w:rsidR="00C319E4" w:rsidRPr="00C319E4" w:rsidRDefault="49120459" w:rsidP="6BDA5542">
      <w:pPr>
        <w:spacing w:after="0" w:line="240" w:lineRule="auto"/>
        <w:rPr>
          <w:rFonts w:ascii="Arial" w:eastAsia="Arial" w:hAnsi="Arial" w:cs="Arial"/>
          <w:b/>
          <w:bCs/>
          <w:kern w:val="0"/>
          <w:sz w:val="22"/>
          <w:szCs w:val="22"/>
          <w:u w:val="single"/>
          <w14:ligatures w14:val="none"/>
        </w:rPr>
      </w:pPr>
      <w:r w:rsidRPr="6BDA5542">
        <w:rPr>
          <w:rFonts w:ascii="Arial" w:eastAsia="Arial" w:hAnsi="Arial" w:cs="Arial"/>
          <w:b/>
          <w:bCs/>
          <w:kern w:val="0"/>
          <w:sz w:val="22"/>
          <w:szCs w:val="22"/>
          <w:u w:val="single"/>
          <w14:ligatures w14:val="none"/>
        </w:rPr>
        <w:t>Recommendations for Future Development of Person-Centered Care and Partnership Working in the UK</w:t>
      </w:r>
    </w:p>
    <w:p w14:paraId="0A8E8847" w14:textId="77777777" w:rsidR="00C319E4" w:rsidRPr="00C319E4" w:rsidRDefault="00C319E4" w:rsidP="6BDA5542">
      <w:pPr>
        <w:spacing w:after="0" w:line="240" w:lineRule="auto"/>
        <w:rPr>
          <w:rFonts w:ascii="Arial" w:eastAsia="Arial" w:hAnsi="Arial" w:cs="Arial"/>
          <w:b/>
          <w:bCs/>
          <w:kern w:val="0"/>
          <w:sz w:val="22"/>
          <w:szCs w:val="22"/>
          <w14:ligatures w14:val="none"/>
        </w:rPr>
      </w:pPr>
    </w:p>
    <w:p w14:paraId="190EC75D" w14:textId="77777777" w:rsidR="00C319E4" w:rsidRPr="00C319E4" w:rsidRDefault="49120459"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Despite the progress that has been made in promoting PCC and PW in the UK, there is still room for improvement. The following are some recommendations for future development:</w:t>
      </w:r>
    </w:p>
    <w:p w14:paraId="6702FDC5" w14:textId="77777777" w:rsidR="00C319E4" w:rsidRPr="00C319E4" w:rsidRDefault="00C319E4" w:rsidP="6BDA5542">
      <w:pPr>
        <w:spacing w:after="0" w:line="240" w:lineRule="auto"/>
        <w:rPr>
          <w:rFonts w:ascii="Arial" w:eastAsia="Arial" w:hAnsi="Arial" w:cs="Arial"/>
          <w:kern w:val="0"/>
          <w:sz w:val="22"/>
          <w:szCs w:val="22"/>
          <w14:ligatures w14:val="none"/>
        </w:rPr>
      </w:pPr>
    </w:p>
    <w:p w14:paraId="78CE573D" w14:textId="008CB700" w:rsidR="00C319E4" w:rsidRPr="00C319E4" w:rsidRDefault="49120459"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1. Increase awareness and understanding of PCC and PW among health and social care professionals: Many health and social care professionals are still not fully aware of the principles of PCC and PW or how to implement them in practic</w:t>
      </w:r>
      <w:r w:rsidR="00E01B60">
        <w:rPr>
          <w:rFonts w:ascii="Arial" w:eastAsia="Arial" w:hAnsi="Arial" w:cs="Arial"/>
          <w:kern w:val="0"/>
          <w:sz w:val="22"/>
          <w:szCs w:val="22"/>
          <w14:ligatures w14:val="none"/>
        </w:rPr>
        <w:t>e</w:t>
      </w:r>
      <w:r w:rsidR="00E01B60" w:rsidRPr="00E01B60">
        <w:rPr>
          <w:rFonts w:ascii="Arial" w:eastAsia="Times New Roman" w:hAnsi="Arial" w:cs="Arial"/>
          <w:color w:val="000000" w:themeColor="text1"/>
          <w:sz w:val="20"/>
          <w:szCs w:val="20"/>
          <w:shd w:val="clear" w:color="auto" w:fill="FFFFFF"/>
        </w:rPr>
        <w:t xml:space="preserve"> (S </w:t>
      </w:r>
      <w:proofErr w:type="spellStart"/>
      <w:r w:rsidR="00E01B60" w:rsidRPr="00E01B60">
        <w:rPr>
          <w:rFonts w:ascii="Arial" w:eastAsia="Times New Roman" w:hAnsi="Arial" w:cs="Arial"/>
          <w:color w:val="000000" w:themeColor="text1"/>
          <w:sz w:val="20"/>
          <w:szCs w:val="20"/>
          <w:shd w:val="clear" w:color="auto" w:fill="FFFFFF"/>
        </w:rPr>
        <w:t>Karajicic</w:t>
      </w:r>
      <w:proofErr w:type="spellEnd"/>
      <w:r w:rsidR="00E01B60" w:rsidRPr="00E01B60">
        <w:rPr>
          <w:rFonts w:ascii="Arial" w:eastAsia="Times New Roman" w:hAnsi="Arial" w:cs="Arial"/>
          <w:color w:val="000000" w:themeColor="text1"/>
          <w:sz w:val="20"/>
          <w:szCs w:val="20"/>
          <w:shd w:val="clear" w:color="auto" w:fill="FFFFFF"/>
        </w:rPr>
        <w:t>, 2021)</w:t>
      </w:r>
      <w:r w:rsidRPr="6BDA5542">
        <w:rPr>
          <w:rFonts w:ascii="Arial" w:eastAsia="Arial" w:hAnsi="Arial" w:cs="Arial"/>
          <w:kern w:val="0"/>
          <w:sz w:val="22"/>
          <w:szCs w:val="22"/>
          <w14:ligatures w14:val="none"/>
        </w:rPr>
        <w:t>. More training and education are needed to raise awareness and understanding of these concepts.</w:t>
      </w:r>
    </w:p>
    <w:p w14:paraId="1EF5B5D9" w14:textId="77777777" w:rsidR="00C319E4" w:rsidRPr="00C319E4" w:rsidRDefault="49120459"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2. Promote the involvement of service users and their families in care planning and decision-making: Service users and their families are the experts on their own needs and preferences. Their involvement in care planning and decision-making is essential to ensure that care is truly person-centered.</w:t>
      </w:r>
    </w:p>
    <w:p w14:paraId="534E14E1" w14:textId="77777777" w:rsidR="00C319E4" w:rsidRPr="00C319E4" w:rsidRDefault="49120459"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3. Develop more integrated care pathways: Integrated care pathways are care plans that span across different health and social care settings. They can help to ensure that individuals receive coordinated and seamless care.</w:t>
      </w:r>
    </w:p>
    <w:p w14:paraId="7583EDC7" w14:textId="77777777" w:rsidR="00C319E4" w:rsidRPr="00C319E4" w:rsidRDefault="49120459"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4. Invest in research to evaluate the effectiveness of PCC and PW: More research is needed to evaluate the effectiveness of PCC and PW in improving outcomes for service users. This research can help to identify best practices and inform future policy and practice.</w:t>
      </w:r>
    </w:p>
    <w:p w14:paraId="6145D6AA" w14:textId="77777777" w:rsidR="00C319E4" w:rsidRPr="00C319E4" w:rsidRDefault="00C319E4" w:rsidP="6BDA5542">
      <w:pPr>
        <w:spacing w:after="0" w:line="240" w:lineRule="auto"/>
        <w:rPr>
          <w:rFonts w:ascii="Arial" w:eastAsia="Arial" w:hAnsi="Arial" w:cs="Arial"/>
          <w:kern w:val="0"/>
          <w:sz w:val="22"/>
          <w:szCs w:val="22"/>
          <w14:ligatures w14:val="none"/>
        </w:rPr>
      </w:pPr>
    </w:p>
    <w:p w14:paraId="4F491CD6" w14:textId="77777777" w:rsidR="00C319E4" w:rsidRDefault="49120459" w:rsidP="6BDA5542">
      <w:pPr>
        <w:spacing w:after="0" w:line="240" w:lineRule="auto"/>
        <w:rPr>
          <w:rFonts w:ascii="Arial" w:eastAsia="Arial" w:hAnsi="Arial" w:cs="Arial"/>
          <w:kern w:val="0"/>
          <w:sz w:val="22"/>
          <w:szCs w:val="22"/>
          <w14:ligatures w14:val="none"/>
        </w:rPr>
      </w:pPr>
      <w:r w:rsidRPr="6BDA5542">
        <w:rPr>
          <w:rFonts w:ascii="Arial" w:eastAsia="Arial" w:hAnsi="Arial" w:cs="Arial"/>
          <w:kern w:val="0"/>
          <w:sz w:val="22"/>
          <w:szCs w:val="22"/>
          <w14:ligatures w14:val="none"/>
        </w:rPr>
        <w:t>By implementing these recommendations, the UK can further develop PCC and PW and ensure that individuals receive care that is tailored to their needs and preferences and that services are delivered in a coordinated and collaborative manner.</w:t>
      </w:r>
    </w:p>
    <w:p w14:paraId="75F9CDE2" w14:textId="77777777" w:rsidR="003E4401" w:rsidRPr="00C319E4" w:rsidRDefault="003E4401" w:rsidP="6BDA5542">
      <w:pPr>
        <w:spacing w:after="0" w:line="240" w:lineRule="auto"/>
        <w:rPr>
          <w:rFonts w:ascii="Arial" w:eastAsia="Arial" w:hAnsi="Arial" w:cs="Arial"/>
          <w:kern w:val="0"/>
          <w:sz w:val="22"/>
          <w:szCs w:val="22"/>
          <w14:ligatures w14:val="none"/>
        </w:rPr>
      </w:pPr>
    </w:p>
    <w:p w14:paraId="1886D65B" w14:textId="50773D7F" w:rsidR="004E2FE1" w:rsidRPr="001D389C" w:rsidRDefault="001D389C" w:rsidP="6BDA5542">
      <w:pPr>
        <w:rPr>
          <w:rFonts w:ascii="Arial" w:eastAsia="Arial" w:hAnsi="Arial" w:cs="Arial"/>
          <w:color w:val="000000" w:themeColor="text1"/>
          <w:sz w:val="22"/>
          <w:szCs w:val="22"/>
        </w:rPr>
      </w:pPr>
      <w:r>
        <w:rPr>
          <w:rFonts w:ascii="Arial" w:eastAsia="Times New Roman" w:hAnsi="Arial" w:cs="Arial"/>
          <w:color w:val="000000" w:themeColor="text1"/>
          <w:kern w:val="0"/>
          <w14:ligatures w14:val="none"/>
        </w:rPr>
        <w:t>(</w:t>
      </w:r>
      <w:hyperlink r:id="rId10" w:history="1">
        <w:r w:rsidR="003E4401" w:rsidRPr="001D389C">
          <w:rPr>
            <w:rFonts w:ascii="Arial" w:eastAsia="Times New Roman" w:hAnsi="Arial" w:cs="Arial"/>
            <w:color w:val="000000" w:themeColor="text1"/>
            <w:kern w:val="0"/>
            <w:sz w:val="20"/>
            <w:szCs w:val="20"/>
            <w:u w:val="single"/>
            <w14:ligatures w14:val="none"/>
          </w:rPr>
          <w:t>K English</w:t>
        </w:r>
      </w:hyperlink>
      <w:r w:rsidR="003E4401" w:rsidRPr="001D389C">
        <w:rPr>
          <w:rFonts w:ascii="Arial" w:eastAsia="Times New Roman" w:hAnsi="Arial" w:cs="Arial"/>
          <w:color w:val="000000" w:themeColor="text1"/>
          <w:kern w:val="0"/>
          <w14:ligatures w14:val="none"/>
        </w:rPr>
        <w:t>,</w:t>
      </w:r>
      <w:r w:rsidRPr="001D389C">
        <w:rPr>
          <w:rFonts w:ascii="Arial" w:eastAsia="Times New Roman" w:hAnsi="Arial" w:cs="Arial"/>
          <w:color w:val="000000" w:themeColor="text1"/>
          <w:kern w:val="0"/>
          <w:sz w:val="20"/>
          <w:szCs w:val="20"/>
          <w14:ligatures w14:val="none"/>
        </w:rPr>
        <w:t>2022</w:t>
      </w:r>
      <w:r w:rsidRPr="001D389C">
        <w:rPr>
          <w:rFonts w:ascii="Arial" w:eastAsia="Times New Roman" w:hAnsi="Arial" w:cs="Arial"/>
          <w:color w:val="000000" w:themeColor="text1"/>
          <w:kern w:val="0"/>
          <w14:ligatures w14:val="none"/>
        </w:rPr>
        <w:t>)</w:t>
      </w:r>
    </w:p>
    <w:p w14:paraId="34E3F01A" w14:textId="05327B59" w:rsidR="003B4E5A" w:rsidRDefault="003B4E5A" w:rsidP="6BDA5542">
      <w:pPr>
        <w:rPr>
          <w:rFonts w:ascii="Arial" w:eastAsia="Arial" w:hAnsi="Arial" w:cs="Arial"/>
          <w:sz w:val="22"/>
          <w:szCs w:val="22"/>
        </w:rPr>
      </w:pPr>
    </w:p>
    <w:p w14:paraId="4C96CFB3" w14:textId="675EAE5A" w:rsidR="003B4E5A" w:rsidRDefault="003B4E5A" w:rsidP="6BDA5542">
      <w:pPr>
        <w:rPr>
          <w:rFonts w:ascii="Arial" w:eastAsia="Arial" w:hAnsi="Arial" w:cs="Arial"/>
          <w:sz w:val="22"/>
          <w:szCs w:val="22"/>
        </w:rPr>
      </w:pPr>
    </w:p>
    <w:p w14:paraId="5C91BA98" w14:textId="5FFD29D6" w:rsidR="003B4E5A" w:rsidRDefault="003B4E5A" w:rsidP="6BDA5542">
      <w:pPr>
        <w:rPr>
          <w:rFonts w:ascii="Arial" w:eastAsia="Arial" w:hAnsi="Arial" w:cs="Arial"/>
          <w:sz w:val="22"/>
          <w:szCs w:val="22"/>
        </w:rPr>
      </w:pPr>
    </w:p>
    <w:p w14:paraId="5A22F55D" w14:textId="300B0204" w:rsidR="003B4E5A" w:rsidRDefault="003B4E5A" w:rsidP="6BDA5542">
      <w:pPr>
        <w:rPr>
          <w:rFonts w:ascii="Arial" w:eastAsia="Arial" w:hAnsi="Arial" w:cs="Arial"/>
          <w:sz w:val="22"/>
          <w:szCs w:val="22"/>
        </w:rPr>
      </w:pPr>
    </w:p>
    <w:p w14:paraId="583F49AA" w14:textId="58AA31AC" w:rsidR="003B4E5A" w:rsidRDefault="003B4E5A" w:rsidP="6BDA5542">
      <w:pPr>
        <w:rPr>
          <w:rFonts w:ascii="Arial" w:eastAsia="Arial" w:hAnsi="Arial" w:cs="Arial"/>
          <w:sz w:val="22"/>
          <w:szCs w:val="22"/>
        </w:rPr>
      </w:pPr>
    </w:p>
    <w:p w14:paraId="74DE82AE" w14:textId="4577BCA9" w:rsidR="003B4E5A" w:rsidRDefault="003B4E5A" w:rsidP="6BDA5542">
      <w:pPr>
        <w:rPr>
          <w:rFonts w:ascii="Arial" w:eastAsia="Arial" w:hAnsi="Arial" w:cs="Arial"/>
          <w:sz w:val="22"/>
          <w:szCs w:val="22"/>
        </w:rPr>
      </w:pPr>
    </w:p>
    <w:p w14:paraId="07A86D4C" w14:textId="665852EF" w:rsidR="003B4E5A" w:rsidRDefault="003B4E5A" w:rsidP="6BDA5542">
      <w:pPr>
        <w:rPr>
          <w:rFonts w:ascii="Arial" w:eastAsia="Arial" w:hAnsi="Arial" w:cs="Arial"/>
          <w:sz w:val="22"/>
          <w:szCs w:val="22"/>
        </w:rPr>
      </w:pPr>
    </w:p>
    <w:p w14:paraId="1AF14AC9" w14:textId="6FDCBAB0" w:rsidR="003B4E5A" w:rsidRDefault="003B4E5A" w:rsidP="6BDA5542">
      <w:pPr>
        <w:rPr>
          <w:rFonts w:ascii="Arial" w:eastAsia="Arial" w:hAnsi="Arial" w:cs="Arial"/>
          <w:sz w:val="22"/>
          <w:szCs w:val="22"/>
        </w:rPr>
      </w:pPr>
    </w:p>
    <w:p w14:paraId="64D825CE" w14:textId="162A06A9" w:rsidR="003B4E5A" w:rsidRDefault="003B4E5A" w:rsidP="6BDA5542">
      <w:pPr>
        <w:rPr>
          <w:rFonts w:ascii="Arial" w:eastAsia="Arial" w:hAnsi="Arial" w:cs="Arial"/>
          <w:sz w:val="22"/>
          <w:szCs w:val="22"/>
        </w:rPr>
      </w:pPr>
    </w:p>
    <w:p w14:paraId="62FF0089" w14:textId="1EFECF57" w:rsidR="003B4E5A" w:rsidRDefault="003B4E5A" w:rsidP="6BDA5542">
      <w:pPr>
        <w:rPr>
          <w:rFonts w:ascii="Arial" w:eastAsia="Arial" w:hAnsi="Arial" w:cs="Arial"/>
          <w:sz w:val="22"/>
          <w:szCs w:val="22"/>
        </w:rPr>
      </w:pPr>
    </w:p>
    <w:p w14:paraId="6750C5CE" w14:textId="652D4585" w:rsidR="003B4E5A" w:rsidRDefault="003B4E5A" w:rsidP="6BDA5542">
      <w:pPr>
        <w:rPr>
          <w:rFonts w:ascii="Arial" w:eastAsia="Arial" w:hAnsi="Arial" w:cs="Arial"/>
          <w:sz w:val="22"/>
          <w:szCs w:val="22"/>
        </w:rPr>
      </w:pPr>
    </w:p>
    <w:p w14:paraId="144FD19B" w14:textId="79EDA650" w:rsidR="003B4E5A" w:rsidRDefault="003B4E5A" w:rsidP="6BDA5542">
      <w:pPr>
        <w:rPr>
          <w:rFonts w:ascii="Arial" w:eastAsia="Arial" w:hAnsi="Arial" w:cs="Arial"/>
          <w:sz w:val="22"/>
          <w:szCs w:val="22"/>
        </w:rPr>
      </w:pPr>
    </w:p>
    <w:p w14:paraId="0A804DB7" w14:textId="37CEA116" w:rsidR="003B4E5A" w:rsidRDefault="003B4E5A" w:rsidP="6BDA5542">
      <w:pPr>
        <w:rPr>
          <w:rFonts w:ascii="Arial" w:eastAsia="Arial" w:hAnsi="Arial" w:cs="Arial"/>
          <w:sz w:val="22"/>
          <w:szCs w:val="22"/>
        </w:rPr>
      </w:pPr>
    </w:p>
    <w:p w14:paraId="4FF55899" w14:textId="57EEC46E" w:rsidR="003B4E5A" w:rsidRDefault="003B4E5A" w:rsidP="6BDA5542">
      <w:pPr>
        <w:rPr>
          <w:rFonts w:ascii="Arial" w:eastAsia="Arial" w:hAnsi="Arial" w:cs="Arial"/>
          <w:sz w:val="22"/>
          <w:szCs w:val="22"/>
        </w:rPr>
      </w:pPr>
    </w:p>
    <w:p w14:paraId="172BCE13" w14:textId="400BD3A7" w:rsidR="003B4E5A" w:rsidRDefault="003B4E5A" w:rsidP="6BDA5542">
      <w:pPr>
        <w:rPr>
          <w:rFonts w:ascii="Arial" w:eastAsia="Arial" w:hAnsi="Arial" w:cs="Arial"/>
          <w:sz w:val="22"/>
          <w:szCs w:val="22"/>
        </w:rPr>
      </w:pPr>
    </w:p>
    <w:p w14:paraId="289B274B" w14:textId="6435F3F3" w:rsidR="003B4E5A" w:rsidRDefault="003B4E5A" w:rsidP="6BDA5542">
      <w:pPr>
        <w:rPr>
          <w:rFonts w:ascii="Arial" w:eastAsia="Arial" w:hAnsi="Arial" w:cs="Arial"/>
          <w:sz w:val="22"/>
          <w:szCs w:val="22"/>
        </w:rPr>
      </w:pPr>
    </w:p>
    <w:p w14:paraId="5E58488D" w14:textId="746E6BDC" w:rsidR="003B4E5A" w:rsidRDefault="003B4E5A" w:rsidP="6BDA5542">
      <w:pPr>
        <w:rPr>
          <w:rFonts w:ascii="Arial" w:eastAsia="Arial" w:hAnsi="Arial" w:cs="Arial"/>
          <w:sz w:val="22"/>
          <w:szCs w:val="22"/>
        </w:rPr>
      </w:pPr>
    </w:p>
    <w:p w14:paraId="2ED90C75" w14:textId="3FB5606E" w:rsidR="003B4E5A" w:rsidRDefault="003B4E5A" w:rsidP="6BDA5542">
      <w:pPr>
        <w:rPr>
          <w:rFonts w:ascii="Arial" w:eastAsia="Arial" w:hAnsi="Arial" w:cs="Arial"/>
          <w:sz w:val="22"/>
          <w:szCs w:val="22"/>
        </w:rPr>
      </w:pPr>
    </w:p>
    <w:p w14:paraId="3712F271" w14:textId="2AB67DEC" w:rsidR="003B4E5A" w:rsidRDefault="003B4E5A" w:rsidP="6BDA5542">
      <w:pPr>
        <w:rPr>
          <w:rFonts w:ascii="Arial" w:eastAsia="Arial" w:hAnsi="Arial" w:cs="Arial"/>
          <w:sz w:val="22"/>
          <w:szCs w:val="22"/>
        </w:rPr>
      </w:pPr>
    </w:p>
    <w:p w14:paraId="03F95F08" w14:textId="4D056109" w:rsidR="003B4E5A" w:rsidRDefault="003B4E5A" w:rsidP="6BDA5542">
      <w:pPr>
        <w:rPr>
          <w:rFonts w:ascii="Arial" w:eastAsia="Arial" w:hAnsi="Arial" w:cs="Arial"/>
          <w:sz w:val="22"/>
          <w:szCs w:val="22"/>
        </w:rPr>
      </w:pPr>
    </w:p>
    <w:p w14:paraId="59E4100E" w14:textId="6177E25A" w:rsidR="003B4E5A" w:rsidRDefault="003B4E5A" w:rsidP="6BDA5542">
      <w:pPr>
        <w:rPr>
          <w:rFonts w:ascii="Arial" w:eastAsia="Arial" w:hAnsi="Arial" w:cs="Arial"/>
          <w:sz w:val="22"/>
          <w:szCs w:val="22"/>
        </w:rPr>
      </w:pPr>
    </w:p>
    <w:p w14:paraId="68736831" w14:textId="0DEA75C8" w:rsidR="003B4E5A" w:rsidRDefault="1941199C" w:rsidP="6BDA5542">
      <w:pPr>
        <w:rPr>
          <w:rFonts w:ascii="Arial" w:eastAsia="Arial" w:hAnsi="Arial" w:cs="Arial"/>
          <w:sz w:val="22"/>
          <w:szCs w:val="22"/>
        </w:rPr>
      </w:pPr>
      <w:r w:rsidRPr="6BDA5542">
        <w:rPr>
          <w:rFonts w:ascii="Arial" w:eastAsia="Arial" w:hAnsi="Arial" w:cs="Arial"/>
          <w:b/>
          <w:bCs/>
          <w:sz w:val="22"/>
          <w:szCs w:val="22"/>
        </w:rPr>
        <w:t>Reference list</w:t>
      </w:r>
    </w:p>
    <w:p w14:paraId="2348C851" w14:textId="478E9681"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Allen, L.N., Rechel, B., Alton, D., Pettigrew, L.M., McKee, M., Pinto, A.D., Exley, J., Turner-Moss, E., Thomas, K., Mallender, J. and Rajan, D., 2024. Integrating public health and primary care: a framework for seamless collaboration. </w:t>
      </w:r>
      <w:r w:rsidRPr="6BDA5542">
        <w:rPr>
          <w:rFonts w:ascii="Arial" w:eastAsia="Arial" w:hAnsi="Arial" w:cs="Arial"/>
          <w:i/>
          <w:iCs/>
          <w:sz w:val="22"/>
          <w:szCs w:val="22"/>
        </w:rPr>
        <w:t>BJGP open</w:t>
      </w:r>
      <w:r w:rsidRPr="6BDA5542">
        <w:rPr>
          <w:rFonts w:ascii="Arial" w:eastAsia="Arial" w:hAnsi="Arial" w:cs="Arial"/>
          <w:sz w:val="22"/>
          <w:szCs w:val="22"/>
        </w:rPr>
        <w:t xml:space="preserve">, </w:t>
      </w:r>
      <w:r w:rsidRPr="6BDA5542">
        <w:rPr>
          <w:rFonts w:ascii="Arial" w:eastAsia="Arial" w:hAnsi="Arial" w:cs="Arial"/>
          <w:i/>
          <w:iCs/>
          <w:sz w:val="22"/>
          <w:szCs w:val="22"/>
        </w:rPr>
        <w:t>8</w:t>
      </w:r>
      <w:r w:rsidRPr="6BDA5542">
        <w:rPr>
          <w:rFonts w:ascii="Arial" w:eastAsia="Arial" w:hAnsi="Arial" w:cs="Arial"/>
          <w:sz w:val="22"/>
          <w:szCs w:val="22"/>
        </w:rPr>
        <w:t>(4).</w:t>
      </w:r>
    </w:p>
    <w:p w14:paraId="23E1DD7D" w14:textId="592A89D5"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Alshammari, E.O.M., Alshammari, M.B.S., Al Anazy, A.K.M., Al-Anzi, M.A.H.A., Alfiras, K.S.A., Alshamry, M.A.S., Alanazi, T.A. and Asiri, A.A.M., 2024. Enhancing Nursing Excellence: Exploring Person-Centered Care Implementation in Clinical Practice. </w:t>
      </w:r>
      <w:r w:rsidRPr="6BDA5542">
        <w:rPr>
          <w:rFonts w:ascii="Arial" w:eastAsia="Arial" w:hAnsi="Arial" w:cs="Arial"/>
          <w:i/>
          <w:iCs/>
          <w:sz w:val="22"/>
          <w:szCs w:val="22"/>
        </w:rPr>
        <w:t>Journal of International Crisis and Risk Communication Research</w:t>
      </w:r>
      <w:r w:rsidRPr="6BDA5542">
        <w:rPr>
          <w:rFonts w:ascii="Arial" w:eastAsia="Arial" w:hAnsi="Arial" w:cs="Arial"/>
          <w:sz w:val="22"/>
          <w:szCs w:val="22"/>
        </w:rPr>
        <w:t xml:space="preserve">, </w:t>
      </w:r>
      <w:r w:rsidRPr="6BDA5542">
        <w:rPr>
          <w:rFonts w:ascii="Arial" w:eastAsia="Arial" w:hAnsi="Arial" w:cs="Arial"/>
          <w:i/>
          <w:iCs/>
          <w:sz w:val="22"/>
          <w:szCs w:val="22"/>
        </w:rPr>
        <w:t>7</w:t>
      </w:r>
      <w:r w:rsidRPr="6BDA5542">
        <w:rPr>
          <w:rFonts w:ascii="Arial" w:eastAsia="Arial" w:hAnsi="Arial" w:cs="Arial"/>
          <w:sz w:val="22"/>
          <w:szCs w:val="22"/>
        </w:rPr>
        <w:t>(S3), p.514.</w:t>
      </w:r>
    </w:p>
    <w:p w14:paraId="72F26624" w14:textId="27BB7A78"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Banerjee, M., Chakraborty, S. and Pal, R., 2020. Diabetes self-management amid COVID-19 pandemic. </w:t>
      </w:r>
      <w:r w:rsidRPr="6BDA5542">
        <w:rPr>
          <w:rFonts w:ascii="Arial" w:eastAsia="Arial" w:hAnsi="Arial" w:cs="Arial"/>
          <w:i/>
          <w:iCs/>
          <w:sz w:val="22"/>
          <w:szCs w:val="22"/>
        </w:rPr>
        <w:t>Diabetes &amp; Metabolic Syndrome: Clinical Research &amp; Reviews</w:t>
      </w:r>
      <w:r w:rsidRPr="6BDA5542">
        <w:rPr>
          <w:rFonts w:ascii="Arial" w:eastAsia="Arial" w:hAnsi="Arial" w:cs="Arial"/>
          <w:sz w:val="22"/>
          <w:szCs w:val="22"/>
        </w:rPr>
        <w:t xml:space="preserve">, </w:t>
      </w:r>
      <w:r w:rsidRPr="6BDA5542">
        <w:rPr>
          <w:rFonts w:ascii="Arial" w:eastAsia="Arial" w:hAnsi="Arial" w:cs="Arial"/>
          <w:i/>
          <w:iCs/>
          <w:sz w:val="22"/>
          <w:szCs w:val="22"/>
        </w:rPr>
        <w:t>14</w:t>
      </w:r>
      <w:r w:rsidRPr="6BDA5542">
        <w:rPr>
          <w:rFonts w:ascii="Arial" w:eastAsia="Arial" w:hAnsi="Arial" w:cs="Arial"/>
          <w:sz w:val="22"/>
          <w:szCs w:val="22"/>
        </w:rPr>
        <w:t>(4), pp.351-354.</w:t>
      </w:r>
    </w:p>
    <w:p w14:paraId="7C5BAE01" w14:textId="302F10CA"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Bramwell, D., Checkland, K., Shields, J. and Allen, P., 2023. 2010–2015: The Health and Social Care Act, NHS fragmentation. In </w:t>
      </w:r>
      <w:r w:rsidRPr="6BDA5542">
        <w:rPr>
          <w:rFonts w:ascii="Arial" w:eastAsia="Arial" w:hAnsi="Arial" w:cs="Arial"/>
          <w:i/>
          <w:iCs/>
          <w:sz w:val="22"/>
          <w:szCs w:val="22"/>
        </w:rPr>
        <w:t>Community Nursing Services in England: An Historical Policy Analysis</w:t>
      </w:r>
      <w:r w:rsidRPr="6BDA5542">
        <w:rPr>
          <w:rFonts w:ascii="Arial" w:eastAsia="Arial" w:hAnsi="Arial" w:cs="Arial"/>
          <w:sz w:val="22"/>
          <w:szCs w:val="22"/>
        </w:rPr>
        <w:t xml:space="preserve"> (pp. 75-82). Cham: Springer International Publishing.</w:t>
      </w:r>
    </w:p>
    <w:p w14:paraId="2A3A17DF" w14:textId="1931035D"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Blackwell Young, J. and Parkes, S., 2025. Revisiting principles of partnership working in the third space. </w:t>
      </w:r>
      <w:r w:rsidRPr="6BDA5542">
        <w:rPr>
          <w:rFonts w:ascii="Arial" w:eastAsia="Arial" w:hAnsi="Arial" w:cs="Arial"/>
          <w:i/>
          <w:iCs/>
          <w:sz w:val="22"/>
          <w:szCs w:val="22"/>
        </w:rPr>
        <w:t>Journal of Learning Development in Higher Education</w:t>
      </w:r>
      <w:r w:rsidRPr="6BDA5542">
        <w:rPr>
          <w:rFonts w:ascii="Arial" w:eastAsia="Arial" w:hAnsi="Arial" w:cs="Arial"/>
          <w:sz w:val="22"/>
          <w:szCs w:val="22"/>
        </w:rPr>
        <w:t xml:space="preserve">, </w:t>
      </w:r>
      <w:r w:rsidRPr="6BDA5542">
        <w:rPr>
          <w:rFonts w:ascii="Arial" w:eastAsia="Arial" w:hAnsi="Arial" w:cs="Arial"/>
          <w:i/>
          <w:iCs/>
          <w:sz w:val="22"/>
          <w:szCs w:val="22"/>
        </w:rPr>
        <w:t>33</w:t>
      </w:r>
      <w:r w:rsidRPr="6BDA5542">
        <w:rPr>
          <w:rFonts w:ascii="Arial" w:eastAsia="Arial" w:hAnsi="Arial" w:cs="Arial"/>
          <w:sz w:val="22"/>
          <w:szCs w:val="22"/>
        </w:rPr>
        <w:t>, pp.1-14.</w:t>
      </w:r>
    </w:p>
    <w:p w14:paraId="55FD7FCD" w14:textId="3899CB01"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Bunbury, S., 2020. Disability in higher education–do reasonable adjustments contribute to an inclusive curriculum?. </w:t>
      </w:r>
      <w:r w:rsidRPr="6BDA5542">
        <w:rPr>
          <w:rFonts w:ascii="Arial" w:eastAsia="Arial" w:hAnsi="Arial" w:cs="Arial"/>
          <w:i/>
          <w:iCs/>
          <w:sz w:val="22"/>
          <w:szCs w:val="22"/>
        </w:rPr>
        <w:t>International Journal of Inclusive Education</w:t>
      </w:r>
      <w:r w:rsidRPr="6BDA5542">
        <w:rPr>
          <w:rFonts w:ascii="Arial" w:eastAsia="Arial" w:hAnsi="Arial" w:cs="Arial"/>
          <w:sz w:val="22"/>
          <w:szCs w:val="22"/>
        </w:rPr>
        <w:t xml:space="preserve">, </w:t>
      </w:r>
      <w:r w:rsidRPr="6BDA5542">
        <w:rPr>
          <w:rFonts w:ascii="Arial" w:eastAsia="Arial" w:hAnsi="Arial" w:cs="Arial"/>
          <w:i/>
          <w:iCs/>
          <w:sz w:val="22"/>
          <w:szCs w:val="22"/>
        </w:rPr>
        <w:t>24</w:t>
      </w:r>
      <w:r w:rsidRPr="6BDA5542">
        <w:rPr>
          <w:rFonts w:ascii="Arial" w:eastAsia="Arial" w:hAnsi="Arial" w:cs="Arial"/>
          <w:sz w:val="22"/>
          <w:szCs w:val="22"/>
        </w:rPr>
        <w:t>(9), pp.964-979.</w:t>
      </w:r>
    </w:p>
    <w:p w14:paraId="2D018202" w14:textId="54799BB9"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Edgman-Levitan, S. and Schoenbaum, S.C., 2021. Patient-centered care: achieving higher quality by designing care through the patient’s eyes. </w:t>
      </w:r>
      <w:r w:rsidRPr="6BDA5542">
        <w:rPr>
          <w:rFonts w:ascii="Arial" w:eastAsia="Arial" w:hAnsi="Arial" w:cs="Arial"/>
          <w:i/>
          <w:iCs/>
          <w:sz w:val="22"/>
          <w:szCs w:val="22"/>
        </w:rPr>
        <w:t>Israel journal of health policy research</w:t>
      </w:r>
      <w:r w:rsidRPr="6BDA5542">
        <w:rPr>
          <w:rFonts w:ascii="Arial" w:eastAsia="Arial" w:hAnsi="Arial" w:cs="Arial"/>
          <w:sz w:val="22"/>
          <w:szCs w:val="22"/>
        </w:rPr>
        <w:t xml:space="preserve">, </w:t>
      </w:r>
      <w:r w:rsidRPr="6BDA5542">
        <w:rPr>
          <w:rFonts w:ascii="Arial" w:eastAsia="Arial" w:hAnsi="Arial" w:cs="Arial"/>
          <w:i/>
          <w:iCs/>
          <w:sz w:val="22"/>
          <w:szCs w:val="22"/>
        </w:rPr>
        <w:t>10</w:t>
      </w:r>
      <w:r w:rsidRPr="6BDA5542">
        <w:rPr>
          <w:rFonts w:ascii="Arial" w:eastAsia="Arial" w:hAnsi="Arial" w:cs="Arial"/>
          <w:sz w:val="22"/>
          <w:szCs w:val="22"/>
        </w:rPr>
        <w:t>(1), p.21.</w:t>
      </w:r>
    </w:p>
    <w:p w14:paraId="7031C6FD" w14:textId="0AE5E5AA"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Fynn, J.F., Milton, K., Hardeman, W. and Jones, A.P., 2022. A model for effective partnership working to support programme evaluation. </w:t>
      </w:r>
      <w:r w:rsidRPr="6BDA5542">
        <w:rPr>
          <w:rFonts w:ascii="Arial" w:eastAsia="Arial" w:hAnsi="Arial" w:cs="Arial"/>
          <w:i/>
          <w:iCs/>
          <w:sz w:val="22"/>
          <w:szCs w:val="22"/>
        </w:rPr>
        <w:t>Evaluation</w:t>
      </w:r>
      <w:r w:rsidRPr="6BDA5542">
        <w:rPr>
          <w:rFonts w:ascii="Arial" w:eastAsia="Arial" w:hAnsi="Arial" w:cs="Arial"/>
          <w:sz w:val="22"/>
          <w:szCs w:val="22"/>
        </w:rPr>
        <w:t xml:space="preserve">, </w:t>
      </w:r>
      <w:r w:rsidRPr="6BDA5542">
        <w:rPr>
          <w:rFonts w:ascii="Arial" w:eastAsia="Arial" w:hAnsi="Arial" w:cs="Arial"/>
          <w:i/>
          <w:iCs/>
          <w:sz w:val="22"/>
          <w:szCs w:val="22"/>
        </w:rPr>
        <w:t>28</w:t>
      </w:r>
      <w:r w:rsidRPr="6BDA5542">
        <w:rPr>
          <w:rFonts w:ascii="Arial" w:eastAsia="Arial" w:hAnsi="Arial" w:cs="Arial"/>
          <w:sz w:val="22"/>
          <w:szCs w:val="22"/>
        </w:rPr>
        <w:t>(3), pp.284-307.</w:t>
      </w:r>
    </w:p>
    <w:p w14:paraId="08F425F9" w14:textId="54AB958E"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Lawrence, M. and Taylor, Y., 2020. The UK government LGBT Action Plan: Discourses of progress, enduring stasis, and LGBTQI+ lives ‘getting better’. </w:t>
      </w:r>
      <w:r w:rsidRPr="6BDA5542">
        <w:rPr>
          <w:rFonts w:ascii="Arial" w:eastAsia="Arial" w:hAnsi="Arial" w:cs="Arial"/>
          <w:i/>
          <w:iCs/>
          <w:sz w:val="22"/>
          <w:szCs w:val="22"/>
        </w:rPr>
        <w:t>Critical social policy</w:t>
      </w:r>
      <w:r w:rsidRPr="6BDA5542">
        <w:rPr>
          <w:rFonts w:ascii="Arial" w:eastAsia="Arial" w:hAnsi="Arial" w:cs="Arial"/>
          <w:sz w:val="22"/>
          <w:szCs w:val="22"/>
        </w:rPr>
        <w:t xml:space="preserve">, </w:t>
      </w:r>
      <w:r w:rsidRPr="6BDA5542">
        <w:rPr>
          <w:rFonts w:ascii="Arial" w:eastAsia="Arial" w:hAnsi="Arial" w:cs="Arial"/>
          <w:i/>
          <w:iCs/>
          <w:sz w:val="22"/>
          <w:szCs w:val="22"/>
        </w:rPr>
        <w:t>40</w:t>
      </w:r>
      <w:r w:rsidRPr="6BDA5542">
        <w:rPr>
          <w:rFonts w:ascii="Arial" w:eastAsia="Arial" w:hAnsi="Arial" w:cs="Arial"/>
          <w:sz w:val="22"/>
          <w:szCs w:val="22"/>
        </w:rPr>
        <w:t>(4), pp.586-607.</w:t>
      </w:r>
    </w:p>
    <w:p w14:paraId="4396A2AA" w14:textId="388AAD46" w:rsidR="003B4E5A" w:rsidRDefault="1941199C" w:rsidP="6BDA5542">
      <w:pPr>
        <w:rPr>
          <w:rFonts w:ascii="Arial" w:eastAsia="Arial" w:hAnsi="Arial" w:cs="Arial"/>
          <w:sz w:val="22"/>
          <w:szCs w:val="22"/>
        </w:rPr>
      </w:pPr>
      <w:r w:rsidRPr="6BDA5542">
        <w:rPr>
          <w:rFonts w:ascii="Arial" w:eastAsia="Arial" w:hAnsi="Arial" w:cs="Arial"/>
          <w:sz w:val="22"/>
          <w:szCs w:val="22"/>
        </w:rPr>
        <w:lastRenderedPageBreak/>
        <w:t xml:space="preserve">Monaghan, C. and Welsh, J., 2025. UK Politics and Human Rights: From New Labour's Human Rights Act 1998 to the Conservative's Bill of Rights Bill. In </w:t>
      </w:r>
      <w:r w:rsidRPr="6BDA5542">
        <w:rPr>
          <w:rFonts w:ascii="Arial" w:eastAsia="Arial" w:hAnsi="Arial" w:cs="Arial"/>
          <w:i/>
          <w:iCs/>
          <w:sz w:val="22"/>
          <w:szCs w:val="22"/>
        </w:rPr>
        <w:t>Teaching of Rights and Justice in the Law School</w:t>
      </w:r>
      <w:r w:rsidRPr="6BDA5542">
        <w:rPr>
          <w:rFonts w:ascii="Arial" w:eastAsia="Arial" w:hAnsi="Arial" w:cs="Arial"/>
          <w:sz w:val="22"/>
          <w:szCs w:val="22"/>
        </w:rPr>
        <w:t xml:space="preserve"> (pp. 131-144). Routledge.</w:t>
      </w:r>
    </w:p>
    <w:p w14:paraId="6609F3C9" w14:textId="08936DAD"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Ocloo, J., Garfield, S., Franklin, B.D. and Dawson, S., 2021. Exploring the theory, barriers and enablers for patient and public involvement across health, social care and patient safety: a systematic review of reviews. </w:t>
      </w:r>
      <w:r w:rsidRPr="6BDA5542">
        <w:rPr>
          <w:rFonts w:ascii="Arial" w:eastAsia="Arial" w:hAnsi="Arial" w:cs="Arial"/>
          <w:i/>
          <w:iCs/>
          <w:sz w:val="22"/>
          <w:szCs w:val="22"/>
        </w:rPr>
        <w:t>Health research policy and systems</w:t>
      </w:r>
      <w:r w:rsidRPr="6BDA5542">
        <w:rPr>
          <w:rFonts w:ascii="Arial" w:eastAsia="Arial" w:hAnsi="Arial" w:cs="Arial"/>
          <w:sz w:val="22"/>
          <w:szCs w:val="22"/>
        </w:rPr>
        <w:t xml:space="preserve">, </w:t>
      </w:r>
      <w:r w:rsidRPr="6BDA5542">
        <w:rPr>
          <w:rFonts w:ascii="Arial" w:eastAsia="Arial" w:hAnsi="Arial" w:cs="Arial"/>
          <w:i/>
          <w:iCs/>
          <w:sz w:val="22"/>
          <w:szCs w:val="22"/>
        </w:rPr>
        <w:t>19</w:t>
      </w:r>
      <w:r w:rsidRPr="6BDA5542">
        <w:rPr>
          <w:rFonts w:ascii="Arial" w:eastAsia="Arial" w:hAnsi="Arial" w:cs="Arial"/>
          <w:sz w:val="22"/>
          <w:szCs w:val="22"/>
        </w:rPr>
        <w:t>(1), p.8.</w:t>
      </w:r>
    </w:p>
    <w:p w14:paraId="11369CBB" w14:textId="40C45F5F" w:rsidR="003B4E5A" w:rsidRDefault="1941199C" w:rsidP="6BDA5542">
      <w:pPr>
        <w:rPr>
          <w:rFonts w:ascii="Arial" w:eastAsia="Arial" w:hAnsi="Arial" w:cs="Arial"/>
          <w:sz w:val="22"/>
          <w:szCs w:val="22"/>
        </w:rPr>
      </w:pPr>
      <w:r w:rsidRPr="6BDA5542">
        <w:rPr>
          <w:rFonts w:ascii="Arial" w:eastAsia="Arial" w:hAnsi="Arial" w:cs="Arial"/>
          <w:sz w:val="22"/>
          <w:szCs w:val="22"/>
        </w:rPr>
        <w:t>Plan, W., 2024. Adult social care.</w:t>
      </w:r>
    </w:p>
    <w:p w14:paraId="0B5BC823" w14:textId="5DA4AF83"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Reidy, C., Doble, E., Robson, A. and Kar, P., 2024. Peer support in chronic health conditions. </w:t>
      </w:r>
      <w:r w:rsidRPr="6BDA5542">
        <w:rPr>
          <w:rFonts w:ascii="Arial" w:eastAsia="Arial" w:hAnsi="Arial" w:cs="Arial"/>
          <w:i/>
          <w:iCs/>
          <w:sz w:val="22"/>
          <w:szCs w:val="22"/>
        </w:rPr>
        <w:t>bmj</w:t>
      </w:r>
      <w:r w:rsidRPr="6BDA5542">
        <w:rPr>
          <w:rFonts w:ascii="Arial" w:eastAsia="Arial" w:hAnsi="Arial" w:cs="Arial"/>
          <w:sz w:val="22"/>
          <w:szCs w:val="22"/>
        </w:rPr>
        <w:t xml:space="preserve">, </w:t>
      </w:r>
      <w:r w:rsidRPr="6BDA5542">
        <w:rPr>
          <w:rFonts w:ascii="Arial" w:eastAsia="Arial" w:hAnsi="Arial" w:cs="Arial"/>
          <w:i/>
          <w:iCs/>
          <w:sz w:val="22"/>
          <w:szCs w:val="22"/>
        </w:rPr>
        <w:t>386</w:t>
      </w:r>
      <w:r w:rsidRPr="6BDA5542">
        <w:rPr>
          <w:rFonts w:ascii="Arial" w:eastAsia="Arial" w:hAnsi="Arial" w:cs="Arial"/>
          <w:sz w:val="22"/>
          <w:szCs w:val="22"/>
        </w:rPr>
        <w:t>.</w:t>
      </w:r>
    </w:p>
    <w:p w14:paraId="0A89BAC9" w14:textId="6487C413"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Riley, E. and Jones, J.L., 2022. Person-Centered Care. </w:t>
      </w:r>
      <w:r w:rsidRPr="6BDA5542">
        <w:rPr>
          <w:rFonts w:ascii="Arial" w:eastAsia="Arial" w:hAnsi="Arial" w:cs="Arial"/>
          <w:i/>
          <w:iCs/>
          <w:sz w:val="22"/>
          <w:szCs w:val="22"/>
        </w:rPr>
        <w:t>Quality and Safety Education for Nurses: Core Competencies for Nursing Leadership and Care Management</w:t>
      </w:r>
      <w:r w:rsidRPr="6BDA5542">
        <w:rPr>
          <w:rFonts w:ascii="Arial" w:eastAsia="Arial" w:hAnsi="Arial" w:cs="Arial"/>
          <w:sz w:val="22"/>
          <w:szCs w:val="22"/>
        </w:rPr>
        <w:t xml:space="preserve">, </w:t>
      </w:r>
      <w:r w:rsidRPr="6BDA5542">
        <w:rPr>
          <w:rFonts w:ascii="Arial" w:eastAsia="Arial" w:hAnsi="Arial" w:cs="Arial"/>
          <w:i/>
          <w:iCs/>
          <w:sz w:val="22"/>
          <w:szCs w:val="22"/>
        </w:rPr>
        <w:t>177</w:t>
      </w:r>
      <w:r w:rsidRPr="6BDA5542">
        <w:rPr>
          <w:rFonts w:ascii="Arial" w:eastAsia="Arial" w:hAnsi="Arial" w:cs="Arial"/>
          <w:sz w:val="22"/>
          <w:szCs w:val="22"/>
        </w:rPr>
        <w:t>.</w:t>
      </w:r>
    </w:p>
    <w:p w14:paraId="0CCA92DF" w14:textId="1B0F9DD3" w:rsidR="003B4E5A" w:rsidRDefault="1941199C" w:rsidP="6BDA5542">
      <w:pPr>
        <w:rPr>
          <w:rFonts w:ascii="Arial" w:eastAsia="Arial" w:hAnsi="Arial" w:cs="Arial"/>
          <w:sz w:val="22"/>
          <w:szCs w:val="22"/>
        </w:rPr>
      </w:pPr>
      <w:r w:rsidRPr="6BDA5542">
        <w:rPr>
          <w:rFonts w:ascii="Arial" w:eastAsia="Arial" w:hAnsi="Arial" w:cs="Arial"/>
          <w:sz w:val="22"/>
          <w:szCs w:val="22"/>
        </w:rPr>
        <w:t>Sanderson, M., Hammond, J., Surgey, M.M., Aktas-Vincent, P., Wattal, V., Sutton, M., Checkland, K., Allen, P., MacInnes, J., Peckham, S. and Petsoulas, C., Post Implementation Review of the Health and Care Act 2022.</w:t>
      </w:r>
    </w:p>
    <w:p w14:paraId="064B1ED7" w14:textId="66383B7D"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Tomaselli, G., Buttigieg, S.C., Rosano, A., Cassar, M. and Grima, G., 2020. Person-centered care from a relational ethics perspective for the delivery of high quality and safe healthcare: a scoping review. </w:t>
      </w:r>
      <w:r w:rsidRPr="6BDA5542">
        <w:rPr>
          <w:rFonts w:ascii="Arial" w:eastAsia="Arial" w:hAnsi="Arial" w:cs="Arial"/>
          <w:i/>
          <w:iCs/>
          <w:sz w:val="22"/>
          <w:szCs w:val="22"/>
        </w:rPr>
        <w:t>Frontiers in public health</w:t>
      </w:r>
      <w:r w:rsidRPr="6BDA5542">
        <w:rPr>
          <w:rFonts w:ascii="Arial" w:eastAsia="Arial" w:hAnsi="Arial" w:cs="Arial"/>
          <w:sz w:val="22"/>
          <w:szCs w:val="22"/>
        </w:rPr>
        <w:t xml:space="preserve">, </w:t>
      </w:r>
      <w:r w:rsidRPr="6BDA5542">
        <w:rPr>
          <w:rFonts w:ascii="Arial" w:eastAsia="Arial" w:hAnsi="Arial" w:cs="Arial"/>
          <w:i/>
          <w:iCs/>
          <w:sz w:val="22"/>
          <w:szCs w:val="22"/>
        </w:rPr>
        <w:t>8</w:t>
      </w:r>
      <w:r w:rsidRPr="6BDA5542">
        <w:rPr>
          <w:rFonts w:ascii="Arial" w:eastAsia="Arial" w:hAnsi="Arial" w:cs="Arial"/>
          <w:sz w:val="22"/>
          <w:szCs w:val="22"/>
        </w:rPr>
        <w:t>, p.44.</w:t>
      </w:r>
    </w:p>
    <w:p w14:paraId="175C6E4E" w14:textId="091D21C4"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Wadham, J., Mountfield KC, H., Desai, R., Hannett KC, S., Jones, J., Mitchell, E. and Wills, A., 2024. </w:t>
      </w:r>
      <w:r w:rsidRPr="6BDA5542">
        <w:rPr>
          <w:rFonts w:ascii="Arial" w:eastAsia="Arial" w:hAnsi="Arial" w:cs="Arial"/>
          <w:i/>
          <w:iCs/>
          <w:sz w:val="22"/>
          <w:szCs w:val="22"/>
        </w:rPr>
        <w:t>Blackstone's guide to the Human Rights Act 1998</w:t>
      </w:r>
      <w:r w:rsidRPr="6BDA5542">
        <w:rPr>
          <w:rFonts w:ascii="Arial" w:eastAsia="Arial" w:hAnsi="Arial" w:cs="Arial"/>
          <w:sz w:val="22"/>
          <w:szCs w:val="22"/>
        </w:rPr>
        <w:t>. Oxford University Press.</w:t>
      </w:r>
    </w:p>
    <w:p w14:paraId="725C283E" w14:textId="5AED06D2" w:rsidR="003B4E5A" w:rsidRDefault="1941199C" w:rsidP="6BDA5542">
      <w:pPr>
        <w:rPr>
          <w:rFonts w:ascii="Arial" w:eastAsia="Arial" w:hAnsi="Arial" w:cs="Arial"/>
          <w:sz w:val="22"/>
          <w:szCs w:val="22"/>
        </w:rPr>
      </w:pPr>
      <w:r w:rsidRPr="6BDA5542">
        <w:rPr>
          <w:rFonts w:ascii="Arial" w:eastAsia="Arial" w:hAnsi="Arial" w:cs="Arial"/>
          <w:sz w:val="22"/>
          <w:szCs w:val="22"/>
        </w:rPr>
        <w:t xml:space="preserve">Whittington, C., 2023. Collaboration and partnership in context. In </w:t>
      </w:r>
      <w:r w:rsidRPr="6BDA5542">
        <w:rPr>
          <w:rFonts w:ascii="Arial" w:eastAsia="Arial" w:hAnsi="Arial" w:cs="Arial"/>
          <w:i/>
          <w:iCs/>
          <w:sz w:val="22"/>
          <w:szCs w:val="22"/>
        </w:rPr>
        <w:t>Social Work</w:t>
      </w:r>
      <w:r w:rsidRPr="6BDA5542">
        <w:rPr>
          <w:rFonts w:ascii="Arial" w:eastAsia="Arial" w:hAnsi="Arial" w:cs="Arial"/>
          <w:sz w:val="22"/>
          <w:szCs w:val="22"/>
        </w:rPr>
        <w:t xml:space="preserve"> (pp. 240-246). Routledge.</w:t>
      </w:r>
    </w:p>
    <w:p w14:paraId="6A6E5279" w14:textId="77777777" w:rsidR="00900019" w:rsidRDefault="00900019"/>
    <w:sectPr w:rsidR="00900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93E"/>
    <w:rsid w:val="00060B5A"/>
    <w:rsid w:val="000A193E"/>
    <w:rsid w:val="00125221"/>
    <w:rsid w:val="001D389C"/>
    <w:rsid w:val="002353DE"/>
    <w:rsid w:val="00257BCD"/>
    <w:rsid w:val="00342AC3"/>
    <w:rsid w:val="003B4E5A"/>
    <w:rsid w:val="003E4401"/>
    <w:rsid w:val="00462886"/>
    <w:rsid w:val="004E2FE1"/>
    <w:rsid w:val="0058796D"/>
    <w:rsid w:val="005A506F"/>
    <w:rsid w:val="006412B5"/>
    <w:rsid w:val="00741D38"/>
    <w:rsid w:val="008F360C"/>
    <w:rsid w:val="00900019"/>
    <w:rsid w:val="00981BB1"/>
    <w:rsid w:val="00A9549A"/>
    <w:rsid w:val="00AF241E"/>
    <w:rsid w:val="00B25C3F"/>
    <w:rsid w:val="00C319E4"/>
    <w:rsid w:val="00CD2343"/>
    <w:rsid w:val="00D60D9D"/>
    <w:rsid w:val="00D96F4D"/>
    <w:rsid w:val="00E01B60"/>
    <w:rsid w:val="00E631E7"/>
    <w:rsid w:val="00EC1880"/>
    <w:rsid w:val="00F259C3"/>
    <w:rsid w:val="00F439C4"/>
    <w:rsid w:val="05AEDA48"/>
    <w:rsid w:val="07B34EAB"/>
    <w:rsid w:val="0BDEBD93"/>
    <w:rsid w:val="13ED9865"/>
    <w:rsid w:val="17120A62"/>
    <w:rsid w:val="1941199C"/>
    <w:rsid w:val="1F915DB1"/>
    <w:rsid w:val="2568B3A4"/>
    <w:rsid w:val="26EE3593"/>
    <w:rsid w:val="2A2ED785"/>
    <w:rsid w:val="31338F33"/>
    <w:rsid w:val="343A5E23"/>
    <w:rsid w:val="3B7BE8AD"/>
    <w:rsid w:val="3E12786A"/>
    <w:rsid w:val="442CCD65"/>
    <w:rsid w:val="4615909A"/>
    <w:rsid w:val="46234DF8"/>
    <w:rsid w:val="49120459"/>
    <w:rsid w:val="4B084EE2"/>
    <w:rsid w:val="4F98CEA3"/>
    <w:rsid w:val="521EC2A9"/>
    <w:rsid w:val="56A2A4ED"/>
    <w:rsid w:val="57921154"/>
    <w:rsid w:val="58A1041F"/>
    <w:rsid w:val="5FFE29FC"/>
    <w:rsid w:val="6232C29C"/>
    <w:rsid w:val="65A6997C"/>
    <w:rsid w:val="664030C7"/>
    <w:rsid w:val="696F9BC7"/>
    <w:rsid w:val="6BDA5542"/>
    <w:rsid w:val="6D76B8E5"/>
    <w:rsid w:val="72EA9C4D"/>
    <w:rsid w:val="77AB044F"/>
    <w:rsid w:val="7DD7C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CDB2E9"/>
  <w15:chartTrackingRefBased/>
  <w15:docId w15:val="{EA8A0748-F88B-48C3-977B-B93B4035D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9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9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9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9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9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9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9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9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9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9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9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9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9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9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9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9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9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93E"/>
    <w:rPr>
      <w:rFonts w:eastAsiaTheme="majorEastAsia" w:cstheme="majorBidi"/>
      <w:color w:val="272727" w:themeColor="text1" w:themeTint="D8"/>
    </w:rPr>
  </w:style>
  <w:style w:type="paragraph" w:styleId="Title">
    <w:name w:val="Title"/>
    <w:basedOn w:val="Normal"/>
    <w:next w:val="Normal"/>
    <w:link w:val="TitleChar"/>
    <w:uiPriority w:val="10"/>
    <w:qFormat/>
    <w:rsid w:val="000A19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9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9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9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93E"/>
    <w:pPr>
      <w:spacing w:before="160"/>
      <w:jc w:val="center"/>
    </w:pPr>
    <w:rPr>
      <w:i/>
      <w:iCs/>
      <w:color w:val="404040" w:themeColor="text1" w:themeTint="BF"/>
    </w:rPr>
  </w:style>
  <w:style w:type="character" w:customStyle="1" w:styleId="QuoteChar">
    <w:name w:val="Quote Char"/>
    <w:basedOn w:val="DefaultParagraphFont"/>
    <w:link w:val="Quote"/>
    <w:uiPriority w:val="29"/>
    <w:rsid w:val="000A193E"/>
    <w:rPr>
      <w:i/>
      <w:iCs/>
      <w:color w:val="404040" w:themeColor="text1" w:themeTint="BF"/>
    </w:rPr>
  </w:style>
  <w:style w:type="paragraph" w:styleId="ListParagraph">
    <w:name w:val="List Paragraph"/>
    <w:basedOn w:val="Normal"/>
    <w:uiPriority w:val="34"/>
    <w:qFormat/>
    <w:rsid w:val="000A193E"/>
    <w:pPr>
      <w:ind w:left="720"/>
      <w:contextualSpacing/>
    </w:pPr>
  </w:style>
  <w:style w:type="character" w:styleId="IntenseEmphasis">
    <w:name w:val="Intense Emphasis"/>
    <w:basedOn w:val="DefaultParagraphFont"/>
    <w:uiPriority w:val="21"/>
    <w:qFormat/>
    <w:rsid w:val="000A193E"/>
    <w:rPr>
      <w:i/>
      <w:iCs/>
      <w:color w:val="0F4761" w:themeColor="accent1" w:themeShade="BF"/>
    </w:rPr>
  </w:style>
  <w:style w:type="paragraph" w:styleId="IntenseQuote">
    <w:name w:val="Intense Quote"/>
    <w:basedOn w:val="Normal"/>
    <w:next w:val="Normal"/>
    <w:link w:val="IntenseQuoteChar"/>
    <w:uiPriority w:val="30"/>
    <w:qFormat/>
    <w:rsid w:val="000A19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93E"/>
    <w:rPr>
      <w:i/>
      <w:iCs/>
      <w:color w:val="0F4761" w:themeColor="accent1" w:themeShade="BF"/>
    </w:rPr>
  </w:style>
  <w:style w:type="character" w:styleId="IntenseReference">
    <w:name w:val="Intense Reference"/>
    <w:basedOn w:val="DefaultParagraphFont"/>
    <w:uiPriority w:val="32"/>
    <w:qFormat/>
    <w:rsid w:val="000A193E"/>
    <w:rPr>
      <w:b/>
      <w:bCs/>
      <w:smallCaps/>
      <w:color w:val="0F4761" w:themeColor="accent1" w:themeShade="BF"/>
      <w:spacing w:val="5"/>
    </w:rPr>
  </w:style>
  <w:style w:type="character" w:styleId="Hyperlink">
    <w:name w:val="Hyperlink"/>
    <w:basedOn w:val="DefaultParagraphFont"/>
    <w:uiPriority w:val="99"/>
    <w:unhideWhenUsed/>
    <w:rsid w:val="4B084EE2"/>
    <w:rPr>
      <w:color w:val="467886"/>
      <w:u w:val="single"/>
    </w:rPr>
  </w:style>
  <w:style w:type="character" w:customStyle="1" w:styleId="apple-converted-space">
    <w:name w:val="apple-converted-space"/>
    <w:basedOn w:val="DefaultParagraphFont"/>
    <w:rsid w:val="005879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citations?user=2aOHycsAAAAJ&amp;hl=en&amp;oi=sra" TargetMode="External"/><Relationship Id="rId3" Type="http://schemas.openxmlformats.org/officeDocument/2006/relationships/webSettings" Target="webSettings.xml"/><Relationship Id="rId7" Type="http://schemas.openxmlformats.org/officeDocument/2006/relationships/hyperlink" Target="https://scholar.google.co.uk/citations?user=OvqXKw0AAAAJ&amp;hl=en&amp;oi=sr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google.co.uk/citations?user=7k4DSEMAAAAJ&amp;hl=en&amp;oi=sra" TargetMode="External"/><Relationship Id="rId11" Type="http://schemas.openxmlformats.org/officeDocument/2006/relationships/fontTable" Target="fontTable.xml"/><Relationship Id="rId5" Type="http://schemas.openxmlformats.org/officeDocument/2006/relationships/hyperlink" Target="https://scholar.google.co.uk/citations?user=zE_GFH8AAAAJ&amp;hl=en&amp;oi=sra" TargetMode="External"/><Relationship Id="rId10" Type="http://schemas.openxmlformats.org/officeDocument/2006/relationships/hyperlink" Target="https://scholar.google.co.uk/citations?user=IOHGVYgAAAAJ&amp;hl=en&amp;oi=sra" TargetMode="External"/><Relationship Id="rId4" Type="http://schemas.openxmlformats.org/officeDocument/2006/relationships/hyperlink" Target="https://scholar.google.co.uk/citations?user=ekrEoNcAAAAJ&amp;hl=en&amp;oi=sra" TargetMode="External"/><Relationship Id="rId9" Type="http://schemas.openxmlformats.org/officeDocument/2006/relationships/hyperlink" Target="https://scholar.google.co.uk/citations?user=S54JUgQ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2712</Words>
  <Characters>15464</Characters>
  <Application>Microsoft Office Word</Application>
  <DocSecurity>0</DocSecurity>
  <Lines>128</Lines>
  <Paragraphs>36</Paragraphs>
  <ScaleCrop>false</ScaleCrop>
  <Company/>
  <LinksUpToDate>false</LinksUpToDate>
  <CharactersWithSpaces>18140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Sienna Russell (2406760)</dc:creator>
  <cp:keywords/>
  <dc:description/>
  <cp:lastModifiedBy>Sienna Russell (2406760)</cp:lastModifiedBy>
  <cp:revision>2</cp:revision>
  <dcterms:created xsi:type="dcterms:W3CDTF">2026-03-20T16:06:00Z</dcterms:created>
  <dcterms:modified xsi:type="dcterms:W3CDTF">2026-03-20T16:06:00Z</dcterms:modified>
</cp:coreProperties>
</file>