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3E122555"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__________</w:t>
            </w:r>
            <w:r w:rsidR="008D5750">
              <w:rPr>
                <w:b/>
                <w:color w:val="auto"/>
                <w:sz w:val="32"/>
              </w:rPr>
              <w:t>George Coxell</w:t>
            </w:r>
            <w:r w:rsidR="005A1BA3" w:rsidRPr="00E676F7">
              <w:rPr>
                <w:b/>
                <w:color w:val="auto"/>
                <w:sz w:val="32"/>
              </w:rPr>
              <w:t>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64E0C2D"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w:t>
            </w:r>
            <w:r w:rsidR="008D5750">
              <w:rPr>
                <w:b/>
                <w:color w:val="auto"/>
                <w:sz w:val="32"/>
              </w:rPr>
              <w:t>1920842</w:t>
            </w:r>
            <w:r w:rsidRPr="00E676F7">
              <w:rPr>
                <w:b/>
                <w:color w:val="auto"/>
                <w:sz w:val="32"/>
              </w:rPr>
              <w:t>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6C73B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6C73B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6C73B1">
            <w:pPr>
              <w:ind w:right="237"/>
              <w:rPr>
                <w:sz w:val="24"/>
                <w:szCs w:val="24"/>
              </w:rPr>
            </w:pPr>
          </w:p>
          <w:p w14:paraId="294F4A17" w14:textId="77777777" w:rsidR="003555D5" w:rsidRPr="00E676F7" w:rsidRDefault="003555D5" w:rsidP="006C73B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6C73B1">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6C73B1">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33ECE6D" w14:textId="77777777" w:rsidR="00B93251" w:rsidRPr="00A073CA" w:rsidRDefault="00B93251" w:rsidP="00B93251">
      <w:pPr>
        <w:spacing w:line="480" w:lineRule="auto"/>
        <w:rPr>
          <w:b/>
          <w:bCs/>
        </w:rPr>
      </w:pPr>
      <w:r>
        <w:rPr>
          <w:b/>
          <w:bCs/>
        </w:rPr>
        <w:t>Introduction</w:t>
      </w:r>
    </w:p>
    <w:p w14:paraId="5B821612" w14:textId="3CCBE4DB" w:rsidR="00B93251" w:rsidRDefault="00B93251" w:rsidP="00B93251">
      <w:pPr>
        <w:spacing w:line="480" w:lineRule="auto"/>
      </w:pPr>
      <w:r>
        <w:t>This essay will critically evaluate two different theories of team dynamics and group development from Tuckman and Tubbs, and discuss the role of organisational culture within those models and without, and how application of concepts of organisational justice can mitigate against the necessary risk in which the natural development cycle of a group can place basic standards of professional behaviour.</w:t>
      </w:r>
    </w:p>
    <w:p w14:paraId="751776DB" w14:textId="77777777" w:rsidR="00B93251" w:rsidRPr="00782D36" w:rsidRDefault="00B93251" w:rsidP="00B93251">
      <w:pPr>
        <w:spacing w:line="480" w:lineRule="auto"/>
      </w:pPr>
    </w:p>
    <w:p w14:paraId="28958EA7" w14:textId="77777777" w:rsidR="00B93251" w:rsidRPr="00E1195D" w:rsidRDefault="00B93251" w:rsidP="00B93251">
      <w:pPr>
        <w:spacing w:line="480" w:lineRule="auto"/>
        <w:rPr>
          <w:b/>
          <w:bCs/>
        </w:rPr>
      </w:pPr>
      <w:r w:rsidRPr="00E1195D">
        <w:rPr>
          <w:b/>
          <w:bCs/>
        </w:rPr>
        <w:t>Policing is a complex problem</w:t>
      </w:r>
    </w:p>
    <w:p w14:paraId="0C8E558B" w14:textId="77777777" w:rsidR="00B93251" w:rsidRDefault="00B93251" w:rsidP="00B93251">
      <w:pPr>
        <w:spacing w:line="480" w:lineRule="auto"/>
      </w:pPr>
      <w:r>
        <w:t xml:space="preserve">There are countless avenues down which human beings can go to make life more difficult for themselves. In every walk of life, it is rare to arrive at a complex problem best resolved or addressed by a lone wolf. Complex problems are what they are because of the multiple factors involved in making them a problem. They are difficult to understand, and often even harder to manage. Complex </w:t>
      </w:r>
      <w:r>
        <w:lastRenderedPageBreak/>
        <w:t xml:space="preserve">problems consequently require a varied set of skills and considerations in robust and unrelenting application in order to tackle them. </w:t>
      </w:r>
    </w:p>
    <w:p w14:paraId="4B7463CD" w14:textId="77777777" w:rsidR="00B93251" w:rsidRDefault="00B93251" w:rsidP="00B93251">
      <w:pPr>
        <w:spacing w:line="480" w:lineRule="auto"/>
      </w:pPr>
      <w:r>
        <w:t>Policing is a complex problem. The overall task of policing a community is a myriad weave of smaller but no less multi-faceted, delicate, and sometimes dangerous conundrums which police officers must navigate every day. Therefore the emphasis on teamwork within the police is paramount.</w:t>
      </w:r>
    </w:p>
    <w:p w14:paraId="4B25930D" w14:textId="77777777" w:rsidR="00B93251" w:rsidRDefault="00B93251" w:rsidP="00B93251">
      <w:pPr>
        <w:spacing w:line="480" w:lineRule="auto"/>
      </w:pPr>
      <w:r>
        <w:t>Within that, individuals must be able to effectively communicate their thoughts and ideas to their colleagues and others on how to solve a particular problem. They must also be able to ask for help from their colleagues as and when required, and take responsibility for their roles within the team  having cultivated and applied the requisite emotional intelligence to recognise what their roles are and ought to be.</w:t>
      </w:r>
    </w:p>
    <w:p w14:paraId="7B8742EB" w14:textId="77777777" w:rsidR="00B93251" w:rsidRDefault="00B93251" w:rsidP="00B93251">
      <w:pPr>
        <w:spacing w:line="480" w:lineRule="auto"/>
      </w:pPr>
      <w:r>
        <w:t xml:space="preserve">Conflict within a tested environment is at best likely. The simpler the task, the simpler the tool required. For example, a rowing team made up of individuals with completely identical attributes, who are 100% like-minded and agree on everything, are more likely to be successful than a motley conglomerate of dissonant perspectives and diverse abilities. There is a right answer on how to win a rowing race. There are many potential right answers (though possibly even none at all) on how to police. </w:t>
      </w:r>
    </w:p>
    <w:p w14:paraId="0F1F327A" w14:textId="77777777" w:rsidR="00B93251" w:rsidRDefault="00B93251" w:rsidP="00B93251">
      <w:pPr>
        <w:spacing w:line="480" w:lineRule="auto"/>
      </w:pPr>
      <w:r>
        <w:t xml:space="preserve">The value hierarchy </w:t>
      </w:r>
      <w:sdt>
        <w:sdtPr>
          <w:id w:val="-1603327159"/>
          <w:citation/>
        </w:sdtPr>
        <w:sdtContent>
          <w:r>
            <w:fldChar w:fldCharType="begin"/>
          </w:r>
          <w:r>
            <w:instrText xml:space="preserve"> CITATION Jor181 \l 2057 </w:instrText>
          </w:r>
          <w:r>
            <w:fldChar w:fldCharType="separate"/>
          </w:r>
          <w:r w:rsidRPr="00BB1772">
            <w:rPr>
              <w:noProof/>
            </w:rPr>
            <w:t>(Peterson, 2018)</w:t>
          </w:r>
          <w:r>
            <w:fldChar w:fldCharType="end"/>
          </w:r>
        </w:sdtContent>
      </w:sdt>
      <w:r>
        <w:t xml:space="preserve"> necessary to allow individuals to make a decision (think of it like a league table of preferences which governs our choices) is divided by every team member, making a clear direction more and more difficult to negotiate. All those hypothetical solutions compete – attached to their champions by ego and ambition, among other things – for primacy, and this is the second of five stages of group development established by the American psychological researcher Bruce Tuckman.</w:t>
      </w:r>
    </w:p>
    <w:p w14:paraId="3AE02499" w14:textId="77777777" w:rsidR="00B93251" w:rsidRDefault="00B93251" w:rsidP="00B93251">
      <w:pPr>
        <w:spacing w:line="480" w:lineRule="auto"/>
      </w:pPr>
    </w:p>
    <w:p w14:paraId="43E8D6DA" w14:textId="77777777" w:rsidR="00B93251" w:rsidRPr="001A42B0" w:rsidRDefault="00B93251" w:rsidP="00B93251">
      <w:pPr>
        <w:spacing w:line="480" w:lineRule="auto"/>
        <w:rPr>
          <w:b/>
          <w:bCs/>
        </w:rPr>
      </w:pPr>
      <w:r>
        <w:rPr>
          <w:b/>
          <w:bCs/>
        </w:rPr>
        <w:t xml:space="preserve">Tuckman’s linear model </w:t>
      </w:r>
      <w:sdt>
        <w:sdtPr>
          <w:rPr>
            <w:b/>
            <w:bCs/>
          </w:rPr>
          <w:id w:val="-418715685"/>
          <w:citation/>
        </w:sdtPr>
        <w:sdtContent>
          <w:r>
            <w:rPr>
              <w:b/>
              <w:bCs/>
            </w:rPr>
            <w:fldChar w:fldCharType="begin"/>
          </w:r>
          <w:r>
            <w:rPr>
              <w:b/>
              <w:bCs/>
            </w:rPr>
            <w:instrText xml:space="preserve"> CITATION Bru65 \l 2057 </w:instrText>
          </w:r>
          <w:r>
            <w:rPr>
              <w:b/>
              <w:bCs/>
            </w:rPr>
            <w:fldChar w:fldCharType="separate"/>
          </w:r>
          <w:r w:rsidRPr="003C14D9">
            <w:rPr>
              <w:noProof/>
            </w:rPr>
            <w:t>(Tuckman, 1965)</w:t>
          </w:r>
          <w:r>
            <w:rPr>
              <w:b/>
              <w:bCs/>
            </w:rPr>
            <w:fldChar w:fldCharType="end"/>
          </w:r>
        </w:sdtContent>
      </w:sdt>
    </w:p>
    <w:p w14:paraId="568737CB" w14:textId="77777777" w:rsidR="00B93251" w:rsidRPr="001A42B0" w:rsidRDefault="00B93251" w:rsidP="00B93251">
      <w:pPr>
        <w:spacing w:line="480" w:lineRule="auto"/>
      </w:pPr>
      <w:r>
        <w:t>Tuckman’s empirical studies into teams and their life cycles identified the following sequential phases: ‘forming’, ‘storming’, ‘norming’, ‘performing’, ‘adjourning’.</w:t>
      </w:r>
    </w:p>
    <w:p w14:paraId="1C745558" w14:textId="77777777" w:rsidR="00B93251" w:rsidRDefault="00B93251" w:rsidP="00B93251">
      <w:pPr>
        <w:spacing w:line="480" w:lineRule="auto"/>
      </w:pPr>
      <w:r>
        <w:t>‘</w:t>
      </w:r>
      <w:r w:rsidRPr="00E613DB">
        <w:rPr>
          <w:b/>
          <w:bCs/>
        </w:rPr>
        <w:t>Forming’</w:t>
      </w:r>
      <w:r>
        <w:t xml:space="preserve"> refers to the initial assembly of the group, where acquaintances but not yet relationships are made between individuals, and clarity on goals and roles is notably lacking. Strong leadership is imperative at this stage. </w:t>
      </w:r>
    </w:p>
    <w:p w14:paraId="35FAC857" w14:textId="77777777" w:rsidR="00B93251" w:rsidRDefault="00B93251" w:rsidP="00B93251">
      <w:pPr>
        <w:spacing w:line="480" w:lineRule="auto"/>
      </w:pPr>
      <w:r>
        <w:lastRenderedPageBreak/>
        <w:t>As members start to explore their status within the group, thoughts and feelings are communicated and necessarily confronted. Power struggles and conflict over what is expected of individuals and what their roles and responsibilities are, as well as how to define the group’s aims, become open obstacles. This is the competitive chapter known as ‘</w:t>
      </w:r>
      <w:r w:rsidRPr="00E613DB">
        <w:rPr>
          <w:b/>
          <w:bCs/>
        </w:rPr>
        <w:t>storming’</w:t>
      </w:r>
      <w:r>
        <w:t xml:space="preserve">, and is a painful but necessary hoop through which all members and their various interpersonal issues must pass as the team navigates its adolescence. </w:t>
      </w:r>
    </w:p>
    <w:p w14:paraId="70E4945C" w14:textId="77777777" w:rsidR="00B93251" w:rsidRDefault="00B93251" w:rsidP="00B93251">
      <w:pPr>
        <w:spacing w:line="480" w:lineRule="auto"/>
      </w:pPr>
      <w:r>
        <w:t xml:space="preserve">Unless these conflicts are resolved, the group will never mature from the storming phase. Without the conflict, it will never even </w:t>
      </w:r>
      <w:r w:rsidRPr="00ED4FF7">
        <w:rPr>
          <w:i/>
          <w:iCs/>
        </w:rPr>
        <w:t>reach</w:t>
      </w:r>
      <w:r>
        <w:t xml:space="preserve"> the storming phase and will be fated to remain in an infantilised state of dependence upon the leader’s direction. As the norms and boundaries firm up and clarity of purpose begins to grow, a natural and comfortable order takes over from the chaos of the storming stage. This is what Tuckman aptly calls ‘</w:t>
      </w:r>
      <w:r w:rsidRPr="00E613DB">
        <w:rPr>
          <w:b/>
          <w:bCs/>
        </w:rPr>
        <w:t>norming’</w:t>
      </w:r>
      <w:r>
        <w:t>, where these positive relationships which have been forged from the preceding friction start to fire and operate in a more coherent way. Group morale is on the up, and whilst issues and disagreements still pop up there are established avenues for discussing and developing solutions without having to regress to storming.</w:t>
      </w:r>
    </w:p>
    <w:p w14:paraId="0C1C76B3" w14:textId="77777777" w:rsidR="00B93251" w:rsidRDefault="00B93251" w:rsidP="00B93251">
      <w:pPr>
        <w:spacing w:line="480" w:lineRule="auto"/>
      </w:pPr>
      <w:r>
        <w:t>Norming leads to ‘</w:t>
      </w:r>
      <w:r w:rsidRPr="00E613DB">
        <w:rPr>
          <w:b/>
          <w:bCs/>
        </w:rPr>
        <w:t>performing’</w:t>
      </w:r>
      <w:r>
        <w:t xml:space="preserve">. Contribution flows from each member and unity marries flexibility to engender a complete pattern of function. This is the tip of the pyramid to which all the previous stages have led, where individuals have autonomy, the group itself has its own autonomy and requires no leader, and a high level of competence and task-focused energy allows more and more complex problems to be addressed outside of the group unit, because more and more problems within the unit are now taken care of by the organic system of resolution now in place. </w:t>
      </w:r>
    </w:p>
    <w:p w14:paraId="3B026C72" w14:textId="77777777" w:rsidR="00B93251" w:rsidRDefault="00B93251" w:rsidP="00B93251">
      <w:pPr>
        <w:spacing w:line="480" w:lineRule="auto"/>
      </w:pPr>
      <w:r>
        <w:t>The final phase, once the job is done and the team’s task has been met, is ‘</w:t>
      </w:r>
      <w:r w:rsidRPr="00E613DB">
        <w:rPr>
          <w:b/>
          <w:bCs/>
        </w:rPr>
        <w:t>adjourning’</w:t>
      </w:r>
      <w:r>
        <w:t xml:space="preserve">. The either whole or partial disassembly of the team at this stage and the subsequent reflection process and demotivating effect it (and the accompanying sense of uncertainty about the future) has on the remainder of the team is a common observation. As members move on (promotion, retirement, etc) the team transitions to a new forming stage with the introduction of new blood and new business. </w:t>
      </w:r>
    </w:p>
    <w:p w14:paraId="67072CD3" w14:textId="77777777" w:rsidR="00B93251" w:rsidRDefault="00B93251" w:rsidP="00B93251">
      <w:pPr>
        <w:spacing w:line="480" w:lineRule="auto"/>
      </w:pPr>
    </w:p>
    <w:p w14:paraId="194F8B92" w14:textId="77777777" w:rsidR="00B93251" w:rsidRPr="001A42B0" w:rsidRDefault="00B93251" w:rsidP="00B93251">
      <w:pPr>
        <w:spacing w:line="480" w:lineRule="auto"/>
        <w:rPr>
          <w:b/>
          <w:bCs/>
        </w:rPr>
      </w:pPr>
      <w:r>
        <w:rPr>
          <w:b/>
          <w:bCs/>
        </w:rPr>
        <w:t xml:space="preserve">Tubbs’ systems model </w:t>
      </w:r>
      <w:sdt>
        <w:sdtPr>
          <w:rPr>
            <w:b/>
            <w:bCs/>
          </w:rPr>
          <w:id w:val="-1277092548"/>
          <w:citation/>
        </w:sdtPr>
        <w:sdtContent>
          <w:r>
            <w:rPr>
              <w:b/>
              <w:bCs/>
            </w:rPr>
            <w:fldChar w:fldCharType="begin"/>
          </w:r>
          <w:r>
            <w:rPr>
              <w:b/>
              <w:bCs/>
            </w:rPr>
            <w:instrText xml:space="preserve"> CITATION Tub12 \l 2057 </w:instrText>
          </w:r>
          <w:r>
            <w:rPr>
              <w:b/>
              <w:bCs/>
            </w:rPr>
            <w:fldChar w:fldCharType="separate"/>
          </w:r>
          <w:r w:rsidRPr="003C14D9">
            <w:rPr>
              <w:noProof/>
            </w:rPr>
            <w:t>(Tubbs, 2012)</w:t>
          </w:r>
          <w:r>
            <w:rPr>
              <w:b/>
              <w:bCs/>
            </w:rPr>
            <w:fldChar w:fldCharType="end"/>
          </w:r>
        </w:sdtContent>
      </w:sdt>
    </w:p>
    <w:p w14:paraId="1BAA2F9E" w14:textId="77777777" w:rsidR="00B93251" w:rsidRDefault="00B93251" w:rsidP="00B93251">
      <w:pPr>
        <w:spacing w:line="480" w:lineRule="auto"/>
      </w:pPr>
      <w:r>
        <w:t xml:space="preserve">Tuckman’s model faces criticism for its assumption of purely linear development and failure to account for outside influences, despite its prevailing popularity since publication. Stewart L. Tubbs developed a similar but crucially different theory on the matter, in which he identifies four phases </w:t>
      </w:r>
      <w:r>
        <w:lastRenderedPageBreak/>
        <w:t>instead of five, combining norming and performing into a composite ‘</w:t>
      </w:r>
      <w:r w:rsidRPr="00E613DB">
        <w:rPr>
          <w:b/>
          <w:bCs/>
        </w:rPr>
        <w:t>consensus’</w:t>
      </w:r>
      <w:r>
        <w:t xml:space="preserve"> stage whilst effectively renaming the forming stage ‘</w:t>
      </w:r>
      <w:r w:rsidRPr="00E613DB">
        <w:rPr>
          <w:b/>
          <w:bCs/>
        </w:rPr>
        <w:t>orientation’</w:t>
      </w:r>
      <w:r>
        <w:t>, the storming stage ‘</w:t>
      </w:r>
      <w:r w:rsidRPr="00E613DB">
        <w:rPr>
          <w:b/>
          <w:bCs/>
        </w:rPr>
        <w:t>conflicts’</w:t>
      </w:r>
      <w:r>
        <w:t>, and the adjourning stage ‘</w:t>
      </w:r>
      <w:r w:rsidRPr="00E613DB">
        <w:rPr>
          <w:b/>
          <w:bCs/>
        </w:rPr>
        <w:t>closure’</w:t>
      </w:r>
      <w:r>
        <w:t>.</w:t>
      </w:r>
    </w:p>
    <w:p w14:paraId="6AF17020" w14:textId="77777777" w:rsidR="00B93251" w:rsidRDefault="00B93251" w:rsidP="00B93251">
      <w:pPr>
        <w:spacing w:line="480" w:lineRule="auto"/>
      </w:pPr>
      <w:r>
        <w:t xml:space="preserve">Where Tubbs’s model deviates in order to accommodate what he considers to be Tuckman’s oversights is in his emphasis on categories of ‘input’, ‘output’, and ‘throughput’ which impact upon a group’s progress through the model. These are things that Tuckman assumes will take care of themselves, but to which Tubbs suggests should be paid direct attention in order to oil the wheels and push the team through the development process. </w:t>
      </w:r>
    </w:p>
    <w:p w14:paraId="4B677083" w14:textId="77777777" w:rsidR="00B93251" w:rsidRDefault="00B93251" w:rsidP="00B93251">
      <w:pPr>
        <w:spacing w:line="480" w:lineRule="auto"/>
      </w:pPr>
      <w:r w:rsidRPr="00D97E89">
        <w:rPr>
          <w:b/>
          <w:bCs/>
        </w:rPr>
        <w:t>Objectives and feedback</w:t>
      </w:r>
      <w:r>
        <w:t xml:space="preserve"> are essential factors in determining and improving the utility of a group and the quality of the work it produces. Self-evaluation on an individual and group basis should therefore be a priority in order to measure effectiveness and identify the way forward to the next stage. This feedback is an </w:t>
      </w:r>
      <w:r>
        <w:rPr>
          <w:b/>
          <w:bCs/>
        </w:rPr>
        <w:t>input</w:t>
      </w:r>
      <w:r>
        <w:t xml:space="preserve">, obtainable via a continuous proactive survey (by an outside actor, such as a supervisor) of the group’s thoughts and feelings through things like meetings and questionnaires. </w:t>
      </w:r>
    </w:p>
    <w:p w14:paraId="5A543937" w14:textId="77777777" w:rsidR="00B93251" w:rsidRDefault="00B93251" w:rsidP="00B93251">
      <w:pPr>
        <w:spacing w:line="480" w:lineRule="auto"/>
      </w:pPr>
      <w:r>
        <w:t xml:space="preserve">Tubbs is also wary of how individuals’ different personality traits affect how they communicate and react to others. Extraverts and introverts, for example, respond to all sorts of stimuli in endlessly divergent ways, and this can result in poor communication and a disrupted team performance. Awareness of how members of a group are different allows for those differences in personality to be accepted and accounted for, and can be raised through various diagnostic personality tests (Tubbs may be going a bit far here). The goal is ultimately to mitigate for these factors, by first identifying them. That requires input from the group itself. </w:t>
      </w:r>
    </w:p>
    <w:p w14:paraId="6C23D4D6" w14:textId="77777777" w:rsidR="00B93251" w:rsidRDefault="00B93251" w:rsidP="00B93251">
      <w:pPr>
        <w:spacing w:line="480" w:lineRule="auto"/>
      </w:pPr>
      <w:r>
        <w:t xml:space="preserve">Another blind spot for Tuckman is that his model seems only to follow through on itself provided the team actually has a means to success available to it. Without the right level and variety of skills and temperaments, as well as authority and resources, the team cannot realistically achieve its long or short term goals. This in turn strips the group of its </w:t>
      </w:r>
      <w:r w:rsidRPr="00E165C7">
        <w:rPr>
          <w:b/>
          <w:bCs/>
        </w:rPr>
        <w:t>collective</w:t>
      </w:r>
      <w:r>
        <w:t xml:space="preserve"> </w:t>
      </w:r>
      <w:r w:rsidRPr="00E165C7">
        <w:rPr>
          <w:b/>
          <w:bCs/>
        </w:rPr>
        <w:t>responsibility</w:t>
      </w:r>
      <w:r>
        <w:t xml:space="preserve"> for success or failure. Acknowledgement of collective responsibility – each member’s equal share of achievement – is a fundamental stimulus to success, which feeds back into the group’s sense of responsibility, et cetera ad infinitum. In this way a group’s </w:t>
      </w:r>
      <w:r>
        <w:rPr>
          <w:b/>
          <w:bCs/>
        </w:rPr>
        <w:t>output</w:t>
      </w:r>
      <w:r>
        <w:t xml:space="preserve"> has a direct impact on its development and future success. </w:t>
      </w:r>
    </w:p>
    <w:p w14:paraId="35A8F820" w14:textId="77777777" w:rsidR="00B93251" w:rsidRDefault="00B93251" w:rsidP="00B93251">
      <w:pPr>
        <w:spacing w:line="480" w:lineRule="auto"/>
      </w:pPr>
      <w:r>
        <w:t xml:space="preserve">Ultimately, the primary and central means to success will always be the actual </w:t>
      </w:r>
      <w:r w:rsidRPr="00032C6F">
        <w:rPr>
          <w:b/>
          <w:bCs/>
        </w:rPr>
        <w:t>group members themselves</w:t>
      </w:r>
      <w:r>
        <w:t xml:space="preserve">, and what they can bring to the table. That means not just the skills they can offer, but also how many members of the group there actually are. Too large a group has a discombobulating </w:t>
      </w:r>
      <w:r>
        <w:lastRenderedPageBreak/>
        <w:t xml:space="preserve">effect, chilling communication and frustrating co-ordination. Too small a group restricts the breadth of deployable expertise. The optimal number will always be determined by the task, but as a rule research shows that fewer than five members tends to result in a dearth of sufficient perspective, and overloads individuals with work preventing them from progressing through the task efficiently. Greater than twelve significantly increases the risk of conflict and forming of cliques, jeopardising overall cohesion </w:t>
      </w:r>
      <w:sdt>
        <w:sdtPr>
          <w:id w:val="-1691759861"/>
          <w:citation/>
        </w:sdtPr>
        <w:sdtContent>
          <w:r>
            <w:fldChar w:fldCharType="begin"/>
          </w:r>
          <w:r>
            <w:instrText xml:space="preserve"> CITATION Mer10 \l 2057 </w:instrText>
          </w:r>
          <w:r>
            <w:fldChar w:fldCharType="separate"/>
          </w:r>
          <w:r w:rsidRPr="00B60A49">
            <w:rPr>
              <w:noProof/>
            </w:rPr>
            <w:t>(Belbin, 2010)</w:t>
          </w:r>
          <w:r>
            <w:fldChar w:fldCharType="end"/>
          </w:r>
        </w:sdtContent>
      </w:sdt>
      <w:r>
        <w:t>. Of course some teams will be necessarily smaller or larger than these parameters depending on the task. However Tuckman’s model fails to account for this.</w:t>
      </w:r>
    </w:p>
    <w:p w14:paraId="2E43AA22" w14:textId="77777777" w:rsidR="00B93251" w:rsidRDefault="00B93251" w:rsidP="00B93251">
      <w:pPr>
        <w:spacing w:line="480" w:lineRule="auto"/>
      </w:pPr>
      <w:r>
        <w:t xml:space="preserve">Tuckman also seems to hold that once the storming (or conflicts) stage is over members will automatically bond and become attuned to one another. Tubbs asserts that without a directed push to address and guard against ubiquitous pitfalls such as miscommunication, distrust, and dislike, there can be no necessary progress for the team. That means conscious efforts in </w:t>
      </w:r>
      <w:r w:rsidRPr="007A6ABD">
        <w:rPr>
          <w:b/>
          <w:bCs/>
        </w:rPr>
        <w:t>team building and development</w:t>
      </w:r>
      <w:r>
        <w:t xml:space="preserve"> are necessary, particularly in the orientation/forming stage, in order to foster a greater awareness and appreciation of one another on a personal level through fun activities, as well as grow individuals’ skillsets through training and education. This, as well as the issue of group members and size, is a </w:t>
      </w:r>
      <w:r>
        <w:rPr>
          <w:b/>
          <w:bCs/>
        </w:rPr>
        <w:t>throughput</w:t>
      </w:r>
      <w:r>
        <w:t xml:space="preserve">. </w:t>
      </w:r>
    </w:p>
    <w:p w14:paraId="74E2B144" w14:textId="77777777" w:rsidR="00B93251" w:rsidRDefault="00B93251" w:rsidP="00B93251">
      <w:pPr>
        <w:spacing w:line="480" w:lineRule="auto"/>
      </w:pPr>
    </w:p>
    <w:p w14:paraId="37B77284" w14:textId="77777777" w:rsidR="00B93251" w:rsidRPr="0008729B" w:rsidRDefault="00B93251" w:rsidP="00B93251">
      <w:pPr>
        <w:spacing w:line="480" w:lineRule="auto"/>
        <w:rPr>
          <w:b/>
          <w:bCs/>
        </w:rPr>
      </w:pPr>
      <w:r>
        <w:rPr>
          <w:b/>
          <w:bCs/>
        </w:rPr>
        <w:t>Caught in the web</w:t>
      </w:r>
    </w:p>
    <w:p w14:paraId="13B112B0" w14:textId="77777777" w:rsidR="00B93251" w:rsidRDefault="00B93251" w:rsidP="00B93251">
      <w:pPr>
        <w:spacing w:line="480" w:lineRule="auto"/>
      </w:pPr>
      <w:r>
        <w:t xml:space="preserve">So far so good, but even Tubbs’ model falls some way short of mitigating for how the overarching culture of an organisation can impact upon these factors in a significant way. </w:t>
      </w:r>
      <w:r w:rsidRPr="005D668F">
        <w:rPr>
          <w:b/>
          <w:bCs/>
        </w:rPr>
        <w:t>Organisational culture</w:t>
      </w:r>
      <w:r>
        <w:t xml:space="preserve"> refers to the operational, tonal, and sometimes moral character of an organisation; its customs and values; the way things are done. Sometimes official, sometimes not, the pre-existing habits of an operational environment are not inconsiderable variables. After all, groups do not exist in a vacuum.</w:t>
      </w:r>
    </w:p>
    <w:p w14:paraId="0B26B086" w14:textId="77777777" w:rsidR="00B93251" w:rsidRDefault="00B93251" w:rsidP="00B93251">
      <w:pPr>
        <w:spacing w:line="480" w:lineRule="auto"/>
      </w:pPr>
      <w:r>
        <w:t xml:space="preserve">Scholes &amp; Johnson’s </w:t>
      </w:r>
      <w:r w:rsidRPr="00C432FD">
        <w:rPr>
          <w:b/>
          <w:bCs/>
        </w:rPr>
        <w:t>cultural web</w:t>
      </w:r>
      <w:r>
        <w:rPr>
          <w:b/>
          <w:bCs/>
        </w:rPr>
        <w:t xml:space="preserve"> </w:t>
      </w:r>
      <w:sdt>
        <w:sdtPr>
          <w:rPr>
            <w:b/>
            <w:bCs/>
          </w:rPr>
          <w:id w:val="-752355916"/>
          <w:citation/>
        </w:sdtPr>
        <w:sdtContent>
          <w:r>
            <w:rPr>
              <w:b/>
              <w:bCs/>
            </w:rPr>
            <w:fldChar w:fldCharType="begin"/>
          </w:r>
          <w:r>
            <w:rPr>
              <w:b/>
              <w:bCs/>
            </w:rPr>
            <w:instrText xml:space="preserve">CITATION Cha15 \l 2057 </w:instrText>
          </w:r>
          <w:r>
            <w:rPr>
              <w:b/>
              <w:bCs/>
            </w:rPr>
            <w:fldChar w:fldCharType="separate"/>
          </w:r>
          <w:r w:rsidRPr="00DF7633">
            <w:rPr>
              <w:noProof/>
            </w:rPr>
            <w:t>(Chartered Management Institute, 2015)</w:t>
          </w:r>
          <w:r>
            <w:rPr>
              <w:b/>
              <w:bCs/>
            </w:rPr>
            <w:fldChar w:fldCharType="end"/>
          </w:r>
        </w:sdtContent>
      </w:sdt>
      <w:r>
        <w:t xml:space="preserve"> model may regularly apply to various institutions. This refers to a network of six interlocutory fundaments which shape and capture the overall personality of an organisation: </w:t>
      </w:r>
    </w:p>
    <w:p w14:paraId="664EBC33" w14:textId="77777777" w:rsidR="00B93251" w:rsidRDefault="00B93251" w:rsidP="00B93251">
      <w:pPr>
        <w:spacing w:line="480" w:lineRule="auto"/>
      </w:pPr>
      <w:r>
        <w:rPr>
          <w:b/>
          <w:bCs/>
        </w:rPr>
        <w:t>Stories</w:t>
      </w:r>
      <w:r>
        <w:t xml:space="preserve"> – an aural history of memes and tales of formative incidents, passed down to new members</w:t>
      </w:r>
    </w:p>
    <w:p w14:paraId="7596E137" w14:textId="77777777" w:rsidR="00B93251" w:rsidRDefault="00B93251" w:rsidP="00B93251">
      <w:pPr>
        <w:spacing w:line="480" w:lineRule="auto"/>
      </w:pPr>
      <w:r>
        <w:rPr>
          <w:b/>
          <w:bCs/>
        </w:rPr>
        <w:t xml:space="preserve">Rituals &amp; routines </w:t>
      </w:r>
      <w:r>
        <w:t>– day to day behaviour of individuals indicating what is generally acceptable to do</w:t>
      </w:r>
    </w:p>
    <w:p w14:paraId="384B0260" w14:textId="77777777" w:rsidR="00B93251" w:rsidRDefault="00B93251" w:rsidP="00B93251">
      <w:pPr>
        <w:spacing w:line="480" w:lineRule="auto"/>
      </w:pPr>
      <w:r>
        <w:rPr>
          <w:b/>
          <w:bCs/>
        </w:rPr>
        <w:t>Symbols</w:t>
      </w:r>
      <w:r>
        <w:t xml:space="preserve"> – regalia, uniform, and other totems providing a visual identity</w:t>
      </w:r>
    </w:p>
    <w:p w14:paraId="30A6FF68" w14:textId="77777777" w:rsidR="00B93251" w:rsidRDefault="00B93251" w:rsidP="00B93251">
      <w:pPr>
        <w:spacing w:line="480" w:lineRule="auto"/>
      </w:pPr>
      <w:r>
        <w:rPr>
          <w:b/>
          <w:bCs/>
        </w:rPr>
        <w:t xml:space="preserve">Organisational structure </w:t>
      </w:r>
      <w:r>
        <w:t>– the informal hierarchy of individuals’ respective value and influence</w:t>
      </w:r>
    </w:p>
    <w:p w14:paraId="11A10D27" w14:textId="77777777" w:rsidR="00B93251" w:rsidRDefault="00B93251" w:rsidP="00B93251">
      <w:pPr>
        <w:spacing w:line="480" w:lineRule="auto"/>
      </w:pPr>
      <w:r>
        <w:rPr>
          <w:b/>
          <w:bCs/>
        </w:rPr>
        <w:t xml:space="preserve">Control systems </w:t>
      </w:r>
      <w:r>
        <w:t>– how the organisation’s homeostasis is regulated through rewards and finances</w:t>
      </w:r>
    </w:p>
    <w:p w14:paraId="6A8258DF" w14:textId="77777777" w:rsidR="00B93251" w:rsidRPr="004F37B2" w:rsidRDefault="00B93251" w:rsidP="00B93251">
      <w:pPr>
        <w:spacing w:line="480" w:lineRule="auto"/>
      </w:pPr>
      <w:r>
        <w:rPr>
          <w:b/>
          <w:bCs/>
        </w:rPr>
        <w:lastRenderedPageBreak/>
        <w:t>Power structures</w:t>
      </w:r>
      <w:r>
        <w:t xml:space="preserve"> – the ladder of official status, and who has the real strategic authority </w:t>
      </w:r>
    </w:p>
    <w:p w14:paraId="25985CB2" w14:textId="77777777" w:rsidR="00B93251" w:rsidRDefault="00B93251" w:rsidP="00B93251">
      <w:pPr>
        <w:spacing w:line="480" w:lineRule="auto"/>
      </w:pPr>
      <w:r>
        <w:t>Different organisations will inevitably differ in their culture. An all-female hair salon will likely operate with some different values to an all-male boxing gym. In this way gender make-up will have an effect on organisational culture. The social ubiquity of sexual politics may require a mixed-gendered organisation to establish much more clearly delineated boundaries around standards of behaviour in the workplace, for example.</w:t>
      </w:r>
    </w:p>
    <w:p w14:paraId="6128F1E7" w14:textId="77777777" w:rsidR="00B93251" w:rsidRDefault="00B93251" w:rsidP="00B93251">
      <w:pPr>
        <w:spacing w:line="480" w:lineRule="auto"/>
      </w:pPr>
      <w:r>
        <w:t xml:space="preserve">The police is a hierarchical organisation, which means that every group and every member within that group is required to be subordinate to a superior, by design and mandate. There is a pre-ordained way in which action is supposed to be qualified within the police, via authoritative appeal. Orders and powers and force policy take much of the calculation out of the matter for a police officer, leaving only so much to his discretion. But even one’s discretion is necessarily subject at least in part to the informal system and personality of the environment. The ‘done thing’ is often the easy thing, and decisions are often made for people within organisations by the organisational culture itself, whether or not they are aware of it. From the taboo of police officers using the word ‘quiet’ to describe an uneventful shift, lest fate be tempted, to an unwritten rule within a particular station that words of advice are never to be issued (either a complaint is made or it isn’t), members of teams beneath an umbrella will in some way or another find themselves shaped by its communal trends and whims. </w:t>
      </w:r>
    </w:p>
    <w:p w14:paraId="7AD51191" w14:textId="77777777" w:rsidR="00B93251" w:rsidRDefault="00B93251" w:rsidP="00B93251">
      <w:pPr>
        <w:spacing w:line="480" w:lineRule="auto"/>
      </w:pPr>
    </w:p>
    <w:p w14:paraId="5B0FE208" w14:textId="77777777" w:rsidR="00B93251" w:rsidRDefault="00B93251" w:rsidP="00B93251">
      <w:pPr>
        <w:spacing w:line="480" w:lineRule="auto"/>
        <w:rPr>
          <w:b/>
          <w:bCs/>
        </w:rPr>
      </w:pPr>
      <w:r>
        <w:rPr>
          <w:b/>
          <w:bCs/>
        </w:rPr>
        <w:t>Organisational justice</w:t>
      </w:r>
    </w:p>
    <w:p w14:paraId="0B5F3E93" w14:textId="77777777" w:rsidR="00B93251" w:rsidRDefault="00B93251" w:rsidP="00B93251">
      <w:pPr>
        <w:spacing w:line="480" w:lineRule="auto"/>
      </w:pPr>
      <w:r>
        <w:t>All these forces, with formal and informal hierarchies of authority, values, policy, and strategy all competing for endorsement and acquiescence, pushing and pulling at individuals, will inevitably influence their perceptions of how fairly they and their colleagues are treated within an organisation. Within a policing context it is also essential that outsiders to the organisation, be they victims, suspects, witnesses or whoever else, are treated fairly.</w:t>
      </w:r>
    </w:p>
    <w:p w14:paraId="5FF055EE" w14:textId="77777777" w:rsidR="00B93251" w:rsidRPr="00FA43FC" w:rsidRDefault="00B93251" w:rsidP="00B93251">
      <w:pPr>
        <w:spacing w:line="480" w:lineRule="auto"/>
      </w:pPr>
      <w:r>
        <w:t xml:space="preserve">Outwardly the police service is concerned with </w:t>
      </w:r>
      <w:r w:rsidRPr="00050D77">
        <w:rPr>
          <w:b/>
          <w:bCs/>
        </w:rPr>
        <w:t>procedural justice</w:t>
      </w:r>
      <w:r>
        <w:t xml:space="preserve">. That means the same processes and principles of impartial investigation are employed in an unbiased way every time to every individual subject to the service. Because procedural justice is not concerned with ends, only means, the correct outcome is derived wholly and directly from the formal and structural fairness of the procedure of obtaining </w:t>
      </w:r>
      <w:r w:rsidRPr="000B37B0">
        <w:rPr>
          <w:i/>
          <w:iCs/>
        </w:rPr>
        <w:t>an</w:t>
      </w:r>
      <w:r>
        <w:t xml:space="preserve"> outcome, not any </w:t>
      </w:r>
      <w:r w:rsidRPr="00746E28">
        <w:rPr>
          <w:i/>
          <w:iCs/>
        </w:rPr>
        <w:t>desired</w:t>
      </w:r>
      <w:r>
        <w:t xml:space="preserve"> outcome. This, in a specifically police context, is also a straightforward commitment to maintaining professional standards. Part three of the College of </w:t>
      </w:r>
      <w:r>
        <w:lastRenderedPageBreak/>
        <w:t xml:space="preserve">Policing’s Code of Ethics establishes the organisational imperative for police to act with fairness and impartiality, embedding procedural justice firmly into the official police standards of professional behaviour. </w:t>
      </w:r>
      <w:sdt>
        <w:sdtPr>
          <w:id w:val="415060373"/>
          <w:citation/>
        </w:sdtPr>
        <w:sdtContent>
          <w:r>
            <w:fldChar w:fldCharType="begin"/>
          </w:r>
          <w:r>
            <w:instrText xml:space="preserve">CITATION Col14 \l 2057 </w:instrText>
          </w:r>
          <w:r>
            <w:fldChar w:fldCharType="separate"/>
          </w:r>
          <w:r w:rsidRPr="007E05DE">
            <w:rPr>
              <w:noProof/>
            </w:rPr>
            <w:t>(College of Policing, 2014)</w:t>
          </w:r>
          <w:r>
            <w:fldChar w:fldCharType="end"/>
          </w:r>
        </w:sdtContent>
      </w:sdt>
    </w:p>
    <w:p w14:paraId="221D8512" w14:textId="77777777" w:rsidR="00B93251" w:rsidRDefault="00B93251" w:rsidP="00B93251">
      <w:pPr>
        <w:spacing w:line="480" w:lineRule="auto"/>
      </w:pPr>
      <w:r>
        <w:t xml:space="preserve">Internally, however, an organisation may have some desired outcomes in mind. We have already discussed how control systems play a central role in helping to regulate team dynamics, and organisational justice largely works as a network of control systems concerned with the job satisfaction and sense of value of employees, which link directly to individuals’ perceptions of how fairly they are being treated. This refers to the generally even distribution of outcomes such as rewards (i.e. payment), job conditions, and degrees of responsibility among members who are ostensibly equal to one another – otherwise known as the equity principle, or </w:t>
      </w:r>
      <w:r>
        <w:rPr>
          <w:b/>
          <w:bCs/>
        </w:rPr>
        <w:t>distributive justice</w:t>
      </w:r>
      <w:r>
        <w:t xml:space="preserve">. </w:t>
      </w:r>
    </w:p>
    <w:p w14:paraId="6186D5CF" w14:textId="77777777" w:rsidR="00B93251" w:rsidRDefault="00B93251" w:rsidP="00B93251">
      <w:pPr>
        <w:spacing w:line="480" w:lineRule="auto"/>
      </w:pPr>
      <w:r>
        <w:t xml:space="preserve">Whilst other theories propose further fractionation of the concept, suffice to say a co-ordinated balance between at least these two building-block principles of organisational justice benefit both the individual employee satisfied with their fair treatment, and the organisation itself which subsequently maintains primacy and control over </w:t>
      </w:r>
      <w:r w:rsidRPr="003D5AA5">
        <w:rPr>
          <w:i/>
          <w:iCs/>
        </w:rPr>
        <w:t>“potential challenges and threats from its staff while reaping the benefits of being an employer of choice”</w:t>
      </w:r>
      <w:r>
        <w:t xml:space="preserve"> </w:t>
      </w:r>
      <w:sdt>
        <w:sdtPr>
          <w:id w:val="-57785273"/>
          <w:citation/>
        </w:sdtPr>
        <w:sdtContent>
          <w:r>
            <w:fldChar w:fldCharType="begin"/>
          </w:r>
          <w:r>
            <w:instrText xml:space="preserve"> CITATION Bal06 \l 2057 </w:instrText>
          </w:r>
          <w:r>
            <w:fldChar w:fldCharType="separate"/>
          </w:r>
          <w:r w:rsidRPr="00DA422E">
            <w:rPr>
              <w:noProof/>
            </w:rPr>
            <w:t>(Baldwin, 2006)</w:t>
          </w:r>
          <w:r>
            <w:fldChar w:fldCharType="end"/>
          </w:r>
        </w:sdtContent>
      </w:sdt>
      <w:r>
        <w:t>. Within an organisation, procedural justice in its own way encourages ‘</w:t>
      </w:r>
      <w:r>
        <w:rPr>
          <w:b/>
          <w:bCs/>
        </w:rPr>
        <w:t>organisational citizenship behaviour’</w:t>
      </w:r>
      <w:r>
        <w:t xml:space="preserve">, where individuals outreach the remit of their role with altruistic acts rooted in healthy and positive professional attitudes </w:t>
      </w:r>
      <w:sdt>
        <w:sdtPr>
          <w:id w:val="509573604"/>
          <w:citation/>
        </w:sdtPr>
        <w:sdtContent>
          <w:r>
            <w:fldChar w:fldCharType="begin"/>
          </w:r>
          <w:r>
            <w:instrText xml:space="preserve"> CITATION Org88 \l 2057 </w:instrText>
          </w:r>
          <w:r>
            <w:fldChar w:fldCharType="separate"/>
          </w:r>
          <w:r w:rsidRPr="003D5AA5">
            <w:rPr>
              <w:noProof/>
            </w:rPr>
            <w:t>(Organ, 1988)</w:t>
          </w:r>
          <w:r>
            <w:fldChar w:fldCharType="end"/>
          </w:r>
        </w:sdtContent>
      </w:sdt>
      <w:r>
        <w:t xml:space="preserve">, while distributive justice boosts morale and commitment to the organisation’s goals whilst eliminating certain destructive competitive elements </w:t>
      </w:r>
      <w:sdt>
        <w:sdtPr>
          <w:id w:val="-683974575"/>
          <w:citation/>
        </w:sdtPr>
        <w:sdtContent>
          <w:r>
            <w:fldChar w:fldCharType="begin"/>
          </w:r>
          <w:r>
            <w:instrText xml:space="preserve"> CITATION She92 \l 2057 </w:instrText>
          </w:r>
          <w:r>
            <w:fldChar w:fldCharType="separate"/>
          </w:r>
          <w:r w:rsidRPr="003D5AA5">
            <w:rPr>
              <w:noProof/>
            </w:rPr>
            <w:t>(Sheppard, et al., 1992)</w:t>
          </w:r>
          <w:r>
            <w:fldChar w:fldCharType="end"/>
          </w:r>
        </w:sdtContent>
      </w:sdt>
      <w:r>
        <w:t>.</w:t>
      </w:r>
    </w:p>
    <w:p w14:paraId="0CC550FA" w14:textId="77777777" w:rsidR="00B93251" w:rsidRPr="00323FA2" w:rsidRDefault="00B93251" w:rsidP="00B93251">
      <w:pPr>
        <w:spacing w:line="480" w:lineRule="auto"/>
        <w:rPr>
          <w:b/>
          <w:bCs/>
        </w:rPr>
      </w:pPr>
      <w:r>
        <w:rPr>
          <w:b/>
          <w:bCs/>
        </w:rPr>
        <w:t>To conclude</w:t>
      </w:r>
    </w:p>
    <w:p w14:paraId="08C03415" w14:textId="77777777" w:rsidR="00B93251" w:rsidRPr="007E05DE" w:rsidRDefault="00B93251" w:rsidP="00B93251">
      <w:pPr>
        <w:spacing w:line="480" w:lineRule="auto"/>
      </w:pPr>
      <w:r>
        <w:t xml:space="preserve">In all these ways I have touched upon, team dynamics are shaped and directed. The professional standards requirements of the police revolve around ten broad principles, which concepts such as organisational justice are intended to protect and preserve. There are areas where these standards are jeopardised by elements of the organic stages of team development, such as in Tuckman’s </w:t>
      </w:r>
      <w:r>
        <w:rPr>
          <w:i/>
          <w:iCs/>
        </w:rPr>
        <w:t>storming</w:t>
      </w:r>
      <w:r>
        <w:t xml:space="preserve"> phase. The natural interpersonal conflict, competition for status, and lack of clear direction or purpose contained within this necessary movement can result in members failing to treat colleagues with respect and courtesy (principle two), behaving in a manner which may discredit the police service (principle nine), or failing to challenge or take action against conduct of colleagues which falls below the standard expected (principle ten), to point out just a few examples </w:t>
      </w:r>
      <w:sdt>
        <w:sdtPr>
          <w:id w:val="-952711992"/>
          <w:citation/>
        </w:sdtPr>
        <w:sdtContent>
          <w:r>
            <w:fldChar w:fldCharType="begin"/>
          </w:r>
          <w:r>
            <w:instrText xml:space="preserve"> CITATION Col14 \l 2057 </w:instrText>
          </w:r>
          <w:r>
            <w:fldChar w:fldCharType="separate"/>
          </w:r>
          <w:r w:rsidRPr="007E05DE">
            <w:rPr>
              <w:noProof/>
            </w:rPr>
            <w:t>(College of Policing, 2014)</w:t>
          </w:r>
          <w:r>
            <w:fldChar w:fldCharType="end"/>
          </w:r>
        </w:sdtContent>
      </w:sdt>
      <w:r>
        <w:t xml:space="preserve">. It is therefore essential that these empirical models of group development and organisational culture can </w:t>
      </w:r>
      <w:r>
        <w:lastRenderedPageBreak/>
        <w:t xml:space="preserve">marry with and inform a progressive approach towards organisational justice in order to maintain professional standards in the face of the complex problems faced by police both externally and internally. </w:t>
      </w:r>
    </w:p>
    <w:p w14:paraId="4E9085BF" w14:textId="37758ED6" w:rsidR="00025650" w:rsidRPr="00E676F7" w:rsidRDefault="00B93251" w:rsidP="004039DF">
      <w:r>
        <w:t>(2,619 words)</w:t>
      </w: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6C73B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6C73B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7FC3FE33" w14:textId="77777777" w:rsidR="004039DF" w:rsidRDefault="004039DF" w:rsidP="004039DF">
      <w:pPr>
        <w:spacing w:line="480" w:lineRule="auto"/>
      </w:pPr>
      <w:r>
        <w:t xml:space="preserve">In this essay I will outline a case of domestic violence I investigated as a police officer, and detail the relevant examples therein of victim vulnerability and repeat victimisation, highlighting the circular nature of how one feeds the other and vice versa. I’ll discuss theories on how victimisation drives further victimisation and how that loop might be interrupted, as well as what makes a person vulnerable and how might they be best supported, touching on the value of evidence-based policing and the Welsh Government’s pledged approach to better supporting people with mental health-related vulnerabilities. </w:t>
      </w:r>
    </w:p>
    <w:p w14:paraId="1CFBEBB5" w14:textId="77777777" w:rsidR="004039DF" w:rsidRDefault="004039DF" w:rsidP="004039DF">
      <w:pPr>
        <w:spacing w:line="480" w:lineRule="auto"/>
      </w:pPr>
      <w:r>
        <w:t xml:space="preserve">About 6 months into my time on shift I attended a priority call where a female was reporting being assaulted by her now ex-partner a few days prior. We will call her Jenny, though this was not her name. Jenny was already known to us as a repeat victim of domestic violence consistently perpetrated by the same aggressor, who we will call Brian (though this was not his name either). Jenny and Brian had been on-and-off together for several years, during which time the police had been called dozens of times regarding various allegations of assault, false imprisonment, and stalking offences. Brian had been arrested multiple times but had relatively few convictions due to the fact that Jenny would reject or undermine police involvement by retracting or refusing to give a statement, </w:t>
      </w:r>
      <w:r>
        <w:lastRenderedPageBreak/>
        <w:t xml:space="preserve">going back to the relationship after a few days, even revealing her location from the refuges where she had been subsequently placed. Jenny and Brian appeared to be addicted to one another’s toxic companionship. </w:t>
      </w:r>
    </w:p>
    <w:p w14:paraId="078E37EE" w14:textId="77777777" w:rsidR="004039DF" w:rsidRDefault="004039DF" w:rsidP="004039DF">
      <w:pPr>
        <w:spacing w:line="480" w:lineRule="auto"/>
      </w:pPr>
      <w:r>
        <w:t xml:space="preserve">On this occasion Brian had assaulted Jenny in an argument by pushing her to the floor, after which she ran away and hid in a nearby garden and called a friend to come and get her. She went back to the friend’s house where she received dozens of messages from Brian saying he was driving around the neighbourhood looking for her, that he was going to “load up and start doing doors” starting with Jenny’s mother’s followed by her friends’, and that he would not stop until he found her. </w:t>
      </w:r>
    </w:p>
    <w:p w14:paraId="76044946" w14:textId="77777777" w:rsidR="004039DF" w:rsidRDefault="004039DF" w:rsidP="004039DF">
      <w:pPr>
        <w:spacing w:line="480" w:lineRule="auto"/>
      </w:pPr>
      <w:r>
        <w:t>The investigation side of my dealing with Jenny was straightforward. I took a statement from Jenny, obtained consent to examine her phone for evidence of the messages, had the phone examined, conducted CCTV and house-to-house inquiries on the street where the incident took place and obtained footage actually showing the assault from a member of the public living there. I then located Brian, arrested him, and interviewed him. Brian was then bailed for CPS advice after providing a no-comment interview.</w:t>
      </w:r>
    </w:p>
    <w:p w14:paraId="1D7BFBE4" w14:textId="77777777" w:rsidR="004039DF" w:rsidRDefault="004039DF" w:rsidP="004039DF">
      <w:pPr>
        <w:spacing w:line="480" w:lineRule="auto"/>
      </w:pPr>
      <w:r>
        <w:t xml:space="preserve">Brian’s bail conditions formed a significant part of Jenny’s safeguarding plan, as did the commitment to keep her location a secret. That meant the bail conditions had to be written to include any building or location where he believed her to be, rather than a specific street or address as would normally be the case. </w:t>
      </w:r>
    </w:p>
    <w:p w14:paraId="387B1E3D" w14:textId="77777777" w:rsidR="004039DF" w:rsidRDefault="004039DF" w:rsidP="004039DF">
      <w:pPr>
        <w:spacing w:line="480" w:lineRule="auto"/>
      </w:pPr>
      <w:r>
        <w:t xml:space="preserve">There were no cultural, language, or ethnicity-based issues to speak of. Jenny was staying with her friend and Brian appeared to not know where she was. I spoke with the friend who was happy for Jenny to stay there indefinitely, which was preferable to finding another refuge as it had been the groundlessness and lack of companionship in those places that had partly caused Jenny to compromise her location to Brian previously. I completed a Domestic Abuse risk assessment (DASH) with Jenny, who maintained she was adamant this time would be the last time she had anything to do with Brian. I graded the risk and wrote a Public Protection Notification report along with referrals to Social Services and MARAC (a multi-agency conference where resources are pooled and appropriate action is discussed between the relevant organisations). </w:t>
      </w:r>
    </w:p>
    <w:p w14:paraId="6643DDC7" w14:textId="77777777" w:rsidR="004039DF" w:rsidRDefault="004039DF" w:rsidP="004039DF">
      <w:pPr>
        <w:spacing w:line="480" w:lineRule="auto"/>
      </w:pPr>
      <w:r>
        <w:t xml:space="preserve">My main concern was that any investigation would be negated by Jenny’s seemingly inevitable return to Brian. After years of being isolated from family and friends due to her ties with him, that environment of abuse had counterintuitively become her place of safety and familiarity. </w:t>
      </w:r>
    </w:p>
    <w:p w14:paraId="54A01068" w14:textId="77777777" w:rsidR="004039DF" w:rsidRDefault="004039DF" w:rsidP="004039DF">
      <w:pPr>
        <w:spacing w:line="480" w:lineRule="auto"/>
      </w:pPr>
      <w:r>
        <w:lastRenderedPageBreak/>
        <w:t xml:space="preserve">This approach was standard police fare. A medium-risk domestic incident, but the latest in a line, swiftly investigated with the victim’s safety and vulnerability in mind. As per the principles of the NPCC’s National Action Plan 2018-2021, one’s status of vulnerability takes in the person as well as their circumstances, and Jenny’s situation absolutely made her vulnerable, despite her not having any mental disorders, physical disabilities, or age-related concerns. Sadly the nature of vulnerability through repeat victimisation (RV) makes early intervention and prevention more difficult. The potential indicators of risk of RV are hard to spot, and subsequently hard to mitigate. </w:t>
      </w:r>
    </w:p>
    <w:p w14:paraId="1BA23BF4" w14:textId="77777777" w:rsidR="004039DF" w:rsidRDefault="004039DF" w:rsidP="004039DF">
      <w:pPr>
        <w:spacing w:line="480" w:lineRule="auto"/>
      </w:pPr>
      <w:r>
        <w:t xml:space="preserve">RV refers to when one person (or place) suffers multiple criminal incidents across a period of time. The features that perpetrators will identify for taking advantage – that make a location ripe for returning and stealing from again and again, for example – indicate risk. In the case of domestic violence, the diminished likelihood of the victim involving the police, fighting back, leaving the relationship for good, etc, all increases the risk of their repeat victimisation. The perpetrator can push the boundaries and do what they like without fear of lasting consequence. After multiple incidents of his arrest without any further action, Brian had developed a sense of unaccountability. His successful crimes, so to speak, acting as rehearsals for further crime, at once emboldening him and demoralising Jenny. </w:t>
      </w:r>
    </w:p>
    <w:p w14:paraId="39E2AEC5" w14:textId="77777777" w:rsidR="004039DF" w:rsidRDefault="004039DF" w:rsidP="004039DF">
      <w:pPr>
        <w:spacing w:line="480" w:lineRule="auto"/>
      </w:pPr>
      <w:r>
        <w:t xml:space="preserve">One contained theory on RV asserts: 1) that some targets have features which make them attractive for victimisation; 2) perpetrators discover this information and test the water with an initial crime, which (if successful) increases the likelihood of future attempts, as the prospect of a safe bet is the most potently attractive characteristic of all; 3) this type of interactivity between offender and target creates crime hotspots, which can be identified by police and further crime can be predicted. After all it is the predictability of the target that both makes them attractive to the offender, and the offender predictable to the police. An abusive domestic relationship can in these terms be considered a crime hotspot, and the details on where, when, and how the crimes are committed can be employed to prevent it from happening further. There is strong evidence to indicate that when crime is concentrated in a hotspot it can be more easily identified, targeted, predicted, and successfully eliminated by direct injection of prevention resources, though this is much more easily said than done </w:t>
      </w:r>
      <w:sdt>
        <w:sdtPr>
          <w:id w:val="1177844726"/>
          <w:citation/>
        </w:sdtPr>
        <w:sdtContent>
          <w:r>
            <w:fldChar w:fldCharType="begin"/>
          </w:r>
          <w:r>
            <w:instrText xml:space="preserve"> CITATION Far17 \l 2057 </w:instrText>
          </w:r>
          <w:r>
            <w:fldChar w:fldCharType="separate"/>
          </w:r>
          <w:r w:rsidRPr="008A36C4">
            <w:rPr>
              <w:noProof/>
            </w:rPr>
            <w:t>(Farrell &amp; Pease, 2017)</w:t>
          </w:r>
          <w:r>
            <w:fldChar w:fldCharType="end"/>
          </w:r>
        </w:sdtContent>
      </w:sdt>
      <w:r>
        <w:t xml:space="preserve">. </w:t>
      </w:r>
    </w:p>
    <w:p w14:paraId="48579F12" w14:textId="77777777" w:rsidR="004039DF" w:rsidRDefault="004039DF" w:rsidP="004039DF">
      <w:pPr>
        <w:spacing w:line="480" w:lineRule="auto"/>
      </w:pPr>
      <w:r>
        <w:t xml:space="preserve">To be wary of studies such as this is to engage in evidence-based policing – an empirical process of reviewing and updating police methods and policies to keep up with the rapidly changing social and </w:t>
      </w:r>
      <w:r>
        <w:lastRenderedPageBreak/>
        <w:t xml:space="preserve">technological environments in which they are to be deployed, as informed by scientific research and data, as opposed to limited anecdotal practise and arbitrary custom. </w:t>
      </w:r>
    </w:p>
    <w:p w14:paraId="647E57C5" w14:textId="77777777" w:rsidR="004039DF" w:rsidRDefault="004039DF" w:rsidP="004039DF">
      <w:pPr>
        <w:spacing w:line="480" w:lineRule="auto"/>
      </w:pPr>
      <w:r>
        <w:t xml:space="preserve">In Jenny’s case, tackling her repeat victimisation and supporting her as a vulnerable person mean the same thing. Providing a robust investigation to reduce the chances of consequence-free misbehaviour helps to reduce instances of misbehaviour, since the target becomes less and less suitable to the offender with every police-involvement, arrest, charge, remand, and conviction. Ensuring that the victim is afforded ample opportunity and means to contact (and be contacted by) the appropriate agencies, so that preventative measures from within can be put into motion regarding the ways in which the victim is vulnerable, further helps to reduce the risk of repeat victimisation. </w:t>
      </w:r>
    </w:p>
    <w:p w14:paraId="5DF9FF6D" w14:textId="77777777" w:rsidR="004039DF" w:rsidRDefault="004039DF" w:rsidP="004039DF">
      <w:pPr>
        <w:spacing w:line="480" w:lineRule="auto"/>
      </w:pPr>
      <w:r>
        <w:t xml:space="preserve">Vulnerability also invariably accounts for mental health disorders among ordinary people. Between 2006 and 2016, use by police of powers to detain people in a public place under the Mental Health Act rose by over half </w:t>
      </w:r>
      <w:sdt>
        <w:sdtPr>
          <w:id w:val="1798171831"/>
          <w:citation/>
        </w:sdtPr>
        <w:sdtContent>
          <w:r>
            <w:fldChar w:fldCharType="begin"/>
          </w:r>
          <w:r>
            <w:instrText xml:space="preserve"> CITATION Dod16 \l 2057 </w:instrText>
          </w:r>
          <w:r>
            <w:fldChar w:fldCharType="separate"/>
          </w:r>
          <w:r w:rsidRPr="00A7534C">
            <w:rPr>
              <w:noProof/>
            </w:rPr>
            <w:t>(Dodd, 2016)</w:t>
          </w:r>
          <w:r>
            <w:fldChar w:fldCharType="end"/>
          </w:r>
        </w:sdtContent>
      </w:sdt>
      <w:r>
        <w:t>. This indicates that police are either dealing with more mentally vulnerable people than a decade before, dealing with people who are more mentally vulnerable than a decade before, or are dealing with mentally vulnerable people in a markedly different way. These are emergency powers, and not long-term preventative measures. Though incidents where such powers are used may be considered a gateway to attaining more steady support going forward, the fact that community psychiatric care is not appropriately resourced to meet the initial demand in the first place is suspected to be a major factor in what appears on paper to be a mental health crisis the brunt of which police are expected to shoulder.</w:t>
      </w:r>
    </w:p>
    <w:p w14:paraId="5AC8D0C9" w14:textId="77777777" w:rsidR="004039DF" w:rsidRDefault="004039DF" w:rsidP="004039DF">
      <w:pPr>
        <w:spacing w:line="480" w:lineRule="auto"/>
      </w:pPr>
      <w:r>
        <w:t xml:space="preserve">The Welsh government’s Crisis Care Concordat National Action Plan for 2019-2022 aims to address this problem, identifying six core principles to ensure effective care and support reaches those who need it before they enter the criminal justice system. Briefly, these principles centre around improved access to and quality of support pre, mid, and post crisis, greater collection of data and evidence to inform those improvements, and a better co-ordination of agency partnerships to communicate and implement those improvements. </w:t>
      </w:r>
      <w:sdt>
        <w:sdtPr>
          <w:id w:val="203374493"/>
          <w:citation/>
        </w:sdtPr>
        <w:sdtContent>
          <w:r>
            <w:fldChar w:fldCharType="begin"/>
          </w:r>
          <w:r>
            <w:instrText xml:space="preserve"> CITATION Gov15 \l 2057 </w:instrText>
          </w:r>
          <w:r>
            <w:fldChar w:fldCharType="separate"/>
          </w:r>
          <w:r w:rsidRPr="0069419F">
            <w:rPr>
              <w:noProof/>
            </w:rPr>
            <w:t>(Gov.Wales, 2015)</w:t>
          </w:r>
          <w:r>
            <w:fldChar w:fldCharType="end"/>
          </w:r>
        </w:sdtContent>
      </w:sdt>
    </w:p>
    <w:p w14:paraId="64FEA734" w14:textId="77777777" w:rsidR="004039DF" w:rsidRDefault="004039DF" w:rsidP="004039DF">
      <w:pPr>
        <w:spacing w:line="480" w:lineRule="auto"/>
      </w:pPr>
      <w:r>
        <w:t xml:space="preserve">The police is not staffed with therapists, doctors, mental health nurses, self-help gurus, fitness instructors, or welfare animals. The police are an emergency service. Tackling vulnerability, whether related to mental health, repeat victimisation, or any other kind, is a holistic and progressive task with complex considerations the like of which the police is neither designed or able to take on alone. Whilst police involvement must never be wasted as an opportunity to redirect a victim or an offender down a </w:t>
      </w:r>
      <w:r>
        <w:lastRenderedPageBreak/>
        <w:t xml:space="preserve">new path, it appears that the historic focus of healthcare on crisis response rather than prevention has resulted in a resourcing overload that cannot properly address the problem in a meaningful way, putting more pressure on emergency resources and in turn on vulnerable people. </w:t>
      </w:r>
    </w:p>
    <w:p w14:paraId="18615D38" w14:textId="3F9FD6DF" w:rsidR="004039DF" w:rsidRDefault="004039DF" w:rsidP="004039DF">
      <w:r>
        <w:t>(1,591 words)</w:t>
      </w:r>
    </w:p>
    <w:p w14:paraId="1E96D16A" w14:textId="302F013D" w:rsidR="5B843AF0" w:rsidRPr="00E676F7" w:rsidRDefault="5B843AF0" w:rsidP="004039DF">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5A3AC50"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w:t>
      </w:r>
      <w:r w:rsidR="00494C6B">
        <w:rPr>
          <w:rStyle w:val="normaltextrun"/>
          <w:rFonts w:ascii="Arial" w:hAnsi="Arial" w:cs="Arial"/>
          <w:color w:val="000000"/>
        </w:rPr>
        <w:t>George Coxell</w:t>
      </w:r>
      <w:r>
        <w:rPr>
          <w:rStyle w:val="normaltextrun"/>
          <w:rFonts w:ascii="Arial" w:hAnsi="Arial" w:cs="Arial"/>
          <w:color w:val="000000"/>
        </w:rPr>
        <w:t>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140A955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494C6B">
        <w:rPr>
          <w:rStyle w:val="normaltextrun"/>
          <w:rFonts w:ascii="Arial" w:hAnsi="Arial" w:cs="Arial"/>
          <w:color w:val="000000"/>
        </w:rPr>
        <w:t>29/10/2021</w:t>
      </w:r>
      <w:r>
        <w:rPr>
          <w:rStyle w:val="normaltextrun"/>
          <w:rFonts w:ascii="Arial" w:hAnsi="Arial" w:cs="Arial"/>
          <w:color w:val="000000"/>
        </w:rPr>
        <w:t xml:space="preserve">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6C73B1">
            <w:pPr>
              <w:ind w:right="237"/>
              <w:rPr>
                <w:sz w:val="24"/>
                <w:szCs w:val="24"/>
              </w:rPr>
            </w:pPr>
          </w:p>
          <w:p w14:paraId="01F9B7BD" w14:textId="77777777" w:rsidR="00710D69" w:rsidRPr="00E676F7" w:rsidRDefault="00710D69" w:rsidP="006C73B1">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077C9B20" w14:textId="13BE5E21" w:rsidR="00034E76" w:rsidRDefault="00034E76" w:rsidP="00034E76">
      <w:pPr>
        <w:spacing w:line="480" w:lineRule="auto"/>
      </w:pPr>
      <w:r>
        <w:t>This assignment will discuss multiple topics, including: how criminality can be disrupted through effective roads policing, due to the self-selecting nature of roads offences and their empirical links to wider criminal activity and risky behaviour in general; the principles and strategies employed in conducting investigations and making decisions, incorporating the police National Decision Model and ongoing risk assessment into the process, using a real investigation as a reflective example; and interview techniques as laid out by the PEACE model of investigative interviewing, and how one has understood and applied the model to another real investigation.</w:t>
      </w:r>
    </w:p>
    <w:p w14:paraId="092DE0BF" w14:textId="77777777" w:rsidR="00034E76" w:rsidRPr="00960BAC" w:rsidRDefault="00034E76" w:rsidP="00034E76">
      <w:pPr>
        <w:spacing w:line="480" w:lineRule="auto"/>
      </w:pPr>
    </w:p>
    <w:p w14:paraId="5257DD03" w14:textId="77777777" w:rsidR="00034E76" w:rsidRPr="000E7240" w:rsidRDefault="00034E76" w:rsidP="00034E76">
      <w:pPr>
        <w:spacing w:line="480" w:lineRule="auto"/>
        <w:rPr>
          <w:b/>
          <w:bCs/>
        </w:rPr>
      </w:pPr>
      <w:r>
        <w:rPr>
          <w:b/>
          <w:bCs/>
        </w:rPr>
        <w:t>Disrupting crime via roads policing</w:t>
      </w:r>
    </w:p>
    <w:p w14:paraId="0FC69362" w14:textId="77777777" w:rsidR="00034E76" w:rsidRDefault="00034E76" w:rsidP="00034E76">
      <w:pPr>
        <w:spacing w:line="480" w:lineRule="auto"/>
      </w:pPr>
      <w:r>
        <w:t>Use of the roads by criminals extends</w:t>
      </w:r>
      <w:r w:rsidRPr="00794A55">
        <w:t xml:space="preserve"> from </w:t>
      </w:r>
      <w:r>
        <w:t>low-level</w:t>
      </w:r>
      <w:r w:rsidRPr="00794A55">
        <w:t xml:space="preserve"> </w:t>
      </w:r>
      <w:r>
        <w:t>driving</w:t>
      </w:r>
      <w:r w:rsidRPr="00794A55">
        <w:t xml:space="preserve"> offences to international organised crime. The</w:t>
      </w:r>
      <w:r>
        <w:t xml:space="preserve"> road network is as much a tool for criminal activity as it is for legitimate business, since criminals in most cases rely on the roads to conduct their business. For example, in order for drugs or weapons to end up in the hands of those who would use or sell them, they have to find their way from wherever they have come from to wherever they need to be next, and this invariably means transport by road. </w:t>
      </w:r>
      <w:r>
        <w:lastRenderedPageBreak/>
        <w:t xml:space="preserve">There are also, of course, road-specific offences which can </w:t>
      </w:r>
      <w:r w:rsidRPr="00410EE9">
        <w:rPr>
          <w:i/>
          <w:iCs/>
        </w:rPr>
        <w:t>only</w:t>
      </w:r>
      <w:r>
        <w:t xml:space="preserve"> be committed on a road, which are therefore necessarily facilitated by the road network itself.</w:t>
      </w:r>
    </w:p>
    <w:p w14:paraId="5010E187" w14:textId="77777777" w:rsidR="00034E76" w:rsidRDefault="00034E76" w:rsidP="00034E76">
      <w:pPr>
        <w:spacing w:line="480" w:lineRule="auto"/>
      </w:pPr>
      <w:r>
        <w:t xml:space="preserve">The link between offending on the roads and other forms of offending has long been identified and established. Research indicates that people who commit serious driving offences (e.g. driving whilst disqualified, dangerous driving, driving under the influence of alcohol, etc) are more likely than those who do not of involving themselves in other kinds of criminal behaviour. Driving whilst disqualified is a particularly strong predictor of further and more varied criminality </w:t>
      </w:r>
      <w:sdt>
        <w:sdtPr>
          <w:id w:val="-956180936"/>
          <w:citation/>
        </w:sdtPr>
        <w:sdtContent>
          <w:r>
            <w:fldChar w:fldCharType="begin"/>
          </w:r>
          <w:r>
            <w:instrText xml:space="preserve"> CITATION Roa19 \l 2057 </w:instrText>
          </w:r>
          <w:r>
            <w:fldChar w:fldCharType="separate"/>
          </w:r>
          <w:r w:rsidRPr="00B87852">
            <w:rPr>
              <w:noProof/>
            </w:rPr>
            <w:t>(Roach, 2019)</w:t>
          </w:r>
          <w:r>
            <w:fldChar w:fldCharType="end"/>
          </w:r>
        </w:sdtContent>
      </w:sdt>
      <w:r>
        <w:t>.</w:t>
      </w:r>
    </w:p>
    <w:p w14:paraId="32A8EA76" w14:textId="77777777" w:rsidR="00034E76" w:rsidRDefault="00034E76" w:rsidP="00034E76">
      <w:pPr>
        <w:spacing w:line="480" w:lineRule="auto"/>
      </w:pPr>
      <w:r>
        <w:t xml:space="preserve">Studies suggest this is due to a strong relationship between criminal behaviour and merely risky behaviour, as well as social deviance. The theory here asserts that people operate in thought and action in much the same way, relatively speaking, across a range of different situations and environments, and those with a tendency to engage in risky behaviour or with low levels of self-control are less likely to acknowledge the long-term negative impact of their actions in favour of short-term fulfilment </w:t>
      </w:r>
      <w:sdt>
        <w:sdtPr>
          <w:id w:val="1784149877"/>
          <w:citation/>
        </w:sdtPr>
        <w:sdtContent>
          <w:r>
            <w:fldChar w:fldCharType="begin"/>
          </w:r>
          <w:r>
            <w:instrText xml:space="preserve"> CITATION Pal05 \l 2057 </w:instrText>
          </w:r>
          <w:r>
            <w:fldChar w:fldCharType="separate"/>
          </w:r>
          <w:r w:rsidRPr="00DE1F84">
            <w:rPr>
              <w:noProof/>
            </w:rPr>
            <w:t>(Palk &amp; Davey, 2005)</w:t>
          </w:r>
          <w:r>
            <w:fldChar w:fldCharType="end"/>
          </w:r>
        </w:sdtContent>
      </w:sdt>
      <w:r>
        <w:t xml:space="preserve">. </w:t>
      </w:r>
    </w:p>
    <w:p w14:paraId="1537725C" w14:textId="77777777" w:rsidR="00034E76" w:rsidRDefault="00034E76" w:rsidP="00034E76">
      <w:pPr>
        <w:spacing w:line="480" w:lineRule="auto"/>
      </w:pPr>
      <w:r>
        <w:t xml:space="preserve">Effective enforcement of powers based on intelligence to police the roads ultimately results in denial of access to criminals, the knock-on effect of which is disruption of wider criminal activity. Police have specific powers to stop, search, and seize vehicles in a variety of circumstances, and a healthy knowledge of the applicability and extent of these powers can aid in detecting evidence of further offences once a driving offence has been identified (e.g. a lawful search of a stopped car being driven without adequate insurance uncovers controlled substances stashed in the boot). Technology – such as CCTV, automatic number plate recognition (ANPR), and average speed cameras, as well devices for the tracking of vehicles – can be implemented to identify driving offenders </w:t>
      </w:r>
      <w:sdt>
        <w:sdtPr>
          <w:id w:val="1994994746"/>
          <w:citation/>
        </w:sdtPr>
        <w:sdtContent>
          <w:r>
            <w:fldChar w:fldCharType="begin"/>
          </w:r>
          <w:r>
            <w:instrText xml:space="preserve"> CITATION Col19 \l 2057 </w:instrText>
          </w:r>
          <w:r>
            <w:fldChar w:fldCharType="separate"/>
          </w:r>
          <w:r w:rsidRPr="00912D67">
            <w:rPr>
              <w:noProof/>
            </w:rPr>
            <w:t>(College of Policing, 2019)</w:t>
          </w:r>
          <w:r>
            <w:fldChar w:fldCharType="end"/>
          </w:r>
        </w:sdtContent>
      </w:sdt>
      <w:r>
        <w:t xml:space="preserve">. </w:t>
      </w:r>
    </w:p>
    <w:p w14:paraId="0B2ADD76" w14:textId="77777777" w:rsidR="00034E76" w:rsidRDefault="00034E76" w:rsidP="00034E76">
      <w:pPr>
        <w:spacing w:line="480" w:lineRule="auto"/>
      </w:pPr>
      <w:r>
        <w:t xml:space="preserve">Recent evidence indicates that improved investment in roads policing drives down crime. In 2020 Staffordshire Police reported success with dedicated operations to proactively crack down on anti-social road use, as well as tech updates to the ANPR camera </w:t>
      </w:r>
      <w:r w:rsidRPr="005D0554">
        <w:t>network enabling analysts to create intelligence assessments in order to better target criminal activity.</w:t>
      </w:r>
      <w:r w:rsidRPr="00410EE9">
        <w:rPr>
          <w:color w:val="1F2025"/>
          <w:shd w:val="clear" w:color="auto" w:fill="FFFFFF"/>
        </w:rPr>
        <w:t> I</w:t>
      </w:r>
      <w:r>
        <w:t xml:space="preserve">ncreased arrests and vehicle seizures have followed these changes, contributing to strong results that only further evidence that dedicated and well-funded roads policing led and assisted by intelligence and technology works to disrupt wider criminality, as well as make roads markedly safer </w:t>
      </w:r>
      <w:sdt>
        <w:sdtPr>
          <w:id w:val="207382535"/>
          <w:citation/>
        </w:sdtPr>
        <w:sdtContent>
          <w:r>
            <w:fldChar w:fldCharType="begin"/>
          </w:r>
          <w:r>
            <w:instrText xml:space="preserve"> CITATION Sta20 \l 2057 </w:instrText>
          </w:r>
          <w:r>
            <w:fldChar w:fldCharType="separate"/>
          </w:r>
          <w:r w:rsidRPr="00D45FDB">
            <w:rPr>
              <w:noProof/>
            </w:rPr>
            <w:t>(Staffordshire Police, 2020)</w:t>
          </w:r>
          <w:r>
            <w:fldChar w:fldCharType="end"/>
          </w:r>
        </w:sdtContent>
      </w:sdt>
      <w:r>
        <w:t xml:space="preserve">. </w:t>
      </w:r>
    </w:p>
    <w:p w14:paraId="067EA787" w14:textId="77777777" w:rsidR="00034E76" w:rsidRDefault="00034E76" w:rsidP="00034E76">
      <w:pPr>
        <w:spacing w:line="480" w:lineRule="auto"/>
      </w:pPr>
    </w:p>
    <w:p w14:paraId="43ED873C" w14:textId="77777777" w:rsidR="00034E76" w:rsidRPr="000E7240" w:rsidRDefault="00034E76" w:rsidP="00034E76">
      <w:pPr>
        <w:spacing w:line="480" w:lineRule="auto"/>
        <w:rPr>
          <w:b/>
          <w:bCs/>
          <w:color w:val="auto"/>
          <w:sz w:val="22"/>
          <w:szCs w:val="22"/>
        </w:rPr>
      </w:pPr>
      <w:r>
        <w:rPr>
          <w:b/>
          <w:bCs/>
        </w:rPr>
        <w:lastRenderedPageBreak/>
        <w:t xml:space="preserve">Making decisions in investigations </w:t>
      </w:r>
    </w:p>
    <w:p w14:paraId="0A69F48C" w14:textId="77777777" w:rsidR="00034E76" w:rsidRDefault="00034E76" w:rsidP="00034E76">
      <w:pPr>
        <w:spacing w:line="480" w:lineRule="auto"/>
      </w:pPr>
      <w:r>
        <w:t xml:space="preserve">Many investigations can, and often need to, be dealt with at a considered pace, without urgency clouding the decision-making process. Logic-based reasoning takes time, particularly when dealing in and processing significant amounts of information. On many other occasions, however, time is of the essence and immediate actions need to be taken. Regardless of time factors, the basic </w:t>
      </w:r>
      <w:r w:rsidRPr="000E7240">
        <w:rPr>
          <w:b/>
          <w:bCs/>
        </w:rPr>
        <w:t>principles of investigation</w:t>
      </w:r>
      <w:r>
        <w:t xml:space="preserve"> should always be adhered to. </w:t>
      </w:r>
    </w:p>
    <w:p w14:paraId="1DD759FB" w14:textId="77777777" w:rsidR="00034E76" w:rsidRDefault="00034E76" w:rsidP="00034E76">
      <w:pPr>
        <w:spacing w:line="480" w:lineRule="auto"/>
      </w:pPr>
      <w:r>
        <w:t xml:space="preserve">These principles include: exercise of offence-proportionate powers; transparency, as far as is practical within operational and confidentiality strictures; recognising and taking reasonable steps to meet the specific needs of individuals, particularly if they are very young or vulnerable; upholding a professional and respectful manner in all actions taken and towards all parties involved, including other professionals connected to the investigation </w:t>
      </w:r>
      <w:sdt>
        <w:sdtPr>
          <w:id w:val="272212707"/>
          <w:citation/>
        </w:sdtPr>
        <w:sdtContent>
          <w:r>
            <w:fldChar w:fldCharType="begin"/>
          </w:r>
          <w:r>
            <w:instrText xml:space="preserve"> CITATION Col202 \l 2057 </w:instrText>
          </w:r>
          <w:r>
            <w:fldChar w:fldCharType="separate"/>
          </w:r>
          <w:r w:rsidRPr="00B73DB2">
            <w:rPr>
              <w:noProof/>
            </w:rPr>
            <w:t>(College of Policing, 2020)</w:t>
          </w:r>
          <w:r>
            <w:fldChar w:fldCharType="end"/>
          </w:r>
        </w:sdtContent>
      </w:sdt>
      <w:r>
        <w:t xml:space="preserve">. These ensure an investigation has proper form and perspective, allowing communities to be served well by strong investigative practices in adherence to professional standards. </w:t>
      </w:r>
    </w:p>
    <w:p w14:paraId="69A3B1B8" w14:textId="77777777" w:rsidR="00034E76" w:rsidRDefault="00034E76" w:rsidP="00034E76">
      <w:pPr>
        <w:spacing w:line="480" w:lineRule="auto"/>
      </w:pPr>
      <w:r>
        <w:t xml:space="preserve">Investigations also require a prescribed </w:t>
      </w:r>
      <w:r w:rsidRPr="000E7240">
        <w:rPr>
          <w:b/>
          <w:bCs/>
        </w:rPr>
        <w:t>investigative mindset</w:t>
      </w:r>
      <w:r>
        <w:t>, which helps to remove some of the chaos surrounding the accumulation and assessment of material</w:t>
      </w:r>
      <w:sdt>
        <w:sdtPr>
          <w:id w:val="-2135860817"/>
          <w:citation/>
        </w:sdtPr>
        <w:sdtContent>
          <w:r>
            <w:fldChar w:fldCharType="begin"/>
          </w:r>
          <w:r>
            <w:instrText xml:space="preserve"> CITATION Col21 \l 2057 </w:instrText>
          </w:r>
          <w:r>
            <w:fldChar w:fldCharType="separate"/>
          </w:r>
          <w:r>
            <w:rPr>
              <w:noProof/>
            </w:rPr>
            <w:t xml:space="preserve"> </w:t>
          </w:r>
          <w:r w:rsidRPr="009503B1">
            <w:rPr>
              <w:noProof/>
            </w:rPr>
            <w:t>(College of Policing, 2021)</w:t>
          </w:r>
          <w:r>
            <w:fldChar w:fldCharType="end"/>
          </w:r>
        </w:sdtContent>
      </w:sdt>
      <w:r>
        <w:t xml:space="preserve">. Five principles constitute this systematic approach: understand the source material; plan the investigation; examine the material; record findings; evaluate the material. A periodical review of the source material by extension allows a periodical review of the progress of the investigation and any actions already taken, and this in turn affords the opportunity to identify further lines of inquiry. </w:t>
      </w:r>
    </w:p>
    <w:p w14:paraId="47E5E13F" w14:textId="77777777" w:rsidR="00034E76" w:rsidRDefault="00034E76" w:rsidP="00034E76">
      <w:pPr>
        <w:spacing w:line="480" w:lineRule="auto"/>
      </w:pPr>
      <w:r>
        <w:t xml:space="preserve">An </w:t>
      </w:r>
      <w:r w:rsidRPr="000E7240">
        <w:rPr>
          <w:b/>
          <w:bCs/>
        </w:rPr>
        <w:t>investigative hypothesis</w:t>
      </w:r>
      <w:r>
        <w:t xml:space="preserve"> – a running theory on the most likely and reasonable explanation based on an interpretation of the information available – can help to guide the investigation. A hypothesis is a word scientists use to lay out their aims and expected outcomes when conducting experiments, and it applies here too. While always remaining wary of not letting a hypothesis focus inquiries around a desired outcome, it can be a helpful way to inform investigative actions to confirm or negate assumptions.</w:t>
      </w:r>
    </w:p>
    <w:p w14:paraId="58FEFBF6" w14:textId="77777777" w:rsidR="00034E76" w:rsidRDefault="00034E76" w:rsidP="00034E76">
      <w:pPr>
        <w:spacing w:line="480" w:lineRule="auto"/>
      </w:pPr>
      <w:r>
        <w:t xml:space="preserve">All investigations need a plan to affirm and delineate what actions are to be taken to progress the investigation. This </w:t>
      </w:r>
      <w:r w:rsidRPr="000E7240">
        <w:rPr>
          <w:b/>
          <w:bCs/>
        </w:rPr>
        <w:t>investigative strategy</w:t>
      </w:r>
      <w:r>
        <w:t xml:space="preserve"> is the blueprint that investigators must establish early on, utilising the principles of investigation, investigative mindset, and investigative hypotheses to arrive at a working model for purposeful action. Research shows that when operating under </w:t>
      </w:r>
      <w:r w:rsidRPr="000E7240">
        <w:rPr>
          <w:i/>
          <w:iCs/>
        </w:rPr>
        <w:t>no</w:t>
      </w:r>
      <w:r>
        <w:t xml:space="preserve"> time pressure the number of hypotheses individuals generate and consider as possible explanations to solve a </w:t>
      </w:r>
      <w:r>
        <w:lastRenderedPageBreak/>
        <w:t xml:space="preserve">problem is much larger than when decisions must be made quickly. As time constraints become narrower, so does the bracket for hypothetical solutions </w:t>
      </w:r>
      <w:sdt>
        <w:sdtPr>
          <w:id w:val="-1757346569"/>
          <w:citation/>
        </w:sdtPr>
        <w:sdtContent>
          <w:r>
            <w:fldChar w:fldCharType="begin"/>
          </w:r>
          <w:r>
            <w:instrText xml:space="preserve"> CITATION Kim20 \l 2057 </w:instrText>
          </w:r>
          <w:r>
            <w:fldChar w:fldCharType="separate"/>
          </w:r>
          <w:r w:rsidRPr="006C2CA4">
            <w:rPr>
              <w:noProof/>
            </w:rPr>
            <w:t>(Kim, et al., 2020)</w:t>
          </w:r>
          <w:r>
            <w:fldChar w:fldCharType="end"/>
          </w:r>
        </w:sdtContent>
      </w:sdt>
      <w:r>
        <w:t xml:space="preserve">. In other words, we have fewer ideas for what the answer is likely to be when we have less time available, which is a hindrance to any investigative strategy. </w:t>
      </w:r>
    </w:p>
    <w:p w14:paraId="4914F08C" w14:textId="77777777" w:rsidR="00034E76" w:rsidRDefault="00034E76" w:rsidP="00034E76">
      <w:pPr>
        <w:spacing w:line="480" w:lineRule="auto"/>
      </w:pPr>
      <w:r>
        <w:t xml:space="preserve">All of these terms and models serve one primary purpose: arriving at a decision. The police National Decision Medal (NDM) is a framework for justifying actions within the context of British policing values. It marks out an optimal flow of information collection, into value-judgement, into action and review. An investigative strategy only really feeds the first stage of the NDM, which is to </w:t>
      </w:r>
      <w:r w:rsidRPr="00DA5C87">
        <w:t>gather</w:t>
      </w:r>
      <w:r w:rsidRPr="000E7240">
        <w:rPr>
          <w:b/>
          <w:bCs/>
        </w:rPr>
        <w:t xml:space="preserve"> information and intelligence</w:t>
      </w:r>
      <w:r>
        <w:t xml:space="preserve">. This alone cannot inform action, but it is necessary to know as much as possible surrounding that about which you are to decide a course of action, so that the relevant </w:t>
      </w:r>
      <w:r w:rsidRPr="000E7240">
        <w:rPr>
          <w:b/>
          <w:bCs/>
        </w:rPr>
        <w:t>threat and risk</w:t>
      </w:r>
      <w:r>
        <w:t xml:space="preserve"> can be assessed. Just because an action can be taken doesn’t mean that it should. Consideration of what </w:t>
      </w:r>
      <w:r w:rsidRPr="000E7240">
        <w:rPr>
          <w:b/>
          <w:bCs/>
        </w:rPr>
        <w:t>powers and policy</w:t>
      </w:r>
      <w:r>
        <w:t xml:space="preserve"> apply populates a roster of available </w:t>
      </w:r>
      <w:r w:rsidRPr="000E7240">
        <w:rPr>
          <w:b/>
          <w:bCs/>
        </w:rPr>
        <w:t>options and contingencies</w:t>
      </w:r>
      <w:r>
        <w:t xml:space="preserve">, from which an </w:t>
      </w:r>
      <w:r w:rsidRPr="000E7240">
        <w:rPr>
          <w:b/>
          <w:bCs/>
        </w:rPr>
        <w:t>action</w:t>
      </w:r>
      <w:r>
        <w:t xml:space="preserve"> is ultimately selected, and results are </w:t>
      </w:r>
      <w:r w:rsidRPr="000E7240">
        <w:rPr>
          <w:b/>
          <w:bCs/>
        </w:rPr>
        <w:t xml:space="preserve">reviewed </w:t>
      </w:r>
      <w:sdt>
        <w:sdtPr>
          <w:rPr>
            <w:b/>
            <w:bCs/>
          </w:rPr>
          <w:id w:val="1572936818"/>
          <w:citation/>
        </w:sdtPr>
        <w:sdtContent>
          <w:r w:rsidRPr="000E7240">
            <w:rPr>
              <w:b/>
              <w:bCs/>
            </w:rPr>
            <w:fldChar w:fldCharType="begin"/>
          </w:r>
          <w:r w:rsidRPr="000E7240">
            <w:rPr>
              <w:b/>
              <w:bCs/>
            </w:rPr>
            <w:instrText xml:space="preserve"> CITATION Col141 \l 2057 </w:instrText>
          </w:r>
          <w:r w:rsidRPr="000E7240">
            <w:rPr>
              <w:b/>
              <w:bCs/>
            </w:rPr>
            <w:fldChar w:fldCharType="separate"/>
          </w:r>
          <w:r w:rsidRPr="00A05429">
            <w:rPr>
              <w:rFonts w:eastAsiaTheme="minorHAnsi"/>
              <w:noProof/>
            </w:rPr>
            <w:t>(College of Policing, 2014)</w:t>
          </w:r>
          <w:r w:rsidRPr="000E7240">
            <w:rPr>
              <w:b/>
              <w:bCs/>
            </w:rPr>
            <w:fldChar w:fldCharType="end"/>
          </w:r>
        </w:sdtContent>
      </w:sdt>
      <w:r>
        <w:t xml:space="preserve">. </w:t>
      </w:r>
    </w:p>
    <w:p w14:paraId="435CFF14" w14:textId="77777777" w:rsidR="00034E76" w:rsidRDefault="00034E76" w:rsidP="00034E76">
      <w:pPr>
        <w:spacing w:line="480" w:lineRule="auto"/>
      </w:pPr>
      <w:r>
        <w:t>I responded to a priority call to an address where it was reported that an incident of domestic assault had occurred. The alleged victim was at her parents’ house, and her father had called the police on her behalf. I arrived and the female was intoxicated through alcohol. Straight away I knew because of this I would not be able to take a statement from her that night. The female was very inconsistent about whether or not she wanted police involved, and was very difficult to speak to and get any information out of. I could see her arms and legs were covered in bruises, some old and some fresh. Her parents were extremely worried, since she had called them the night before and asked them to collect her from her partner’s address because she was scared, and her partner had “whacked” her. I needed to get as much information as possible about the incident, the relationship as a whole, the partner, the female, and any other factors that might become relevant, so that I could evaluate the potential for harm within the situation.</w:t>
      </w:r>
    </w:p>
    <w:p w14:paraId="61B28266" w14:textId="77777777" w:rsidR="00034E76" w:rsidRDefault="00034E76" w:rsidP="00034E76">
      <w:pPr>
        <w:spacing w:line="480" w:lineRule="auto"/>
      </w:pPr>
      <w:r>
        <w:t xml:space="preserve">I sat down opposite the female and established some rapport just talking about normal things, commenting on the weather, complimenting her on her red trainers, etc. She was happy to show me all her bruises, but had different stories for how she got them. I suspected she might not want to show me them again if she decided against supporting police action, so I took pictures immediately with her consent. Then I asked her what had happened the night before. I spent a long time teasing </w:t>
      </w:r>
      <w:r>
        <w:lastRenderedPageBreak/>
        <w:t xml:space="preserve">information out of her, appealing against her emotional dependency on the relationship and politely challenging contradictions in what she was saying, to highlight the need for a true account of the incident. Eventually she disclosed she had been assaulted by her partner, and though some of the bruises were consistent with the type of contact described, they were not fresh enough to have been caused the night before. The female was an alcoholic, and she had a known tendency to have bad falls at home and in public. Whilst this may have somewhat mitigated the chances that her partner had caused these bruises, I thought it would be easy to leave a bruise and convince a forgetful alcoholic she had fallen and just couldn’t remember. My investigative hypothesis was that she was telling the truth about the assault, but that the bruising was not caused by it. </w:t>
      </w:r>
    </w:p>
    <w:p w14:paraId="18415E9F" w14:textId="77777777" w:rsidR="00034E76" w:rsidRDefault="00034E76" w:rsidP="00034E76">
      <w:pPr>
        <w:spacing w:line="480" w:lineRule="auto"/>
      </w:pPr>
      <w:r>
        <w:t xml:space="preserve">I obtained a signed pocket-notebook account disclosing the assault and withdrawing support for police action. She did not want her partner arrested, and she said it was because she was scared of making him angry. I completed a risk assessment questionnaire with the female, and considered my powers. I could arrest the partner for assault, the necessity being to protect the victim who had already said she would be going back to him that night after I left. But without support from the victim No Further Action would be the likely outcome, and I feared that may put the female at greater risk for the sake of a token arrest and interview. My other option was to not arrest, and safeguard the female and her parents with words of advice, and submit the appropriate referrals. I also asked for the log to remain open and be deferred to the morning for a welfare check visit to be made, where it could be confirmed whether or not she had changed her mind about supporting an investigation. The female promised me she would stay with her parents for the night. This was achieved through a strong rapport built over the course of my interactions with her. </w:t>
      </w:r>
    </w:p>
    <w:p w14:paraId="1ED7ABE4" w14:textId="77777777" w:rsidR="00034E76" w:rsidRDefault="00034E76" w:rsidP="00034E76">
      <w:pPr>
        <w:spacing w:line="480" w:lineRule="auto"/>
      </w:pPr>
      <w:r>
        <w:t>I utilised the NDM process in real time as I was dealing with the female to work out what I should do. My assessment of the risk was borderline, and I recognised compromises in either of my two options. I decided not to take action against the partner. I followed up the next day and the female had stayed at her parents’ all night, but gone back to the partner the following day. My referrals were picked up and the appropriate partner agencies undertook her case, to offer support for domestic abuse, alcohol issues, and mental health issues. I believe my decisions actually minimised risk in this instance, and though I felt conflicted I can justify my actions through the NDM, and application of the code of ethics and principles of investigation.</w:t>
      </w:r>
    </w:p>
    <w:p w14:paraId="52EA1129" w14:textId="77777777" w:rsidR="00034E76" w:rsidRDefault="00034E76" w:rsidP="00034E76">
      <w:pPr>
        <w:spacing w:line="480" w:lineRule="auto"/>
      </w:pPr>
    </w:p>
    <w:p w14:paraId="78A128BC" w14:textId="77777777" w:rsidR="00034E76" w:rsidRPr="00337000" w:rsidRDefault="00034E76" w:rsidP="00034E76">
      <w:pPr>
        <w:spacing w:line="480" w:lineRule="auto"/>
        <w:rPr>
          <w:b/>
          <w:bCs/>
        </w:rPr>
      </w:pPr>
      <w:r>
        <w:rPr>
          <w:b/>
          <w:bCs/>
        </w:rPr>
        <w:lastRenderedPageBreak/>
        <w:t>Interviewing techniques</w:t>
      </w:r>
    </w:p>
    <w:p w14:paraId="59A4A224" w14:textId="77777777" w:rsidR="00034E76" w:rsidRDefault="00034E76" w:rsidP="00034E76">
      <w:pPr>
        <w:spacing w:line="480" w:lineRule="auto"/>
      </w:pPr>
      <w:r>
        <w:t xml:space="preserve">I arrested and interviewed a suspect on suspicion of stalking and assault against his ex-partner. I had already gathered evidence of threatening messages sent to the victim, and CCTV of the assault. I prepared my interview around the PEACE framework – an investigative interviewing model </w:t>
      </w:r>
      <w:sdt>
        <w:sdtPr>
          <w:id w:val="-1381159009"/>
          <w:citation/>
        </w:sdtPr>
        <w:sdtContent>
          <w:r>
            <w:fldChar w:fldCharType="begin"/>
          </w:r>
          <w:r>
            <w:instrText xml:space="preserve"> CITATION Col203 \l 2057 </w:instrText>
          </w:r>
          <w:r>
            <w:fldChar w:fldCharType="separate"/>
          </w:r>
          <w:r w:rsidRPr="00B743A9">
            <w:rPr>
              <w:rFonts w:eastAsiaTheme="minorHAnsi"/>
              <w:noProof/>
            </w:rPr>
            <w:t>(College of Policing, 2020)</w:t>
          </w:r>
          <w:r>
            <w:fldChar w:fldCharType="end"/>
          </w:r>
        </w:sdtContent>
      </w:sdt>
      <w:r>
        <w:t xml:space="preserve">. </w:t>
      </w:r>
    </w:p>
    <w:p w14:paraId="1BED2402" w14:textId="77777777" w:rsidR="00034E76" w:rsidRDefault="00034E76" w:rsidP="00034E76">
      <w:pPr>
        <w:spacing w:line="480" w:lineRule="auto"/>
      </w:pPr>
      <w:r>
        <w:t xml:space="preserve">I knew the success of the interview would likely depend on my </w:t>
      </w:r>
      <w:r>
        <w:rPr>
          <w:b/>
          <w:bCs/>
        </w:rPr>
        <w:t>planning and preparation</w:t>
      </w:r>
      <w:r>
        <w:t>. I took account of all the information available, my key objectives, and the various issues and factors involved, and created a written plan to provide structure to my intended lines of questioning. My questions covered a range of topics relevant to the investigation, the plan including all the points to prove, lines of defence, introduction of exhibits, and bad character evidence. I planned to disclose the CCTV footage and evidence of the messages to begin with, but introduce them late on in the interview, after the suspect had been given the chance to pre-empt their introduction with an explanation, though I expected no comment. The suspect did not have a solicitor so I prepared disclosure to provide to him directly before the interview.</w:t>
      </w:r>
    </w:p>
    <w:p w14:paraId="738B2DE6" w14:textId="77777777" w:rsidR="00034E76" w:rsidRDefault="00034E76" w:rsidP="00034E76">
      <w:pPr>
        <w:spacing w:line="480" w:lineRule="auto"/>
      </w:pPr>
      <w:r>
        <w:t xml:space="preserve">Beginning the interview I proceeded to </w:t>
      </w:r>
      <w:r>
        <w:rPr>
          <w:b/>
          <w:bCs/>
        </w:rPr>
        <w:t xml:space="preserve">engage </w:t>
      </w:r>
      <w:r>
        <w:t xml:space="preserve">the suspect and </w:t>
      </w:r>
      <w:r>
        <w:rPr>
          <w:b/>
          <w:bCs/>
        </w:rPr>
        <w:t xml:space="preserve">explain </w:t>
      </w:r>
      <w:r>
        <w:t>the objectives of the interview, and what routines and type of communication would be expected of him (e.g. to keep answers verbal, etc). I also emphasised that the interview was his chance to put forward his side of the story, and that the arrest was necessary to get to the interview, rather than any assumption of guilt. I encouraged the suspect to offer any information he felt might be relevant to the investigation. This was all part of the extensive aide memoir from which I was taking prompts.</w:t>
      </w:r>
    </w:p>
    <w:p w14:paraId="3D6CD434" w14:textId="77777777" w:rsidR="00034E76" w:rsidRDefault="00034E76" w:rsidP="00034E76">
      <w:pPr>
        <w:spacing w:line="480" w:lineRule="auto"/>
      </w:pPr>
      <w:r>
        <w:t xml:space="preserve">I then asked outright whether he was responsible for the alleged offences, to which he answered “no comment”, before asking him to tell me in his own words what happened. This would form the suspect agenda – part of the </w:t>
      </w:r>
      <w:r>
        <w:rPr>
          <w:b/>
          <w:bCs/>
        </w:rPr>
        <w:t>account, clarification, and challenge</w:t>
      </w:r>
      <w:r>
        <w:t xml:space="preserve"> stage. As I suspected the suspect refused to comment, so I quickly moved on to the police agenda – my question plan. My questions were carefully open-ended, starting with “tell me”, “describe”, or “explain”, with specific-closed questions ready to follow up if greeted with a vague or non-answer. I was careful not to face the suspect with any forced-choice, multiple, or leading questions. </w:t>
      </w:r>
    </w:p>
    <w:p w14:paraId="1315AE47" w14:textId="77777777" w:rsidR="00034E76" w:rsidRDefault="00034E76" w:rsidP="00034E76">
      <w:pPr>
        <w:spacing w:line="480" w:lineRule="auto"/>
      </w:pPr>
      <w:r>
        <w:t xml:space="preserve">The suspect provided some responses to my questions, which I treated like a suspect agenda response, circling topics and probing as far as he would let me. I recapped what was said after each topic was exhausted, though he didn’t say a great deal. He did deny assaulting the victim, however. </w:t>
      </w:r>
      <w:r>
        <w:lastRenderedPageBreak/>
        <w:t xml:space="preserve">Later I introduced my evidence, and showed him the footage, which clearly showed the offence. When I asked him again if he assaulted the victim he this time refused to comment. His defence for the messages was that the victim must have hacked his phone. I challenged the sense of this defence and he then went back to no-comment. </w:t>
      </w:r>
    </w:p>
    <w:p w14:paraId="41CB9609" w14:textId="77777777" w:rsidR="00034E76" w:rsidRPr="00B0183A" w:rsidRDefault="00034E76" w:rsidP="00034E76">
      <w:pPr>
        <w:spacing w:line="480" w:lineRule="auto"/>
      </w:pPr>
      <w:r>
        <w:t xml:space="preserve">In the </w:t>
      </w:r>
      <w:r>
        <w:rPr>
          <w:b/>
          <w:bCs/>
        </w:rPr>
        <w:t>closure</w:t>
      </w:r>
      <w:r>
        <w:t xml:space="preserve"> stage I summarised all that had been asked and said, asked if there was anything the suspect wished to add or clarify, announced the time of conclusion, and turned off the recording equipment. I then took the suspect back to his cell and explained that I would discuss what happened with the custody sergeant before next action would be decided. That </w:t>
      </w:r>
      <w:r>
        <w:rPr>
          <w:b/>
          <w:bCs/>
        </w:rPr>
        <w:t xml:space="preserve">evaluation </w:t>
      </w:r>
      <w:r>
        <w:t xml:space="preserve">phase took place at the custody desk, where the sergeant decided to bail the suspect for CPS advice based on the evidence obtained. </w:t>
      </w:r>
    </w:p>
    <w:p w14:paraId="4C50E184" w14:textId="7062DEA7" w:rsidR="00025650" w:rsidRPr="00E676F7" w:rsidRDefault="00034E76" w:rsidP="00034E76">
      <w:r>
        <w:t>(2,535 words)</w:t>
      </w: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CA3400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39679CE" w14:textId="77777777" w:rsidR="006C73B1" w:rsidRPr="006C73B1" w:rsidRDefault="006C73B1" w:rsidP="006C73B1">
            <w:pPr>
              <w:rPr>
                <w:rFonts w:ascii="Times New Roman" w:hAnsi="Times New Roman" w:cs="Times New Roman"/>
                <w:sz w:val="24"/>
                <w:szCs w:val="24"/>
                <w:lang w:eastAsia="zh-TW"/>
              </w:rPr>
            </w:pPr>
          </w:p>
          <w:p w14:paraId="07B88D2D" w14:textId="77777777" w:rsidR="006C73B1" w:rsidRPr="006C73B1" w:rsidRDefault="006C73B1" w:rsidP="006C73B1">
            <w:pPr>
              <w:rPr>
                <w:rFonts w:ascii="Times New Roman" w:hAnsi="Times New Roman" w:cs="Times New Roman"/>
                <w:sz w:val="24"/>
                <w:szCs w:val="24"/>
                <w:lang w:eastAsia="zh-TW"/>
              </w:rPr>
            </w:pPr>
          </w:p>
          <w:p w14:paraId="5946D833" w14:textId="77777777" w:rsidR="006C73B1" w:rsidRPr="006C73B1" w:rsidRDefault="006C73B1" w:rsidP="006C73B1">
            <w:pPr>
              <w:rPr>
                <w:rFonts w:ascii="Times New Roman" w:hAnsi="Times New Roman" w:cs="Times New Roman"/>
                <w:sz w:val="24"/>
                <w:szCs w:val="24"/>
                <w:lang w:eastAsia="zh-TW"/>
              </w:rPr>
            </w:pPr>
          </w:p>
          <w:p w14:paraId="0C01B2AF" w14:textId="77777777" w:rsidR="006C73B1" w:rsidRDefault="006C73B1" w:rsidP="006C73B1">
            <w:pPr>
              <w:rPr>
                <w:sz w:val="22"/>
                <w:szCs w:val="22"/>
                <w:lang w:eastAsia="zh-TW"/>
              </w:rPr>
            </w:pPr>
          </w:p>
          <w:p w14:paraId="3BA3D972" w14:textId="17D9C60E" w:rsidR="006C73B1" w:rsidRPr="006C73B1" w:rsidRDefault="006C73B1" w:rsidP="00DA3B42">
            <w:pPr>
              <w:jc w:val="center"/>
              <w:rPr>
                <w:b/>
                <w:bCs/>
                <w:sz w:val="22"/>
                <w:szCs w:val="22"/>
                <w:lang w:eastAsia="zh-TW"/>
              </w:rPr>
            </w:pPr>
            <w:r>
              <w:rPr>
                <w:b/>
                <w:bCs/>
                <w:sz w:val="22"/>
                <w:szCs w:val="22"/>
                <w:lang w:eastAsia="zh-TW"/>
              </w:rPr>
              <w:t>X</w:t>
            </w:r>
          </w:p>
          <w:p w14:paraId="43CD66C9" w14:textId="38309A7F" w:rsidR="006C73B1" w:rsidRPr="006C73B1" w:rsidRDefault="006C73B1" w:rsidP="006C73B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53C2EA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8E4A34D" w14:textId="77777777" w:rsidR="00DA3B42" w:rsidRPr="00DA3B42" w:rsidRDefault="00DA3B42" w:rsidP="00DA3B42">
            <w:pPr>
              <w:rPr>
                <w:rFonts w:ascii="Times New Roman" w:hAnsi="Times New Roman" w:cs="Times New Roman"/>
                <w:sz w:val="24"/>
                <w:szCs w:val="24"/>
                <w:lang w:eastAsia="zh-TW"/>
              </w:rPr>
            </w:pPr>
          </w:p>
          <w:p w14:paraId="16920F5E" w14:textId="77777777" w:rsidR="00DA3B42" w:rsidRPr="00DA3B42" w:rsidRDefault="00DA3B42" w:rsidP="00DA3B42">
            <w:pPr>
              <w:rPr>
                <w:rFonts w:ascii="Times New Roman" w:hAnsi="Times New Roman" w:cs="Times New Roman"/>
                <w:sz w:val="24"/>
                <w:szCs w:val="24"/>
                <w:lang w:eastAsia="zh-TW"/>
              </w:rPr>
            </w:pPr>
          </w:p>
          <w:p w14:paraId="2D037176" w14:textId="77777777" w:rsidR="00DA3B42" w:rsidRPr="00DA3B42" w:rsidRDefault="00DA3B42" w:rsidP="00DA3B42">
            <w:pPr>
              <w:rPr>
                <w:rFonts w:ascii="Times New Roman" w:hAnsi="Times New Roman" w:cs="Times New Roman"/>
                <w:sz w:val="24"/>
                <w:szCs w:val="24"/>
                <w:lang w:eastAsia="zh-TW"/>
              </w:rPr>
            </w:pPr>
          </w:p>
          <w:p w14:paraId="2CFDA488" w14:textId="77777777" w:rsidR="00DA3B42" w:rsidRDefault="00DA3B42" w:rsidP="00DA3B42">
            <w:pPr>
              <w:rPr>
                <w:sz w:val="22"/>
                <w:szCs w:val="22"/>
                <w:lang w:eastAsia="zh-TW"/>
              </w:rPr>
            </w:pPr>
          </w:p>
          <w:p w14:paraId="5652737D" w14:textId="34256697" w:rsidR="00DA3B42" w:rsidRPr="00DA3B42" w:rsidRDefault="00DA3B42" w:rsidP="00DA3B42">
            <w:pPr>
              <w:jc w:val="center"/>
              <w:rPr>
                <w:b/>
                <w:bCs/>
                <w:sz w:val="22"/>
                <w:szCs w:val="22"/>
                <w:lang w:eastAsia="zh-TW"/>
              </w:rPr>
            </w:pPr>
            <w:r>
              <w:rPr>
                <w:b/>
                <w:bCs/>
                <w:sz w:val="22"/>
                <w:szCs w:val="22"/>
                <w:lang w:eastAsia="zh-TW"/>
              </w:rPr>
              <w:t>X</w:t>
            </w:r>
          </w:p>
          <w:p w14:paraId="77B03C61" w14:textId="199DD072" w:rsidR="00DA3B42" w:rsidRPr="00DA3B42" w:rsidRDefault="00DA3B42" w:rsidP="00DA3B4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3620CDEE"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DA3B42">
              <w:rPr>
                <w:sz w:val="22"/>
                <w:szCs w:val="22"/>
                <w:lang w:eastAsia="zh-TW"/>
              </w:rPr>
              <w:t xml:space="preserve">There are areas of practise that I require advice on, and now and again I come up against questions that I don’t know the answer to, or have forgotten. These tend to be things like how does a member of public make a </w:t>
            </w:r>
            <w:proofErr w:type="spellStart"/>
            <w:r w:rsidR="00DA3B42">
              <w:rPr>
                <w:sz w:val="22"/>
                <w:szCs w:val="22"/>
                <w:lang w:eastAsia="zh-TW"/>
              </w:rPr>
              <w:t>claire’s</w:t>
            </w:r>
            <w:proofErr w:type="spellEnd"/>
            <w:r w:rsidR="00DA3B42">
              <w:rPr>
                <w:sz w:val="22"/>
                <w:szCs w:val="22"/>
                <w:lang w:eastAsia="zh-TW"/>
              </w:rPr>
              <w:t xml:space="preserve"> law application, or what is the realistic threshold for PPO or victimless prosecution. I research things using Pocket Sergeant, PNLD, my own notes, and I regularly ask more experienced officers for their thoughts and advice. Sometimes I think of situations where I would feel uncomfortable and lacking in necessary </w:t>
            </w:r>
            <w:r w:rsidR="00DA3B42">
              <w:rPr>
                <w:sz w:val="22"/>
                <w:szCs w:val="22"/>
                <w:lang w:eastAsia="zh-TW"/>
              </w:rPr>
              <w:lastRenderedPageBreak/>
              <w:t>knowledge, and I will look that up proactively. For example, I had forgotten some of my first aid training, so I went back to my notes and refreshed my knowledge. I am satisfied that my knowledge is broad and deep enough to cope with most situations, and that the support is there for me when my knowledge runs out.</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2BA52B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6B9134D" w14:textId="77777777" w:rsidR="00DA3B42" w:rsidRPr="00DA3B42" w:rsidRDefault="00DA3B42" w:rsidP="00DA3B42">
            <w:pPr>
              <w:rPr>
                <w:rFonts w:ascii="Times New Roman" w:hAnsi="Times New Roman" w:cs="Times New Roman"/>
                <w:sz w:val="24"/>
                <w:szCs w:val="24"/>
                <w:lang w:eastAsia="zh-TW"/>
              </w:rPr>
            </w:pPr>
          </w:p>
          <w:p w14:paraId="7C4CB9FC" w14:textId="77777777" w:rsidR="00DA3B42" w:rsidRPr="00DA3B42" w:rsidRDefault="00DA3B42" w:rsidP="00DA3B42">
            <w:pPr>
              <w:rPr>
                <w:rFonts w:ascii="Times New Roman" w:hAnsi="Times New Roman" w:cs="Times New Roman"/>
                <w:sz w:val="24"/>
                <w:szCs w:val="24"/>
                <w:lang w:eastAsia="zh-TW"/>
              </w:rPr>
            </w:pPr>
          </w:p>
          <w:p w14:paraId="49A96C22" w14:textId="77777777" w:rsidR="00DA3B42" w:rsidRDefault="00DA3B42" w:rsidP="00DA3B42">
            <w:pPr>
              <w:rPr>
                <w:sz w:val="22"/>
                <w:szCs w:val="22"/>
                <w:lang w:eastAsia="zh-TW"/>
              </w:rPr>
            </w:pPr>
          </w:p>
          <w:p w14:paraId="1B71A684" w14:textId="77777777" w:rsidR="00DA3B42" w:rsidRDefault="00DA3B42" w:rsidP="00DA3B42">
            <w:pPr>
              <w:rPr>
                <w:sz w:val="22"/>
                <w:szCs w:val="22"/>
                <w:lang w:eastAsia="zh-TW"/>
              </w:rPr>
            </w:pPr>
          </w:p>
          <w:p w14:paraId="176DE1B2" w14:textId="50F5A2BB" w:rsidR="00DA3B42" w:rsidRPr="00DA3B42" w:rsidRDefault="00DA3B42" w:rsidP="00DA3B42">
            <w:pPr>
              <w:jc w:val="center"/>
              <w:rPr>
                <w:b/>
                <w:bCs/>
                <w:sz w:val="22"/>
                <w:szCs w:val="22"/>
                <w:lang w:eastAsia="zh-TW"/>
              </w:rPr>
            </w:pPr>
            <w:r>
              <w:rPr>
                <w:b/>
                <w:bCs/>
                <w:sz w:val="22"/>
                <w:szCs w:val="22"/>
                <w:lang w:eastAsia="zh-TW"/>
              </w:rPr>
              <w:t>X</w:t>
            </w:r>
          </w:p>
          <w:p w14:paraId="7395E833" w14:textId="720DD33E" w:rsidR="00DA3B42" w:rsidRPr="00DA3B42" w:rsidRDefault="00DA3B42" w:rsidP="00DA3B4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7D76DF9"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85B67A0" w14:textId="77777777" w:rsidR="00DA3B42" w:rsidRDefault="00DA3B42" w:rsidP="009249F8">
            <w:pPr>
              <w:overflowPunct/>
              <w:autoSpaceDE/>
              <w:autoSpaceDN/>
              <w:adjustRightInd/>
              <w:rPr>
                <w:sz w:val="24"/>
                <w:szCs w:val="24"/>
                <w:lang w:eastAsia="zh-TW"/>
              </w:rPr>
            </w:pPr>
          </w:p>
          <w:p w14:paraId="3681CF90" w14:textId="77777777" w:rsidR="00DA3B42" w:rsidRDefault="00DA3B42" w:rsidP="009249F8">
            <w:pPr>
              <w:overflowPunct/>
              <w:autoSpaceDE/>
              <w:autoSpaceDN/>
              <w:adjustRightInd/>
              <w:rPr>
                <w:sz w:val="24"/>
                <w:szCs w:val="24"/>
                <w:lang w:eastAsia="zh-TW"/>
              </w:rPr>
            </w:pPr>
          </w:p>
          <w:p w14:paraId="2331A32A" w14:textId="77777777" w:rsidR="00DA3B42" w:rsidRDefault="00DA3B42" w:rsidP="009249F8">
            <w:pPr>
              <w:overflowPunct/>
              <w:autoSpaceDE/>
              <w:autoSpaceDN/>
              <w:adjustRightInd/>
              <w:rPr>
                <w:sz w:val="24"/>
                <w:szCs w:val="24"/>
                <w:lang w:eastAsia="zh-TW"/>
              </w:rPr>
            </w:pPr>
          </w:p>
          <w:p w14:paraId="7CA66555" w14:textId="77777777" w:rsidR="00DA3B42" w:rsidRDefault="00DA3B42" w:rsidP="00DA3B42">
            <w:pPr>
              <w:overflowPunct/>
              <w:autoSpaceDE/>
              <w:autoSpaceDN/>
              <w:adjustRightInd/>
              <w:jc w:val="center"/>
              <w:rPr>
                <w:b/>
                <w:bCs/>
                <w:sz w:val="24"/>
                <w:szCs w:val="24"/>
                <w:lang w:eastAsia="zh-TW"/>
              </w:rPr>
            </w:pPr>
          </w:p>
          <w:p w14:paraId="3840DBA2" w14:textId="20BE14C3" w:rsidR="00DA3B42" w:rsidRPr="00DA3B42" w:rsidRDefault="00DA3B42" w:rsidP="00DA3B42">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X</w:t>
            </w:r>
          </w:p>
        </w:tc>
        <w:tc>
          <w:tcPr>
            <w:tcW w:w="2520" w:type="dxa"/>
            <w:tcBorders>
              <w:top w:val="nil"/>
              <w:left w:val="nil"/>
              <w:bottom w:val="single" w:sz="6" w:space="0" w:color="auto"/>
              <w:right w:val="single" w:sz="6" w:space="0" w:color="auto"/>
            </w:tcBorders>
            <w:shd w:val="clear" w:color="auto" w:fill="auto"/>
            <w:hideMark/>
          </w:tcPr>
          <w:p w14:paraId="2B36B191" w14:textId="0F46C3E0"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DA3B42">
              <w:rPr>
                <w:sz w:val="22"/>
                <w:szCs w:val="22"/>
                <w:lang w:eastAsia="zh-TW"/>
              </w:rPr>
              <w:t>I feel like the force has a higher expectation of my actions in practice than my knowledge in theory</w:t>
            </w:r>
            <w:r w:rsidR="00500ADA">
              <w:rPr>
                <w:sz w:val="22"/>
                <w:szCs w:val="22"/>
                <w:lang w:eastAsia="zh-TW"/>
              </w:rPr>
              <w:t>, mainly because s</w:t>
            </w:r>
            <w:r w:rsidR="00DA3B42">
              <w:rPr>
                <w:sz w:val="22"/>
                <w:szCs w:val="22"/>
                <w:lang w:eastAsia="zh-TW"/>
              </w:rPr>
              <w:t>afety is paramount</w:t>
            </w:r>
            <w:r w:rsidR="00500ADA">
              <w:rPr>
                <w:sz w:val="22"/>
                <w:szCs w:val="22"/>
                <w:lang w:eastAsia="zh-TW"/>
              </w:rPr>
              <w:t>, and safe practice is a primary skill of policing. I am happy with my skill level, and feel confident dealing with most situations, whether on foot or driving. The skill of writing well is also easily underestimated, as it can make all the difference, particularly with case files. Communication is my main skill however. I am able to talk confidently and persuasively with all sorts of people, and have avoided lots of potential conflict by communicating well. I feel I can serve the job well with my physical skills, and my writing and communication skills.</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FF34E08"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CAFF650" w14:textId="77777777" w:rsidR="00500ADA" w:rsidRPr="00500ADA" w:rsidRDefault="00500ADA" w:rsidP="00500ADA">
            <w:pPr>
              <w:rPr>
                <w:rFonts w:ascii="Times New Roman" w:hAnsi="Times New Roman" w:cs="Times New Roman"/>
                <w:sz w:val="24"/>
                <w:szCs w:val="24"/>
                <w:lang w:eastAsia="zh-TW"/>
              </w:rPr>
            </w:pPr>
          </w:p>
          <w:p w14:paraId="17EB1FB1" w14:textId="77777777" w:rsidR="00500ADA" w:rsidRDefault="00500ADA" w:rsidP="00500ADA">
            <w:pPr>
              <w:rPr>
                <w:sz w:val="22"/>
                <w:szCs w:val="22"/>
                <w:lang w:eastAsia="zh-TW"/>
              </w:rPr>
            </w:pPr>
          </w:p>
          <w:p w14:paraId="4CEDE6F8" w14:textId="5DC28F75" w:rsidR="00500ADA" w:rsidRPr="00500ADA" w:rsidRDefault="00500ADA" w:rsidP="00500ADA">
            <w:pPr>
              <w:jc w:val="center"/>
              <w:rPr>
                <w:b/>
                <w:bCs/>
                <w:sz w:val="22"/>
                <w:szCs w:val="22"/>
                <w:lang w:eastAsia="zh-TW"/>
              </w:rPr>
            </w:pPr>
            <w:r>
              <w:rPr>
                <w:b/>
                <w:bCs/>
                <w:sz w:val="22"/>
                <w:szCs w:val="22"/>
                <w:lang w:eastAsia="zh-TW"/>
              </w:rPr>
              <w:t>X</w:t>
            </w:r>
          </w:p>
          <w:p w14:paraId="35BCA0F4" w14:textId="322B9488" w:rsidR="00500ADA" w:rsidRPr="00500ADA" w:rsidRDefault="00500ADA" w:rsidP="00500AD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7CDAAC0"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7E1BD19C" w14:textId="77777777" w:rsidR="00500ADA" w:rsidRPr="00500ADA" w:rsidRDefault="00500ADA" w:rsidP="00500ADA">
            <w:pPr>
              <w:rPr>
                <w:rFonts w:ascii="Times New Roman" w:hAnsi="Times New Roman" w:cs="Times New Roman"/>
                <w:sz w:val="24"/>
                <w:szCs w:val="24"/>
                <w:lang w:eastAsia="zh-TW"/>
              </w:rPr>
            </w:pPr>
          </w:p>
          <w:p w14:paraId="591A0416" w14:textId="77777777" w:rsidR="00500ADA" w:rsidRDefault="00500ADA" w:rsidP="00500ADA">
            <w:pPr>
              <w:rPr>
                <w:sz w:val="22"/>
                <w:szCs w:val="22"/>
                <w:lang w:eastAsia="zh-TW"/>
              </w:rPr>
            </w:pPr>
          </w:p>
          <w:p w14:paraId="7B5C7862" w14:textId="25835179" w:rsidR="00500ADA" w:rsidRPr="00500ADA" w:rsidRDefault="00500ADA" w:rsidP="00500ADA">
            <w:pPr>
              <w:jc w:val="center"/>
              <w:rPr>
                <w:b/>
                <w:bCs/>
                <w:sz w:val="22"/>
                <w:szCs w:val="22"/>
                <w:lang w:eastAsia="zh-TW"/>
              </w:rPr>
            </w:pPr>
            <w:r w:rsidRPr="00500ADA">
              <w:rPr>
                <w:b/>
                <w:bCs/>
                <w:sz w:val="22"/>
                <w:szCs w:val="22"/>
                <w:lang w:eastAsia="zh-TW"/>
              </w:rPr>
              <w:t>X</w:t>
            </w:r>
          </w:p>
          <w:p w14:paraId="246848E9" w14:textId="561B9629" w:rsidR="00500ADA" w:rsidRPr="00500ADA" w:rsidRDefault="00500ADA" w:rsidP="00500ADA">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757A1F98"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500ADA">
              <w:rPr>
                <w:sz w:val="22"/>
                <w:szCs w:val="22"/>
                <w:lang w:eastAsia="zh-TW"/>
              </w:rPr>
              <w:t xml:space="preserve">I am still very young in service and whilst I have been to hundreds of incidents so far and dealt with a wide variety of offences and characters, I am always learning about more effective ways to approach things, absorbing different </w:t>
            </w:r>
            <w:r w:rsidR="00500ADA">
              <w:rPr>
                <w:sz w:val="22"/>
                <w:szCs w:val="22"/>
                <w:lang w:eastAsia="zh-TW"/>
              </w:rPr>
              <w:lastRenderedPageBreak/>
              <w:t xml:space="preserve">elements of expectations professional behaviour, learning from other officers, and reflecting on my own experiences. I am not shy of any work, and deal with a high workload every day, so I don’t believe I can do a great deal more to supplement or accelerate my growth into a more experienced officer. It will come with time. </w:t>
            </w:r>
            <w:bookmarkStart w:id="0" w:name="_GoBack"/>
            <w:bookmarkEnd w:id="0"/>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4"/>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3CC05A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dt>
      <w:sdtPr>
        <w:id w:val="66395366"/>
        <w:docPartObj>
          <w:docPartGallery w:val="Bibliographies"/>
          <w:docPartUnique/>
        </w:docPartObj>
      </w:sdtPr>
      <w:sdtEndPr>
        <w:rPr>
          <w:b w:val="0"/>
          <w:kern w:val="0"/>
          <w:sz w:val="20"/>
        </w:rPr>
      </w:sdtEndPr>
      <w:sdtContent>
        <w:p w14:paraId="453B441A" w14:textId="1CBC61A6" w:rsidR="00D00CF2" w:rsidRDefault="00D00CF2">
          <w:pPr>
            <w:pStyle w:val="Heading1"/>
          </w:pPr>
          <w:r>
            <w:t>Bibliography</w:t>
          </w:r>
        </w:p>
        <w:sdt>
          <w:sdtPr>
            <w:id w:val="111145805"/>
            <w:bibliography/>
          </w:sdtPr>
          <w:sdtContent>
            <w:p w14:paraId="275CC8D7" w14:textId="77777777" w:rsidR="00D00CF2" w:rsidRDefault="00D00CF2" w:rsidP="00D00CF2">
              <w:pPr>
                <w:pStyle w:val="Bibliography"/>
                <w:ind w:left="720" w:hanging="720"/>
                <w:rPr>
                  <w:noProof/>
                  <w:sz w:val="24"/>
                  <w:szCs w:val="24"/>
                </w:rPr>
              </w:pPr>
              <w:r>
                <w:fldChar w:fldCharType="begin"/>
              </w:r>
              <w:r>
                <w:instrText xml:space="preserve"> BIBLIOGRAPHY </w:instrText>
              </w:r>
              <w:r>
                <w:fldChar w:fldCharType="separate"/>
              </w:r>
              <w:r>
                <w:rPr>
                  <w:noProof/>
                </w:rPr>
                <w:t xml:space="preserve">Baldwin, S. (2006). </w:t>
              </w:r>
              <w:r>
                <w:rPr>
                  <w:i/>
                  <w:iCs/>
                  <w:noProof/>
                </w:rPr>
                <w:t>Organisational Justice.</w:t>
              </w:r>
              <w:r>
                <w:rPr>
                  <w:noProof/>
                </w:rPr>
                <w:t xml:space="preserve"> Institute For Employment Studies. Brighton: Institute For Employment Studies. Retrieved October 18, 2021, from https://www.employment-studies.co.uk/system/files/resources/files/mp73.pdf</w:t>
              </w:r>
            </w:p>
            <w:p w14:paraId="2D919AB3" w14:textId="77777777" w:rsidR="00D00CF2" w:rsidRDefault="00D00CF2" w:rsidP="00D00CF2">
              <w:pPr>
                <w:pStyle w:val="Bibliography"/>
                <w:ind w:left="720" w:hanging="720"/>
                <w:rPr>
                  <w:noProof/>
                </w:rPr>
              </w:pPr>
              <w:r>
                <w:rPr>
                  <w:noProof/>
                </w:rPr>
                <w:t xml:space="preserve">Belbin, M. (2010). </w:t>
              </w:r>
              <w:r>
                <w:rPr>
                  <w:i/>
                  <w:iCs/>
                  <w:noProof/>
                </w:rPr>
                <w:t>Management Teams</w:t>
              </w:r>
              <w:r>
                <w:rPr>
                  <w:noProof/>
                </w:rPr>
                <w:t xml:space="preserve"> (3rd ed.). London: Routledge.</w:t>
              </w:r>
            </w:p>
            <w:p w14:paraId="45E8A084" w14:textId="77777777" w:rsidR="00D00CF2" w:rsidRDefault="00D00CF2" w:rsidP="00D00CF2">
              <w:pPr>
                <w:pStyle w:val="Bibliography"/>
                <w:ind w:left="720" w:hanging="720"/>
                <w:rPr>
                  <w:noProof/>
                </w:rPr>
              </w:pPr>
              <w:r>
                <w:rPr>
                  <w:noProof/>
                </w:rPr>
                <w:t xml:space="preserve">Chartered Management Institute. (2015, November). </w:t>
              </w:r>
              <w:r>
                <w:rPr>
                  <w:i/>
                  <w:iCs/>
                  <w:noProof/>
                </w:rPr>
                <w:t>Understanding Organisational Culture.</w:t>
              </w:r>
              <w:r>
                <w:rPr>
                  <w:noProof/>
                </w:rPr>
                <w:t xml:space="preserve"> Retrieved September 29, 2021, from https://www.managers.org.uk/~/media/Files/PDF/Checklists/CHK-232-Understanding-organisational-culture.pdf</w:t>
              </w:r>
            </w:p>
            <w:p w14:paraId="0862B97B" w14:textId="77777777" w:rsidR="00D00CF2" w:rsidRDefault="00D00CF2" w:rsidP="00D00CF2">
              <w:pPr>
                <w:pStyle w:val="Bibliography"/>
                <w:ind w:left="720" w:hanging="720"/>
                <w:rPr>
                  <w:noProof/>
                </w:rPr>
              </w:pPr>
              <w:r>
                <w:rPr>
                  <w:noProof/>
                </w:rPr>
                <w:t xml:space="preserve">College of Policing. (2014, July). </w:t>
              </w:r>
              <w:r>
                <w:rPr>
                  <w:i/>
                  <w:iCs/>
                  <w:noProof/>
                </w:rPr>
                <w:t>Code of Ethics.</w:t>
              </w:r>
              <w:r>
                <w:rPr>
                  <w:noProof/>
                </w:rPr>
                <w:t xml:space="preserve"> Retrieved October 19, 2021, from https://assets.college.police.uk/s3fs-public/2021-02/code_of_ethics.pdf</w:t>
              </w:r>
            </w:p>
            <w:p w14:paraId="4E7248C6" w14:textId="77777777" w:rsidR="00D00CF2" w:rsidRDefault="00D00CF2" w:rsidP="00D00CF2">
              <w:pPr>
                <w:pStyle w:val="Bibliography"/>
                <w:ind w:left="720" w:hanging="720"/>
                <w:rPr>
                  <w:noProof/>
                </w:rPr>
              </w:pPr>
              <w:r>
                <w:rPr>
                  <w:noProof/>
                </w:rPr>
                <w:t xml:space="preserve">College of Policing. (2014). </w:t>
              </w:r>
              <w:r>
                <w:rPr>
                  <w:i/>
                  <w:iCs/>
                  <w:noProof/>
                </w:rPr>
                <w:t>National Decision Model</w:t>
              </w:r>
              <w:r>
                <w:rPr>
                  <w:noProof/>
                </w:rPr>
                <w:t>. Retrieved October 29, 2021, from https://www.app.college.police.uk/app-content/national-decision-model/the-national-decision-model/</w:t>
              </w:r>
            </w:p>
            <w:p w14:paraId="115EAA66" w14:textId="77777777" w:rsidR="00D00CF2" w:rsidRDefault="00D00CF2" w:rsidP="00D00CF2">
              <w:pPr>
                <w:pStyle w:val="Bibliography"/>
                <w:ind w:left="720" w:hanging="720"/>
                <w:rPr>
                  <w:noProof/>
                </w:rPr>
              </w:pPr>
              <w:r>
                <w:rPr>
                  <w:noProof/>
                </w:rPr>
                <w:t xml:space="preserve">College of Policing. (2019, October 30). </w:t>
              </w:r>
              <w:r>
                <w:rPr>
                  <w:i/>
                  <w:iCs/>
                  <w:noProof/>
                </w:rPr>
                <w:t>Road policing</w:t>
              </w:r>
              <w:r>
                <w:rPr>
                  <w:noProof/>
                </w:rPr>
                <w:t>. Retrieved October 23, 2021, from College of Policing: https://www.app.college.police.uk/app-content/road-policing-2/disrupting-criminality/</w:t>
              </w:r>
            </w:p>
            <w:p w14:paraId="77BBD60E" w14:textId="77777777" w:rsidR="00D00CF2" w:rsidRDefault="00D00CF2" w:rsidP="00D00CF2">
              <w:pPr>
                <w:pStyle w:val="Bibliography"/>
                <w:ind w:left="720" w:hanging="720"/>
                <w:rPr>
                  <w:noProof/>
                </w:rPr>
              </w:pPr>
              <w:r>
                <w:rPr>
                  <w:noProof/>
                </w:rPr>
                <w:t xml:space="preserve">College of Policing. (2020, July 1). </w:t>
              </w:r>
              <w:r>
                <w:rPr>
                  <w:i/>
                  <w:iCs/>
                  <w:noProof/>
                </w:rPr>
                <w:t>Investigation.</w:t>
              </w:r>
              <w:r>
                <w:rPr>
                  <w:noProof/>
                </w:rPr>
                <w:t xml:space="preserve"> Retrieved October 26, 2021, from https://www.app.college.police.uk/app-content/investigations/introduction/#principles-of-investigation</w:t>
              </w:r>
            </w:p>
            <w:p w14:paraId="7C0FD077" w14:textId="77777777" w:rsidR="00D00CF2" w:rsidRDefault="00D00CF2" w:rsidP="00D00CF2">
              <w:pPr>
                <w:pStyle w:val="Bibliography"/>
                <w:ind w:left="720" w:hanging="720"/>
                <w:rPr>
                  <w:noProof/>
                </w:rPr>
              </w:pPr>
              <w:r>
                <w:rPr>
                  <w:noProof/>
                </w:rPr>
                <w:t xml:space="preserve">College of Policing. (2020). </w:t>
              </w:r>
              <w:r>
                <w:rPr>
                  <w:i/>
                  <w:iCs/>
                  <w:noProof/>
                </w:rPr>
                <w:t>Investigative interviewing</w:t>
              </w:r>
              <w:r>
                <w:rPr>
                  <w:noProof/>
                </w:rPr>
                <w:t>. Retrieved October 29, 2021, from https://www.app.college.police.uk/app-content/investigations/investigative-interviewing/#peace-framework</w:t>
              </w:r>
            </w:p>
            <w:p w14:paraId="05BD6F54" w14:textId="77777777" w:rsidR="00D00CF2" w:rsidRDefault="00D00CF2" w:rsidP="00D00CF2">
              <w:pPr>
                <w:pStyle w:val="Bibliography"/>
                <w:ind w:left="720" w:hanging="720"/>
                <w:rPr>
                  <w:noProof/>
                </w:rPr>
              </w:pPr>
              <w:r>
                <w:rPr>
                  <w:noProof/>
                </w:rPr>
                <w:t xml:space="preserve">College of Policing. (2021, April). </w:t>
              </w:r>
              <w:r>
                <w:rPr>
                  <w:i/>
                  <w:iCs/>
                  <w:noProof/>
                </w:rPr>
                <w:t>Effective investigations.</w:t>
              </w:r>
              <w:r>
                <w:rPr>
                  <w:noProof/>
                </w:rPr>
                <w:t xml:space="preserve"> Retrieved October 26, 2021, from https://assets.college.police.uk/s3fs-public/2021-04/effective-investigations-scope-of-guidelines-0421.pdf</w:t>
              </w:r>
            </w:p>
            <w:p w14:paraId="4F649400" w14:textId="77777777" w:rsidR="00D00CF2" w:rsidRDefault="00D00CF2" w:rsidP="00D00CF2">
              <w:pPr>
                <w:pStyle w:val="Bibliography"/>
                <w:ind w:left="720" w:hanging="720"/>
                <w:rPr>
                  <w:noProof/>
                </w:rPr>
              </w:pPr>
              <w:r>
                <w:rPr>
                  <w:noProof/>
                </w:rPr>
                <w:t xml:space="preserve">Dodd, V. (2016, October 9). </w:t>
              </w:r>
              <w:r>
                <w:rPr>
                  <w:i/>
                  <w:iCs/>
                  <w:noProof/>
                </w:rPr>
                <w:t>Police say they are becoming emergency mental health services</w:t>
              </w:r>
              <w:r>
                <w:rPr>
                  <w:noProof/>
                </w:rPr>
                <w:t>. Retrieved October 17, 2021, from The Guardian: https://www.theguardian.com/uk-news/2016/oct/09/police-forces-mental-health-section-136</w:t>
              </w:r>
            </w:p>
            <w:p w14:paraId="608E9D76" w14:textId="77777777" w:rsidR="00D00CF2" w:rsidRDefault="00D00CF2" w:rsidP="00D00CF2">
              <w:pPr>
                <w:pStyle w:val="Bibliography"/>
                <w:ind w:left="720" w:hanging="720"/>
                <w:rPr>
                  <w:noProof/>
                </w:rPr>
              </w:pPr>
              <w:r>
                <w:rPr>
                  <w:noProof/>
                </w:rPr>
                <w:t xml:space="preserve">Farrell, G., &amp; Pease, K. (2017). Prevening repeat and near repeat crime concentrations. In N. Tilley, &amp; A. Sidebottom (Eds.), </w:t>
              </w:r>
              <w:r>
                <w:rPr>
                  <w:i/>
                  <w:iCs/>
                  <w:noProof/>
                </w:rPr>
                <w:t>The Handbook of Crime Prevention and Community Safety</w:t>
              </w:r>
              <w:r>
                <w:rPr>
                  <w:noProof/>
                </w:rPr>
                <w:t xml:space="preserve"> (2nd ed.). Routledge.</w:t>
              </w:r>
            </w:p>
            <w:p w14:paraId="5A3BB36C" w14:textId="77777777" w:rsidR="00D00CF2" w:rsidRDefault="00D00CF2" w:rsidP="00D00CF2">
              <w:pPr>
                <w:pStyle w:val="Bibliography"/>
                <w:ind w:left="720" w:hanging="720"/>
                <w:rPr>
                  <w:noProof/>
                </w:rPr>
              </w:pPr>
              <w:r>
                <w:rPr>
                  <w:noProof/>
                </w:rPr>
                <w:t xml:space="preserve">Gov.Wales. (2015). </w:t>
              </w:r>
              <w:r>
                <w:rPr>
                  <w:i/>
                  <w:iCs/>
                  <w:noProof/>
                </w:rPr>
                <w:t>Gov.Wales.</w:t>
              </w:r>
              <w:r>
                <w:rPr>
                  <w:noProof/>
                </w:rPr>
                <w:t xml:space="preserve"> Retrieved October 17, 2021, from Wales Crisis Care Concordat National Action Plan: https://gov.wales/sites/default/files/publications/2019-10/wales-crisis-care-concordat-national-action-plan-2019-2022.pdf</w:t>
              </w:r>
            </w:p>
            <w:p w14:paraId="3F5F243B" w14:textId="77777777" w:rsidR="00D00CF2" w:rsidRDefault="00D00CF2" w:rsidP="00D00CF2">
              <w:pPr>
                <w:pStyle w:val="Bibliography"/>
                <w:ind w:left="720" w:hanging="720"/>
                <w:rPr>
                  <w:noProof/>
                </w:rPr>
              </w:pPr>
              <w:r>
                <w:rPr>
                  <w:noProof/>
                </w:rPr>
                <w:t xml:space="preserve">Kim, S., Alison, L., &amp; Christiansen, P. (2020). The impact of individual differences on investigative hypothesis generation under time pressure. </w:t>
              </w:r>
              <w:r>
                <w:rPr>
                  <w:i/>
                  <w:iCs/>
                  <w:noProof/>
                </w:rPr>
                <w:t>International Journal of Police Science &amp; Management, 22</w:t>
              </w:r>
              <w:r>
                <w:rPr>
                  <w:noProof/>
                </w:rPr>
                <w:t>(2), 171-182.</w:t>
              </w:r>
            </w:p>
            <w:p w14:paraId="3FFDB7C9" w14:textId="77777777" w:rsidR="00D00CF2" w:rsidRDefault="00D00CF2" w:rsidP="00D00CF2">
              <w:pPr>
                <w:pStyle w:val="Bibliography"/>
                <w:ind w:left="720" w:hanging="720"/>
                <w:rPr>
                  <w:noProof/>
                </w:rPr>
              </w:pPr>
              <w:r>
                <w:rPr>
                  <w:noProof/>
                </w:rPr>
                <w:t xml:space="preserve">Organ, D. (1988). </w:t>
              </w:r>
              <w:r>
                <w:rPr>
                  <w:i/>
                  <w:iCs/>
                  <w:noProof/>
                </w:rPr>
                <w:t>Organizational Citizenship Behaviour: The good soldier syndrome.</w:t>
              </w:r>
              <w:r>
                <w:rPr>
                  <w:noProof/>
                </w:rPr>
                <w:t xml:space="preserve"> Lexington Books.</w:t>
              </w:r>
            </w:p>
            <w:p w14:paraId="03807762" w14:textId="77777777" w:rsidR="00D00CF2" w:rsidRDefault="00D00CF2" w:rsidP="00D00CF2">
              <w:pPr>
                <w:pStyle w:val="Bibliography"/>
                <w:ind w:left="720" w:hanging="720"/>
                <w:rPr>
                  <w:noProof/>
                </w:rPr>
              </w:pPr>
              <w:r>
                <w:rPr>
                  <w:noProof/>
                </w:rPr>
                <w:t xml:space="preserve">Palk, G., &amp; Davey, J. (2005). </w:t>
              </w:r>
              <w:r>
                <w:rPr>
                  <w:i/>
                  <w:iCs/>
                  <w:noProof/>
                </w:rPr>
                <w:t>A comparative analysis of the nature and extent of traffic offences and their relationship to other non traffic offences.</w:t>
              </w:r>
              <w:r>
                <w:rPr>
                  <w:noProof/>
                </w:rPr>
                <w:t xml:space="preserve"> Queensland University of Technology. Queensland: Centre for Accident Research and Road Safety.</w:t>
              </w:r>
            </w:p>
            <w:p w14:paraId="7270AA83" w14:textId="77777777" w:rsidR="00D00CF2" w:rsidRDefault="00D00CF2" w:rsidP="00D00CF2">
              <w:pPr>
                <w:pStyle w:val="Bibliography"/>
                <w:ind w:left="720" w:hanging="720"/>
                <w:rPr>
                  <w:noProof/>
                </w:rPr>
              </w:pPr>
              <w:r>
                <w:rPr>
                  <w:noProof/>
                </w:rPr>
                <w:t xml:space="preserve">Peterson, J. B. (2018). </w:t>
              </w:r>
              <w:r>
                <w:rPr>
                  <w:i/>
                  <w:iCs/>
                  <w:noProof/>
                </w:rPr>
                <w:t>12 Rules For Life: An Antidote to Chaos</w:t>
              </w:r>
              <w:r>
                <w:rPr>
                  <w:noProof/>
                </w:rPr>
                <w:t xml:space="preserve"> (1st ed.). London: Penguin Allen Lane.</w:t>
              </w:r>
            </w:p>
            <w:p w14:paraId="674A6178" w14:textId="77777777" w:rsidR="00D00CF2" w:rsidRDefault="00D00CF2" w:rsidP="00D00CF2">
              <w:pPr>
                <w:pStyle w:val="Bibliography"/>
                <w:ind w:left="720" w:hanging="720"/>
                <w:rPr>
                  <w:noProof/>
                </w:rPr>
              </w:pPr>
              <w:r>
                <w:rPr>
                  <w:noProof/>
                </w:rPr>
                <w:t xml:space="preserve">Roach, J. (2019, September). Self-selection Policing and the Disqualified Driver. </w:t>
              </w:r>
              <w:r>
                <w:rPr>
                  <w:i/>
                  <w:iCs/>
                  <w:noProof/>
                </w:rPr>
                <w:t>Policing: A Journal of Policy and Practice, 13</w:t>
              </w:r>
              <w:r>
                <w:rPr>
                  <w:noProof/>
                </w:rPr>
                <w:t>(3), 300-311.</w:t>
              </w:r>
            </w:p>
            <w:p w14:paraId="2B8A186E" w14:textId="77777777" w:rsidR="00D00CF2" w:rsidRDefault="00D00CF2" w:rsidP="00D00CF2">
              <w:pPr>
                <w:pStyle w:val="Bibliography"/>
                <w:ind w:left="720" w:hanging="720"/>
                <w:rPr>
                  <w:noProof/>
                </w:rPr>
              </w:pPr>
              <w:r>
                <w:rPr>
                  <w:noProof/>
                </w:rPr>
                <w:t xml:space="preserve">Sheppard, B., Lewicki, R., &amp; Minton, J. (1992). </w:t>
              </w:r>
              <w:r>
                <w:rPr>
                  <w:i/>
                  <w:iCs/>
                  <w:noProof/>
                </w:rPr>
                <w:t>Organizational Justice: The Search for Fairness in the Workplace.</w:t>
              </w:r>
              <w:r>
                <w:rPr>
                  <w:noProof/>
                </w:rPr>
                <w:t xml:space="preserve"> Lexington Books.</w:t>
              </w:r>
            </w:p>
            <w:p w14:paraId="6BD7F3A6" w14:textId="77777777" w:rsidR="00D00CF2" w:rsidRDefault="00D00CF2" w:rsidP="00D00CF2">
              <w:pPr>
                <w:pStyle w:val="Bibliography"/>
                <w:ind w:left="720" w:hanging="720"/>
                <w:rPr>
                  <w:noProof/>
                </w:rPr>
              </w:pPr>
              <w:r>
                <w:rPr>
                  <w:noProof/>
                </w:rPr>
                <w:t xml:space="preserve">Staffordshire Police. (2020, July 16). </w:t>
              </w:r>
              <w:r>
                <w:rPr>
                  <w:i/>
                  <w:iCs/>
                  <w:noProof/>
                </w:rPr>
                <w:t>Increase in investment in roads policing is driving down crime.</w:t>
              </w:r>
              <w:r>
                <w:rPr>
                  <w:noProof/>
                </w:rPr>
                <w:t xml:space="preserve"> Retrieved October 23, 2021, from </w:t>
              </w:r>
              <w:r>
                <w:rPr>
                  <w:noProof/>
                </w:rPr>
                <w:lastRenderedPageBreak/>
                <w:t>https://www.staffordshire.police.uk/news/staffordshire/news/2020/july/increase-in-investment-in-roads-policing-is-driving-down-crime/</w:t>
              </w:r>
            </w:p>
            <w:p w14:paraId="56AB1047" w14:textId="77777777" w:rsidR="00D00CF2" w:rsidRDefault="00D00CF2" w:rsidP="00D00CF2">
              <w:pPr>
                <w:pStyle w:val="Bibliography"/>
                <w:ind w:left="720" w:hanging="720"/>
                <w:rPr>
                  <w:noProof/>
                </w:rPr>
              </w:pPr>
              <w:r>
                <w:rPr>
                  <w:noProof/>
                </w:rPr>
                <w:t xml:space="preserve">Tubbs, S. L. (2012). In </w:t>
              </w:r>
              <w:r>
                <w:rPr>
                  <w:i/>
                  <w:iCs/>
                  <w:noProof/>
                </w:rPr>
                <w:t>A systems approach to small group interaction</w:t>
              </w:r>
              <w:r>
                <w:rPr>
                  <w:noProof/>
                </w:rPr>
                <w:t xml:space="preserve"> (11th ed.). New York: McGraw-Hill.</w:t>
              </w:r>
            </w:p>
            <w:p w14:paraId="7B9C6010" w14:textId="77777777" w:rsidR="00D00CF2" w:rsidRDefault="00D00CF2" w:rsidP="00D00CF2">
              <w:pPr>
                <w:pStyle w:val="Bibliography"/>
                <w:ind w:left="720" w:hanging="720"/>
                <w:rPr>
                  <w:noProof/>
                </w:rPr>
              </w:pPr>
              <w:r>
                <w:rPr>
                  <w:noProof/>
                </w:rPr>
                <w:t xml:space="preserve">Tuckman, B. W. (1965). Development sequence in small groups. </w:t>
              </w:r>
              <w:r>
                <w:rPr>
                  <w:i/>
                  <w:iCs/>
                  <w:noProof/>
                </w:rPr>
                <w:t>Psychological Bulletin</w:t>
              </w:r>
              <w:r>
                <w:rPr>
                  <w:noProof/>
                </w:rPr>
                <w:t>(63), 384-399.</w:t>
              </w:r>
            </w:p>
            <w:p w14:paraId="0DB06354" w14:textId="5665DC2C" w:rsidR="00D00CF2" w:rsidRDefault="00D00CF2" w:rsidP="00D00CF2">
              <w:r>
                <w:rPr>
                  <w:b/>
                  <w:bCs/>
                  <w:noProof/>
                </w:rPr>
                <w:fldChar w:fldCharType="end"/>
              </w:r>
            </w:p>
          </w:sdtContent>
        </w:sdt>
      </w:sdtContent>
    </w:sdt>
    <w:p w14:paraId="4500A809" w14:textId="77777777" w:rsidR="00D00CF2" w:rsidRDefault="00D00CF2" w:rsidP="00EA28F1">
      <w:pPr>
        <w:keepNext/>
        <w:spacing w:before="240" w:after="60"/>
        <w:ind w:right="237"/>
        <w:jc w:val="both"/>
      </w:pPr>
    </w:p>
    <w:sectPr w:rsidR="00D00CF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7BEF9" w14:textId="77777777" w:rsidR="00177D96" w:rsidRDefault="00177D96">
      <w:r>
        <w:separator/>
      </w:r>
    </w:p>
  </w:endnote>
  <w:endnote w:type="continuationSeparator" w:id="0">
    <w:p w14:paraId="2C4EC99B" w14:textId="77777777" w:rsidR="00177D96" w:rsidRDefault="00177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6C73B1" w:rsidRDefault="006C73B1">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6C73B1" w:rsidRPr="00BB5EAA" w:rsidRDefault="006C73B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39E3F" w14:textId="77777777" w:rsidR="00177D96" w:rsidRDefault="00177D96">
      <w:r>
        <w:separator/>
      </w:r>
    </w:p>
  </w:footnote>
  <w:footnote w:type="continuationSeparator" w:id="0">
    <w:p w14:paraId="4D6AA13E" w14:textId="77777777" w:rsidR="00177D96" w:rsidRDefault="00177D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E76"/>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77D96"/>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39DF"/>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4C6B"/>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0ADA"/>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27B9"/>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73B1"/>
    <w:rsid w:val="006D18A3"/>
    <w:rsid w:val="006D5970"/>
    <w:rsid w:val="006E481E"/>
    <w:rsid w:val="006E795F"/>
    <w:rsid w:val="00700249"/>
    <w:rsid w:val="0070604C"/>
    <w:rsid w:val="007068B4"/>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750"/>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3251"/>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0CF2"/>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3B42"/>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1Char">
    <w:name w:val="Heading 1 Char"/>
    <w:basedOn w:val="DefaultParagraphFont"/>
    <w:link w:val="Heading1"/>
    <w:uiPriority w:val="9"/>
    <w:rsid w:val="00D00CF2"/>
    <w:rPr>
      <w:rFonts w:ascii="Arial" w:hAnsi="Arial" w:cs="Arial"/>
      <w:b/>
      <w:color w:val="000000"/>
      <w:kern w:val="28"/>
      <w:sz w:val="28"/>
      <w:lang w:eastAsia="en-GB"/>
    </w:rPr>
  </w:style>
  <w:style w:type="paragraph" w:styleId="Bibliography">
    <w:name w:val="Bibliography"/>
    <w:basedOn w:val="Normal"/>
    <w:next w:val="Normal"/>
    <w:uiPriority w:val="37"/>
    <w:unhideWhenUsed/>
    <w:rsid w:val="00D00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7097026">
      <w:bodyDiv w:val="1"/>
      <w:marLeft w:val="0"/>
      <w:marRight w:val="0"/>
      <w:marTop w:val="0"/>
      <w:marBottom w:val="0"/>
      <w:divBdr>
        <w:top w:val="none" w:sz="0" w:space="0" w:color="auto"/>
        <w:left w:val="none" w:sz="0" w:space="0" w:color="auto"/>
        <w:bottom w:val="none" w:sz="0" w:space="0" w:color="auto"/>
        <w:right w:val="none" w:sz="0" w:space="0" w:color="auto"/>
      </w:divBdr>
    </w:div>
    <w:div w:id="1121847901">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Jor181</b:Tag>
    <b:SourceType>Book</b:SourceType>
    <b:Guid>{E7C48F3D-E9C9-4066-8E11-ED964679F340}</b:Guid>
    <b:Author>
      <b:Author>
        <b:NameList>
          <b:Person>
            <b:Last>Peterson</b:Last>
            <b:First>Jordan</b:First>
            <b:Middle>B</b:Middle>
          </b:Person>
        </b:NameList>
      </b:Author>
    </b:Author>
    <b:Title>12 Rules For Life: An Antidote to Chaos</b:Title>
    <b:Year>2018</b:Year>
    <b:City>London</b:City>
    <b:Publisher>Penguin Allen Lane</b:Publisher>
    <b:Edition>1st</b:Edition>
    <b:RefOrder>1</b:RefOrder>
  </b:Source>
  <b:Source>
    <b:Tag>Bru65</b:Tag>
    <b:SourceType>JournalArticle</b:SourceType>
    <b:Guid>{42830F06-FE23-4C17-BDE6-DB7C1A2E7279}</b:Guid>
    <b:Title>Development sequence in small groups</b:Title>
    <b:Year>1965</b:Year>
    <b:Pages>384-399</b:Pages>
    <b:Author>
      <b:Author>
        <b:NameList>
          <b:Person>
            <b:Last>Tuckman</b:Last>
            <b:First>Bruce</b:First>
            <b:Middle>W</b:Middle>
          </b:Person>
        </b:NameList>
      </b:Author>
    </b:Author>
    <b:JournalName>Psychological Bulletin</b:JournalName>
    <b:Issue>63</b:Issue>
    <b:RefOrder>2</b:RefOrder>
  </b:Source>
  <b:Source>
    <b:Tag>Tub12</b:Tag>
    <b:SourceType>BookSection</b:SourceType>
    <b:Guid>{60CA070D-6454-42A6-A4DC-D3F4EFA0ABF2}</b:Guid>
    <b:Author>
      <b:Author>
        <b:NameList>
          <b:Person>
            <b:Last>Tubbs</b:Last>
            <b:First>Stewart</b:First>
            <b:Middle>L</b:Middle>
          </b:Person>
        </b:NameList>
      </b:Author>
    </b:Author>
    <b:Year>2012</b:Year>
    <b:BookTitle>A systems approach to small group interaction</b:BookTitle>
    <b:City>New York</b:City>
    <b:Publisher>McGraw-Hill</b:Publisher>
    <b:Edition>11th</b:Edition>
    <b:RefOrder>3</b:RefOrder>
  </b:Source>
  <b:Source>
    <b:Tag>Mer10</b:Tag>
    <b:SourceType>Book</b:SourceType>
    <b:Guid>{15EFE7B9-467A-48D0-8EEE-780AD388B992}</b:Guid>
    <b:Title>Management Teams</b:Title>
    <b:Year>2010</b:Year>
    <b:Author>
      <b:Author>
        <b:NameList>
          <b:Person>
            <b:Last>Belbin</b:Last>
            <b:First>Meredith</b:First>
          </b:Person>
        </b:NameList>
      </b:Author>
    </b:Author>
    <b:City>London</b:City>
    <b:Publisher>Routledge</b:Publisher>
    <b:Edition>3rd</b:Edition>
    <b:RefOrder>4</b:RefOrder>
  </b:Source>
  <b:Source>
    <b:Tag>Cha15</b:Tag>
    <b:SourceType>DocumentFromInternetSite</b:SourceType>
    <b:Guid>{1A294816-501B-43D9-AA3D-4C0C010BB4D1}</b:Guid>
    <b:Title>Understanding Organisational Culture</b:Title>
    <b:Year>2015</b:Year>
    <b:Author>
      <b:Author>
        <b:Corporate>Chartered Management Institute</b:Corporate>
      </b:Author>
    </b:Author>
    <b:Month>November</b:Month>
    <b:YearAccessed>2021</b:YearAccessed>
    <b:MonthAccessed>September</b:MonthAccessed>
    <b:DayAccessed>29</b:DayAccessed>
    <b:URL>https://www.managers.org.uk/~/media/Files/PDF/Checklists/CHK-232-Understanding-organisational-culture.pdf</b:URL>
    <b:RefOrder>5</b:RefOrder>
  </b:Source>
  <b:Source>
    <b:Tag>Col14</b:Tag>
    <b:SourceType>DocumentFromInternetSite</b:SourceType>
    <b:Guid>{F754D5E8-4DA8-488E-A8C6-A76A3CA1FC1D}</b:Guid>
    <b:Title>Code of Ethics</b:Title>
    <b:Year>2014</b:Year>
    <b:Author>
      <b:Author>
        <b:Corporate>College of Policing</b:Corporate>
      </b:Author>
    </b:Author>
    <b:Month>July</b:Month>
    <b:YearAccessed>2021</b:YearAccessed>
    <b:MonthAccessed>October</b:MonthAccessed>
    <b:DayAccessed>19</b:DayAccessed>
    <b:URL>https://assets.college.police.uk/s3fs-public/2021-02/code_of_ethics.pdf</b:URL>
    <b:RefOrder>6</b:RefOrder>
  </b:Source>
  <b:Source>
    <b:Tag>Bal06</b:Tag>
    <b:SourceType>Report</b:SourceType>
    <b:Guid>{5DCCBD71-38E9-4C5C-AB2E-28A2F23C1B73}</b:Guid>
    <b:Title>Organisational Justice</b:Title>
    <b:Year>2006</b:Year>
    <b:YearAccessed>2021</b:YearAccessed>
    <b:MonthAccessed>October</b:MonthAccessed>
    <b:DayAccessed>18</b:DayAccessed>
    <b:URL>https://www.employment-studies.co.uk/system/files/resources/files/mp73.pdf</b:URL>
    <b:JournalName>Institute For Employment Studies</b:JournalName>
    <b:Author>
      <b:Author>
        <b:NameList>
          <b:Person>
            <b:Last>Baldwin</b:Last>
            <b:First>Susanna</b:First>
          </b:Person>
        </b:NameList>
      </b:Author>
    </b:Author>
    <b:City>Brighton</b:City>
    <b:Publisher>Institute For Employment Studies</b:Publisher>
    <b:Institution>Institute For Employment Studies</b:Institution>
    <b:RefOrder>7</b:RefOrder>
  </b:Source>
  <b:Source>
    <b:Tag>Org88</b:Tag>
    <b:SourceType>Book</b:SourceType>
    <b:Guid>{CB419DAE-AB53-40F7-9D3D-1009475BABC8}</b:Guid>
    <b:Title>Organizational Citizenship Behaviour: The good soldier syndrome</b:Title>
    <b:Year>1988</b:Year>
    <b:Publisher>Lexington Books</b:Publisher>
    <b:Author>
      <b:Author>
        <b:NameList>
          <b:Person>
            <b:Last>Organ</b:Last>
            <b:First>D</b:First>
          </b:Person>
        </b:NameList>
      </b:Author>
    </b:Author>
    <b:RefOrder>8</b:RefOrder>
  </b:Source>
  <b:Source>
    <b:Tag>She92</b:Tag>
    <b:SourceType>Book</b:SourceType>
    <b:Guid>{DD5E0E17-EE57-4483-8916-C8F63CF31FEB}</b:Guid>
    <b:Title>Organizational Justice: The Search for Fairness in the Workplace</b:Title>
    <b:Year>1992</b:Year>
    <b:Publisher>Lexington Books</b:Publisher>
    <b:Author>
      <b:Author>
        <b:NameList>
          <b:Person>
            <b:Last>Sheppard</b:Last>
            <b:First>B</b:First>
          </b:Person>
          <b:Person>
            <b:Last>Lewicki</b:Last>
            <b:First>R</b:First>
          </b:Person>
          <b:Person>
            <b:Last>Minton</b:Last>
            <b:First>J</b:First>
          </b:Person>
        </b:NameList>
      </b:Author>
    </b:Author>
    <b:RefOrder>9</b:RefOrder>
  </b:Source>
  <b:Source>
    <b:Tag>Far17</b:Tag>
    <b:SourceType>BookSection</b:SourceType>
    <b:Guid>{C471C5F0-FD43-4998-A04F-1DE675F1437B}</b:Guid>
    <b:Title>Prevening repeat and near repeat crime concentrations</b:Title>
    <b:Year>2017</b:Year>
    <b:Author>
      <b:Author>
        <b:NameList>
          <b:Person>
            <b:Last>Farrell</b:Last>
            <b:First>Graham</b:First>
          </b:Person>
          <b:Person>
            <b:Last>Pease</b:Last>
            <b:First>Ken</b:First>
          </b:Person>
        </b:NameList>
      </b:Author>
      <b:Editor>
        <b:NameList>
          <b:Person>
            <b:Last>Tilley</b:Last>
            <b:First>N</b:First>
          </b:Person>
          <b:Person>
            <b:Last>Sidebottom</b:Last>
            <b:First>A</b:First>
          </b:Person>
        </b:NameList>
      </b:Editor>
    </b:Author>
    <b:Publisher>Routledge</b:Publisher>
    <b:Edition>2nd</b:Edition>
    <b:BookTitle>The Handbook of Crime Prevention and Community Safety</b:BookTitle>
    <b:RefOrder>10</b:RefOrder>
  </b:Source>
  <b:Source>
    <b:Tag>Dod16</b:Tag>
    <b:SourceType>InternetSite</b:SourceType>
    <b:Guid>{2C995639-2011-400C-B04C-2BBB330BC5FC}</b:Guid>
    <b:Title>Police say they are becoming emergency mental health services</b:Title>
    <b:Year>2016</b:Year>
    <b:YearAccessed>2021</b:YearAccessed>
    <b:MonthAccessed>October</b:MonthAccessed>
    <b:DayAccessed>17</b:DayAccessed>
    <b:URL>https://www.theguardian.com/uk-news/2016/oct/09/police-forces-mental-health-section-136</b:URL>
    <b:Author>
      <b:Author>
        <b:NameList>
          <b:Person>
            <b:Last>Dodd</b:Last>
            <b:First>Vikram</b:First>
          </b:Person>
        </b:NameList>
      </b:Author>
    </b:Author>
    <b:InternetSiteTitle>The Guardian</b:InternetSiteTitle>
    <b:Month>October</b:Month>
    <b:Day>9</b:Day>
    <b:RefOrder>11</b:RefOrder>
  </b:Source>
  <b:Source>
    <b:Tag>Gov15</b:Tag>
    <b:SourceType>DocumentFromInternetSite</b:SourceType>
    <b:Guid>{9DA397FC-63A9-464D-8D4C-04C13154ACE6}</b:Guid>
    <b:Title>Gov.Wales</b:Title>
    <b:Year>2015</b:Year>
    <b:YearAccessed>2021</b:YearAccessed>
    <b:MonthAccessed>October</b:MonthAccessed>
    <b:DayAccessed>17</b:DayAccessed>
    <b:URL>https://gov.wales/sites/default/files/publications/2019-10/wales-crisis-care-concordat-national-action-plan-2019-2022.pdf</b:URL>
    <b:Author>
      <b:Author>
        <b:Corporate>Gov.Wales</b:Corporate>
      </b:Author>
    </b:Author>
    <b:InternetSiteTitle>Wales Crisis Care Concordat National Action Plan</b:InternetSiteTitle>
    <b:RefOrder>12</b:RefOrder>
  </b:Source>
  <b:Source>
    <b:Tag>Roa19</b:Tag>
    <b:SourceType>JournalArticle</b:SourceType>
    <b:Guid>{7676C76C-A59F-45B8-84ED-D880E83FCE6E}</b:Guid>
    <b:Title>Self-selection Policing and the Disqualified Driver</b:Title>
    <b:Year>2019</b:Year>
    <b:Month>September</b:Month>
    <b:JournalName>Policing: A Journal of Policy and Practice</b:JournalName>
    <b:Pages>300-311</b:Pages>
    <b:Volume>13</b:Volume>
    <b:Issue>3</b:Issue>
    <b:Author>
      <b:Author>
        <b:NameList>
          <b:Person>
            <b:Last>Roach</b:Last>
            <b:First>Jason</b:First>
          </b:Person>
        </b:NameList>
      </b:Author>
    </b:Author>
    <b:RefOrder>13</b:RefOrder>
  </b:Source>
  <b:Source>
    <b:Tag>Pal05</b:Tag>
    <b:SourceType>Report</b:SourceType>
    <b:Guid>{64847CA3-711A-4C56-96BE-863573F4E1FD}</b:Guid>
    <b:Title>A comparative analysis of the nature and extent of traffic offences and their relationship to other non traffic offences</b:Title>
    <b:Year>2005</b:Year>
    <b:Publisher>Centre for Accident Research and Road Safety</b:Publisher>
    <b:City>Queensland</b:City>
    <b:Author>
      <b:Author>
        <b:NameList>
          <b:Person>
            <b:Last>Palk</b:Last>
            <b:First>Gavin</b:First>
          </b:Person>
          <b:Person>
            <b:Last>Davey</b:Last>
            <b:First>Jason</b:First>
          </b:Person>
        </b:NameList>
      </b:Author>
    </b:Author>
    <b:Institution>Queensland University of Technology</b:Institution>
    <b:RefOrder>14</b:RefOrder>
  </b:Source>
  <b:Source>
    <b:Tag>Col19</b:Tag>
    <b:SourceType>InternetSite</b:SourceType>
    <b:Guid>{309DABB4-85A5-4353-BD4D-EC377E8EC74A}</b:Guid>
    <b:Title>Road policing</b:Title>
    <b:Year>2019</b:Year>
    <b:Author>
      <b:Author>
        <b:Corporate>College of Policing</b:Corporate>
      </b:Author>
    </b:Author>
    <b:YearAccessed>2021</b:YearAccessed>
    <b:MonthAccessed>October</b:MonthAccessed>
    <b:DayAccessed>23</b:DayAccessed>
    <b:URL>https://www.app.college.police.uk/app-content/road-policing-2/disrupting-criminality/</b:URL>
    <b:InternetSiteTitle>College of Policing</b:InternetSiteTitle>
    <b:Month>October</b:Month>
    <b:Day>30</b:Day>
    <b:RefOrder>15</b:RefOrder>
  </b:Source>
  <b:Source>
    <b:Tag>Sta20</b:Tag>
    <b:SourceType>DocumentFromInternetSite</b:SourceType>
    <b:Guid>{1F0CCD2E-33F1-443F-B995-80E661BE3712}</b:Guid>
    <b:Author>
      <b:Author>
        <b:Corporate>Staffordshire Police</b:Corporate>
      </b:Author>
    </b:Author>
    <b:Title>Increase in investment in roads policing is driving down crime</b:Title>
    <b:Year>2020</b:Year>
    <b:Month>July</b:Month>
    <b:Day>16</b:Day>
    <b:YearAccessed>2021</b:YearAccessed>
    <b:MonthAccessed>October</b:MonthAccessed>
    <b:DayAccessed>23</b:DayAccessed>
    <b:URL>https://www.staffordshire.police.uk/news/staffordshire/news/2020/july/increase-in-investment-in-roads-policing-is-driving-down-crime/</b:URL>
    <b:RefOrder>16</b:RefOrder>
  </b:Source>
  <b:Source>
    <b:Tag>Col202</b:Tag>
    <b:SourceType>DocumentFromInternetSite</b:SourceType>
    <b:Guid>{D4B90B4D-0188-447D-861A-7F6F0D81BA8D}</b:Guid>
    <b:Author>
      <b:Author>
        <b:Corporate>College of Policing</b:Corporate>
      </b:Author>
    </b:Author>
    <b:Title>Investigation</b:Title>
    <b:Year>2020</b:Year>
    <b:Month>July</b:Month>
    <b:Day>1</b:Day>
    <b:YearAccessed>2021</b:YearAccessed>
    <b:MonthAccessed>October</b:MonthAccessed>
    <b:DayAccessed>26</b:DayAccessed>
    <b:URL>https://www.app.college.police.uk/app-content/investigations/introduction/#principles-of-investigation</b:URL>
    <b:RefOrder>17</b:RefOrder>
  </b:Source>
  <b:Source>
    <b:Tag>Col21</b:Tag>
    <b:SourceType>DocumentFromInternetSite</b:SourceType>
    <b:Guid>{5BAD125D-C2AF-4185-8626-DEA744F488A6}</b:Guid>
    <b:Author>
      <b:Author>
        <b:Corporate>College of Policing</b:Corporate>
      </b:Author>
    </b:Author>
    <b:Title>Effective investigations</b:Title>
    <b:Year>2021</b:Year>
    <b:Month>April</b:Month>
    <b:YearAccessed>2021</b:YearAccessed>
    <b:MonthAccessed>October</b:MonthAccessed>
    <b:DayAccessed>26</b:DayAccessed>
    <b:URL>https://assets.college.police.uk/s3fs-public/2021-04/effective-investigations-scope-of-guidelines-0421.pdf</b:URL>
    <b:RefOrder>18</b:RefOrder>
  </b:Source>
  <b:Source>
    <b:Tag>Kim20</b:Tag>
    <b:SourceType>JournalArticle</b:SourceType>
    <b:Guid>{C979CC02-DC5A-4168-AA69-1DDBF828A209}</b:Guid>
    <b:Title>The impact of individual differences on investigative hypothesis generation under time pressure</b:Title>
    <b:Year>2020</b:Year>
    <b:Author>
      <b:Author>
        <b:NameList>
          <b:Person>
            <b:Last>Kim</b:Last>
            <b:First>Sunghwan</b:First>
          </b:Person>
          <b:Person>
            <b:Last>Alison</b:Last>
            <b:First>Laurence</b:First>
          </b:Person>
          <b:Person>
            <b:Last>Christiansen</b:Last>
            <b:First>Paul</b:First>
          </b:Person>
        </b:NameList>
      </b:Author>
    </b:Author>
    <b:JournalName>International Journal of Police Science &amp; Management</b:JournalName>
    <b:Pages>171-182</b:Pages>
    <b:Volume>22</b:Volume>
    <b:Issue>2</b:Issue>
    <b:RefOrder>19</b:RefOrder>
  </b:Source>
  <b:Source>
    <b:Tag>Col141</b:Tag>
    <b:SourceType>InternetSite</b:SourceType>
    <b:Guid>{42ACDCB4-4D81-4036-A505-F40E7DA445DA}</b:Guid>
    <b:Title>National Decision Model</b:Title>
    <b:Year>2014</b:Year>
    <b:Author>
      <b:Author>
        <b:Corporate>College of Policing</b:Corporate>
      </b:Author>
    </b:Author>
    <b:YearAccessed>2021</b:YearAccessed>
    <b:MonthAccessed>October</b:MonthAccessed>
    <b:DayAccessed>29</b:DayAccessed>
    <b:URL>https://www.app.college.police.uk/app-content/national-decision-model/the-national-decision-model/</b:URL>
    <b:RefOrder>20</b:RefOrder>
  </b:Source>
  <b:Source>
    <b:Tag>Col203</b:Tag>
    <b:SourceType>InternetSite</b:SourceType>
    <b:Guid>{18E1127E-4420-4EA5-84F7-386A6D706B54}</b:Guid>
    <b:Author>
      <b:Author>
        <b:Corporate>College of Policing</b:Corporate>
      </b:Author>
    </b:Author>
    <b:Title>Investigative interviewing</b:Title>
    <b:Year>2020</b:Year>
    <b:YearAccessed>2021</b:YearAccessed>
    <b:MonthAccessed>October</b:MonthAccessed>
    <b:DayAccessed>29</b:DayAccessed>
    <b:URL>https://www.app.college.police.uk/app-content/investigations/investigative-interviewing/#peace-framework</b:URL>
    <b:RefOrder>21</b:RefOrder>
  </b:Source>
</b:Sourc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3762D268-D1A3-4C6B-8269-52D6225F4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31</Pages>
  <Words>8991</Words>
  <Characters>51250</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Coxell, George</cp:lastModifiedBy>
  <cp:revision>51</cp:revision>
  <cp:lastPrinted>2014-08-26T08:55:00Z</cp:lastPrinted>
  <dcterms:created xsi:type="dcterms:W3CDTF">2019-02-14T13:20:00Z</dcterms:created>
  <dcterms:modified xsi:type="dcterms:W3CDTF">2021-10-29T16:29:00Z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2021-10-29T14:28:59Z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19c11c19-62fc-498d-89eb-4c9d3700c739</vt:lpwstr>
  </property>
  <property fmtid="{D5CDD505-2E9C-101B-9397-08002B2CF9AE}" pid="9" name="MSIP_Label_f2acd28b-79a3-4a0f-b0ff-4b75658b1549_ContentBits">
    <vt:lpwstr>0</vt:lpwstr>
  </property>
</Properties>
</file>