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4C01" w:rsidRDefault="00CD5B6F">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ab/>
      </w:r>
      <w:r>
        <w:rPr>
          <w:rFonts w:ascii="Times New Roman" w:eastAsia="Times New Roman" w:hAnsi="Times New Roman" w:cs="Times New Roman"/>
          <w:b/>
          <w:color w:val="000000"/>
          <w:sz w:val="24"/>
        </w:rPr>
        <w:tab/>
      </w:r>
      <w:r>
        <w:rPr>
          <w:rFonts w:ascii="Times New Roman" w:eastAsia="Times New Roman" w:hAnsi="Times New Roman" w:cs="Times New Roman"/>
          <w:b/>
          <w:color w:val="000000"/>
          <w:sz w:val="24"/>
        </w:rPr>
        <w:tab/>
      </w:r>
      <w:r>
        <w:rPr>
          <w:rFonts w:ascii="Times New Roman" w:eastAsia="Times New Roman" w:hAnsi="Times New Roman" w:cs="Times New Roman"/>
          <w:b/>
          <w:color w:val="000000"/>
          <w:sz w:val="24"/>
        </w:rPr>
        <w:tab/>
      </w:r>
    </w:p>
    <w:p w:rsidR="00E84C01" w:rsidRDefault="00CD5B6F">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48"/>
        </w:rPr>
      </w:pPr>
      <w:r>
        <w:object w:dxaOrig="5593" w:dyaOrig="2200">
          <v:rect id="rectole0000000000" o:spid="_x0000_i1025" style="width:279.75pt;height:110.25pt" o:ole="" o:preferrelative="t" stroked="f">
            <v:imagedata r:id="rId5" o:title=""/>
          </v:rect>
          <o:OLEObject Type="Embed" ProgID="StaticMetafile" ShapeID="rectole0000000000" DrawAspect="Content" ObjectID="_1574859579" r:id="rId6"/>
        </w:object>
      </w:r>
    </w:p>
    <w:p w:rsidR="00E84C01" w:rsidRDefault="00E84C0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48"/>
        </w:rPr>
      </w:pPr>
    </w:p>
    <w:p w:rsidR="00E84C01" w:rsidRDefault="00E84C01">
      <w:pPr>
        <w:tabs>
          <w:tab w:val="left" w:pos="720"/>
          <w:tab w:val="left" w:pos="1440"/>
          <w:tab w:val="left" w:pos="2160"/>
          <w:tab w:val="left" w:pos="2880"/>
        </w:tabs>
        <w:spacing w:after="0" w:line="240" w:lineRule="auto"/>
        <w:rPr>
          <w:rFonts w:ascii="Times New Roman" w:eastAsia="Times New Roman" w:hAnsi="Times New Roman" w:cs="Times New Roman"/>
          <w:b/>
          <w:color w:val="000000"/>
          <w:sz w:val="48"/>
        </w:rPr>
      </w:pPr>
    </w:p>
    <w:p w:rsidR="00E84C01" w:rsidRDefault="00E84C0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48"/>
        </w:rPr>
      </w:pPr>
    </w:p>
    <w:p w:rsidR="00E84C01" w:rsidRDefault="00E84C01">
      <w:pPr>
        <w:tabs>
          <w:tab w:val="left" w:pos="720"/>
          <w:tab w:val="left" w:pos="1440"/>
          <w:tab w:val="left" w:pos="2160"/>
          <w:tab w:val="left" w:pos="2880"/>
        </w:tabs>
        <w:spacing w:after="0" w:line="240" w:lineRule="auto"/>
        <w:ind w:hanging="3600"/>
        <w:rPr>
          <w:rFonts w:ascii="Times New Roman" w:eastAsia="Times New Roman" w:hAnsi="Times New Roman" w:cs="Times New Roman"/>
          <w:b/>
          <w:color w:val="000000"/>
          <w:sz w:val="48"/>
        </w:rPr>
      </w:pPr>
    </w:p>
    <w:p w:rsidR="00E84C01" w:rsidRDefault="00CD5B6F">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56"/>
        </w:rPr>
      </w:pPr>
      <w:r>
        <w:rPr>
          <w:rFonts w:ascii="Calibri" w:eastAsia="Calibri" w:hAnsi="Calibri" w:cs="Calibri"/>
          <w:b/>
          <w:color w:val="000000"/>
          <w:sz w:val="56"/>
        </w:rPr>
        <w:t>THPD6004</w:t>
      </w:r>
    </w:p>
    <w:p w:rsidR="00E84C01" w:rsidRDefault="00CD5B6F">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56"/>
        </w:rPr>
      </w:pPr>
      <w:r>
        <w:rPr>
          <w:rFonts w:ascii="Calibri" w:eastAsia="Calibri" w:hAnsi="Calibri" w:cs="Calibri"/>
          <w:b/>
          <w:color w:val="000000"/>
          <w:sz w:val="56"/>
        </w:rPr>
        <w:t xml:space="preserve">Independent Project </w:t>
      </w:r>
    </w:p>
    <w:p w:rsidR="00E84C01" w:rsidRDefault="00E84C01">
      <w:pPr>
        <w:tabs>
          <w:tab w:val="left" w:pos="720"/>
          <w:tab w:val="left" w:pos="1440"/>
          <w:tab w:val="left" w:pos="2160"/>
          <w:tab w:val="left" w:pos="2880"/>
        </w:tabs>
        <w:spacing w:after="0" w:line="240" w:lineRule="auto"/>
        <w:ind w:hanging="3600"/>
        <w:rPr>
          <w:rFonts w:ascii="Calibri" w:eastAsia="Calibri" w:hAnsi="Calibri" w:cs="Calibri"/>
          <w:b/>
          <w:color w:val="000000"/>
          <w:sz w:val="24"/>
        </w:rPr>
      </w:pPr>
    </w:p>
    <w:p w:rsidR="00E84C01" w:rsidRDefault="00E84C01">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24"/>
        </w:rPr>
      </w:pPr>
    </w:p>
    <w:p w:rsidR="00E84C01" w:rsidRDefault="00E84C01">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24"/>
        </w:rPr>
      </w:pPr>
    </w:p>
    <w:p w:rsidR="00E84C01" w:rsidRDefault="00E84C01">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24"/>
        </w:rPr>
      </w:pPr>
    </w:p>
    <w:p w:rsidR="00E84C01" w:rsidRDefault="00E84C01">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rPr>
      </w:pPr>
    </w:p>
    <w:p w:rsidR="00E84C01" w:rsidRDefault="00CD5B6F">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rPr>
      </w:pPr>
      <w:r>
        <w:rPr>
          <w:rFonts w:ascii="Calibri" w:eastAsia="Calibri" w:hAnsi="Calibri" w:cs="Calibri"/>
          <w:b/>
          <w:color w:val="000000"/>
          <w:sz w:val="48"/>
        </w:rPr>
        <w:t xml:space="preserve">Tutor: Christy Anson-Harries </w:t>
      </w:r>
    </w:p>
    <w:p w:rsidR="00E84C01" w:rsidRDefault="00E84C0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4"/>
        </w:rPr>
      </w:pPr>
    </w:p>
    <w:p w:rsidR="00E84C01" w:rsidRDefault="00E84C0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4"/>
        </w:rPr>
      </w:pPr>
    </w:p>
    <w:p w:rsidR="00E84C01" w:rsidRDefault="00E84C0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4"/>
        </w:rPr>
      </w:pPr>
    </w:p>
    <w:p w:rsidR="00E84C01" w:rsidRDefault="00CD5B6F">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rPr>
      </w:pPr>
      <w:r>
        <w:rPr>
          <w:rFonts w:ascii="Calibri" w:eastAsia="Calibri" w:hAnsi="Calibri" w:cs="Calibri"/>
          <w:b/>
          <w:color w:val="000000"/>
          <w:sz w:val="48"/>
        </w:rPr>
        <w:t>BA Dance</w:t>
      </w:r>
    </w:p>
    <w:p w:rsidR="00E84C01" w:rsidRDefault="00CD5B6F">
      <w:pPr>
        <w:tabs>
          <w:tab w:val="left" w:pos="720"/>
          <w:tab w:val="left" w:pos="1440"/>
          <w:tab w:val="left" w:pos="2160"/>
          <w:tab w:val="left" w:pos="2880"/>
        </w:tabs>
        <w:spacing w:after="0" w:line="240" w:lineRule="auto"/>
        <w:ind w:left="3600" w:hanging="3600"/>
        <w:jc w:val="center"/>
        <w:rPr>
          <w:rFonts w:ascii="Calibri" w:eastAsia="Calibri" w:hAnsi="Calibri" w:cs="Calibri"/>
          <w:b/>
          <w:color w:val="000000"/>
          <w:sz w:val="48"/>
        </w:rPr>
      </w:pPr>
      <w:r>
        <w:rPr>
          <w:rFonts w:ascii="Calibri" w:eastAsia="Calibri" w:hAnsi="Calibri" w:cs="Calibri"/>
          <w:b/>
          <w:color w:val="000000"/>
          <w:sz w:val="48"/>
        </w:rPr>
        <w:t>2017-2018</w:t>
      </w:r>
    </w:p>
    <w:p w:rsidR="00E84C01" w:rsidRDefault="00E84C01">
      <w:pPr>
        <w:tabs>
          <w:tab w:val="left" w:pos="720"/>
          <w:tab w:val="left" w:pos="1440"/>
          <w:tab w:val="left" w:pos="2160"/>
          <w:tab w:val="left" w:pos="2880"/>
        </w:tabs>
        <w:spacing w:after="0" w:line="240" w:lineRule="auto"/>
        <w:ind w:left="3600" w:hanging="3600"/>
        <w:rPr>
          <w:rFonts w:ascii="Times New Roman" w:eastAsia="Times New Roman" w:hAnsi="Times New Roman" w:cs="Times New Roman"/>
          <w:b/>
          <w:color w:val="000000"/>
          <w:sz w:val="48"/>
        </w:rPr>
      </w:pPr>
    </w:p>
    <w:p w:rsidR="00E84C01" w:rsidRDefault="00CD5B6F">
      <w:pPr>
        <w:spacing w:after="200" w:line="276"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rsidR="00E84C01" w:rsidRDefault="00CD5B6F">
      <w:pPr>
        <w:spacing w:after="200" w:line="276" w:lineRule="auto"/>
        <w:rPr>
          <w:rFonts w:ascii="Times New Roman" w:eastAsia="Times New Roman" w:hAnsi="Times New Roman" w:cs="Times New Roman"/>
          <w:b/>
          <w:color w:val="000000"/>
        </w:rPr>
      </w:pPr>
      <w:r>
        <w:rPr>
          <w:rFonts w:ascii="Calibri" w:eastAsia="Calibri" w:hAnsi="Calibri" w:cs="Calibri"/>
          <w:b/>
          <w:color w:val="000000"/>
        </w:rPr>
        <w:t>Module Aims</w:t>
      </w:r>
    </w:p>
    <w:p w:rsidR="00E84C01" w:rsidRDefault="00CD5B6F">
      <w:pPr>
        <w:numPr>
          <w:ilvl w:val="0"/>
          <w:numId w:val="1"/>
        </w:numPr>
        <w:spacing w:before="120" w:after="0" w:line="240" w:lineRule="auto"/>
        <w:ind w:left="720" w:hanging="360"/>
        <w:jc w:val="both"/>
        <w:rPr>
          <w:rFonts w:ascii="Times New Roman" w:eastAsia="Times New Roman" w:hAnsi="Times New Roman" w:cs="Times New Roman"/>
          <w:b/>
          <w:color w:val="000000"/>
          <w:sz w:val="24"/>
        </w:rPr>
      </w:pPr>
      <w:r>
        <w:rPr>
          <w:rFonts w:ascii="Calibri" w:eastAsia="Calibri" w:hAnsi="Calibri" w:cs="Calibri"/>
          <w:color w:val="000000"/>
        </w:rPr>
        <w:t xml:space="preserve">To provide students with the opportunity to undertake appropriately challenging work on an independent project. </w:t>
      </w:r>
    </w:p>
    <w:p w:rsidR="00E84C01" w:rsidRDefault="00CD5B6F">
      <w:pPr>
        <w:numPr>
          <w:ilvl w:val="0"/>
          <w:numId w:val="1"/>
        </w:numPr>
        <w:spacing w:before="120" w:after="0" w:line="240" w:lineRule="auto"/>
        <w:ind w:left="720" w:hanging="360"/>
        <w:jc w:val="both"/>
        <w:rPr>
          <w:rFonts w:ascii="Times New Roman" w:eastAsia="Times New Roman" w:hAnsi="Times New Roman" w:cs="Times New Roman"/>
          <w:b/>
          <w:color w:val="000000"/>
          <w:sz w:val="24"/>
        </w:rPr>
      </w:pPr>
      <w:r>
        <w:rPr>
          <w:rFonts w:ascii="Calibri" w:eastAsia="Calibri" w:hAnsi="Calibri" w:cs="Calibri"/>
          <w:color w:val="000000"/>
        </w:rPr>
        <w:t xml:space="preserve">To enable students to hone skills developed during the course of their studies. </w:t>
      </w:r>
    </w:p>
    <w:p w:rsidR="00E84C01" w:rsidRDefault="00E84C01">
      <w:pPr>
        <w:tabs>
          <w:tab w:val="left" w:pos="720"/>
          <w:tab w:val="left" w:pos="1440"/>
          <w:tab w:val="left" w:pos="2160"/>
          <w:tab w:val="left" w:pos="2880"/>
        </w:tabs>
        <w:spacing w:after="0" w:line="240" w:lineRule="auto"/>
        <w:rPr>
          <w:rFonts w:ascii="Calibri" w:eastAsia="Calibri" w:hAnsi="Calibri" w:cs="Calibri"/>
          <w:b/>
          <w:color w:val="000000"/>
        </w:rPr>
      </w:pPr>
    </w:p>
    <w:p w:rsidR="00E84C01" w:rsidRDefault="00CD5B6F">
      <w:pPr>
        <w:tabs>
          <w:tab w:val="left" w:pos="720"/>
          <w:tab w:val="left" w:pos="1440"/>
          <w:tab w:val="left" w:pos="2160"/>
          <w:tab w:val="left" w:pos="2880"/>
        </w:tabs>
        <w:spacing w:after="0" w:line="240" w:lineRule="auto"/>
        <w:rPr>
          <w:rFonts w:ascii="Calibri" w:eastAsia="Calibri" w:hAnsi="Calibri" w:cs="Calibri"/>
          <w:b/>
          <w:color w:val="000000"/>
        </w:rPr>
      </w:pPr>
      <w:r>
        <w:rPr>
          <w:rFonts w:ascii="Calibri" w:eastAsia="Calibri" w:hAnsi="Calibri" w:cs="Calibri"/>
          <w:b/>
          <w:color w:val="000000"/>
        </w:rPr>
        <w:t>Module Overview</w:t>
      </w:r>
    </w:p>
    <w:p w:rsidR="00E84C01" w:rsidRDefault="00E84C01">
      <w:pPr>
        <w:tabs>
          <w:tab w:val="left" w:pos="720"/>
          <w:tab w:val="left" w:pos="1440"/>
          <w:tab w:val="left" w:pos="2160"/>
          <w:tab w:val="left" w:pos="2880"/>
        </w:tabs>
        <w:spacing w:after="0" w:line="240" w:lineRule="auto"/>
        <w:rPr>
          <w:rFonts w:ascii="Calibri" w:eastAsia="Calibri" w:hAnsi="Calibri" w:cs="Calibri"/>
          <w:b/>
          <w:color w:val="000000"/>
        </w:rPr>
      </w:pPr>
    </w:p>
    <w:p w:rsidR="00E84C01" w:rsidRDefault="00CD5B6F">
      <w:pPr>
        <w:spacing w:after="0" w:line="240" w:lineRule="auto"/>
        <w:ind w:firstLine="720"/>
        <w:jc w:val="both"/>
        <w:rPr>
          <w:rFonts w:ascii="Calibri" w:eastAsia="Calibri" w:hAnsi="Calibri" w:cs="Calibri"/>
          <w:color w:val="000000"/>
        </w:rPr>
      </w:pPr>
      <w:r>
        <w:rPr>
          <w:rFonts w:ascii="Calibri" w:eastAsia="Calibri" w:hAnsi="Calibri" w:cs="Calibri"/>
          <w:color w:val="000000"/>
        </w:rPr>
        <w:lastRenderedPageBreak/>
        <w:t>The module will enable students to develop an independent project that reflects an area of specialism that can be utilised as an element of their professional development planning. It is anticipated that the project will be flexible in nature, in order to cater for the broad interests and needs of the student cohort. The assessment format will remain similarly flexible so that a range of project approaches is possible. A student might, for example, choose to focus upon the creation of a project performance that enables them to specialise in training for the sustained performance of a demanding dance technique. Alternatively, a student might investigate a topic area such as the educational uses of dance at primary school level and, through field work, develop a practical presentation that assesses fundamental issues and draws evaluative conclusions. Whatever project routes are selected they will be done so through negotiation with the module tutor who will also act as overall supervisor.</w:t>
      </w:r>
    </w:p>
    <w:p w:rsidR="00E84C01" w:rsidRDefault="00E84C01">
      <w:pPr>
        <w:spacing w:after="0" w:line="240" w:lineRule="auto"/>
        <w:rPr>
          <w:rFonts w:ascii="Calibri" w:eastAsia="Calibri" w:hAnsi="Calibri" w:cs="Calibri"/>
          <w:color w:val="000000"/>
        </w:rPr>
      </w:pPr>
    </w:p>
    <w:p w:rsidR="00E84C01" w:rsidRDefault="00CD5B6F">
      <w:pPr>
        <w:spacing w:after="0" w:line="240" w:lineRule="auto"/>
        <w:ind w:firstLine="720"/>
        <w:jc w:val="both"/>
        <w:rPr>
          <w:rFonts w:ascii="Calibri" w:eastAsia="Calibri" w:hAnsi="Calibri" w:cs="Calibri"/>
          <w:color w:val="000000"/>
        </w:rPr>
      </w:pPr>
      <w:r>
        <w:rPr>
          <w:rFonts w:ascii="Calibri" w:eastAsia="Calibri" w:hAnsi="Calibri" w:cs="Calibri"/>
          <w:color w:val="000000"/>
        </w:rPr>
        <w:t>While the detailed content of the module will vary from year to year its organisational structure is designed to ensure that students are encouraged to develop work that arises from a secure knowledge base and is centred upon conceptual exploration appropriate to their level of study. Tutors will, therefore, ensure that students submit initial proposals for their Independent Project so that tutorial discussion can then take place. Following this proposals will be refined if necessary and a development strategy implemented. Tutors will also at this early stage negotiate with students the detailed assessment format that is deemed most appropriate for the planned project. In this way individualised learning will be enhanced within the broad learning outcomes of the module.</w:t>
      </w:r>
    </w:p>
    <w:p w:rsidR="00E84C01" w:rsidRDefault="00E84C01">
      <w:pPr>
        <w:tabs>
          <w:tab w:val="left" w:pos="720"/>
          <w:tab w:val="left" w:pos="1440"/>
          <w:tab w:val="left" w:pos="2160"/>
          <w:tab w:val="left" w:pos="2880"/>
        </w:tabs>
        <w:spacing w:after="0" w:line="240" w:lineRule="auto"/>
        <w:rPr>
          <w:rFonts w:ascii="Calibri" w:eastAsia="Calibri" w:hAnsi="Calibri" w:cs="Calibri"/>
          <w:b/>
          <w:color w:val="000000"/>
        </w:rPr>
      </w:pPr>
    </w:p>
    <w:p w:rsidR="00E84C01" w:rsidRDefault="00CD5B6F">
      <w:pPr>
        <w:spacing w:before="240" w:after="0" w:line="240" w:lineRule="auto"/>
        <w:jc w:val="both"/>
        <w:rPr>
          <w:rFonts w:ascii="Calibri" w:eastAsia="Calibri" w:hAnsi="Calibri" w:cs="Calibri"/>
          <w:b/>
          <w:color w:val="000000"/>
        </w:rPr>
      </w:pPr>
      <w:r>
        <w:rPr>
          <w:rFonts w:ascii="Calibri" w:eastAsia="Calibri" w:hAnsi="Calibri" w:cs="Calibri"/>
          <w:b/>
          <w:color w:val="000000"/>
        </w:rPr>
        <w:t>Assessment Criteria</w:t>
      </w:r>
    </w:p>
    <w:p w:rsidR="00E84C01" w:rsidRDefault="00E84C01">
      <w:pPr>
        <w:spacing w:after="0" w:line="240" w:lineRule="auto"/>
        <w:jc w:val="both"/>
        <w:rPr>
          <w:rFonts w:ascii="Calibri" w:eastAsia="Calibri" w:hAnsi="Calibri" w:cs="Calibri"/>
          <w:b/>
          <w:color w:val="000000"/>
        </w:rPr>
      </w:pPr>
    </w:p>
    <w:tbl>
      <w:tblPr>
        <w:tblW w:w="0" w:type="auto"/>
        <w:tblInd w:w="108" w:type="dxa"/>
        <w:tblCellMar>
          <w:left w:w="10" w:type="dxa"/>
          <w:right w:w="10" w:type="dxa"/>
        </w:tblCellMar>
        <w:tblLook w:val="0000" w:firstRow="0" w:lastRow="0" w:firstColumn="0" w:lastColumn="0" w:noHBand="0" w:noVBand="0"/>
      </w:tblPr>
      <w:tblGrid>
        <w:gridCol w:w="7976"/>
        <w:gridCol w:w="1040"/>
      </w:tblGrid>
      <w:tr w:rsidR="00E84C01">
        <w:tc>
          <w:tcPr>
            <w:tcW w:w="90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240" w:after="120" w:line="240" w:lineRule="auto"/>
              <w:jc w:val="both"/>
              <w:rPr>
                <w:rFonts w:ascii="Calibri" w:eastAsia="Calibri" w:hAnsi="Calibri" w:cs="Calibri"/>
              </w:rPr>
            </w:pPr>
            <w:r>
              <w:rPr>
                <w:rFonts w:ascii="Calibri" w:eastAsia="Calibri" w:hAnsi="Calibri" w:cs="Calibri"/>
                <w:b/>
                <w:color w:val="000000"/>
              </w:rPr>
              <w:t xml:space="preserve">Component A: Essay (4500 words) </w:t>
            </w:r>
          </w:p>
        </w:tc>
      </w:tr>
      <w:tr w:rsidR="00E84C01">
        <w:trPr>
          <w:trHeight w:val="1"/>
        </w:trPr>
        <w:tc>
          <w:tcPr>
            <w:tcW w:w="90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240" w:after="120" w:line="240" w:lineRule="auto"/>
              <w:jc w:val="both"/>
              <w:rPr>
                <w:rFonts w:ascii="Calibri" w:eastAsia="Calibri" w:hAnsi="Calibri" w:cs="Calibri"/>
              </w:rPr>
            </w:pPr>
            <w:r>
              <w:rPr>
                <w:rFonts w:ascii="Calibri" w:eastAsia="Calibri" w:hAnsi="Calibri" w:cs="Calibri"/>
                <w:color w:val="000000"/>
              </w:rPr>
              <w:t>In an essay you are expected to develop an investigation into a dance-based topic area. You will be expected to demonstrate a high degree of conceptual understanding through comprehensive research. You will also be expected to display a high degree of skill in the practical development and realisation of the project.</w:t>
            </w:r>
          </w:p>
        </w:tc>
      </w:tr>
      <w:tr w:rsidR="00E84C01">
        <w:trPr>
          <w:trHeight w:val="1"/>
        </w:trPr>
        <w:tc>
          <w:tcPr>
            <w:tcW w:w="7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240" w:after="120" w:line="240" w:lineRule="auto"/>
              <w:jc w:val="both"/>
              <w:rPr>
                <w:rFonts w:ascii="Calibri" w:eastAsia="Calibri" w:hAnsi="Calibri" w:cs="Calibri"/>
                <w:color w:val="000000"/>
              </w:rPr>
            </w:pPr>
            <w:r>
              <w:rPr>
                <w:rFonts w:ascii="Calibri" w:eastAsia="Calibri" w:hAnsi="Calibri" w:cs="Calibri"/>
                <w:b/>
                <w:color w:val="000000"/>
              </w:rPr>
              <w:t>Criteria 1:</w:t>
            </w:r>
            <w:r>
              <w:rPr>
                <w:rFonts w:ascii="Calibri" w:eastAsia="Calibri" w:hAnsi="Calibri" w:cs="Calibri"/>
                <w:color w:val="000000"/>
              </w:rPr>
              <w:t xml:space="preserve"> Develop a sophisticated investigation into a dance-based topic area. </w:t>
            </w:r>
          </w:p>
          <w:p w:rsidR="00E84C01" w:rsidRDefault="00CD5B6F">
            <w:pPr>
              <w:spacing w:before="240" w:after="120" w:line="240" w:lineRule="auto"/>
              <w:jc w:val="both"/>
              <w:rPr>
                <w:rFonts w:ascii="Calibri" w:eastAsia="Calibri" w:hAnsi="Calibri" w:cs="Calibri"/>
                <w:color w:val="000000"/>
              </w:rPr>
            </w:pPr>
            <w:r>
              <w:rPr>
                <w:rFonts w:ascii="Calibri" w:eastAsia="Calibri" w:hAnsi="Calibri" w:cs="Calibri"/>
                <w:b/>
                <w:color w:val="000000"/>
              </w:rPr>
              <w:t>Criteria 2:</w:t>
            </w:r>
            <w:r>
              <w:rPr>
                <w:rFonts w:ascii="Calibri" w:eastAsia="Calibri" w:hAnsi="Calibri" w:cs="Calibri"/>
                <w:color w:val="000000"/>
              </w:rPr>
              <w:t xml:space="preserve"> Demonstrate a high degree of conceptual understanding in the topic area.</w:t>
            </w:r>
          </w:p>
          <w:p w:rsidR="00E84C01" w:rsidRDefault="00CD5B6F">
            <w:pPr>
              <w:spacing w:before="240" w:after="120" w:line="240" w:lineRule="auto"/>
              <w:jc w:val="both"/>
              <w:rPr>
                <w:rFonts w:ascii="Calibri" w:eastAsia="Calibri" w:hAnsi="Calibri" w:cs="Calibri"/>
                <w:color w:val="000000"/>
              </w:rPr>
            </w:pPr>
            <w:r>
              <w:rPr>
                <w:rFonts w:ascii="Calibri" w:eastAsia="Calibri" w:hAnsi="Calibri" w:cs="Calibri"/>
                <w:b/>
                <w:color w:val="000000"/>
              </w:rPr>
              <w:t>Criteria 3:</w:t>
            </w:r>
            <w:r>
              <w:rPr>
                <w:rFonts w:ascii="Calibri" w:eastAsia="Calibri" w:hAnsi="Calibri" w:cs="Calibri"/>
                <w:color w:val="000000"/>
              </w:rPr>
              <w:t xml:space="preserve"> Display a high degree of skill in the practical development and realisation of the topic area. </w:t>
            </w:r>
          </w:p>
          <w:p w:rsidR="00E84C01" w:rsidRDefault="00E84C01">
            <w:pPr>
              <w:spacing w:before="240" w:after="120" w:line="240" w:lineRule="auto"/>
              <w:jc w:val="both"/>
              <w:rPr>
                <w:rFonts w:ascii="Calibri" w:eastAsia="Calibri" w:hAnsi="Calibri" w:cs="Calibri"/>
              </w:rPr>
            </w:pPr>
          </w:p>
        </w:tc>
        <w:tc>
          <w:tcPr>
            <w:tcW w:w="10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240" w:after="120" w:line="240" w:lineRule="auto"/>
              <w:jc w:val="center"/>
              <w:rPr>
                <w:rFonts w:ascii="Calibri" w:eastAsia="Calibri" w:hAnsi="Calibri" w:cs="Calibri"/>
              </w:rPr>
            </w:pPr>
            <w:r>
              <w:rPr>
                <w:rFonts w:ascii="Calibri" w:eastAsia="Calibri" w:hAnsi="Calibri" w:cs="Calibri"/>
                <w:b/>
                <w:color w:val="000000"/>
              </w:rPr>
              <w:t>75%</w:t>
            </w:r>
          </w:p>
        </w:tc>
      </w:tr>
      <w:tr w:rsidR="00E84C01">
        <w:tc>
          <w:tcPr>
            <w:tcW w:w="90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240" w:after="120" w:line="240" w:lineRule="auto"/>
              <w:jc w:val="both"/>
              <w:rPr>
                <w:rFonts w:ascii="Calibri" w:eastAsia="Calibri" w:hAnsi="Calibri" w:cs="Calibri"/>
              </w:rPr>
            </w:pPr>
            <w:r>
              <w:rPr>
                <w:rFonts w:ascii="Calibri" w:eastAsia="Calibri" w:hAnsi="Calibri" w:cs="Calibri"/>
                <w:b/>
                <w:color w:val="000000"/>
              </w:rPr>
              <w:t xml:space="preserve">Component B: Critical Evaluation (1500 words) </w:t>
            </w:r>
          </w:p>
        </w:tc>
      </w:tr>
      <w:tr w:rsidR="00E84C01">
        <w:trPr>
          <w:trHeight w:val="1"/>
        </w:trPr>
        <w:tc>
          <w:tcPr>
            <w:tcW w:w="90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240" w:after="120" w:line="240" w:lineRule="auto"/>
              <w:jc w:val="both"/>
              <w:rPr>
                <w:rFonts w:ascii="Calibri" w:eastAsia="Calibri" w:hAnsi="Calibri" w:cs="Calibri"/>
              </w:rPr>
            </w:pPr>
            <w:r>
              <w:rPr>
                <w:rFonts w:ascii="Calibri" w:eastAsia="Calibri" w:hAnsi="Calibri" w:cs="Calibri"/>
                <w:color w:val="000000"/>
              </w:rPr>
              <w:t xml:space="preserve">In a 1500 essay you are expected to critically evaluate your project through reflective analysis at an advanced level. You will need to reflect on the practical development and realisation of the topic area, making reference to your conceptual understanding. It is expected at this level that you provide supporting evidence to prove your point of view, and reference any sources accurately. Please refer to the module criteria when completing this evaluation. </w:t>
            </w:r>
          </w:p>
        </w:tc>
      </w:tr>
      <w:tr w:rsidR="00E84C01">
        <w:trPr>
          <w:trHeight w:val="1"/>
        </w:trPr>
        <w:tc>
          <w:tcPr>
            <w:tcW w:w="7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240" w:after="120" w:line="240" w:lineRule="auto"/>
              <w:jc w:val="both"/>
              <w:rPr>
                <w:rFonts w:ascii="Calibri" w:eastAsia="Calibri" w:hAnsi="Calibri" w:cs="Calibri"/>
              </w:rPr>
            </w:pPr>
            <w:r>
              <w:rPr>
                <w:rFonts w:ascii="Calibri" w:eastAsia="Calibri" w:hAnsi="Calibri" w:cs="Calibri"/>
                <w:b/>
                <w:color w:val="000000"/>
              </w:rPr>
              <w:lastRenderedPageBreak/>
              <w:t>Criteria 4:</w:t>
            </w:r>
            <w:r>
              <w:rPr>
                <w:rFonts w:ascii="Calibri" w:eastAsia="Calibri" w:hAnsi="Calibri" w:cs="Calibri"/>
                <w:color w:val="000000"/>
              </w:rPr>
              <w:t xml:space="preserve"> Critically evaluate the completed project through reflective analysis of their work at an advanced level. </w:t>
            </w:r>
          </w:p>
        </w:tc>
        <w:tc>
          <w:tcPr>
            <w:tcW w:w="10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240" w:after="120" w:line="240" w:lineRule="auto"/>
              <w:rPr>
                <w:rFonts w:ascii="Calibri" w:eastAsia="Calibri" w:hAnsi="Calibri" w:cs="Calibri"/>
              </w:rPr>
            </w:pPr>
            <w:r>
              <w:rPr>
                <w:rFonts w:ascii="Calibri" w:eastAsia="Calibri" w:hAnsi="Calibri" w:cs="Calibri"/>
                <w:b/>
                <w:color w:val="000000"/>
              </w:rPr>
              <w:t xml:space="preserve">    25%</w:t>
            </w:r>
          </w:p>
        </w:tc>
      </w:tr>
    </w:tbl>
    <w:p w:rsidR="00E84C01" w:rsidRDefault="00E84C01">
      <w:pPr>
        <w:spacing w:before="240" w:after="120" w:line="240" w:lineRule="auto"/>
        <w:jc w:val="both"/>
        <w:rPr>
          <w:rFonts w:ascii="Calibri" w:eastAsia="Calibri" w:hAnsi="Calibri" w:cs="Calibri"/>
          <w:b/>
          <w:color w:val="000000"/>
        </w:rPr>
      </w:pPr>
    </w:p>
    <w:tbl>
      <w:tblPr>
        <w:tblW w:w="0" w:type="auto"/>
        <w:tblInd w:w="108" w:type="dxa"/>
        <w:tblCellMar>
          <w:left w:w="10" w:type="dxa"/>
          <w:right w:w="10" w:type="dxa"/>
        </w:tblCellMar>
        <w:tblLook w:val="0000" w:firstRow="0" w:lastRow="0" w:firstColumn="0" w:lastColumn="0" w:noHBand="0" w:noVBand="0"/>
      </w:tblPr>
      <w:tblGrid>
        <w:gridCol w:w="9016"/>
      </w:tblGrid>
      <w:tr w:rsidR="00E84C01">
        <w:trPr>
          <w:trHeight w:val="1"/>
        </w:trPr>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E84C01">
            <w:pPr>
              <w:spacing w:after="0" w:line="240" w:lineRule="auto"/>
              <w:jc w:val="center"/>
              <w:rPr>
                <w:rFonts w:ascii="Calibri" w:eastAsia="Calibri" w:hAnsi="Calibri" w:cs="Calibri"/>
                <w:b/>
                <w:color w:val="000000"/>
              </w:rPr>
            </w:pPr>
          </w:p>
          <w:p w:rsidR="00E84C01" w:rsidRDefault="00CD5B6F">
            <w:pPr>
              <w:spacing w:after="0" w:line="240" w:lineRule="auto"/>
              <w:jc w:val="center"/>
              <w:rPr>
                <w:rFonts w:ascii="Calibri" w:eastAsia="Calibri" w:hAnsi="Calibri" w:cs="Calibri"/>
                <w:b/>
                <w:color w:val="000000"/>
              </w:rPr>
            </w:pPr>
            <w:r>
              <w:rPr>
                <w:rFonts w:ascii="Calibri" w:eastAsia="Calibri" w:hAnsi="Calibri" w:cs="Calibri"/>
                <w:b/>
                <w:color w:val="000000"/>
              </w:rPr>
              <w:t>Overall mark = 100%</w:t>
            </w:r>
          </w:p>
          <w:p w:rsidR="00E84C01" w:rsidRDefault="00E84C01">
            <w:pPr>
              <w:spacing w:after="0" w:line="240" w:lineRule="auto"/>
              <w:jc w:val="center"/>
              <w:rPr>
                <w:rFonts w:ascii="Calibri" w:eastAsia="Calibri" w:hAnsi="Calibri" w:cs="Calibri"/>
                <w:b/>
                <w:color w:val="000000"/>
              </w:rPr>
            </w:pPr>
          </w:p>
          <w:p w:rsidR="00E84C01" w:rsidRDefault="00CD5B6F">
            <w:pPr>
              <w:spacing w:after="0" w:line="240" w:lineRule="auto"/>
              <w:jc w:val="center"/>
              <w:rPr>
                <w:rFonts w:ascii="Calibri" w:eastAsia="Calibri" w:hAnsi="Calibri" w:cs="Calibri"/>
                <w:b/>
                <w:color w:val="000000"/>
              </w:rPr>
            </w:pPr>
            <w:r>
              <w:rPr>
                <w:rFonts w:ascii="Calibri" w:eastAsia="Calibri" w:hAnsi="Calibri" w:cs="Calibri"/>
                <w:b/>
                <w:color w:val="000000"/>
              </w:rPr>
              <w:t>Please note the overall mark is an average of the two components listed above.</w:t>
            </w:r>
          </w:p>
          <w:p w:rsidR="00E84C01" w:rsidRDefault="00E84C01">
            <w:pPr>
              <w:spacing w:after="0" w:line="240" w:lineRule="auto"/>
              <w:jc w:val="center"/>
              <w:rPr>
                <w:rFonts w:ascii="Calibri" w:eastAsia="Calibri" w:hAnsi="Calibri" w:cs="Calibri"/>
              </w:rPr>
            </w:pPr>
          </w:p>
        </w:tc>
      </w:tr>
    </w:tbl>
    <w:p w:rsidR="00E84C01" w:rsidRDefault="00E84C01">
      <w:pPr>
        <w:spacing w:before="240" w:after="120" w:line="240" w:lineRule="auto"/>
        <w:jc w:val="both"/>
        <w:rPr>
          <w:rFonts w:ascii="Calibri" w:eastAsia="Calibri" w:hAnsi="Calibri" w:cs="Calibri"/>
          <w:b/>
          <w:color w:val="000000"/>
        </w:rPr>
      </w:pPr>
    </w:p>
    <w:tbl>
      <w:tblPr>
        <w:tblW w:w="0" w:type="auto"/>
        <w:tblInd w:w="108" w:type="dxa"/>
        <w:tblCellMar>
          <w:left w:w="10" w:type="dxa"/>
          <w:right w:w="10" w:type="dxa"/>
        </w:tblCellMar>
        <w:tblLook w:val="0000" w:firstRow="0" w:lastRow="0" w:firstColumn="0" w:lastColumn="0" w:noHBand="0" w:noVBand="0"/>
      </w:tblPr>
      <w:tblGrid>
        <w:gridCol w:w="9016"/>
      </w:tblGrid>
      <w:tr w:rsidR="00E84C01">
        <w:trPr>
          <w:trHeight w:val="1"/>
        </w:trPr>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84C01" w:rsidRDefault="00CD5B6F">
            <w:pPr>
              <w:spacing w:before="100" w:after="100" w:line="240" w:lineRule="auto"/>
              <w:ind w:right="480"/>
              <w:jc w:val="center"/>
              <w:rPr>
                <w:rFonts w:ascii="Calibri" w:eastAsia="Calibri" w:hAnsi="Calibri" w:cs="Calibri"/>
                <w:b/>
                <w:color w:val="000000"/>
              </w:rPr>
            </w:pPr>
            <w:r>
              <w:rPr>
                <w:rFonts w:ascii="Calibri" w:eastAsia="Calibri" w:hAnsi="Calibri" w:cs="Calibri"/>
                <w:b/>
                <w:color w:val="000000"/>
              </w:rPr>
              <w:t>Assessment Deadline: 5pm on Friday 15</w:t>
            </w:r>
            <w:r>
              <w:rPr>
                <w:rFonts w:ascii="Calibri" w:eastAsia="Calibri" w:hAnsi="Calibri" w:cs="Calibri"/>
                <w:b/>
                <w:color w:val="000000"/>
                <w:vertAlign w:val="superscript"/>
              </w:rPr>
              <w:t>th</w:t>
            </w:r>
            <w:r>
              <w:rPr>
                <w:rFonts w:ascii="Calibri" w:eastAsia="Calibri" w:hAnsi="Calibri" w:cs="Calibri"/>
                <w:b/>
                <w:color w:val="000000"/>
              </w:rPr>
              <w:t xml:space="preserve"> December 2017</w:t>
            </w:r>
          </w:p>
          <w:p w:rsidR="00E84C01" w:rsidRDefault="00CD5B6F">
            <w:pPr>
              <w:spacing w:before="240" w:after="120" w:line="240" w:lineRule="auto"/>
              <w:jc w:val="center"/>
              <w:rPr>
                <w:rFonts w:ascii="Calibri" w:eastAsia="Calibri" w:hAnsi="Calibri" w:cs="Calibri"/>
              </w:rPr>
            </w:pPr>
            <w:r>
              <w:rPr>
                <w:rFonts w:ascii="Calibri" w:eastAsia="Calibri" w:hAnsi="Calibri" w:cs="Calibri"/>
                <w:b/>
                <w:color w:val="333333"/>
              </w:rPr>
              <w:t>Please refer to the Programme of Study Handbook for submission policies and procedures. Failure to submit will result in formal action.</w:t>
            </w:r>
          </w:p>
        </w:tc>
      </w:tr>
    </w:tbl>
    <w:p w:rsidR="00E84C01" w:rsidRDefault="00E84C01">
      <w:pPr>
        <w:spacing w:before="240" w:after="120" w:line="240" w:lineRule="auto"/>
        <w:jc w:val="both"/>
        <w:rPr>
          <w:rFonts w:ascii="Calibri" w:eastAsia="Calibri" w:hAnsi="Calibri" w:cs="Calibri"/>
          <w:b/>
          <w:color w:val="000000"/>
        </w:rPr>
      </w:pPr>
    </w:p>
    <w:p w:rsidR="00E84C01" w:rsidRDefault="00E84C01">
      <w:pPr>
        <w:spacing w:before="240" w:after="120" w:line="240" w:lineRule="auto"/>
        <w:jc w:val="both"/>
        <w:rPr>
          <w:rFonts w:ascii="Calibri" w:eastAsia="Calibri" w:hAnsi="Calibri" w:cs="Calibri"/>
          <w:b/>
          <w:color w:val="000000"/>
        </w:rPr>
      </w:pPr>
    </w:p>
    <w:p w:rsidR="00E84C01" w:rsidRDefault="00E84C01">
      <w:pPr>
        <w:spacing w:before="240" w:after="120" w:line="240" w:lineRule="auto"/>
        <w:jc w:val="both"/>
        <w:rPr>
          <w:rFonts w:ascii="Calibri" w:eastAsia="Calibri" w:hAnsi="Calibri" w:cs="Calibri"/>
          <w:b/>
          <w:color w:val="000000"/>
        </w:rPr>
      </w:pPr>
    </w:p>
    <w:p w:rsidR="00E84C01" w:rsidRDefault="00E84C01">
      <w:pPr>
        <w:spacing w:before="240" w:after="120" w:line="240" w:lineRule="auto"/>
        <w:jc w:val="both"/>
        <w:rPr>
          <w:rFonts w:ascii="Calibri" w:eastAsia="Calibri" w:hAnsi="Calibri" w:cs="Calibri"/>
          <w:b/>
          <w:color w:val="000000"/>
        </w:rPr>
      </w:pPr>
    </w:p>
    <w:p w:rsidR="00E84C01" w:rsidRDefault="00E84C01">
      <w:pPr>
        <w:spacing w:before="240" w:after="120" w:line="240" w:lineRule="auto"/>
        <w:jc w:val="both"/>
        <w:rPr>
          <w:rFonts w:ascii="Calibri" w:eastAsia="Calibri" w:hAnsi="Calibri" w:cs="Calibri"/>
          <w:b/>
          <w:color w:val="000000"/>
        </w:rPr>
      </w:pPr>
    </w:p>
    <w:p w:rsidR="00E84C01" w:rsidRDefault="00E84C01">
      <w:pPr>
        <w:spacing w:before="240" w:after="120" w:line="240" w:lineRule="auto"/>
        <w:jc w:val="both"/>
        <w:rPr>
          <w:rFonts w:ascii="Calibri" w:eastAsia="Calibri" w:hAnsi="Calibri" w:cs="Calibri"/>
          <w:b/>
          <w:color w:val="000000"/>
        </w:rPr>
      </w:pPr>
    </w:p>
    <w:p w:rsidR="00E84C01" w:rsidRDefault="00E84C01">
      <w:pPr>
        <w:spacing w:after="240" w:line="240" w:lineRule="auto"/>
        <w:rPr>
          <w:rFonts w:ascii="Calibri" w:eastAsia="Calibri" w:hAnsi="Calibri" w:cs="Calibri"/>
          <w:b/>
          <w:color w:val="333333"/>
        </w:rPr>
      </w:pPr>
    </w:p>
    <w:p w:rsidR="00E84C01" w:rsidRDefault="00CD5B6F">
      <w:pPr>
        <w:spacing w:after="240" w:line="240" w:lineRule="auto"/>
        <w:rPr>
          <w:rFonts w:ascii="Calibri" w:eastAsia="Calibri" w:hAnsi="Calibri" w:cs="Calibri"/>
          <w:b/>
          <w:color w:val="333333"/>
          <w:vertAlign w:val="superscript"/>
        </w:rPr>
      </w:pPr>
      <w:r>
        <w:rPr>
          <w:rFonts w:ascii="Calibri" w:eastAsia="Calibri" w:hAnsi="Calibri" w:cs="Calibri"/>
          <w:b/>
          <w:color w:val="333333"/>
        </w:rPr>
        <w:t>Week of October 2</w:t>
      </w:r>
      <w:r>
        <w:rPr>
          <w:rFonts w:ascii="Calibri" w:eastAsia="Calibri" w:hAnsi="Calibri" w:cs="Calibri"/>
          <w:b/>
          <w:color w:val="333333"/>
          <w:vertAlign w:val="superscript"/>
        </w:rPr>
        <w:t>nd</w:t>
      </w:r>
      <w:r>
        <w:rPr>
          <w:rFonts w:ascii="Calibri" w:eastAsia="Calibri" w:hAnsi="Calibri" w:cs="Calibri"/>
          <w:b/>
          <w:color w:val="333333"/>
        </w:rPr>
        <w:t xml:space="preserve"> </w:t>
      </w:r>
    </w:p>
    <w:p w:rsidR="00E84C01" w:rsidRDefault="00CD5B6F">
      <w:pPr>
        <w:spacing w:after="240" w:line="240" w:lineRule="auto"/>
        <w:rPr>
          <w:rFonts w:ascii="Calibri" w:eastAsia="Calibri" w:hAnsi="Calibri" w:cs="Calibri"/>
          <w:color w:val="333333"/>
        </w:rPr>
      </w:pPr>
      <w:r>
        <w:rPr>
          <w:rFonts w:ascii="Calibri" w:eastAsia="Calibri" w:hAnsi="Calibri" w:cs="Calibri"/>
          <w:b/>
          <w:color w:val="333333"/>
        </w:rPr>
        <w:t xml:space="preserve">Session Aims: </w:t>
      </w:r>
      <w:r>
        <w:rPr>
          <w:rFonts w:ascii="Calibri" w:eastAsia="Calibri" w:hAnsi="Calibri" w:cs="Calibri"/>
          <w:color w:val="333333"/>
        </w:rPr>
        <w:t xml:space="preserve">During this week you will receive an introduction to the module. You will be provided with examples of previous projects, which will allow you to identify any instances of excellence or potential downfalls. You will be expected to consider potential projects ideas, analysing their strength, weaknesses, opportunities and threats. When you have decided on a chosen topic area you must prepare a project pitch that will be presented to the module tutor and peers. </w:t>
      </w:r>
    </w:p>
    <w:p w:rsidR="00E84C01" w:rsidRDefault="00E84C01">
      <w:pPr>
        <w:spacing w:after="240" w:line="240" w:lineRule="auto"/>
        <w:rPr>
          <w:rFonts w:ascii="Calibri" w:eastAsia="Calibri" w:hAnsi="Calibri" w:cs="Calibri"/>
          <w:color w:val="333333"/>
        </w:rPr>
      </w:pPr>
    </w:p>
    <w:p w:rsidR="00E84C01" w:rsidRDefault="00CD5B6F">
      <w:pPr>
        <w:spacing w:after="240" w:line="240" w:lineRule="auto"/>
        <w:rPr>
          <w:rFonts w:ascii="Calibri" w:eastAsia="Calibri" w:hAnsi="Calibri" w:cs="Calibri"/>
          <w:b/>
          <w:color w:val="333333"/>
        </w:rPr>
      </w:pPr>
      <w:r>
        <w:rPr>
          <w:rFonts w:ascii="Calibri" w:eastAsia="Calibri" w:hAnsi="Calibri" w:cs="Calibri"/>
          <w:b/>
          <w:color w:val="333333"/>
        </w:rPr>
        <w:t>Week of October 9</w:t>
      </w:r>
      <w:r>
        <w:rPr>
          <w:rFonts w:ascii="Calibri" w:eastAsia="Calibri" w:hAnsi="Calibri" w:cs="Calibri"/>
          <w:b/>
          <w:color w:val="333333"/>
          <w:vertAlign w:val="superscript"/>
        </w:rPr>
        <w:t>th</w:t>
      </w:r>
      <w:r>
        <w:rPr>
          <w:rFonts w:ascii="Calibri" w:eastAsia="Calibri" w:hAnsi="Calibri" w:cs="Calibri"/>
          <w:b/>
          <w:color w:val="333333"/>
        </w:rPr>
        <w:t xml:space="preserve">  </w:t>
      </w:r>
    </w:p>
    <w:p w:rsidR="00E84C01" w:rsidRDefault="00CD5B6F">
      <w:pPr>
        <w:spacing w:after="240" w:line="240" w:lineRule="auto"/>
        <w:rPr>
          <w:rFonts w:ascii="Calibri" w:eastAsia="Calibri" w:hAnsi="Calibri" w:cs="Calibri"/>
          <w:color w:val="333333"/>
        </w:rPr>
      </w:pPr>
      <w:r>
        <w:rPr>
          <w:rFonts w:ascii="Calibri" w:eastAsia="Calibri" w:hAnsi="Calibri" w:cs="Calibri"/>
          <w:b/>
          <w:color w:val="333333"/>
        </w:rPr>
        <w:t xml:space="preserve">Session Aims: </w:t>
      </w:r>
      <w:r>
        <w:rPr>
          <w:rFonts w:ascii="Calibri" w:eastAsia="Calibri" w:hAnsi="Calibri" w:cs="Calibri"/>
          <w:color w:val="333333"/>
        </w:rPr>
        <w:t xml:space="preserve">During this week you will be invited to pitch your project to the module tutor and your peers. Your pitch needs to be well informed and demonstrate clear aims and objectives. You will be expected to answer questions from the tutor and your peers, to which you will provide knowledgeable and considered answers. You will be invited to attend a one to one tutorial session with the module tutor to negotiate the development and realisation of the project, and gain approval. You will then be expected to plan your project setting realistic and measurable targets on a weekly basis. </w:t>
      </w:r>
    </w:p>
    <w:p w:rsidR="00E84C01" w:rsidRDefault="00E84C01">
      <w:pPr>
        <w:spacing w:after="240" w:line="240" w:lineRule="auto"/>
        <w:rPr>
          <w:rFonts w:ascii="Calibri" w:eastAsia="Calibri" w:hAnsi="Calibri" w:cs="Calibri"/>
          <w:color w:val="444444"/>
          <w:shd w:val="clear" w:color="auto" w:fill="FFFFFF"/>
        </w:rPr>
      </w:pPr>
    </w:p>
    <w:p w:rsidR="00E84C01" w:rsidRDefault="00CD5B6F">
      <w:pPr>
        <w:spacing w:after="240" w:line="240" w:lineRule="auto"/>
        <w:rPr>
          <w:rFonts w:ascii="Calibri" w:eastAsia="Calibri" w:hAnsi="Calibri" w:cs="Calibri"/>
          <w:b/>
          <w:color w:val="333333"/>
          <w:vertAlign w:val="superscript"/>
        </w:rPr>
      </w:pPr>
      <w:r>
        <w:rPr>
          <w:rFonts w:ascii="Calibri" w:eastAsia="Calibri" w:hAnsi="Calibri" w:cs="Calibri"/>
          <w:b/>
          <w:color w:val="333333"/>
        </w:rPr>
        <w:t>Week of October 16</w:t>
      </w:r>
      <w:r>
        <w:rPr>
          <w:rFonts w:ascii="Calibri" w:eastAsia="Calibri" w:hAnsi="Calibri" w:cs="Calibri"/>
          <w:b/>
          <w:color w:val="333333"/>
          <w:vertAlign w:val="superscript"/>
        </w:rPr>
        <w:t>th</w:t>
      </w:r>
      <w:r>
        <w:rPr>
          <w:rFonts w:ascii="Calibri" w:eastAsia="Calibri" w:hAnsi="Calibri" w:cs="Calibri"/>
          <w:b/>
          <w:color w:val="333333"/>
        </w:rPr>
        <w:t xml:space="preserve"> </w:t>
      </w:r>
    </w:p>
    <w:p w:rsidR="00E84C01" w:rsidRPr="00AF0FCA" w:rsidRDefault="00CD5B6F">
      <w:pPr>
        <w:spacing w:after="240" w:line="240" w:lineRule="auto"/>
        <w:rPr>
          <w:rFonts w:ascii="Calibri" w:eastAsia="Calibri" w:hAnsi="Calibri" w:cs="Calibri"/>
          <w:color w:val="333333"/>
        </w:rPr>
      </w:pPr>
      <w:r>
        <w:rPr>
          <w:rFonts w:ascii="Calibri" w:eastAsia="Calibri" w:hAnsi="Calibri" w:cs="Calibri"/>
          <w:b/>
          <w:color w:val="333333"/>
        </w:rPr>
        <w:t xml:space="preserve">Session Aims: </w:t>
      </w:r>
      <w:r w:rsidR="00AF0FCA">
        <w:rPr>
          <w:rFonts w:ascii="Calibri" w:eastAsia="Calibri" w:hAnsi="Calibri" w:cs="Calibri"/>
          <w:color w:val="333333"/>
        </w:rPr>
        <w:t xml:space="preserve">During this week I will be researching what impulses are and where they come from. The week will be heavily focused on determining what exactly an impulse is, gaining professional definitions of the term, and then </w:t>
      </w:r>
      <w:r w:rsidR="003119F8">
        <w:rPr>
          <w:rFonts w:ascii="Calibri" w:eastAsia="Calibri" w:hAnsi="Calibri" w:cs="Calibri"/>
          <w:color w:val="333333"/>
        </w:rPr>
        <w:t>turning my attention to where in the human construct an impulse is created and derived. I will also begin my research into theories determining the reasons for elicited movement within listeners of music, determining characteristics of music that elicit a physical response.</w:t>
      </w:r>
      <w:r w:rsidR="00851155">
        <w:rPr>
          <w:rFonts w:ascii="Calibri" w:eastAsia="Calibri" w:hAnsi="Calibri" w:cs="Calibri"/>
          <w:color w:val="333333"/>
        </w:rPr>
        <w:t xml:space="preserve"> To exact my research, I will visit the library to find books, access online documentation such as journal articles, and articles on websites. </w:t>
      </w:r>
      <w:r w:rsidR="002E53D9">
        <w:rPr>
          <w:rFonts w:ascii="Calibri" w:eastAsia="Calibri" w:hAnsi="Calibri" w:cs="Calibri"/>
          <w:color w:val="333333"/>
        </w:rPr>
        <w:t xml:space="preserve">I will also focus on determining theories about why the human construct moves to music through impulsive reaction, gaining insight through in depth research, once again, visiting libraries to search through books for information, accessing the internet, scholarly articles, and resourcing videos from online resources. </w:t>
      </w:r>
    </w:p>
    <w:p w:rsidR="00AF0FCA" w:rsidRDefault="00AF0FCA">
      <w:pPr>
        <w:spacing w:after="240" w:line="240" w:lineRule="auto"/>
        <w:rPr>
          <w:rFonts w:ascii="Calibri" w:eastAsia="Calibri" w:hAnsi="Calibri" w:cs="Calibri"/>
          <w:b/>
          <w:color w:val="333333"/>
        </w:rPr>
      </w:pPr>
      <w:r>
        <w:rPr>
          <w:rFonts w:ascii="Calibri" w:eastAsia="Calibri" w:hAnsi="Calibri" w:cs="Calibri"/>
          <w:b/>
          <w:color w:val="333333"/>
        </w:rPr>
        <w:t xml:space="preserve">                  </w:t>
      </w:r>
    </w:p>
    <w:p w:rsidR="00E84C01" w:rsidRDefault="00CD5B6F">
      <w:pPr>
        <w:spacing w:after="240" w:line="240" w:lineRule="auto"/>
        <w:rPr>
          <w:rFonts w:ascii="Calibri" w:eastAsia="Calibri" w:hAnsi="Calibri" w:cs="Calibri"/>
          <w:b/>
          <w:color w:val="333333"/>
        </w:rPr>
      </w:pPr>
      <w:r>
        <w:rPr>
          <w:rFonts w:ascii="Calibri" w:eastAsia="Calibri" w:hAnsi="Calibri" w:cs="Calibri"/>
          <w:b/>
          <w:color w:val="333333"/>
        </w:rPr>
        <w:t>Week of October 23</w:t>
      </w:r>
      <w:r>
        <w:rPr>
          <w:rFonts w:ascii="Calibri" w:eastAsia="Calibri" w:hAnsi="Calibri" w:cs="Calibri"/>
          <w:b/>
          <w:color w:val="333333"/>
          <w:vertAlign w:val="superscript"/>
        </w:rPr>
        <w:t>rd</w:t>
      </w:r>
      <w:r>
        <w:rPr>
          <w:rFonts w:ascii="Calibri" w:eastAsia="Calibri" w:hAnsi="Calibri" w:cs="Calibri"/>
          <w:b/>
          <w:color w:val="333333"/>
        </w:rPr>
        <w:t xml:space="preserve"> </w:t>
      </w:r>
    </w:p>
    <w:p w:rsidR="00E84C01" w:rsidRPr="00BD5343" w:rsidRDefault="00CD5B6F">
      <w:pPr>
        <w:spacing w:after="240" w:line="240" w:lineRule="auto"/>
        <w:rPr>
          <w:rFonts w:ascii="Calibri" w:eastAsia="Calibri" w:hAnsi="Calibri" w:cs="Calibri"/>
          <w:color w:val="333333"/>
        </w:rPr>
      </w:pPr>
      <w:r>
        <w:rPr>
          <w:rFonts w:ascii="Calibri" w:eastAsia="Calibri" w:hAnsi="Calibri" w:cs="Calibri"/>
          <w:b/>
          <w:color w:val="333333"/>
        </w:rPr>
        <w:t xml:space="preserve">Session Aims: </w:t>
      </w:r>
      <w:r w:rsidR="003119F8">
        <w:rPr>
          <w:rFonts w:ascii="Calibri" w:eastAsia="Calibri" w:hAnsi="Calibri" w:cs="Calibri"/>
          <w:color w:val="333333"/>
        </w:rPr>
        <w:t xml:space="preserve">During this week, I will focus my attention upon determining how music affects the way people move, and/or act in response to the auditory stimuli. I will also be researching the use of music in improvisational sessions to gain knowledge </w:t>
      </w:r>
      <w:r w:rsidR="00BD5343">
        <w:rPr>
          <w:rFonts w:ascii="Calibri" w:eastAsia="Calibri" w:hAnsi="Calibri" w:cs="Calibri"/>
          <w:color w:val="333333"/>
        </w:rPr>
        <w:t xml:space="preserve">and inspiration to develop a strategic approach to testing the theories previously found determining reasons for physical response. During this week I will develop a unique approach to exploring how impulsive reactions change according to musical genre, constructing a playlist correlating with theoretical approaches to making people dance to music, ensuring a broad spectrum of musical genre so I may be able to compare participants impulsive reactions to an appropriate level. I will create observational forms including points for discussion such as style of movement, dynamics, level of movement, weight of movement, mood, and relationship with other participants. </w:t>
      </w:r>
      <w:r w:rsidR="00496C69">
        <w:rPr>
          <w:rFonts w:ascii="Calibri" w:eastAsia="Calibri" w:hAnsi="Calibri" w:cs="Calibri"/>
          <w:color w:val="333333"/>
        </w:rPr>
        <w:t>I will construct a plan for two experimental sessions (both identical but with different participants).</w:t>
      </w:r>
    </w:p>
    <w:p w:rsidR="00E84C01" w:rsidRDefault="00E84C01">
      <w:pPr>
        <w:spacing w:after="240" w:line="240" w:lineRule="auto"/>
        <w:rPr>
          <w:rFonts w:ascii="Calibri" w:eastAsia="Calibri" w:hAnsi="Calibri" w:cs="Calibri"/>
          <w:b/>
          <w:color w:val="333333"/>
        </w:rPr>
      </w:pPr>
    </w:p>
    <w:p w:rsidR="00E84C01" w:rsidRDefault="00CD5B6F">
      <w:pPr>
        <w:spacing w:after="240" w:line="240" w:lineRule="auto"/>
        <w:rPr>
          <w:rFonts w:ascii="Calibri" w:eastAsia="Calibri" w:hAnsi="Calibri" w:cs="Calibri"/>
          <w:b/>
          <w:color w:val="333333"/>
        </w:rPr>
      </w:pPr>
      <w:r>
        <w:rPr>
          <w:rFonts w:ascii="Calibri" w:eastAsia="Calibri" w:hAnsi="Calibri" w:cs="Calibri"/>
          <w:b/>
          <w:color w:val="333333"/>
        </w:rPr>
        <w:t>Week of October 30</w:t>
      </w:r>
      <w:r>
        <w:rPr>
          <w:rFonts w:ascii="Calibri" w:eastAsia="Calibri" w:hAnsi="Calibri" w:cs="Calibri"/>
          <w:b/>
          <w:color w:val="333333"/>
          <w:vertAlign w:val="superscript"/>
        </w:rPr>
        <w:t>th</w:t>
      </w:r>
      <w:r>
        <w:rPr>
          <w:rFonts w:ascii="Calibri" w:eastAsia="Calibri" w:hAnsi="Calibri" w:cs="Calibri"/>
          <w:b/>
          <w:color w:val="333333"/>
        </w:rPr>
        <w:t xml:space="preserve"> </w:t>
      </w:r>
    </w:p>
    <w:p w:rsidR="001408F9" w:rsidRDefault="00CD5B6F">
      <w:pPr>
        <w:spacing w:after="240" w:line="240" w:lineRule="auto"/>
        <w:rPr>
          <w:rFonts w:ascii="Calibri" w:eastAsia="Calibri" w:hAnsi="Calibri" w:cs="Calibri"/>
          <w:color w:val="333333"/>
        </w:rPr>
      </w:pPr>
      <w:r>
        <w:rPr>
          <w:rFonts w:ascii="Calibri" w:eastAsia="Calibri" w:hAnsi="Calibri" w:cs="Calibri"/>
          <w:b/>
          <w:color w:val="333333"/>
        </w:rPr>
        <w:t xml:space="preserve">Session Aims: </w:t>
      </w:r>
      <w:r w:rsidR="00496C69">
        <w:rPr>
          <w:rFonts w:ascii="Calibri" w:eastAsia="Calibri" w:hAnsi="Calibri" w:cs="Calibri"/>
          <w:color w:val="333333"/>
        </w:rPr>
        <w:t>During this week I will conduct my first experimental session with my first group of participants, my peers (third year BA Dance). During the session I will take observational notes to mark down my initial reactions to the participants i</w:t>
      </w:r>
      <w:r w:rsidR="001408F9">
        <w:rPr>
          <w:rFonts w:ascii="Calibri" w:eastAsia="Calibri" w:hAnsi="Calibri" w:cs="Calibri"/>
          <w:color w:val="333333"/>
        </w:rPr>
        <w:t xml:space="preserve">mpulsive reactions to the differing musical genre as well as videoing the sessions to ensure ability to evaluate later. Once my experimental session has been conducted I will analyse the collected data. I will observe the video footage evidence for each song or piece of music played in the session repeatedly to accurately document my observations on paper within the observation forms previously created. I will then continue to research further, determining more evidence about how we react impulsively to music. </w:t>
      </w:r>
    </w:p>
    <w:p w:rsidR="00E84C01" w:rsidRPr="001408F9" w:rsidRDefault="00261879">
      <w:pPr>
        <w:spacing w:after="240" w:line="240" w:lineRule="auto"/>
        <w:rPr>
          <w:rFonts w:ascii="Calibri" w:eastAsia="Calibri" w:hAnsi="Calibri" w:cs="Calibri"/>
          <w:color w:val="333333"/>
        </w:rPr>
      </w:pPr>
      <w:r>
        <w:rPr>
          <w:rFonts w:ascii="Calibri" w:eastAsia="Calibri" w:hAnsi="Calibri" w:cs="Calibri"/>
          <w:b/>
          <w:color w:val="333333"/>
        </w:rPr>
        <w:t xml:space="preserve">             </w:t>
      </w:r>
    </w:p>
    <w:p w:rsidR="00E84C01" w:rsidRDefault="00CD5B6F">
      <w:pPr>
        <w:spacing w:after="240" w:line="240" w:lineRule="auto"/>
        <w:rPr>
          <w:rFonts w:ascii="Calibri" w:eastAsia="Calibri" w:hAnsi="Calibri" w:cs="Calibri"/>
          <w:b/>
          <w:color w:val="333333"/>
        </w:rPr>
      </w:pPr>
      <w:r>
        <w:rPr>
          <w:rFonts w:ascii="Calibri" w:eastAsia="Calibri" w:hAnsi="Calibri" w:cs="Calibri"/>
          <w:b/>
          <w:color w:val="333333"/>
        </w:rPr>
        <w:t>Week of November 6</w:t>
      </w:r>
      <w:r>
        <w:rPr>
          <w:rFonts w:ascii="Calibri" w:eastAsia="Calibri" w:hAnsi="Calibri" w:cs="Calibri"/>
          <w:b/>
          <w:color w:val="333333"/>
          <w:vertAlign w:val="superscript"/>
        </w:rPr>
        <w:t>th</w:t>
      </w:r>
    </w:p>
    <w:p w:rsidR="00E84C01" w:rsidRDefault="00CD5B6F">
      <w:pPr>
        <w:spacing w:after="240" w:line="240" w:lineRule="auto"/>
        <w:rPr>
          <w:rFonts w:ascii="Calibri" w:eastAsia="Calibri" w:hAnsi="Calibri" w:cs="Calibri"/>
          <w:color w:val="333333"/>
        </w:rPr>
      </w:pPr>
      <w:r>
        <w:rPr>
          <w:rFonts w:ascii="Calibri" w:eastAsia="Calibri" w:hAnsi="Calibri" w:cs="Calibri"/>
          <w:b/>
          <w:color w:val="333333"/>
        </w:rPr>
        <w:t>Session Aims:</w:t>
      </w:r>
      <w:r w:rsidR="001408F9">
        <w:rPr>
          <w:rFonts w:ascii="Calibri" w:eastAsia="Calibri" w:hAnsi="Calibri" w:cs="Calibri"/>
          <w:b/>
          <w:color w:val="333333"/>
        </w:rPr>
        <w:t xml:space="preserve"> </w:t>
      </w:r>
      <w:r w:rsidR="001408F9">
        <w:rPr>
          <w:rFonts w:ascii="Calibri" w:eastAsia="Calibri" w:hAnsi="Calibri" w:cs="Calibri"/>
          <w:color w:val="333333"/>
        </w:rPr>
        <w:t xml:space="preserve">During this week I will conduct my second experimental session with my second group of participants, the first years on the BA Dance course. During the experimental session I will observe and make notes about what I observe ensuring my initial reaction to the participants’ reaction is on paper. I will also ensure that this session is filmed, enabling further analysis later, as well as video evidence of the experimental sessions. </w:t>
      </w:r>
      <w:r w:rsidR="000F1059">
        <w:rPr>
          <w:rFonts w:ascii="Calibri" w:eastAsia="Calibri" w:hAnsi="Calibri" w:cs="Calibri"/>
          <w:color w:val="333333"/>
        </w:rPr>
        <w:t xml:space="preserve">Once the session has concluded I will retreat to the video </w:t>
      </w:r>
      <w:r w:rsidR="000F1059">
        <w:rPr>
          <w:rFonts w:ascii="Calibri" w:eastAsia="Calibri" w:hAnsi="Calibri" w:cs="Calibri"/>
          <w:color w:val="333333"/>
        </w:rPr>
        <w:lastRenderedPageBreak/>
        <w:t xml:space="preserve">footage, evaluating what I have observed, and filling in the forms previously created to ensure I understand each aspect of response. I will watch the video recordings repeatedly until I gain the appropriate level of knowledge of each participants’ impulsive reaction to the music. I will then research further into how people react to certain genres of music. </w:t>
      </w:r>
    </w:p>
    <w:p w:rsidR="000F1059" w:rsidRPr="000F1059" w:rsidRDefault="000F1059">
      <w:pPr>
        <w:spacing w:after="240" w:line="240" w:lineRule="auto"/>
        <w:rPr>
          <w:rFonts w:ascii="Calibri" w:eastAsia="Calibri" w:hAnsi="Calibri" w:cs="Calibri"/>
          <w:color w:val="333333"/>
        </w:rPr>
      </w:pPr>
    </w:p>
    <w:p w:rsidR="00E84C01" w:rsidRDefault="00CD5B6F">
      <w:pPr>
        <w:spacing w:after="240" w:line="240" w:lineRule="auto"/>
        <w:rPr>
          <w:rFonts w:ascii="Calibri" w:eastAsia="Calibri" w:hAnsi="Calibri" w:cs="Calibri"/>
          <w:color w:val="333333"/>
        </w:rPr>
      </w:pPr>
      <w:r>
        <w:rPr>
          <w:rFonts w:ascii="Calibri" w:eastAsia="Calibri" w:hAnsi="Calibri" w:cs="Calibri"/>
          <w:b/>
          <w:color w:val="333333"/>
        </w:rPr>
        <w:t>Week of November 13</w:t>
      </w:r>
      <w:r>
        <w:rPr>
          <w:rFonts w:ascii="Calibri" w:eastAsia="Calibri" w:hAnsi="Calibri" w:cs="Calibri"/>
          <w:b/>
          <w:color w:val="333333"/>
          <w:vertAlign w:val="superscript"/>
        </w:rPr>
        <w:t>th</w:t>
      </w:r>
      <w:r>
        <w:rPr>
          <w:rFonts w:ascii="Calibri" w:eastAsia="Calibri" w:hAnsi="Calibri" w:cs="Calibri"/>
          <w:b/>
          <w:color w:val="333333"/>
        </w:rPr>
        <w:t xml:space="preserve"> </w:t>
      </w:r>
    </w:p>
    <w:p w:rsidR="00E84C01" w:rsidRPr="000F1059" w:rsidRDefault="00CD5B6F">
      <w:pPr>
        <w:spacing w:after="240" w:line="240" w:lineRule="auto"/>
        <w:rPr>
          <w:rFonts w:ascii="Calibri" w:eastAsia="Calibri" w:hAnsi="Calibri" w:cs="Calibri"/>
          <w:color w:val="333333"/>
        </w:rPr>
      </w:pPr>
      <w:r>
        <w:rPr>
          <w:rFonts w:ascii="Calibri" w:eastAsia="Calibri" w:hAnsi="Calibri" w:cs="Calibri"/>
          <w:b/>
          <w:color w:val="333333"/>
        </w:rPr>
        <w:t>Session Aims:</w:t>
      </w:r>
      <w:r w:rsidR="000F1059">
        <w:rPr>
          <w:rFonts w:ascii="Calibri" w:eastAsia="Calibri" w:hAnsi="Calibri" w:cs="Calibri"/>
          <w:b/>
          <w:color w:val="333333"/>
        </w:rPr>
        <w:t xml:space="preserve"> </w:t>
      </w:r>
      <w:r w:rsidR="000F1059">
        <w:rPr>
          <w:rFonts w:ascii="Calibri" w:eastAsia="Calibri" w:hAnsi="Calibri" w:cs="Calibri"/>
          <w:color w:val="333333"/>
        </w:rPr>
        <w:t xml:space="preserve">To begin this week I will plan the structure of my essay, ensuring I am well prepared to commence writing. During this week I will focus on writing the introduction of my essay, ‘Why We Move. How We Move. An Exploration in To Our Impulsive Reaction to Music’. I will dedicate an appropriate amount of time to the beginning section of work ensuring that I begin with a strong opening. I will then proceed to write of my findings about impulses. I will dedicate a section of 500 words to this area of work enabling full explanation and detailed description of my findings. Concurrently I will be continuing to investigate and research impulses, and theories of why we move to music.  </w:t>
      </w:r>
    </w:p>
    <w:p w:rsidR="00E84C01" w:rsidRDefault="00E84C01">
      <w:pPr>
        <w:spacing w:after="240" w:line="240" w:lineRule="auto"/>
        <w:rPr>
          <w:rFonts w:ascii="Calibri" w:eastAsia="Calibri" w:hAnsi="Calibri" w:cs="Calibri"/>
          <w:color w:val="333333"/>
        </w:rPr>
      </w:pPr>
    </w:p>
    <w:p w:rsidR="00E84C01" w:rsidRDefault="00CD5B6F">
      <w:pPr>
        <w:spacing w:after="240" w:line="240" w:lineRule="auto"/>
        <w:rPr>
          <w:rFonts w:ascii="Calibri" w:eastAsia="Calibri" w:hAnsi="Calibri" w:cs="Calibri"/>
          <w:color w:val="333333"/>
        </w:rPr>
      </w:pPr>
      <w:r>
        <w:rPr>
          <w:rFonts w:ascii="Calibri" w:eastAsia="Calibri" w:hAnsi="Calibri" w:cs="Calibri"/>
          <w:b/>
          <w:color w:val="333333"/>
        </w:rPr>
        <w:t>Week of November 20</w:t>
      </w:r>
      <w:r>
        <w:rPr>
          <w:rFonts w:ascii="Calibri" w:eastAsia="Calibri" w:hAnsi="Calibri" w:cs="Calibri"/>
          <w:b/>
          <w:color w:val="333333"/>
          <w:vertAlign w:val="superscript"/>
        </w:rPr>
        <w:t>th</w:t>
      </w:r>
      <w:r>
        <w:rPr>
          <w:rFonts w:ascii="Calibri" w:eastAsia="Calibri" w:hAnsi="Calibri" w:cs="Calibri"/>
          <w:b/>
          <w:color w:val="333333"/>
        </w:rPr>
        <w:t xml:space="preserve"> </w:t>
      </w:r>
    </w:p>
    <w:p w:rsidR="00E84C01" w:rsidRPr="00851155" w:rsidRDefault="00CD5B6F">
      <w:pPr>
        <w:spacing w:after="240" w:line="240" w:lineRule="auto"/>
        <w:rPr>
          <w:rFonts w:ascii="Calibri" w:eastAsia="Calibri" w:hAnsi="Calibri" w:cs="Calibri"/>
          <w:color w:val="333333"/>
        </w:rPr>
      </w:pPr>
      <w:r>
        <w:rPr>
          <w:rFonts w:ascii="Calibri" w:eastAsia="Calibri" w:hAnsi="Calibri" w:cs="Calibri"/>
          <w:b/>
          <w:color w:val="333333"/>
        </w:rPr>
        <w:t>Session Aims</w:t>
      </w:r>
      <w:r w:rsidR="00851155">
        <w:rPr>
          <w:rFonts w:ascii="Calibri" w:eastAsia="Calibri" w:hAnsi="Calibri" w:cs="Calibri"/>
          <w:b/>
          <w:color w:val="333333"/>
        </w:rPr>
        <w:t xml:space="preserve">: </w:t>
      </w:r>
      <w:r w:rsidR="00851155">
        <w:rPr>
          <w:rFonts w:ascii="Calibri" w:eastAsia="Calibri" w:hAnsi="Calibri" w:cs="Calibri"/>
          <w:color w:val="333333"/>
        </w:rPr>
        <w:t>Commencing this week, I will focus my attention upon writing the section of my essay dedicated to the theories reasoning why the human construct desires to move when listening to music. I will use 1000 words as a guide to write this section, ensuring separation of each theory and discussing each fluently to the upmost extent. For four days I will write 250 words ensuring I complete my target by the end of the working week so that I may continue researching for the remainder of the weekend. Each day I will attempt to analyse and annotate articles of research I have discovered, as well as visit the library to find books, and watch videos to further enhance my knowledge of the subject area.</w:t>
      </w:r>
    </w:p>
    <w:p w:rsidR="00E84C01" w:rsidRDefault="00E84C01">
      <w:pPr>
        <w:spacing w:after="240" w:line="240" w:lineRule="auto"/>
        <w:rPr>
          <w:rFonts w:ascii="Calibri" w:eastAsia="Calibri" w:hAnsi="Calibri" w:cs="Calibri"/>
          <w:color w:val="333333"/>
        </w:rPr>
      </w:pPr>
    </w:p>
    <w:p w:rsidR="00E84C01" w:rsidRDefault="00CD5B6F">
      <w:pPr>
        <w:spacing w:after="240" w:line="240" w:lineRule="auto"/>
        <w:rPr>
          <w:rFonts w:ascii="Calibri" w:eastAsia="Calibri" w:hAnsi="Calibri" w:cs="Calibri"/>
          <w:color w:val="333333"/>
        </w:rPr>
      </w:pPr>
      <w:r>
        <w:rPr>
          <w:rFonts w:ascii="Calibri" w:eastAsia="Calibri" w:hAnsi="Calibri" w:cs="Calibri"/>
          <w:b/>
          <w:color w:val="333333"/>
        </w:rPr>
        <w:t>Week of November 27</w:t>
      </w:r>
      <w:r>
        <w:rPr>
          <w:rFonts w:ascii="Calibri" w:eastAsia="Calibri" w:hAnsi="Calibri" w:cs="Calibri"/>
          <w:b/>
          <w:color w:val="333333"/>
          <w:vertAlign w:val="superscript"/>
        </w:rPr>
        <w:t>th</w:t>
      </w:r>
      <w:r>
        <w:rPr>
          <w:rFonts w:ascii="Calibri" w:eastAsia="Calibri" w:hAnsi="Calibri" w:cs="Calibri"/>
          <w:b/>
          <w:color w:val="333333"/>
        </w:rPr>
        <w:t xml:space="preserve"> </w:t>
      </w:r>
    </w:p>
    <w:p w:rsidR="00E84C01" w:rsidRDefault="00BB5783">
      <w:pPr>
        <w:spacing w:after="240" w:line="240" w:lineRule="auto"/>
        <w:rPr>
          <w:rFonts w:ascii="Calibri" w:eastAsia="Calibri" w:hAnsi="Calibri" w:cs="Calibri"/>
          <w:color w:val="333333"/>
        </w:rPr>
      </w:pPr>
      <w:r>
        <w:rPr>
          <w:rFonts w:ascii="Calibri" w:eastAsia="Calibri" w:hAnsi="Calibri" w:cs="Calibri"/>
          <w:b/>
          <w:color w:val="333333"/>
        </w:rPr>
        <w:t xml:space="preserve">Session Aims: </w:t>
      </w:r>
      <w:r>
        <w:rPr>
          <w:rFonts w:ascii="Calibri" w:eastAsia="Calibri" w:hAnsi="Calibri" w:cs="Calibri"/>
          <w:color w:val="333333"/>
        </w:rPr>
        <w:t xml:space="preserve">During this week I will write the section of the work dedicated to how we move. Within this section I will include analysation of the experimental session observations and pose suggestions for the responses participants execute, relating them to findings of others and the theories about why people move/dance to music. I intend upon using 1,750 words as a guideline for the length of this segment of work. Alongside this area of work, I will be continuing to research, analyse, and annotate articles of research I have found, ensuring I evidence their relevance within my written work. During this week I will also be writing my literature review, based on the topic of why we move/dance to music. I will work on this section of work on a separate document before transcribing it into the main body of my essay, ensuring completion </w:t>
      </w:r>
      <w:r w:rsidR="0082254F">
        <w:rPr>
          <w:rFonts w:ascii="Calibri" w:eastAsia="Calibri" w:hAnsi="Calibri" w:cs="Calibri"/>
          <w:color w:val="333333"/>
        </w:rPr>
        <w:t xml:space="preserve">before it is inserted. </w:t>
      </w:r>
    </w:p>
    <w:p w:rsidR="00BB5783" w:rsidRDefault="00BB5783">
      <w:pPr>
        <w:spacing w:after="240" w:line="240" w:lineRule="auto"/>
        <w:rPr>
          <w:rFonts w:ascii="Calibri" w:eastAsia="Calibri" w:hAnsi="Calibri" w:cs="Calibri"/>
          <w:color w:val="333333"/>
        </w:rPr>
      </w:pPr>
    </w:p>
    <w:p w:rsidR="00E84C01" w:rsidRDefault="00CD5B6F">
      <w:pPr>
        <w:spacing w:after="240" w:line="240" w:lineRule="auto"/>
        <w:rPr>
          <w:rFonts w:ascii="Calibri" w:eastAsia="Calibri" w:hAnsi="Calibri" w:cs="Calibri"/>
          <w:color w:val="333333"/>
        </w:rPr>
      </w:pPr>
      <w:r>
        <w:rPr>
          <w:rFonts w:ascii="Calibri" w:eastAsia="Calibri" w:hAnsi="Calibri" w:cs="Calibri"/>
          <w:b/>
          <w:color w:val="333333"/>
        </w:rPr>
        <w:t>Week of December 4</w:t>
      </w:r>
      <w:r>
        <w:rPr>
          <w:rFonts w:ascii="Calibri" w:eastAsia="Calibri" w:hAnsi="Calibri" w:cs="Calibri"/>
          <w:b/>
          <w:color w:val="333333"/>
          <w:vertAlign w:val="superscript"/>
        </w:rPr>
        <w:t>th</w:t>
      </w:r>
      <w:r>
        <w:rPr>
          <w:rFonts w:ascii="Calibri" w:eastAsia="Calibri" w:hAnsi="Calibri" w:cs="Calibri"/>
          <w:b/>
          <w:color w:val="333333"/>
        </w:rPr>
        <w:t xml:space="preserve"> </w:t>
      </w:r>
    </w:p>
    <w:p w:rsidR="00E84C01" w:rsidRDefault="0082254F">
      <w:pPr>
        <w:spacing w:after="240" w:line="240" w:lineRule="auto"/>
        <w:rPr>
          <w:rFonts w:ascii="Calibri" w:eastAsia="Calibri" w:hAnsi="Calibri" w:cs="Calibri"/>
          <w:color w:val="333333"/>
        </w:rPr>
      </w:pPr>
      <w:r>
        <w:rPr>
          <w:rFonts w:ascii="Calibri" w:eastAsia="Calibri" w:hAnsi="Calibri" w:cs="Calibri"/>
          <w:b/>
          <w:color w:val="333333"/>
        </w:rPr>
        <w:t xml:space="preserve">Session Aims: </w:t>
      </w:r>
      <w:r>
        <w:rPr>
          <w:rFonts w:ascii="Calibri" w:eastAsia="Calibri" w:hAnsi="Calibri" w:cs="Calibri"/>
          <w:color w:val="333333"/>
        </w:rPr>
        <w:t xml:space="preserve">During this week I intend </w:t>
      </w:r>
      <w:r w:rsidR="00341AD3">
        <w:rPr>
          <w:rFonts w:ascii="Calibri" w:eastAsia="Calibri" w:hAnsi="Calibri" w:cs="Calibri"/>
          <w:color w:val="333333"/>
        </w:rPr>
        <w:t xml:space="preserve">on concluding my essay by writing my conclusion which will be roughly 250 words (guideline). I intend on finishing on a high note, summarising my findings in a professional manner, and discussing briefly my experience with the project as whole. It is also during this week that I will plan my evaluation, constructing a plan of topics and points I wish to make in the </w:t>
      </w:r>
      <w:r w:rsidR="00341AD3">
        <w:rPr>
          <w:rFonts w:ascii="Calibri" w:eastAsia="Calibri" w:hAnsi="Calibri" w:cs="Calibri"/>
          <w:color w:val="333333"/>
        </w:rPr>
        <w:lastRenderedPageBreak/>
        <w:t xml:space="preserve">evaluation ensuring I am critical of my work, yet constructive, discussing both strengths and faults within my work. </w:t>
      </w:r>
    </w:p>
    <w:p w:rsidR="00341AD3" w:rsidRPr="00341AD3" w:rsidRDefault="00341AD3">
      <w:pPr>
        <w:spacing w:after="240" w:line="240" w:lineRule="auto"/>
        <w:rPr>
          <w:rFonts w:ascii="Calibri" w:eastAsia="Calibri" w:hAnsi="Calibri" w:cs="Calibri"/>
          <w:color w:val="333333"/>
        </w:rPr>
      </w:pPr>
    </w:p>
    <w:p w:rsidR="00E84C01" w:rsidRDefault="00CD5B6F">
      <w:pPr>
        <w:spacing w:after="240" w:line="240" w:lineRule="auto"/>
        <w:rPr>
          <w:rFonts w:ascii="Calibri" w:eastAsia="Calibri" w:hAnsi="Calibri" w:cs="Calibri"/>
          <w:b/>
          <w:color w:val="333333"/>
        </w:rPr>
      </w:pPr>
      <w:r>
        <w:rPr>
          <w:rFonts w:ascii="Calibri" w:eastAsia="Calibri" w:hAnsi="Calibri" w:cs="Calibri"/>
          <w:b/>
          <w:color w:val="333333"/>
        </w:rPr>
        <w:t>Week of December 11</w:t>
      </w:r>
      <w:r>
        <w:rPr>
          <w:rFonts w:ascii="Calibri" w:eastAsia="Calibri" w:hAnsi="Calibri" w:cs="Calibri"/>
          <w:b/>
          <w:color w:val="333333"/>
          <w:vertAlign w:val="superscript"/>
        </w:rPr>
        <w:t>th</w:t>
      </w:r>
      <w:r>
        <w:rPr>
          <w:rFonts w:ascii="Calibri" w:eastAsia="Calibri" w:hAnsi="Calibri" w:cs="Calibri"/>
          <w:b/>
          <w:color w:val="333333"/>
        </w:rPr>
        <w:t xml:space="preserve"> </w:t>
      </w:r>
    </w:p>
    <w:p w:rsidR="00654A1A" w:rsidRDefault="00BB5783">
      <w:pPr>
        <w:spacing w:after="240" w:line="240" w:lineRule="auto"/>
        <w:rPr>
          <w:rFonts w:ascii="Calibri" w:eastAsia="Calibri" w:hAnsi="Calibri" w:cs="Calibri"/>
          <w:color w:val="333333"/>
        </w:rPr>
      </w:pPr>
      <w:r>
        <w:rPr>
          <w:rFonts w:ascii="Calibri" w:eastAsia="Calibri" w:hAnsi="Calibri" w:cs="Calibri"/>
          <w:b/>
          <w:color w:val="333333"/>
        </w:rPr>
        <w:t xml:space="preserve">Session Aims: </w:t>
      </w:r>
      <w:r w:rsidR="00341AD3">
        <w:rPr>
          <w:rFonts w:ascii="Calibri" w:eastAsia="Calibri" w:hAnsi="Calibri" w:cs="Calibri"/>
          <w:color w:val="333333"/>
        </w:rPr>
        <w:t xml:space="preserve">During the last week of the project I will focus my attention upon writing my evaluation. Following the plan I have previously constructed, I will write the evaluation progressively for a period of three days, enabling reflection time of my work </w:t>
      </w:r>
      <w:r w:rsidR="00A3120D">
        <w:rPr>
          <w:rFonts w:ascii="Calibri" w:eastAsia="Calibri" w:hAnsi="Calibri" w:cs="Calibri"/>
          <w:color w:val="333333"/>
        </w:rPr>
        <w:t xml:space="preserve">during the write up. I will also be refining my essay, ensuring I am within my word count and that it is as articulate, appropriate, relevant, and intellectually as is possible. I will also refine my evaluation, ensuring once again that I am within my word count as I am wary of protruding over my word count. </w:t>
      </w:r>
      <w:r w:rsidR="00EC6837">
        <w:rPr>
          <w:rFonts w:ascii="Calibri" w:eastAsia="Calibri" w:hAnsi="Calibri" w:cs="Calibri"/>
          <w:color w:val="333333"/>
        </w:rPr>
        <w:t xml:space="preserve">I will read through both bodies of work, correcting, changing, and rectifying, ensuring the best possible outcome from each. </w:t>
      </w:r>
    </w:p>
    <w:p w:rsidR="00654A1A" w:rsidRDefault="00654A1A">
      <w:pPr>
        <w:spacing w:after="240" w:line="240" w:lineRule="auto"/>
        <w:rPr>
          <w:rFonts w:ascii="Calibri" w:eastAsia="Calibri" w:hAnsi="Calibri" w:cs="Calibri"/>
          <w:color w:val="333333"/>
        </w:rPr>
      </w:pPr>
    </w:p>
    <w:p w:rsidR="00E84C01" w:rsidRPr="00654A1A" w:rsidRDefault="00CD5B6F">
      <w:pPr>
        <w:spacing w:after="240" w:line="240" w:lineRule="auto"/>
        <w:rPr>
          <w:rFonts w:ascii="Calibri" w:eastAsia="Calibri" w:hAnsi="Calibri" w:cs="Calibri"/>
          <w:color w:val="333333"/>
        </w:rPr>
      </w:pPr>
      <w:r>
        <w:rPr>
          <w:rFonts w:ascii="Calibri" w:eastAsia="Calibri" w:hAnsi="Calibri" w:cs="Calibri"/>
          <w:b/>
          <w:color w:val="333333"/>
          <w:u w:val="single"/>
        </w:rPr>
        <w:t>Suggested bibliography</w:t>
      </w:r>
    </w:p>
    <w:p w:rsidR="00E84C01" w:rsidRDefault="00CD5B6F">
      <w:pPr>
        <w:spacing w:after="240" w:line="240" w:lineRule="auto"/>
        <w:rPr>
          <w:rFonts w:ascii="Calibri" w:eastAsia="Calibri" w:hAnsi="Calibri" w:cs="Calibri"/>
          <w:color w:val="333333"/>
        </w:rPr>
      </w:pPr>
      <w:r>
        <w:rPr>
          <w:rFonts w:ascii="Calibri" w:eastAsia="Calibri" w:hAnsi="Calibri" w:cs="Calibri"/>
          <w:color w:val="333333"/>
        </w:rPr>
        <w:t>Below is a selection of relevant reading material that will help you with this module. You are not expected to read everything on the list; you should consult what seems useful for the tasks you are doing. You will find that the library has other relevant materials as well and you should feel free to use them even if they are not on this reading list.</w:t>
      </w:r>
    </w:p>
    <w:p w:rsidR="00E84C01" w:rsidRDefault="00E84C01">
      <w:pPr>
        <w:spacing w:after="0" w:line="240" w:lineRule="auto"/>
        <w:ind w:hanging="3600"/>
        <w:rPr>
          <w:rFonts w:ascii="Calibri" w:eastAsia="Calibri" w:hAnsi="Calibri" w:cs="Calibri"/>
          <w:color w:val="000000"/>
          <w:sz w:val="20"/>
        </w:rPr>
      </w:pPr>
    </w:p>
    <w:p w:rsidR="00D13FCF" w:rsidRDefault="00D13FCF" w:rsidP="00D13FCF">
      <w:pPr>
        <w:rPr>
          <w:rFonts w:cstheme="minorHAnsi"/>
          <w:color w:val="000000" w:themeColor="text1"/>
          <w:shd w:val="clear" w:color="auto" w:fill="FFFFFF"/>
        </w:rPr>
      </w:pPr>
    </w:p>
    <w:p w:rsidR="00D13FCF" w:rsidRPr="007750DA" w:rsidRDefault="00D13FCF" w:rsidP="00D13FCF">
      <w:pPr>
        <w:rPr>
          <w:rFonts w:cstheme="minorHAnsi"/>
          <w:sz w:val="44"/>
          <w:szCs w:val="44"/>
          <w:u w:val="single"/>
        </w:rPr>
      </w:pPr>
      <w:r w:rsidRPr="007750DA">
        <w:rPr>
          <w:rFonts w:cstheme="minorHAnsi"/>
          <w:color w:val="000000" w:themeColor="text1"/>
          <w:shd w:val="clear" w:color="auto" w:fill="FFFFFF"/>
        </w:rPr>
        <w:t xml:space="preserve">Biss, M., </w:t>
      </w:r>
      <w:r w:rsidRPr="007750DA">
        <w:rPr>
          <w:rFonts w:cstheme="minorHAnsi"/>
          <w:i/>
          <w:color w:val="000000" w:themeColor="text1"/>
          <w:shd w:val="clear" w:color="auto" w:fill="FFFFFF"/>
        </w:rPr>
        <w:t>Rhythm tips for identifying music genres by ear</w:t>
      </w:r>
      <w:r w:rsidRPr="007750DA">
        <w:rPr>
          <w:rFonts w:cstheme="minorHAnsi"/>
          <w:color w:val="000000" w:themeColor="text1"/>
          <w:shd w:val="clear" w:color="auto" w:fill="FFFFFF"/>
        </w:rPr>
        <w:t xml:space="preserve">, viewed 12 November 2017, from </w:t>
      </w:r>
      <w:hyperlink r:id="rId7" w:history="1">
        <w:r w:rsidRPr="007750DA">
          <w:rPr>
            <w:rStyle w:val="Hyperlink"/>
            <w:rFonts w:cstheme="minorHAnsi"/>
            <w:shd w:val="clear" w:color="auto" w:fill="FFFFFF"/>
          </w:rPr>
          <w:t>https://www.musical-u.com/learn/rhythm-tips-for-identifying-music-genres-by-ear/</w:t>
        </w:r>
      </w:hyperlink>
      <w:r w:rsidRPr="007750DA">
        <w:rPr>
          <w:rFonts w:cstheme="minorHAnsi"/>
          <w:color w:val="000000" w:themeColor="text1"/>
          <w:shd w:val="clear" w:color="auto" w:fill="FFFFFF"/>
        </w:rPr>
        <w:t>.</w:t>
      </w:r>
    </w:p>
    <w:p w:rsidR="00D13FCF" w:rsidRPr="007750DA" w:rsidRDefault="00D13FCF" w:rsidP="00D13FCF">
      <w:pPr>
        <w:rPr>
          <w:rFonts w:cstheme="minorHAnsi"/>
          <w:color w:val="000000" w:themeColor="text1"/>
          <w:shd w:val="clear" w:color="auto" w:fill="FFFFFF"/>
        </w:rPr>
      </w:pPr>
      <w:r w:rsidRPr="007750DA">
        <w:rPr>
          <w:rFonts w:cstheme="minorHAnsi"/>
          <w:color w:val="000000" w:themeColor="text1"/>
          <w:shd w:val="clear" w:color="auto" w:fill="FFFFFF"/>
        </w:rPr>
        <w:t>Blom, L. A. &amp; Chaplin, L. T., (1988), The moment of movement: dance improvisation, Dance Books Ltd, United Kingdom.</w:t>
      </w:r>
    </w:p>
    <w:p w:rsidR="00D13FCF" w:rsidRPr="007750DA" w:rsidRDefault="00D13FCF" w:rsidP="00D13FCF">
      <w:pPr>
        <w:rPr>
          <w:rFonts w:cstheme="minorHAnsi"/>
          <w:color w:val="000000" w:themeColor="text1"/>
          <w:shd w:val="clear" w:color="auto" w:fill="FFFFFF"/>
        </w:rPr>
      </w:pPr>
      <w:r w:rsidRPr="007750DA">
        <w:rPr>
          <w:rFonts w:cstheme="minorHAnsi"/>
          <w:color w:val="000000" w:themeColor="text1"/>
          <w:shd w:val="clear" w:color="auto" w:fill="FFFFFF"/>
        </w:rPr>
        <w:t xml:space="preserve">Brenshofl, R., (2014), </w:t>
      </w:r>
      <w:r w:rsidRPr="007750DA">
        <w:rPr>
          <w:rFonts w:cstheme="minorHAnsi"/>
          <w:i/>
          <w:color w:val="000000" w:themeColor="text1"/>
          <w:shd w:val="clear" w:color="auto" w:fill="FFFFFF"/>
        </w:rPr>
        <w:t>The relationship between dance and music</w:t>
      </w:r>
      <w:r w:rsidRPr="007750DA">
        <w:rPr>
          <w:rFonts w:cstheme="minorHAnsi"/>
          <w:color w:val="000000" w:themeColor="text1"/>
          <w:shd w:val="clear" w:color="auto" w:fill="FFFFFF"/>
        </w:rPr>
        <w:t xml:space="preserve">, viewed 5 November 2017, from </w:t>
      </w:r>
      <w:hyperlink r:id="rId8" w:history="1">
        <w:r w:rsidRPr="007750DA">
          <w:rPr>
            <w:rStyle w:val="Hyperlink"/>
            <w:rFonts w:cstheme="minorHAnsi"/>
            <w:shd w:val="clear" w:color="auto" w:fill="FFFFFF"/>
          </w:rPr>
          <w:t>http://dottedmusic.com/2014/lifestyle/relationship-between-dance-and-music/</w:t>
        </w:r>
      </w:hyperlink>
      <w:r w:rsidRPr="007750DA">
        <w:rPr>
          <w:rFonts w:cstheme="minorHAnsi"/>
          <w:color w:val="000000" w:themeColor="text1"/>
          <w:shd w:val="clear" w:color="auto" w:fill="FFFFFF"/>
        </w:rPr>
        <w:t>.</w:t>
      </w:r>
    </w:p>
    <w:p w:rsidR="00D13FCF" w:rsidRPr="007750DA" w:rsidRDefault="00D13FCF" w:rsidP="00D13FCF">
      <w:pPr>
        <w:rPr>
          <w:rFonts w:cstheme="minorHAnsi"/>
          <w:color w:val="000000" w:themeColor="text1"/>
          <w:shd w:val="clear" w:color="auto" w:fill="FFFFFF"/>
        </w:rPr>
      </w:pPr>
      <w:r w:rsidRPr="007750DA">
        <w:rPr>
          <w:rFonts w:cstheme="minorHAnsi"/>
          <w:color w:val="000000" w:themeColor="text1"/>
          <w:shd w:val="clear" w:color="auto" w:fill="FFFFFF"/>
        </w:rPr>
        <w:t xml:space="preserve">Cain, D., Mackrell, J., (2010), ‘Denishawn’, </w:t>
      </w:r>
      <w:r w:rsidRPr="007750DA">
        <w:rPr>
          <w:rFonts w:cstheme="minorHAnsi"/>
          <w:i/>
          <w:color w:val="000000" w:themeColor="text1"/>
          <w:shd w:val="clear" w:color="auto" w:fill="FFFFFF"/>
        </w:rPr>
        <w:t xml:space="preserve">The Oxford dictionary of dance, </w:t>
      </w:r>
      <w:r w:rsidRPr="007750DA">
        <w:rPr>
          <w:rFonts w:cstheme="minorHAnsi"/>
          <w:color w:val="000000" w:themeColor="text1"/>
          <w:shd w:val="clear" w:color="auto" w:fill="FFFFFF"/>
        </w:rPr>
        <w:t>Oxford University Press, United Kingdom, edn. 2.</w:t>
      </w:r>
    </w:p>
    <w:p w:rsidR="00D13FCF" w:rsidRPr="007750DA" w:rsidRDefault="00D13FCF" w:rsidP="00D13FCF">
      <w:pPr>
        <w:rPr>
          <w:rFonts w:cstheme="minorHAnsi"/>
          <w:color w:val="000000" w:themeColor="text1"/>
          <w:shd w:val="clear" w:color="auto" w:fill="FFFFFF"/>
        </w:rPr>
      </w:pPr>
      <w:r w:rsidRPr="007750DA">
        <w:rPr>
          <w:rFonts w:cstheme="minorHAnsi"/>
          <w:color w:val="000000" w:themeColor="text1"/>
          <w:shd w:val="clear" w:color="auto" w:fill="FFFFFF"/>
        </w:rPr>
        <w:t xml:space="preserve">Chen, J. L., Zattore, R. J. &amp; Penhune, V. B., (2006), ‘Interactions between auditory and dorsal premotor cortex during synchronization to musical rhythms’, </w:t>
      </w:r>
      <w:r w:rsidRPr="007750DA">
        <w:rPr>
          <w:rFonts w:cstheme="minorHAnsi"/>
          <w:i/>
          <w:color w:val="000000" w:themeColor="text1"/>
          <w:shd w:val="clear" w:color="auto" w:fill="FFFFFF"/>
        </w:rPr>
        <w:t xml:space="preserve">NeuroImage, </w:t>
      </w:r>
      <w:r w:rsidRPr="007750DA">
        <w:rPr>
          <w:rFonts w:cstheme="minorHAnsi"/>
          <w:color w:val="000000" w:themeColor="text1"/>
          <w:shd w:val="clear" w:color="auto" w:fill="FFFFFF"/>
        </w:rPr>
        <w:t>21 April, 1771-1781.</w:t>
      </w:r>
    </w:p>
    <w:p w:rsidR="00D13FCF" w:rsidRPr="00BF3ADF" w:rsidRDefault="00D13FCF" w:rsidP="00D13FCF">
      <w:pPr>
        <w:rPr>
          <w:rFonts w:cstheme="minorHAnsi"/>
          <w:color w:val="000000" w:themeColor="text1"/>
        </w:rPr>
      </w:pPr>
      <w:r w:rsidRPr="00BF3ADF">
        <w:rPr>
          <w:rFonts w:cstheme="minorHAnsi"/>
          <w:color w:val="000000" w:themeColor="text1"/>
        </w:rPr>
        <w:t xml:space="preserve">Chodorow, J., (1991), Dance therapy &amp; depth psychology the moving imagination, Routledge, Britain. </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Classic FM., (2017), </w:t>
      </w:r>
      <w:r w:rsidRPr="00BF3ADF">
        <w:rPr>
          <w:rFonts w:cstheme="minorHAnsi"/>
          <w:i/>
          <w:color w:val="000000" w:themeColor="text1"/>
          <w:shd w:val="clear" w:color="auto" w:fill="FFFFFF"/>
        </w:rPr>
        <w:t xml:space="preserve">Ballet music: Where to start, </w:t>
      </w:r>
      <w:r w:rsidRPr="00BF3ADF">
        <w:rPr>
          <w:rFonts w:cstheme="minorHAnsi"/>
          <w:color w:val="000000" w:themeColor="text1"/>
          <w:shd w:val="clear" w:color="auto" w:fill="FFFFFF"/>
        </w:rPr>
        <w:t xml:space="preserve">viewed 15 November 2017, from </w:t>
      </w:r>
      <w:hyperlink r:id="rId9" w:history="1">
        <w:r w:rsidRPr="00BF3ADF">
          <w:rPr>
            <w:rStyle w:val="Hyperlink"/>
            <w:rFonts w:cstheme="minorHAnsi"/>
            <w:shd w:val="clear" w:color="auto" w:fill="FFFFFF"/>
          </w:rPr>
          <w:t>http://www.classicfm.com/discover-music/periods-genres/ballet/ballet-music-where-start/</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Cohan, R., (1986), The dance workshop, HarperCollins Publishers Ltd, United States of America. </w:t>
      </w:r>
    </w:p>
    <w:p w:rsidR="00D13FCF" w:rsidRPr="00BF3ADF" w:rsidRDefault="00D13FCF" w:rsidP="00D13FCF">
      <w:pPr>
        <w:rPr>
          <w:rFonts w:cstheme="minorHAnsi"/>
          <w:color w:val="000000" w:themeColor="text1"/>
        </w:rPr>
      </w:pPr>
      <w:r w:rsidRPr="00BF3ADF">
        <w:rPr>
          <w:rFonts w:cstheme="minorHAnsi"/>
          <w:color w:val="000000" w:themeColor="text1"/>
        </w:rPr>
        <w:t>Coleman, J. M., (2017), ‘Practice Perspective The Use of Music to Promote Purposeful Movement in Children with Visual Impairments’, Journal of Visual Impairment &amp; Blindness, January-February, 73-78.</w:t>
      </w:r>
    </w:p>
    <w:p w:rsidR="00D13FCF" w:rsidRPr="00BF3ADF" w:rsidRDefault="00D13FCF" w:rsidP="00D13FCF">
      <w:pPr>
        <w:rPr>
          <w:rFonts w:cstheme="minorHAnsi"/>
          <w:color w:val="000000" w:themeColor="text1"/>
        </w:rPr>
      </w:pPr>
      <w:r w:rsidRPr="00BF3ADF">
        <w:rPr>
          <w:rFonts w:cstheme="minorHAnsi"/>
          <w:color w:val="000000" w:themeColor="text1"/>
        </w:rPr>
        <w:t xml:space="preserve">Corr, P. J., (2006), </w:t>
      </w:r>
      <w:r w:rsidRPr="00BF3ADF">
        <w:rPr>
          <w:rFonts w:cstheme="minorHAnsi"/>
          <w:i/>
          <w:color w:val="000000" w:themeColor="text1"/>
        </w:rPr>
        <w:t>Understanding Biological Psychology</w:t>
      </w:r>
      <w:r w:rsidRPr="00BF3ADF">
        <w:rPr>
          <w:rFonts w:cstheme="minorHAnsi"/>
          <w:color w:val="000000" w:themeColor="text1"/>
        </w:rPr>
        <w:t>, Blackwell Publishing, United States of America.</w:t>
      </w:r>
    </w:p>
    <w:p w:rsidR="00D13FCF" w:rsidRPr="00BF3ADF" w:rsidRDefault="00D13FCF" w:rsidP="00D13FCF">
      <w:pPr>
        <w:rPr>
          <w:rFonts w:cstheme="minorHAnsi"/>
          <w:color w:val="000000" w:themeColor="text1"/>
        </w:rPr>
      </w:pPr>
      <w:r w:rsidRPr="00BF3ADF">
        <w:rPr>
          <w:rFonts w:cstheme="minorHAnsi"/>
          <w:color w:val="000000" w:themeColor="text1"/>
        </w:rPr>
        <w:lastRenderedPageBreak/>
        <w:t xml:space="preserve">Doucleff, M., (2014), Anatomy of a dance hit: Why we love to boogie with Pharrell, viewed 24 October 2017, from </w:t>
      </w:r>
      <w:hyperlink r:id="rId10" w:history="1">
        <w:r w:rsidRPr="00BF3ADF">
          <w:rPr>
            <w:rStyle w:val="Hyperlink"/>
            <w:rFonts w:cstheme="minorHAnsi"/>
          </w:rPr>
          <w:t>http://www.npr.org/sections/health-shots/2014/05/30/317019212/anatomy-of-a-dance-hit-why-we-love-to-boogie-with-pharrell</w:t>
        </w:r>
      </w:hyperlink>
    </w:p>
    <w:p w:rsidR="00D13FCF" w:rsidRDefault="00D13FCF" w:rsidP="00D13FCF">
      <w:pPr>
        <w:rPr>
          <w:rFonts w:cstheme="minorHAnsi"/>
          <w:color w:val="000000" w:themeColor="text1"/>
          <w:shd w:val="clear" w:color="auto" w:fill="FFFFFF"/>
        </w:rPr>
      </w:pPr>
      <w:r>
        <w:rPr>
          <w:rFonts w:cstheme="minorHAnsi"/>
          <w:color w:val="000000" w:themeColor="text1"/>
          <w:shd w:val="clear" w:color="auto" w:fill="FFFFFF"/>
        </w:rPr>
        <w:t xml:space="preserve">Espeland, T., (2015), </w:t>
      </w:r>
      <w:r w:rsidRPr="00004E86">
        <w:rPr>
          <w:rFonts w:cstheme="minorHAnsi"/>
          <w:i/>
          <w:color w:val="000000" w:themeColor="text1"/>
          <w:shd w:val="clear" w:color="auto" w:fill="FFFFFF"/>
        </w:rPr>
        <w:t>The eight efforts: Laban movement,</w:t>
      </w:r>
      <w:r>
        <w:rPr>
          <w:rFonts w:cstheme="minorHAnsi"/>
          <w:color w:val="000000" w:themeColor="text1"/>
          <w:shd w:val="clear" w:color="auto" w:fill="FFFFFF"/>
        </w:rPr>
        <w:t xml:space="preserve"> viewed 02 December 2017, from </w:t>
      </w:r>
      <w:hyperlink r:id="rId11" w:history="1">
        <w:r w:rsidRPr="00C73457">
          <w:rPr>
            <w:rStyle w:val="Hyperlink"/>
            <w:rFonts w:cstheme="minorHAnsi"/>
            <w:shd w:val="clear" w:color="auto" w:fill="FFFFFF"/>
          </w:rPr>
          <w:t>https://www.theatrefolk.com/blog/the-eight-efforts-laban-movement/</w:t>
        </w:r>
      </w:hyperlink>
      <w:r>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Forster, K., (2016), </w:t>
      </w:r>
      <w:r w:rsidRPr="00BF3ADF">
        <w:rPr>
          <w:rFonts w:cstheme="minorHAnsi"/>
          <w:i/>
          <w:color w:val="000000" w:themeColor="text1"/>
          <w:shd w:val="clear" w:color="auto" w:fill="FFFFFF"/>
        </w:rPr>
        <w:t xml:space="preserve">Oxford street closed as hundreds join black lives matter protest in central London, </w:t>
      </w:r>
      <w:r w:rsidRPr="00BF3ADF">
        <w:rPr>
          <w:rFonts w:cstheme="minorHAnsi"/>
          <w:color w:val="000000" w:themeColor="text1"/>
          <w:shd w:val="clear" w:color="auto" w:fill="FFFFFF"/>
        </w:rPr>
        <w:t xml:space="preserve">viewed 01 December 2017, from </w:t>
      </w:r>
      <w:hyperlink r:id="rId12" w:history="1">
        <w:r w:rsidRPr="00BF3ADF">
          <w:rPr>
            <w:rStyle w:val="Hyperlink"/>
            <w:rFonts w:cstheme="minorHAnsi"/>
            <w:shd w:val="clear" w:color="auto" w:fill="FFFFFF"/>
          </w:rPr>
          <w:t>http://www.independent.co.uk/news/uk/home-news/oxford-street-closed-black-lives-matter-protest-london-philando-castile-alton-sterling-a7129656.html</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Haithcoat, R., (2012), </w:t>
      </w:r>
      <w:r w:rsidRPr="00BF3ADF">
        <w:rPr>
          <w:rFonts w:cstheme="minorHAnsi"/>
          <w:i/>
          <w:color w:val="000000" w:themeColor="text1"/>
          <w:shd w:val="clear" w:color="auto" w:fill="FFFFFF"/>
        </w:rPr>
        <w:t xml:space="preserve">Here’s scientific proof that dubstep makes you want to kill people, </w:t>
      </w:r>
      <w:r w:rsidRPr="00BF3ADF">
        <w:rPr>
          <w:rFonts w:cstheme="minorHAnsi"/>
          <w:color w:val="000000" w:themeColor="text1"/>
          <w:shd w:val="clear" w:color="auto" w:fill="FFFFFF"/>
        </w:rPr>
        <w:t xml:space="preserve">viewed 07 November 2017, from </w:t>
      </w:r>
      <w:hyperlink r:id="rId13" w:history="1">
        <w:r w:rsidRPr="00BF3ADF">
          <w:rPr>
            <w:rStyle w:val="Hyperlink"/>
            <w:rFonts w:cstheme="minorHAnsi"/>
            <w:shd w:val="clear" w:color="auto" w:fill="FFFFFF"/>
          </w:rPr>
          <w:t>http://www.laweekly.com/music/heres-scientific-proof-that-dubstep-makes-you-want-to-kill-people-2401724</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rPr>
      </w:pPr>
      <w:r w:rsidRPr="00BF3ADF">
        <w:rPr>
          <w:rFonts w:cstheme="minorHAnsi"/>
          <w:color w:val="000000" w:themeColor="text1"/>
        </w:rPr>
        <w:t xml:space="preserve">Higgs, S., Cooper, A., Lee, J. &amp; Harris, M., (2015), </w:t>
      </w:r>
      <w:r w:rsidRPr="00BF3ADF">
        <w:rPr>
          <w:rFonts w:cstheme="minorHAnsi"/>
          <w:i/>
          <w:color w:val="000000" w:themeColor="text1"/>
        </w:rPr>
        <w:t>Biological Psychology</w:t>
      </w:r>
      <w:r w:rsidRPr="00BF3ADF">
        <w:rPr>
          <w:rFonts w:cstheme="minorHAnsi"/>
          <w:color w:val="000000" w:themeColor="text1"/>
        </w:rPr>
        <w:t>, SAGE edge, Birmingham, UK.</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Hughes, V., (2012), </w:t>
      </w:r>
      <w:r w:rsidRPr="00BF3ADF">
        <w:rPr>
          <w:rFonts w:cstheme="minorHAnsi"/>
          <w:i/>
          <w:color w:val="000000" w:themeColor="text1"/>
          <w:shd w:val="clear" w:color="auto" w:fill="FFFFFF"/>
        </w:rPr>
        <w:t xml:space="preserve">Why does music move us so?, </w:t>
      </w:r>
      <w:r w:rsidRPr="00BF3ADF">
        <w:rPr>
          <w:rFonts w:cstheme="minorHAnsi"/>
          <w:color w:val="000000" w:themeColor="text1"/>
          <w:shd w:val="clear" w:color="auto" w:fill="FFFFFF"/>
        </w:rPr>
        <w:t xml:space="preserve">viewed 19 October 2017, from </w:t>
      </w:r>
      <w:hyperlink r:id="rId14" w:history="1">
        <w:r w:rsidRPr="00BF3ADF">
          <w:rPr>
            <w:rStyle w:val="Hyperlink"/>
            <w:rFonts w:cstheme="minorHAnsi"/>
            <w:shd w:val="clear" w:color="auto" w:fill="FFFFFF"/>
          </w:rPr>
          <w:t>http://phenomena.nationalgeographic.com/2012/12/18/why-does-music-move-us-so/</w:t>
        </w:r>
      </w:hyperlink>
      <w:r w:rsidRPr="00BF3ADF">
        <w:rPr>
          <w:rFonts w:cstheme="minorHAnsi"/>
          <w:color w:val="000000" w:themeColor="text1"/>
          <w:shd w:val="clear" w:color="auto" w:fill="FFFFFF"/>
        </w:rPr>
        <w:t>.</w:t>
      </w:r>
    </w:p>
    <w:p w:rsidR="00D13FCF" w:rsidRPr="00BF3ADF" w:rsidRDefault="00D13FCF" w:rsidP="00D13FCF">
      <w:pPr>
        <w:rPr>
          <w:rStyle w:val="Hyperlink"/>
          <w:rFonts w:cstheme="minorHAnsi"/>
          <w:shd w:val="clear" w:color="auto" w:fill="FFFFFF"/>
        </w:rPr>
      </w:pPr>
      <w:r w:rsidRPr="00BF3ADF">
        <w:rPr>
          <w:rFonts w:cstheme="minorHAnsi"/>
          <w:color w:val="000000" w:themeColor="text1"/>
          <w:shd w:val="clear" w:color="auto" w:fill="FFFFFF"/>
        </w:rPr>
        <w:t xml:space="preserve">Hughes, V., (2013), ‘Why does music feel so good?’, in Only human, viewed 25 October 2017, from </w:t>
      </w:r>
      <w:hyperlink r:id="rId15" w:history="1">
        <w:r w:rsidRPr="00BF3ADF">
          <w:rPr>
            <w:rStyle w:val="Hyperlink"/>
            <w:rFonts w:cstheme="minorHAnsi"/>
            <w:shd w:val="clear" w:color="auto" w:fill="FFFFFF"/>
          </w:rPr>
          <w:t>http://phenomena.nationalgeographic.com/2013/04/11/why-does-music-feel-so-good/</w:t>
        </w:r>
      </w:hyperlink>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Hylton, R., (2015), </w:t>
      </w:r>
      <w:r w:rsidRPr="00BF3ADF">
        <w:rPr>
          <w:rFonts w:cstheme="minorHAnsi"/>
          <w:i/>
          <w:color w:val="000000" w:themeColor="text1"/>
          <w:shd w:val="clear" w:color="auto" w:fill="FFFFFF"/>
        </w:rPr>
        <w:t xml:space="preserve">From juba to krumping: The development of street dance, </w:t>
      </w:r>
      <w:r w:rsidRPr="00BF3ADF">
        <w:rPr>
          <w:rFonts w:cstheme="minorHAnsi"/>
          <w:color w:val="000000" w:themeColor="text1"/>
          <w:shd w:val="clear" w:color="auto" w:fill="FFFFFF"/>
        </w:rPr>
        <w:t xml:space="preserve">viewed 20 November 2017, from </w:t>
      </w:r>
      <w:hyperlink r:id="rId16" w:history="1">
        <w:r w:rsidRPr="00BF3ADF">
          <w:rPr>
            <w:rStyle w:val="Hyperlink"/>
            <w:rFonts w:cstheme="minorHAnsi"/>
            <w:shd w:val="clear" w:color="auto" w:fill="FFFFFF"/>
          </w:rPr>
          <w:t>http://www.bbc.co.uk/timelines/zxpxhyc</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Inglis-Arkell, E., (2010), </w:t>
      </w:r>
      <w:r w:rsidRPr="00BF3ADF">
        <w:rPr>
          <w:rFonts w:cstheme="minorHAnsi"/>
          <w:i/>
          <w:color w:val="000000" w:themeColor="text1"/>
          <w:shd w:val="clear" w:color="auto" w:fill="FFFFFF"/>
        </w:rPr>
        <w:t xml:space="preserve">How your brain sees your body: Meet the cortical homunculus, </w:t>
      </w:r>
      <w:r w:rsidRPr="00BF3ADF">
        <w:rPr>
          <w:rFonts w:cstheme="minorHAnsi"/>
          <w:color w:val="000000" w:themeColor="text1"/>
          <w:shd w:val="clear" w:color="auto" w:fill="FFFFFF"/>
        </w:rPr>
        <w:t xml:space="preserve">viewed 19 October 2017, from </w:t>
      </w:r>
      <w:hyperlink r:id="rId17" w:history="1">
        <w:r w:rsidRPr="00BF3ADF">
          <w:rPr>
            <w:rStyle w:val="Hyperlink"/>
            <w:rFonts w:cstheme="minorHAnsi"/>
            <w:shd w:val="clear" w:color="auto" w:fill="FFFFFF"/>
          </w:rPr>
          <w:t>https://io9.gizmodo.com/5670064/how-your-brain-sees-your-body-meet-the-cortical-homunculus</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Kent, D., (2006), ‘The effect of music on the human body and mind’, PhD thesis, Dept. of Honors Program, Liberty University. </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Kentish, F., (2015), </w:t>
      </w:r>
      <w:r w:rsidRPr="00BF3ADF">
        <w:rPr>
          <w:rFonts w:cstheme="minorHAnsi"/>
          <w:i/>
          <w:color w:val="000000" w:themeColor="text1"/>
          <w:shd w:val="clear" w:color="auto" w:fill="FFFFFF"/>
        </w:rPr>
        <w:t xml:space="preserve">Listening to sad music could be affecting your mental health, </w:t>
      </w:r>
      <w:r w:rsidRPr="00BF3ADF">
        <w:rPr>
          <w:rFonts w:cstheme="minorHAnsi"/>
          <w:color w:val="000000" w:themeColor="text1"/>
          <w:shd w:val="clear" w:color="auto" w:fill="FFFFFF"/>
        </w:rPr>
        <w:t xml:space="preserve">viewed 15 November 2017, from </w:t>
      </w:r>
      <w:hyperlink r:id="rId18" w:history="1">
        <w:r w:rsidRPr="00BF3ADF">
          <w:rPr>
            <w:rStyle w:val="Hyperlink"/>
            <w:rFonts w:cstheme="minorHAnsi"/>
            <w:shd w:val="clear" w:color="auto" w:fill="FFFFFF"/>
          </w:rPr>
          <w:t>http://metro.co.uk/2015/10/28/listening-to-sad-music-could-be-affecting-your-mental-health-5466796/</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Kindermusik, (2014), </w:t>
      </w:r>
      <w:r w:rsidRPr="00BF3ADF">
        <w:rPr>
          <w:rFonts w:cstheme="minorHAnsi"/>
          <w:i/>
          <w:color w:val="000000" w:themeColor="text1"/>
          <w:shd w:val="clear" w:color="auto" w:fill="FFFFFF"/>
        </w:rPr>
        <w:t xml:space="preserve">Music &amp; movement benefits: Why we rock, bounce, jump &amp; dance, </w:t>
      </w:r>
      <w:r w:rsidRPr="00BF3ADF">
        <w:rPr>
          <w:rFonts w:cstheme="minorHAnsi"/>
          <w:color w:val="000000" w:themeColor="text1"/>
          <w:shd w:val="clear" w:color="auto" w:fill="FFFFFF"/>
        </w:rPr>
        <w:t xml:space="preserve">viewed 20 November 2017, from </w:t>
      </w:r>
      <w:hyperlink r:id="rId19" w:history="1">
        <w:r w:rsidRPr="00BF3ADF">
          <w:rPr>
            <w:rStyle w:val="Hyperlink"/>
            <w:rFonts w:cstheme="minorHAnsi"/>
            <w:shd w:val="clear" w:color="auto" w:fill="FFFFFF"/>
          </w:rPr>
          <w:t>https://www.kindermusik.com/mindsonmusic/kindermusik/music-movement-benefits-why-we-rock-bounce-jump-dance/</w:t>
        </w:r>
      </w:hyperlink>
      <w:r w:rsidRPr="00BF3ADF">
        <w:rPr>
          <w:rFonts w:cstheme="minorHAnsi"/>
          <w:color w:val="000000" w:themeColor="text1"/>
          <w:shd w:val="clear" w:color="auto" w:fill="FFFFFF"/>
        </w:rPr>
        <w:t>.</w:t>
      </w:r>
    </w:p>
    <w:p w:rsidR="00D13FCF" w:rsidRPr="00BF3ADF" w:rsidRDefault="00D13FCF" w:rsidP="00D13FCF">
      <w:pPr>
        <w:rPr>
          <w:rFonts w:cstheme="minorHAnsi"/>
        </w:rPr>
      </w:pPr>
      <w:r w:rsidRPr="00BF3ADF">
        <w:rPr>
          <w:rFonts w:cstheme="minorHAnsi"/>
          <w:color w:val="000000" w:themeColor="text1"/>
        </w:rPr>
        <w:t xml:space="preserve">Krakauer, J., (n.d.), Why do we like to dance—And move to the beat?, viewed 18 October 2017, from </w:t>
      </w:r>
      <w:hyperlink r:id="rId20" w:history="1">
        <w:r w:rsidRPr="00BF3ADF">
          <w:rPr>
            <w:rStyle w:val="Hyperlink"/>
            <w:rFonts w:cstheme="minorHAnsi"/>
          </w:rPr>
          <w:t>https://www.scientificamerican.com/article/experts-dance/</w:t>
        </w:r>
      </w:hyperlink>
    </w:p>
    <w:p w:rsidR="00D13FCF" w:rsidRDefault="00D13FCF" w:rsidP="00D13FCF">
      <w:pPr>
        <w:rPr>
          <w:rFonts w:cstheme="minorHAnsi"/>
          <w:color w:val="000000" w:themeColor="text1"/>
          <w:shd w:val="clear" w:color="auto" w:fill="FFFFFF"/>
        </w:rPr>
      </w:pPr>
      <w:r>
        <w:rPr>
          <w:rFonts w:cstheme="minorHAnsi"/>
          <w:color w:val="000000" w:themeColor="text1"/>
          <w:shd w:val="clear" w:color="auto" w:fill="FFFFFF"/>
        </w:rPr>
        <w:t>Laban, R., (1966), Choreutics, Macdonald and Evans, USA.</w:t>
      </w:r>
    </w:p>
    <w:p w:rsidR="00D13FCF" w:rsidRPr="00BF3ADF" w:rsidRDefault="00D13FCF" w:rsidP="00D13FCF">
      <w:pPr>
        <w:rPr>
          <w:rFonts w:cstheme="minorHAnsi"/>
          <w:color w:val="000000" w:themeColor="text1"/>
        </w:rPr>
      </w:pPr>
      <w:r w:rsidRPr="00BF3ADF">
        <w:rPr>
          <w:rFonts w:cstheme="minorHAnsi"/>
          <w:color w:val="000000" w:themeColor="text1"/>
        </w:rPr>
        <w:t xml:space="preserve">LaMothe, K., (2015), ‘Why do humans dance? Reflections on a quintessential human experience’, in What a body knows, viewed 28 October 2017, from </w:t>
      </w:r>
      <w:hyperlink r:id="rId21" w:history="1">
        <w:r w:rsidRPr="00BF3ADF">
          <w:rPr>
            <w:rStyle w:val="Hyperlink"/>
            <w:rFonts w:cstheme="minorHAnsi"/>
          </w:rPr>
          <w:t>https://www.psychologytoday.com/blog/what-body-knows/201503/why-do-humans-dance</w:t>
        </w:r>
      </w:hyperlink>
    </w:p>
    <w:p w:rsidR="00D13FCF" w:rsidRPr="00BF3ADF" w:rsidRDefault="00D13FCF" w:rsidP="00D13FCF">
      <w:pPr>
        <w:rPr>
          <w:rFonts w:cstheme="minorHAnsi"/>
          <w:color w:val="000000" w:themeColor="text1"/>
        </w:rPr>
      </w:pPr>
      <w:r w:rsidRPr="00BF3ADF">
        <w:rPr>
          <w:rFonts w:cstheme="minorHAnsi"/>
          <w:color w:val="000000" w:themeColor="text1"/>
        </w:rPr>
        <w:t xml:space="preserve">Lovatt, P., (2010), Why do you dance? It seems you’re lost in music, viewed 24 October 2017, from </w:t>
      </w:r>
      <w:hyperlink r:id="rId22" w:history="1">
        <w:r w:rsidRPr="00BF3ADF">
          <w:rPr>
            <w:rStyle w:val="Hyperlink"/>
            <w:rFonts w:cstheme="minorHAnsi"/>
          </w:rPr>
          <w:t>https://www.psychologytoday.com/blog/dance-psychology/201002/why-do-you-dance-it-seems-youre-lost-in-music</w:t>
        </w:r>
      </w:hyperlink>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lastRenderedPageBreak/>
        <w:t xml:space="preserve">Ludden, D., (2015), </w:t>
      </w:r>
      <w:r w:rsidRPr="00BF3ADF">
        <w:rPr>
          <w:rFonts w:cstheme="minorHAnsi"/>
          <w:i/>
          <w:color w:val="000000" w:themeColor="text1"/>
          <w:shd w:val="clear" w:color="auto" w:fill="FFFFFF"/>
        </w:rPr>
        <w:t xml:space="preserve">Is music a universal language?, </w:t>
      </w:r>
      <w:r w:rsidRPr="00BF3ADF">
        <w:rPr>
          <w:rFonts w:cstheme="minorHAnsi"/>
          <w:color w:val="000000" w:themeColor="text1"/>
          <w:shd w:val="clear" w:color="auto" w:fill="FFFFFF"/>
        </w:rPr>
        <w:t xml:space="preserve">viewed 07 December 2017, from </w:t>
      </w:r>
      <w:hyperlink r:id="rId23" w:history="1">
        <w:r w:rsidRPr="00BF3ADF">
          <w:rPr>
            <w:rStyle w:val="Hyperlink"/>
            <w:rFonts w:cstheme="minorHAnsi"/>
            <w:shd w:val="clear" w:color="auto" w:fill="FFFFFF"/>
          </w:rPr>
          <w:t>https://www.psychologytoday.com/blog/talking-apes/201507/is-music-universal-language</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Margulis, E. H., (2014), </w:t>
      </w:r>
      <w:r w:rsidRPr="00BF3ADF">
        <w:rPr>
          <w:rFonts w:cstheme="minorHAnsi"/>
          <w:i/>
          <w:color w:val="000000" w:themeColor="text1"/>
          <w:shd w:val="clear" w:color="auto" w:fill="FFFFFF"/>
        </w:rPr>
        <w:t xml:space="preserve">Why we love repetition in music - Elizabeth Hellmuth Margulis, </w:t>
      </w:r>
      <w:r w:rsidRPr="00BF3ADF">
        <w:rPr>
          <w:rFonts w:cstheme="minorHAnsi"/>
          <w:color w:val="000000" w:themeColor="text1"/>
          <w:shd w:val="clear" w:color="auto" w:fill="FFFFFF"/>
        </w:rPr>
        <w:t xml:space="preserve">viewed 20 October 2017, from </w:t>
      </w:r>
      <w:hyperlink r:id="rId24" w:history="1">
        <w:r w:rsidRPr="00BF3ADF">
          <w:rPr>
            <w:rStyle w:val="Hyperlink"/>
            <w:rFonts w:cstheme="minorHAnsi"/>
            <w:shd w:val="clear" w:color="auto" w:fill="FFFFFF"/>
          </w:rPr>
          <w:t>https://www.youtube.com/watch?v=1lo8EomDrwA</w:t>
        </w:r>
      </w:hyperlink>
      <w:r w:rsidRPr="00BF3ADF">
        <w:rPr>
          <w:rFonts w:cstheme="minorHAnsi"/>
          <w:color w:val="000000" w:themeColor="text1"/>
          <w:shd w:val="clear" w:color="auto" w:fill="FFFFFF"/>
        </w:rPr>
        <w:t xml:space="preserve">. </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Mariana, F., (2015), ‘The Rhythm In The Score Of A Physical State Of Grace’, </w:t>
      </w:r>
      <w:r w:rsidRPr="00BF3ADF">
        <w:rPr>
          <w:rFonts w:cstheme="minorHAnsi"/>
          <w:i/>
          <w:color w:val="000000" w:themeColor="text1"/>
          <w:shd w:val="clear" w:color="auto" w:fill="FFFFFF"/>
        </w:rPr>
        <w:t xml:space="preserve">Science, Movement and Health </w:t>
      </w:r>
      <w:r w:rsidRPr="00BF3ADF">
        <w:rPr>
          <w:rFonts w:cstheme="minorHAnsi"/>
          <w:b/>
          <w:color w:val="000000" w:themeColor="text1"/>
          <w:shd w:val="clear" w:color="auto" w:fill="FFFFFF"/>
        </w:rPr>
        <w:t>15</w:t>
      </w:r>
      <w:r w:rsidRPr="00BF3ADF">
        <w:rPr>
          <w:rFonts w:cstheme="minorHAnsi"/>
          <w:color w:val="000000" w:themeColor="text1"/>
          <w:shd w:val="clear" w:color="auto" w:fill="FFFFFF"/>
        </w:rPr>
        <w:t>(2), 368-372.</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Mo., (2008), </w:t>
      </w:r>
      <w:r w:rsidRPr="00BF3ADF">
        <w:rPr>
          <w:rFonts w:cstheme="minorHAnsi"/>
          <w:i/>
          <w:color w:val="000000" w:themeColor="text1"/>
          <w:shd w:val="clear" w:color="auto" w:fill="FFFFFF"/>
        </w:rPr>
        <w:t xml:space="preserve">Neurophilosophy Wilder Penfield, neural cartographer, </w:t>
      </w:r>
      <w:r w:rsidRPr="00BF3ADF">
        <w:rPr>
          <w:rFonts w:cstheme="minorHAnsi"/>
          <w:color w:val="000000" w:themeColor="text1"/>
          <w:shd w:val="clear" w:color="auto" w:fill="FFFFFF"/>
        </w:rPr>
        <w:t xml:space="preserve">viewed 04 December 2017, from </w:t>
      </w:r>
      <w:hyperlink r:id="rId25" w:history="1">
        <w:r w:rsidRPr="00BF3ADF">
          <w:rPr>
            <w:rStyle w:val="Hyperlink"/>
            <w:rFonts w:cstheme="minorHAnsi"/>
            <w:shd w:val="clear" w:color="auto" w:fill="FFFFFF"/>
          </w:rPr>
          <w:t>http://scienceblogs.com/neurophilosophy/2008/08/27/wilder-penfield-neural-cartographer/</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Molnar-Szakacs, I. &amp; Overy, K., (2006), ‘Music and mirror neurons: from motion to ‘e’emotion’, </w:t>
      </w:r>
      <w:r w:rsidRPr="00BF3ADF">
        <w:rPr>
          <w:rFonts w:cstheme="minorHAnsi"/>
          <w:i/>
          <w:color w:val="000000" w:themeColor="text1"/>
          <w:shd w:val="clear" w:color="auto" w:fill="FFFFFF"/>
        </w:rPr>
        <w:t xml:space="preserve">Social Cognitive and Affective Neuroscience, </w:t>
      </w:r>
      <w:r w:rsidRPr="00BF3ADF">
        <w:rPr>
          <w:rFonts w:cstheme="minorHAnsi"/>
          <w:b/>
          <w:color w:val="000000" w:themeColor="text1"/>
          <w:shd w:val="clear" w:color="auto" w:fill="FFFFFF"/>
        </w:rPr>
        <w:t>1</w:t>
      </w:r>
      <w:r w:rsidRPr="00BF3ADF">
        <w:rPr>
          <w:rFonts w:cstheme="minorHAnsi"/>
          <w:color w:val="000000" w:themeColor="text1"/>
          <w:shd w:val="clear" w:color="auto" w:fill="FFFFFF"/>
        </w:rPr>
        <w:t>(3), 235-241.</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Nagrin, D., (1997), The six questions, University of Pittsburgh Press, Pittsburgh, United States of America.</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Neuroskeptic., </w:t>
      </w:r>
      <w:r w:rsidRPr="00BF3ADF">
        <w:rPr>
          <w:rFonts w:cstheme="minorHAnsi"/>
          <w:i/>
          <w:color w:val="000000" w:themeColor="text1"/>
          <w:shd w:val="clear" w:color="auto" w:fill="FFFFFF"/>
        </w:rPr>
        <w:t>A paradigm shift for the motor cortex?</w:t>
      </w:r>
      <w:r w:rsidRPr="00BF3ADF">
        <w:rPr>
          <w:rFonts w:cstheme="minorHAnsi"/>
          <w:color w:val="000000" w:themeColor="text1"/>
          <w:shd w:val="clear" w:color="auto" w:fill="FFFFFF"/>
        </w:rPr>
        <w:t xml:space="preserve">, viewed 10 November 2017, from </w:t>
      </w:r>
      <w:hyperlink r:id="rId26" w:history="1">
        <w:r w:rsidRPr="00BF3ADF">
          <w:rPr>
            <w:rStyle w:val="Hyperlink"/>
            <w:rFonts w:cstheme="minorHAnsi"/>
            <w:shd w:val="clear" w:color="auto" w:fill="FFFFFF"/>
          </w:rPr>
          <w:t>http://blogs.discovermagazine.com/neuroskeptic/2015/12/11/a-paradigm-shift-for-the-motor-cortex/</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Nuskool., (2014), </w:t>
      </w:r>
      <w:r w:rsidRPr="00BF3ADF">
        <w:rPr>
          <w:rFonts w:cstheme="minorHAnsi"/>
          <w:i/>
          <w:color w:val="000000" w:themeColor="text1"/>
          <w:shd w:val="clear" w:color="auto" w:fill="FFFFFF"/>
        </w:rPr>
        <w:t xml:space="preserve">5 Ways dubstep is messing with your brain, </w:t>
      </w:r>
      <w:r w:rsidRPr="00BF3ADF">
        <w:rPr>
          <w:rFonts w:cstheme="minorHAnsi"/>
          <w:color w:val="000000" w:themeColor="text1"/>
          <w:shd w:val="clear" w:color="auto" w:fill="FFFFFF"/>
        </w:rPr>
        <w:t xml:space="preserve">viewed 04 December 2017, from </w:t>
      </w:r>
      <w:hyperlink r:id="rId27" w:history="1">
        <w:r w:rsidRPr="00BF3ADF">
          <w:rPr>
            <w:rStyle w:val="Hyperlink"/>
            <w:rFonts w:cstheme="minorHAnsi"/>
            <w:shd w:val="clear" w:color="auto" w:fill="FFFFFF"/>
          </w:rPr>
          <w:t>https://www.nuskool.com/learn/lesson/5-ways-dubstep-is-messing-with-your-brain/</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rPr>
      </w:pPr>
      <w:r w:rsidRPr="00BF3ADF">
        <w:rPr>
          <w:rFonts w:cstheme="minorHAnsi"/>
          <w:color w:val="000000" w:themeColor="text1"/>
        </w:rPr>
        <w:t xml:space="preserve">Oatley, K., (1972), </w:t>
      </w:r>
      <w:r w:rsidRPr="00BF3ADF">
        <w:rPr>
          <w:rFonts w:cstheme="minorHAnsi"/>
          <w:i/>
          <w:color w:val="000000" w:themeColor="text1"/>
        </w:rPr>
        <w:t xml:space="preserve">Brain Mechanisms and Mind, </w:t>
      </w:r>
      <w:r w:rsidRPr="00BF3ADF">
        <w:rPr>
          <w:rFonts w:cstheme="minorHAnsi"/>
          <w:color w:val="000000" w:themeColor="text1"/>
        </w:rPr>
        <w:t>Thames and Hudson Ltd, London.</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Overy, K., Molnar-Szakacs, I., (2009), ‘Being Together in Time: Musical Experience and the Mirror Neuron System’, </w:t>
      </w:r>
      <w:r w:rsidRPr="00BF3ADF">
        <w:rPr>
          <w:rFonts w:cstheme="minorHAnsi"/>
          <w:i/>
          <w:color w:val="000000" w:themeColor="text1"/>
          <w:shd w:val="clear" w:color="auto" w:fill="FFFFFF"/>
        </w:rPr>
        <w:t xml:space="preserve">Music Perception: An Interdisciplinary Journal, </w:t>
      </w:r>
      <w:r w:rsidRPr="00BF3ADF">
        <w:rPr>
          <w:rFonts w:cstheme="minorHAnsi"/>
          <w:b/>
          <w:color w:val="000000" w:themeColor="text1"/>
          <w:shd w:val="clear" w:color="auto" w:fill="FFFFFF"/>
        </w:rPr>
        <w:t>26</w:t>
      </w:r>
      <w:r w:rsidRPr="00BF3ADF">
        <w:rPr>
          <w:rFonts w:cstheme="minorHAnsi"/>
          <w:color w:val="000000" w:themeColor="text1"/>
          <w:shd w:val="clear" w:color="auto" w:fill="FFFFFF"/>
        </w:rPr>
        <w:t xml:space="preserve">(5), 489-504. </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Pickett, H., </w:t>
      </w:r>
      <w:r w:rsidRPr="00BF3ADF">
        <w:rPr>
          <w:rFonts w:cstheme="minorHAnsi"/>
          <w:i/>
          <w:color w:val="000000" w:themeColor="text1"/>
          <w:shd w:val="clear" w:color="auto" w:fill="FFFFFF"/>
        </w:rPr>
        <w:t>Composing improvisation</w:t>
      </w:r>
      <w:r w:rsidRPr="00BF3ADF">
        <w:rPr>
          <w:rFonts w:cstheme="minorHAnsi"/>
          <w:color w:val="000000" w:themeColor="text1"/>
          <w:shd w:val="clear" w:color="auto" w:fill="FFFFFF"/>
        </w:rPr>
        <w:t xml:space="preserve">, viewed 5 November 2017, from </w:t>
      </w:r>
      <w:hyperlink r:id="rId28" w:history="1">
        <w:r w:rsidRPr="00BF3ADF">
          <w:rPr>
            <w:rStyle w:val="Hyperlink"/>
            <w:rFonts w:cstheme="minorHAnsi"/>
            <w:shd w:val="clear" w:color="auto" w:fill="FFFFFF"/>
          </w:rPr>
          <w:t>http://hannahpickettdance.com/2017/03/27/composing-improvisation/</w:t>
        </w:r>
      </w:hyperlink>
      <w:r w:rsidRPr="00BF3ADF">
        <w:rPr>
          <w:rFonts w:cstheme="minorHAnsi"/>
          <w:color w:val="000000" w:themeColor="text1"/>
          <w:shd w:val="clear" w:color="auto" w:fill="FFFFFF"/>
        </w:rPr>
        <w:t xml:space="preserve">. </w:t>
      </w:r>
    </w:p>
    <w:p w:rsidR="00D13FCF" w:rsidRPr="00BF3ADF" w:rsidRDefault="00D13FCF" w:rsidP="00D13FCF">
      <w:pPr>
        <w:rPr>
          <w:rFonts w:cstheme="minorHAnsi"/>
          <w:color w:val="000000" w:themeColor="text1"/>
        </w:rPr>
      </w:pPr>
      <w:r w:rsidRPr="00BF3ADF">
        <w:rPr>
          <w:rFonts w:cstheme="minorHAnsi"/>
          <w:color w:val="000000" w:themeColor="text1"/>
        </w:rPr>
        <w:t>Purves, D., Augustine, G.J., Fitzpatrick, D., Katz, L. C., LaMantia, A., McNamara, J. O. &amp; Williams, S.M. (eds.), (2001), Neuroscience, 2</w:t>
      </w:r>
      <w:r w:rsidRPr="00BF3ADF">
        <w:rPr>
          <w:rFonts w:cstheme="minorHAnsi"/>
          <w:color w:val="000000" w:themeColor="text1"/>
          <w:vertAlign w:val="superscript"/>
        </w:rPr>
        <w:t>nd</w:t>
      </w:r>
      <w:r w:rsidRPr="00BF3ADF">
        <w:rPr>
          <w:rFonts w:cstheme="minorHAnsi"/>
          <w:color w:val="000000" w:themeColor="text1"/>
        </w:rPr>
        <w:t xml:space="preserve"> edn., Sinauer Associates, Inc, United States of America.</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Rayner, N., (2011), </w:t>
      </w:r>
      <w:r w:rsidRPr="00BF3ADF">
        <w:rPr>
          <w:rFonts w:cstheme="minorHAnsi"/>
          <w:i/>
          <w:color w:val="000000" w:themeColor="text1"/>
          <w:shd w:val="clear" w:color="auto" w:fill="FFFFFF"/>
        </w:rPr>
        <w:t xml:space="preserve">Strictly speaking, </w:t>
      </w:r>
      <w:r w:rsidRPr="00BF3ADF">
        <w:rPr>
          <w:rFonts w:cstheme="minorHAnsi"/>
          <w:color w:val="000000" w:themeColor="text1"/>
          <w:shd w:val="clear" w:color="auto" w:fill="FFFFFF"/>
        </w:rPr>
        <w:t xml:space="preserve">viewed 02 December 2017, from </w:t>
      </w:r>
      <w:hyperlink r:id="rId29" w:history="1">
        <w:r w:rsidRPr="00BF3ADF">
          <w:rPr>
            <w:rStyle w:val="Hyperlink"/>
            <w:rFonts w:cstheme="minorHAnsi"/>
            <w:shd w:val="clear" w:color="auto" w:fill="FFFFFF"/>
          </w:rPr>
          <w:t>https://www.dancing-times.co.uk/strictly-speaking-13/</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rPr>
      </w:pPr>
      <w:r w:rsidRPr="00BF3ADF">
        <w:rPr>
          <w:rFonts w:cstheme="minorHAnsi"/>
          <w:color w:val="000000" w:themeColor="text1"/>
        </w:rPr>
        <w:t xml:space="preserve">Richards, T., (1995), At work with Grotowski on physical actions, Routledge, Britain. </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Sapir, C., (2015), </w:t>
      </w:r>
      <w:r w:rsidRPr="00BF3ADF">
        <w:rPr>
          <w:rFonts w:cstheme="minorHAnsi"/>
          <w:i/>
          <w:color w:val="000000" w:themeColor="text1"/>
          <w:shd w:val="clear" w:color="auto" w:fill="FFFFFF"/>
        </w:rPr>
        <w:t xml:space="preserve">Web video without interactivity is like a Pharrell Williams video without music, </w:t>
      </w:r>
      <w:r w:rsidRPr="00BF3ADF">
        <w:rPr>
          <w:rFonts w:cstheme="minorHAnsi"/>
          <w:color w:val="000000" w:themeColor="text1"/>
          <w:shd w:val="clear" w:color="auto" w:fill="FFFFFF"/>
        </w:rPr>
        <w:t xml:space="preserve">viewed 29 November 2017, from </w:t>
      </w:r>
      <w:hyperlink r:id="rId30" w:history="1">
        <w:r w:rsidRPr="00BF3ADF">
          <w:rPr>
            <w:rStyle w:val="Hyperlink"/>
            <w:rFonts w:cstheme="minorHAnsi"/>
            <w:shd w:val="clear" w:color="auto" w:fill="FFFFFF"/>
          </w:rPr>
          <w:t>https://corp.hapyak.com/web-video-without-interactivity-like-pharrell-williams-video-without-music/</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Schiavio, A., Matyja, J. &amp; Menin, D., (2014), ‘Music in the Flesh: Embodied Simulation in Musical Understanding’, Psychomusicology: Music, Mind, and Brain, </w:t>
      </w:r>
      <w:r w:rsidRPr="00BF3ADF">
        <w:rPr>
          <w:rFonts w:cstheme="minorHAnsi"/>
          <w:b/>
          <w:color w:val="000000" w:themeColor="text1"/>
          <w:shd w:val="clear" w:color="auto" w:fill="FFFFFF"/>
        </w:rPr>
        <w:t>24</w:t>
      </w:r>
      <w:r w:rsidRPr="00BF3ADF">
        <w:rPr>
          <w:rFonts w:cstheme="minorHAnsi"/>
          <w:color w:val="000000" w:themeColor="text1"/>
          <w:shd w:val="clear" w:color="auto" w:fill="FFFFFF"/>
        </w:rPr>
        <w:t>(4), 340-343.</w:t>
      </w:r>
    </w:p>
    <w:p w:rsidR="00D13FCF" w:rsidRPr="00BF3ADF" w:rsidRDefault="00D13FCF" w:rsidP="00D13FCF">
      <w:pPr>
        <w:rPr>
          <w:rStyle w:val="Hyperlink"/>
          <w:rFonts w:eastAsia="Times New Roman" w:cstheme="minorHAnsi"/>
          <w:color w:val="000000" w:themeColor="text1"/>
        </w:rPr>
      </w:pPr>
      <w:r w:rsidRPr="00BF3ADF">
        <w:rPr>
          <w:rFonts w:cstheme="minorHAnsi"/>
          <w:color w:val="000000" w:themeColor="text1"/>
        </w:rPr>
        <w:t xml:space="preserve">Schwerin, S., (2013), ‘The Anatomy of Movement’, in </w:t>
      </w:r>
      <w:r w:rsidRPr="00BF3ADF">
        <w:rPr>
          <w:rFonts w:cstheme="minorHAnsi"/>
          <w:i/>
          <w:color w:val="000000" w:themeColor="text1"/>
        </w:rPr>
        <w:t xml:space="preserve">Brain Connection, </w:t>
      </w:r>
      <w:r w:rsidRPr="00BF3ADF">
        <w:rPr>
          <w:rFonts w:cstheme="minorHAnsi"/>
          <w:color w:val="000000" w:themeColor="text1"/>
        </w:rPr>
        <w:t xml:space="preserve">viewed 17 October 2017, from </w:t>
      </w:r>
      <w:hyperlink r:id="rId31" w:history="1">
        <w:r w:rsidRPr="00BF3ADF">
          <w:rPr>
            <w:rStyle w:val="Hyperlink"/>
            <w:rFonts w:eastAsia="Times New Roman" w:cstheme="minorHAnsi"/>
            <w:color w:val="000000" w:themeColor="text1"/>
          </w:rPr>
          <w:t>https://brainconnection.brainhq.com/2013/03/05/the-anatomy-of-movement/</w:t>
        </w:r>
      </w:hyperlink>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Service, T., (2016), </w:t>
      </w:r>
      <w:r w:rsidRPr="00BF3ADF">
        <w:rPr>
          <w:rFonts w:cstheme="minorHAnsi"/>
          <w:i/>
          <w:color w:val="000000" w:themeColor="text1"/>
          <w:shd w:val="clear" w:color="auto" w:fill="FFFFFF"/>
        </w:rPr>
        <w:t xml:space="preserve">Stuck on repeat: why we love repetition in music, </w:t>
      </w:r>
      <w:r w:rsidRPr="00BF3ADF">
        <w:rPr>
          <w:rFonts w:cstheme="minorHAnsi"/>
          <w:color w:val="000000" w:themeColor="text1"/>
          <w:shd w:val="clear" w:color="auto" w:fill="FFFFFF"/>
        </w:rPr>
        <w:t xml:space="preserve">viewed 24 November 2017, from </w:t>
      </w:r>
      <w:hyperlink r:id="rId32" w:history="1">
        <w:r w:rsidRPr="00BF3ADF">
          <w:rPr>
            <w:rStyle w:val="Hyperlink"/>
            <w:rFonts w:cstheme="minorHAnsi"/>
            <w:shd w:val="clear" w:color="auto" w:fill="FFFFFF"/>
          </w:rPr>
          <w:t>https://www.theguardian.com/music/2016/apr/29/why-we-love-repetition-in-music-tom-service</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lastRenderedPageBreak/>
        <w:t xml:space="preserve">Sievers, B., Polansky, L., Casey, M. &amp; Wheatley, T., (2013), ‘Music and movement share a dynamic structure that supports universal expression of emotion’, Proceedings of the National Academy of Sciences of the United States of America </w:t>
      </w:r>
      <w:r w:rsidRPr="00BF3ADF">
        <w:rPr>
          <w:rFonts w:cstheme="minorHAnsi"/>
          <w:b/>
          <w:color w:val="000000" w:themeColor="text1"/>
          <w:shd w:val="clear" w:color="auto" w:fill="FFFFFF"/>
        </w:rPr>
        <w:t>110</w:t>
      </w:r>
      <w:r w:rsidRPr="00BF3ADF">
        <w:rPr>
          <w:rFonts w:cstheme="minorHAnsi"/>
          <w:color w:val="000000" w:themeColor="text1"/>
          <w:shd w:val="clear" w:color="auto" w:fill="FFFFFF"/>
        </w:rPr>
        <w:t>(1), 70-75.</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Spencer, H., (2015), </w:t>
      </w:r>
      <w:r w:rsidRPr="00BF3ADF">
        <w:rPr>
          <w:rFonts w:cstheme="minorHAnsi"/>
          <w:i/>
          <w:color w:val="000000" w:themeColor="text1"/>
          <w:shd w:val="clear" w:color="auto" w:fill="FFFFFF"/>
        </w:rPr>
        <w:t xml:space="preserve">Sad music could have a long-term affect on your mental health, </w:t>
      </w:r>
      <w:r w:rsidRPr="00BF3ADF">
        <w:rPr>
          <w:rFonts w:cstheme="minorHAnsi"/>
          <w:color w:val="000000" w:themeColor="text1"/>
          <w:shd w:val="clear" w:color="auto" w:fill="FFFFFF"/>
        </w:rPr>
        <w:t xml:space="preserve">viewed 17 October 2017, from </w:t>
      </w:r>
      <w:hyperlink r:id="rId33" w:history="1">
        <w:r w:rsidRPr="00BF3ADF">
          <w:rPr>
            <w:rStyle w:val="Hyperlink"/>
            <w:rFonts w:cstheme="minorHAnsi"/>
            <w:shd w:val="clear" w:color="auto" w:fill="FFFFFF"/>
          </w:rPr>
          <w:t>https://graziadaily.co.uk/life/real-life/sad-music-long-term-affect-mental-health/</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Taylor, A. R., </w:t>
      </w:r>
      <w:r w:rsidRPr="00BF3ADF">
        <w:rPr>
          <w:rFonts w:cstheme="minorHAnsi"/>
          <w:i/>
          <w:color w:val="000000" w:themeColor="text1"/>
          <w:shd w:val="clear" w:color="auto" w:fill="FFFFFF"/>
        </w:rPr>
        <w:t>Potential negative impact of music</w:t>
      </w:r>
      <w:r w:rsidRPr="00BF3ADF">
        <w:rPr>
          <w:rFonts w:cstheme="minorHAnsi"/>
          <w:color w:val="000000" w:themeColor="text1"/>
          <w:shd w:val="clear" w:color="auto" w:fill="FFFFFF"/>
        </w:rPr>
        <w:t xml:space="preserve">, viewed 15 November 2017, from </w:t>
      </w:r>
      <w:hyperlink r:id="rId34" w:history="1">
        <w:r w:rsidRPr="00BF3ADF">
          <w:rPr>
            <w:rStyle w:val="Hyperlink"/>
            <w:rFonts w:cstheme="minorHAnsi"/>
            <w:shd w:val="clear" w:color="auto" w:fill="FFFFFF"/>
          </w:rPr>
          <w:t>http://arlenetaylor.org/music-and-the-brain/7410-potential-negative-impact</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Udal, S. R., (2012), Dance and American art: a long embrace, University of Wisconsin Press, Wisconsin, United States of America. </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Unknown., (2009), ‘purposeful movement’, Medical dictionary, Farlex, Pennsylvania, United States of America, edn. 1.</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Unknown., (2010), ‘motor cortex’, </w:t>
      </w:r>
      <w:r w:rsidRPr="00BF3ADF">
        <w:rPr>
          <w:rFonts w:cstheme="minorHAnsi"/>
          <w:i/>
          <w:color w:val="000000" w:themeColor="text1"/>
          <w:shd w:val="clear" w:color="auto" w:fill="FFFFFF"/>
        </w:rPr>
        <w:t>Oxford concise medical dictionary</w:t>
      </w:r>
      <w:r w:rsidRPr="00BF3ADF">
        <w:rPr>
          <w:rFonts w:cstheme="minorHAnsi"/>
          <w:color w:val="000000" w:themeColor="text1"/>
          <w:shd w:val="clear" w:color="auto" w:fill="FFFFFF"/>
        </w:rPr>
        <w:t>, Oxford University Press, United Kingdom, edn. 1.</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Unknown., (2016), ‘Why does music make you want to dance?’, in On psychology and neuroscience, viewed 25 October 2017, from </w:t>
      </w:r>
      <w:hyperlink r:id="rId35" w:history="1">
        <w:r w:rsidRPr="00BF3ADF">
          <w:rPr>
            <w:rStyle w:val="Hyperlink"/>
            <w:rFonts w:cstheme="minorHAnsi"/>
            <w:shd w:val="clear" w:color="auto" w:fill="FFFFFF"/>
          </w:rPr>
          <w:t>https://psychneuro.wordpress.com/2016/04/20/why-does-music-make-you-want-to-dance/</w:t>
        </w:r>
      </w:hyperlink>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Unknown., (2017), </w:t>
      </w:r>
      <w:r w:rsidRPr="00BF3ADF">
        <w:rPr>
          <w:rFonts w:cstheme="minorHAnsi"/>
          <w:i/>
          <w:color w:val="000000" w:themeColor="text1"/>
          <w:shd w:val="clear" w:color="auto" w:fill="FFFFFF"/>
        </w:rPr>
        <w:t xml:space="preserve">Murdering to dissect, </w:t>
      </w:r>
      <w:r w:rsidRPr="00BF3ADF">
        <w:rPr>
          <w:rFonts w:cstheme="minorHAnsi"/>
          <w:color w:val="000000" w:themeColor="text1"/>
          <w:shd w:val="clear" w:color="auto" w:fill="FFFFFF"/>
        </w:rPr>
        <w:t xml:space="preserve">viewed 26 November 2017, from </w:t>
      </w:r>
      <w:hyperlink r:id="rId36" w:history="1">
        <w:r w:rsidRPr="00BF3ADF">
          <w:rPr>
            <w:rStyle w:val="Hyperlink"/>
            <w:rFonts w:cstheme="minorHAnsi"/>
            <w:shd w:val="clear" w:color="auto" w:fill="FFFFFF"/>
          </w:rPr>
          <w:t>http://www.clodensemble.com/murdering-to-dissect/</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Unknown., (2017), </w:t>
      </w:r>
      <w:r w:rsidRPr="00BF3ADF">
        <w:rPr>
          <w:rFonts w:cstheme="minorHAnsi"/>
          <w:i/>
          <w:color w:val="000000" w:themeColor="text1"/>
          <w:shd w:val="clear" w:color="auto" w:fill="FFFFFF"/>
        </w:rPr>
        <w:t xml:space="preserve">Tuvan throat singing, </w:t>
      </w:r>
      <w:r w:rsidRPr="00BF3ADF">
        <w:rPr>
          <w:rFonts w:cstheme="minorHAnsi"/>
          <w:color w:val="000000" w:themeColor="text1"/>
          <w:shd w:val="clear" w:color="auto" w:fill="FFFFFF"/>
        </w:rPr>
        <w:t xml:space="preserve">viewed 06 December 2017, from </w:t>
      </w:r>
      <w:hyperlink r:id="rId37" w:history="1">
        <w:r w:rsidRPr="00BF3ADF">
          <w:rPr>
            <w:rStyle w:val="Hyperlink"/>
            <w:rFonts w:cstheme="minorHAnsi"/>
            <w:shd w:val="clear" w:color="auto" w:fill="FFFFFF"/>
          </w:rPr>
          <w:t>http://www.alashensemble.com/about_tts.htm</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Willimek, B., (2011), </w:t>
      </w:r>
      <w:r w:rsidRPr="00BF3ADF">
        <w:rPr>
          <w:rFonts w:cstheme="minorHAnsi"/>
          <w:i/>
          <w:color w:val="000000" w:themeColor="text1"/>
          <w:shd w:val="clear" w:color="auto" w:fill="FFFFFF"/>
        </w:rPr>
        <w:t>Why does music move us?,</w:t>
      </w:r>
      <w:r w:rsidRPr="00BF3ADF">
        <w:rPr>
          <w:rFonts w:cstheme="minorHAnsi"/>
          <w:color w:val="000000" w:themeColor="text1"/>
          <w:shd w:val="clear" w:color="auto" w:fill="FFFFFF"/>
        </w:rPr>
        <w:t xml:space="preserve"> viewed 25 October 2017, from </w:t>
      </w:r>
      <w:hyperlink r:id="rId38" w:history="1">
        <w:r w:rsidRPr="00BF3ADF">
          <w:rPr>
            <w:rStyle w:val="Hyperlink"/>
            <w:rFonts w:cstheme="minorHAnsi"/>
            <w:shd w:val="clear" w:color="auto" w:fill="FFFFFF"/>
          </w:rPr>
          <w:t>https://www.psychologicalscience.org/observer/why-does-music-move-us</w:t>
        </w:r>
      </w:hyperlink>
      <w:r w:rsidRPr="00BF3ADF">
        <w:rPr>
          <w:rFonts w:cstheme="minorHAnsi"/>
          <w:color w:val="000000" w:themeColor="text1"/>
          <w:shd w:val="clear" w:color="auto" w:fill="FFFFFF"/>
        </w:rPr>
        <w:t>.</w:t>
      </w:r>
    </w:p>
    <w:p w:rsidR="00D13FCF" w:rsidRPr="00BF3AD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Winerman, L., (2005), ‘The mind’s mirror’, </w:t>
      </w:r>
      <w:r w:rsidRPr="00BF3ADF">
        <w:rPr>
          <w:rFonts w:cstheme="minorHAnsi"/>
          <w:i/>
          <w:color w:val="000000" w:themeColor="text1"/>
          <w:shd w:val="clear" w:color="auto" w:fill="FFFFFF"/>
        </w:rPr>
        <w:t>American Psychological Association</w:t>
      </w:r>
      <w:r w:rsidRPr="00BF3ADF">
        <w:rPr>
          <w:rFonts w:cstheme="minorHAnsi"/>
          <w:color w:val="000000" w:themeColor="text1"/>
          <w:shd w:val="clear" w:color="auto" w:fill="FFFFFF"/>
        </w:rPr>
        <w:t>, October, p. 48.</w:t>
      </w:r>
    </w:p>
    <w:p w:rsidR="00D13FCF" w:rsidRDefault="00D13FCF" w:rsidP="00D13FCF">
      <w:pPr>
        <w:rPr>
          <w:rFonts w:cstheme="minorHAnsi"/>
          <w:color w:val="000000" w:themeColor="text1"/>
          <w:shd w:val="clear" w:color="auto" w:fill="FFFFFF"/>
        </w:rPr>
      </w:pPr>
      <w:r w:rsidRPr="00BF3ADF">
        <w:rPr>
          <w:rFonts w:cstheme="minorHAnsi"/>
          <w:color w:val="000000" w:themeColor="text1"/>
          <w:shd w:val="clear" w:color="auto" w:fill="FFFFFF"/>
        </w:rPr>
        <w:t xml:space="preserve"> Witek, M. A. G., Clarke, E. F., Wallentin, M., Kringelbach, M. L. &amp; Vuust, P., (2015), </w:t>
      </w:r>
      <w:r w:rsidRPr="00BF3ADF">
        <w:rPr>
          <w:rFonts w:cstheme="minorHAnsi"/>
          <w:i/>
          <w:color w:val="000000" w:themeColor="text1"/>
          <w:shd w:val="clear" w:color="auto" w:fill="FFFFFF"/>
        </w:rPr>
        <w:t>Syncopation, body-movement and pleasure in groove music</w:t>
      </w:r>
      <w:r w:rsidRPr="00BF3ADF">
        <w:rPr>
          <w:rFonts w:cstheme="minorHAnsi"/>
          <w:color w:val="000000" w:themeColor="text1"/>
          <w:shd w:val="clear" w:color="auto" w:fill="FFFFFF"/>
        </w:rPr>
        <w:t xml:space="preserve">, viewed 18 October 2017, from </w:t>
      </w:r>
      <w:hyperlink r:id="rId39" w:history="1">
        <w:r w:rsidRPr="00BF3ADF">
          <w:rPr>
            <w:rStyle w:val="Hyperlink"/>
            <w:rFonts w:cstheme="minorHAnsi"/>
            <w:shd w:val="clear" w:color="auto" w:fill="FFFFFF"/>
          </w:rPr>
          <w:t>http://journals.plos.org/plosone/article?id=10.1371/journal.pone.0094446</w:t>
        </w:r>
      </w:hyperlink>
      <w:r w:rsidRPr="00BF3ADF">
        <w:rPr>
          <w:rFonts w:cstheme="minorHAnsi"/>
          <w:color w:val="000000" w:themeColor="text1"/>
          <w:shd w:val="clear" w:color="auto" w:fill="FFFFFF"/>
        </w:rPr>
        <w:t>.</w:t>
      </w:r>
    </w:p>
    <w:p w:rsidR="00E84C01" w:rsidRDefault="00CD5B6F">
      <w:pPr>
        <w:spacing w:after="240" w:line="240" w:lineRule="auto"/>
        <w:rPr>
          <w:rFonts w:ascii="Times" w:eastAsia="Times" w:hAnsi="Times" w:cs="Times"/>
          <w:color w:val="000000"/>
          <w:sz w:val="20"/>
        </w:rPr>
      </w:pPr>
      <w:bookmarkStart w:id="0" w:name="_GoBack"/>
      <w:bookmarkEnd w:id="0"/>
      <w:r>
        <w:rPr>
          <w:rFonts w:ascii="Times" w:eastAsia="Times" w:hAnsi="Times" w:cs="Times"/>
          <w:color w:val="000000"/>
          <w:sz w:val="20"/>
        </w:rPr>
        <w:br/>
      </w:r>
    </w:p>
    <w:p w:rsidR="00E84C01" w:rsidRDefault="00E84C01">
      <w:pPr>
        <w:spacing w:after="0" w:line="240" w:lineRule="auto"/>
        <w:rPr>
          <w:rFonts w:ascii="Times" w:eastAsia="Times" w:hAnsi="Times" w:cs="Times"/>
          <w:color w:val="000000"/>
          <w:sz w:val="20"/>
        </w:rPr>
      </w:pPr>
    </w:p>
    <w:p w:rsidR="00E84C01" w:rsidRDefault="00E84C01">
      <w:pPr>
        <w:spacing w:after="0" w:line="240" w:lineRule="auto"/>
        <w:rPr>
          <w:rFonts w:ascii="Calibri" w:eastAsia="Calibri" w:hAnsi="Calibri" w:cs="Calibri"/>
          <w:color w:val="000000"/>
          <w:sz w:val="24"/>
        </w:rPr>
      </w:pPr>
    </w:p>
    <w:sectPr w:rsidR="00E84C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52C52"/>
    <w:multiLevelType w:val="multilevel"/>
    <w:tmpl w:val="F6FCAD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efaultTabStop w:val="720"/>
  <w:characterSpacingControl w:val="doNotCompress"/>
  <w:compat>
    <w:useFELayout/>
    <w:compatSetting w:name="compatibilityMode" w:uri="http://schemas.microsoft.com/office/word" w:val="12"/>
  </w:compat>
  <w:rsids>
    <w:rsidRoot w:val="00E84C01"/>
    <w:rsid w:val="000F1059"/>
    <w:rsid w:val="001408F9"/>
    <w:rsid w:val="00257068"/>
    <w:rsid w:val="00261879"/>
    <w:rsid w:val="002E53D9"/>
    <w:rsid w:val="003119F8"/>
    <w:rsid w:val="00341AD3"/>
    <w:rsid w:val="00496C69"/>
    <w:rsid w:val="00654A1A"/>
    <w:rsid w:val="0082254F"/>
    <w:rsid w:val="00851155"/>
    <w:rsid w:val="00A3120D"/>
    <w:rsid w:val="00AF0FCA"/>
    <w:rsid w:val="00BB5783"/>
    <w:rsid w:val="00BD5343"/>
    <w:rsid w:val="00CD5B6F"/>
    <w:rsid w:val="00D13FCF"/>
    <w:rsid w:val="00E84C01"/>
    <w:rsid w:val="00EC6837"/>
    <w:rsid w:val="00FD1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245ED"/>
  <w15:docId w15:val="{FE130DD9-C261-4F38-87C2-B7EBF93C5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F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dottedmusic.com/2014/lifestyle/relationship-between-dance-and-music/" TargetMode="External"/><Relationship Id="rId13" Type="http://schemas.openxmlformats.org/officeDocument/2006/relationships/hyperlink" Target="http://www.laweekly.com/music/heres-scientific-proof-that-dubstep-makes-you-want-to-kill-people-2401724" TargetMode="External"/><Relationship Id="rId18" Type="http://schemas.openxmlformats.org/officeDocument/2006/relationships/hyperlink" Target="http://metro.co.uk/2015/10/28/listening-to-sad-music-could-be-affecting-your-mental-health-5466796/" TargetMode="External"/><Relationship Id="rId26" Type="http://schemas.openxmlformats.org/officeDocument/2006/relationships/hyperlink" Target="http://blogs.discovermagazine.com/neuroskeptic/2015/12/11/a-paradigm-shift-for-the-motor-cortex/" TargetMode="External"/><Relationship Id="rId39" Type="http://schemas.openxmlformats.org/officeDocument/2006/relationships/hyperlink" Target="http://journals.plos.org/plosone/article?id=10.1371/journal.pone.0094446" TargetMode="External"/><Relationship Id="rId3" Type="http://schemas.openxmlformats.org/officeDocument/2006/relationships/settings" Target="settings.xml"/><Relationship Id="rId21" Type="http://schemas.openxmlformats.org/officeDocument/2006/relationships/hyperlink" Target="https://www.psychologytoday.com/blog/what-body-knows/201503/why-do-humans-dance" TargetMode="External"/><Relationship Id="rId34" Type="http://schemas.openxmlformats.org/officeDocument/2006/relationships/hyperlink" Target="http://arlenetaylor.org/music-and-the-brain/7410-potential-negative-impact" TargetMode="External"/><Relationship Id="rId7" Type="http://schemas.openxmlformats.org/officeDocument/2006/relationships/hyperlink" Target="https://www.musical-u.com/learn/rhythm-tips-for-identifying-music-genres-by-ear/" TargetMode="External"/><Relationship Id="rId12" Type="http://schemas.openxmlformats.org/officeDocument/2006/relationships/hyperlink" Target="http://www.independent.co.uk/news/uk/home-news/oxford-street-closed-black-lives-matter-protest-london-philando-castile-alton-sterling-a7129656.html" TargetMode="External"/><Relationship Id="rId17" Type="http://schemas.openxmlformats.org/officeDocument/2006/relationships/hyperlink" Target="https://io9.gizmodo.com/5670064/how-your-brain-sees-your-body-meet-the-cortical-homunculus" TargetMode="External"/><Relationship Id="rId25" Type="http://schemas.openxmlformats.org/officeDocument/2006/relationships/hyperlink" Target="http://scienceblogs.com/neurophilosophy/2008/08/27/wilder-penfield-neural-cartographer/" TargetMode="External"/><Relationship Id="rId33" Type="http://schemas.openxmlformats.org/officeDocument/2006/relationships/hyperlink" Target="https://graziadaily.co.uk/life/real-life/sad-music-long-term-affect-mental-health/" TargetMode="External"/><Relationship Id="rId38" Type="http://schemas.openxmlformats.org/officeDocument/2006/relationships/hyperlink" Target="https://www.psychologicalscience.org/observer/why-does-music-move-us" TargetMode="External"/><Relationship Id="rId2" Type="http://schemas.openxmlformats.org/officeDocument/2006/relationships/styles" Target="styles.xml"/><Relationship Id="rId16" Type="http://schemas.openxmlformats.org/officeDocument/2006/relationships/hyperlink" Target="http://www.bbc.co.uk/timelines/zxpxhyc" TargetMode="External"/><Relationship Id="rId20" Type="http://schemas.openxmlformats.org/officeDocument/2006/relationships/hyperlink" Target="https://www.scientificamerican.com/article/experts-dance/" TargetMode="External"/><Relationship Id="rId29" Type="http://schemas.openxmlformats.org/officeDocument/2006/relationships/hyperlink" Target="https://www.dancing-times.co.uk/strictly-speaking-13/"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www.theatrefolk.com/blog/the-eight-efforts-laban-movement/" TargetMode="External"/><Relationship Id="rId24" Type="http://schemas.openxmlformats.org/officeDocument/2006/relationships/hyperlink" Target="https://www.youtube.com/watch?v=1lo8EomDrwA" TargetMode="External"/><Relationship Id="rId32" Type="http://schemas.openxmlformats.org/officeDocument/2006/relationships/hyperlink" Target="https://www.theguardian.com/music/2016/apr/29/why-we-love-repetition-in-music-tom-service" TargetMode="External"/><Relationship Id="rId37" Type="http://schemas.openxmlformats.org/officeDocument/2006/relationships/hyperlink" Target="http://www.alashensemble.com/about_tts.htm"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phenomena.nationalgeographic.com/2013/04/11/why-does-music-feel-so-good/" TargetMode="External"/><Relationship Id="rId23" Type="http://schemas.openxmlformats.org/officeDocument/2006/relationships/hyperlink" Target="https://www.psychologytoday.com/blog/talking-apes/201507/is-music-universal-language" TargetMode="External"/><Relationship Id="rId28" Type="http://schemas.openxmlformats.org/officeDocument/2006/relationships/hyperlink" Target="http://hannahpickettdance.com/2017/03/27/composing-improvisation/" TargetMode="External"/><Relationship Id="rId36" Type="http://schemas.openxmlformats.org/officeDocument/2006/relationships/hyperlink" Target="http://www.clodensemble.com/murdering-to-dissect/" TargetMode="External"/><Relationship Id="rId10" Type="http://schemas.openxmlformats.org/officeDocument/2006/relationships/hyperlink" Target="http://www.npr.org/sections/health-shots/2014/05/30/317019212/anatomy-of-a-dance-hit-why-we-love-to-boogie-with-pharrell" TargetMode="External"/><Relationship Id="rId19" Type="http://schemas.openxmlformats.org/officeDocument/2006/relationships/hyperlink" Target="https://www.kindermusik.com/mindsonmusic/kindermusik/music-movement-benefits-why-we-rock-bounce-jump-dance/" TargetMode="External"/><Relationship Id="rId31" Type="http://schemas.openxmlformats.org/officeDocument/2006/relationships/hyperlink" Target="https://brainconnection.brainhq.com/2013/03/05/the-anatomy-of-movement/" TargetMode="External"/><Relationship Id="rId4" Type="http://schemas.openxmlformats.org/officeDocument/2006/relationships/webSettings" Target="webSettings.xml"/><Relationship Id="rId9" Type="http://schemas.openxmlformats.org/officeDocument/2006/relationships/hyperlink" Target="http://www.classicfm.com/discover-music/periods-genres/ballet/ballet-music-where-start/" TargetMode="External"/><Relationship Id="rId14" Type="http://schemas.openxmlformats.org/officeDocument/2006/relationships/hyperlink" Target="http://phenomena.nationalgeographic.com/2012/12/18/why-does-music-move-us-so/" TargetMode="External"/><Relationship Id="rId22" Type="http://schemas.openxmlformats.org/officeDocument/2006/relationships/hyperlink" Target="https://www.psychologytoday.com/blog/dance-psychology/201002/why-do-you-dance-it-seems-youre-lost-in-music" TargetMode="External"/><Relationship Id="rId27" Type="http://schemas.openxmlformats.org/officeDocument/2006/relationships/hyperlink" Target="https://www.nuskool.com/learn/lesson/5-ways-dubstep-is-messing-with-your-brain/" TargetMode="External"/><Relationship Id="rId30" Type="http://schemas.openxmlformats.org/officeDocument/2006/relationships/hyperlink" Target="https://corp.hapyak.com/web-video-without-interactivity-like-pharrell-williams-video-without-music/" TargetMode="External"/><Relationship Id="rId35" Type="http://schemas.openxmlformats.org/officeDocument/2006/relationships/hyperlink" Target="https://psychneuro.wordpress.com/2016/04/20/why-does-music-make-you-want-to-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9</Pages>
  <Words>3711</Words>
  <Characters>21159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Claudia Thomas</cp:lastModifiedBy>
  <cp:revision>9</cp:revision>
  <dcterms:created xsi:type="dcterms:W3CDTF">2017-10-29T11:17:00Z</dcterms:created>
  <dcterms:modified xsi:type="dcterms:W3CDTF">2017-12-15T16:13:00Z</dcterms:modified>
</cp:coreProperties>
</file>