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09081" w14:textId="5FA9C490" w:rsidR="00974B5C" w:rsidRDefault="00913948">
      <w:pPr>
        <w:rPr>
          <w:b/>
          <w:bCs/>
          <w:sz w:val="24"/>
          <w:szCs w:val="24"/>
        </w:rPr>
      </w:pPr>
      <w:r w:rsidRPr="00913948">
        <w:rPr>
          <w:b/>
          <w:bCs/>
          <w:sz w:val="24"/>
          <w:szCs w:val="24"/>
        </w:rPr>
        <w:t>Response policing – In a recent survey by HMICFRS, 65% of respondents agreed “that police in their local area treat people fairly and with respect” (Justice Inspectorates, 2019). Evaluate the impact of public perception on response policing.</w:t>
      </w:r>
      <w:r>
        <w:rPr>
          <w:b/>
          <w:bCs/>
          <w:sz w:val="24"/>
          <w:szCs w:val="24"/>
        </w:rPr>
        <w:t xml:space="preserve"> (1000 words)</w:t>
      </w:r>
    </w:p>
    <w:p w14:paraId="702CDD3F" w14:textId="4F03AB6C" w:rsidR="00355F6B" w:rsidRDefault="00355F6B" w:rsidP="00355F6B">
      <w:pPr>
        <w:pStyle w:val="paragraph"/>
        <w:spacing w:before="0" w:beforeAutospacing="0" w:after="0" w:afterAutospacing="0"/>
        <w:textAlignment w:val="baseline"/>
        <w:rPr>
          <w:rFonts w:ascii="Segoe UI" w:hAnsi="Segoe UI" w:cs="Segoe UI"/>
          <w:sz w:val="18"/>
          <w:szCs w:val="18"/>
        </w:rPr>
      </w:pPr>
    </w:p>
    <w:p w14:paraId="0430BE70"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Policing in England and Wales very much relies on a model known as, ‘Policing by consent’. This model, as defined by The Home Office (2012), is derived from the Peelian principles which set out the general guidelines for a police service to be governed by. These principles emphasise that ‘police powers derive from the consent of the public, as opposed to the state’. Despite originating in the early 1800s, it can be argued that these principles are still relevant today, albeit adapted to contemporary contexts. Throughout the principles, it is frequently mentioned that there is a reliance on the public by the police to perform their role. For example, at the core of this model is the symbiotic relationship between public perception and coordination, both of which greatly influence the role of a modern-day police officer, particularly those on the frontline, known as response officers. </w:t>
      </w:r>
      <w:r>
        <w:rPr>
          <w:rStyle w:val="eop"/>
          <w:rFonts w:ascii="Calibri" w:hAnsi="Calibri" w:cs="Calibri"/>
        </w:rPr>
        <w:t> </w:t>
      </w:r>
    </w:p>
    <w:p w14:paraId="5D068E9A"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F998176"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The College of Policing defines a response officer as ‘the heart of uniformed policing and often the first officer that members of the public come into contact with’. They undertake various roles as a response officer, including the protection of the public, conducting proactive patrols, and supporting vulnerable people to name a few. The understanding of this definition is important, as an individual’s prior preconceptions can pose challenges for officers on first attendance. These perceptions can be formed through direct contact such as the above, or by indirect contact such as through the media, social media or by word of mouth. Simpson (2017) suggests that the public’s perceptions of the police can appear more favourably when the officer is in uniform and on foot, underscoring the importance of this aspect, especially as a response officer. </w:t>
      </w:r>
      <w:r>
        <w:rPr>
          <w:rStyle w:val="eop"/>
          <w:rFonts w:ascii="Calibri" w:hAnsi="Calibri" w:cs="Calibri"/>
        </w:rPr>
        <w:t> </w:t>
      </w:r>
    </w:p>
    <w:p w14:paraId="1F086BB4"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21189815"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One significant aspect of a response officer’s role is proactive patrol, wherein the officer will patrol the communities, by foot or on a vehicle, in hotspots which are known for crime. The main purpose of this is to act as a deterrent for any crime, aiming to prevent any issues before they arise. However, one controversial area surrounding proactive policing is stop and search. Data from the Home Office (2023) reveals that between March 2022 and 2023, there were 542,723 searches conducted under section 1 of Police and Criminal Evidence act 1984 (PACE) in England and Wales, with 73,891 leading to an arrest. Also, important to note is that in 71% of searches under section 1 PACE, no further action was taken. This can be down to any number of reasons, however it is important to consider the impact that these statistics could have on public perception, especially when it is paired with the disproportionate rate at which BAME people are stop and searched, as evinced by the Home Office (2023). Whilst statistics do not always tell the full picture, it can be argued that this will have an impact on public perception of the police. A stop and search can be a difficult situation for an individual where they are detained and unable to leave, leading people to often feel criminalised by these searches. In extension to this, Tyler et al (2015) argues that being the subject of suspicion can undermine the relationship between the police and communities, eroding trust and respect between them, which, in turn, will further influence public perception. </w:t>
      </w:r>
      <w:r>
        <w:rPr>
          <w:rStyle w:val="eop"/>
          <w:rFonts w:ascii="Calibri" w:hAnsi="Calibri" w:cs="Calibri"/>
        </w:rPr>
        <w:t> </w:t>
      </w:r>
    </w:p>
    <w:p w14:paraId="478F203D"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8D4B05B"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 xml:space="preserve">When a response officer attends a call, they often will rely on the individuals involved to explain the circumstances of what has occurred. However, it can be argued that how much </w:t>
      </w:r>
      <w:r>
        <w:rPr>
          <w:rStyle w:val="normaltextrun"/>
          <w:rFonts w:ascii="Calibri" w:hAnsi="Calibri" w:cs="Calibri"/>
        </w:rPr>
        <w:lastRenderedPageBreak/>
        <w:t>that person discloses to the officer can be impacted by their perception of the police. If they do not trust the police or don’t believe that the police will handle the situation appropriately, then they are less likely to tell the officers the full story. The College of Policing (2013) supports this, adding that treating the victim with respect and recognising the needs of the individual can have a significant impact on their cooperation throughout the investigation. Should the person cooperate from the first meeting with the response officer, it can prove to be beneficial for the investigation as a whole, as without the necessary information, the investigation can collapse which could in turn lead to lower trust and confidence in the police. </w:t>
      </w:r>
      <w:r>
        <w:rPr>
          <w:rStyle w:val="eop"/>
          <w:rFonts w:ascii="Calibri" w:hAnsi="Calibri" w:cs="Calibri"/>
        </w:rPr>
        <w:t> </w:t>
      </w:r>
    </w:p>
    <w:p w14:paraId="727E77FC"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8CDF215"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rPr>
        <w:t>Recent trends in police numbers and recorded crime suggest a correlation between reduced police resources and an increase in criminal activity. According to Clark (2024), there were approximately 171,000 police officers in the UK in 2023, approximately 1000 officers less than there were in 2010. In conjunction to this there appears to have been a rise in recorded crime in England and Wales as evinced by Statista (2023), lending to this proposed correlation. Furthermore, Statista (2023) suggests a relationship between the lack of spending, fewer officers and the rise in recorded crime. It can be argued that this trend has an impact on public perception of the police, with The Victim’s Commissioner (2021) stating that only 42% of victims surveyed feel they had been treated fairly and with respect by the police, and only 43% of victims would report a crime again. This is contrary to the statement from Justice Inspectorate (2019), offering an alternative perspective of how some victims view the police, albeit this could be down to the smaller sample size. </w:t>
      </w:r>
      <w:r>
        <w:rPr>
          <w:rStyle w:val="eop"/>
          <w:rFonts w:ascii="Calibri" w:hAnsi="Calibri" w:cs="Calibri"/>
        </w:rPr>
        <w:t> </w:t>
      </w:r>
    </w:p>
    <w:p w14:paraId="0FCD136E" w14:textId="77777777"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96F29EB" w14:textId="77777777" w:rsidR="00355F6B" w:rsidRDefault="00355F6B" w:rsidP="00355F6B">
      <w:pPr>
        <w:pStyle w:val="paragraph"/>
        <w:spacing w:before="0" w:beforeAutospacing="0" w:after="0" w:afterAutospacing="0"/>
        <w:textAlignment w:val="baseline"/>
        <w:rPr>
          <w:rStyle w:val="eop"/>
          <w:rFonts w:ascii="Calibri" w:hAnsi="Calibri" w:cs="Calibri"/>
        </w:rPr>
      </w:pPr>
      <w:r>
        <w:rPr>
          <w:rStyle w:val="normaltextrun"/>
          <w:rFonts w:ascii="Calibri" w:hAnsi="Calibri" w:cs="Calibri"/>
        </w:rPr>
        <w:t>In conclusion, public perception can play a pivotal role in policing, more specifically shaping response policing. Response officers deal with members of the public on a daily basis, with trust in the police serving as a vital aspect for officers to gain cooperation from individuals involved, and thus, effectively carry out their role. By fostering positive public relations and addressing concerns, it is easier to gain information surrounding incidents which enables officers to carry out their investigations which in turn could increase the trust in the police. </w:t>
      </w:r>
      <w:r>
        <w:rPr>
          <w:rStyle w:val="eop"/>
          <w:rFonts w:ascii="Calibri" w:hAnsi="Calibri" w:cs="Calibri"/>
        </w:rPr>
        <w:t> </w:t>
      </w:r>
    </w:p>
    <w:p w14:paraId="265A3A53" w14:textId="77777777" w:rsidR="00355F6B" w:rsidRDefault="00355F6B" w:rsidP="00355F6B">
      <w:pPr>
        <w:pStyle w:val="paragraph"/>
        <w:spacing w:before="0" w:beforeAutospacing="0" w:after="0" w:afterAutospacing="0"/>
        <w:textAlignment w:val="baseline"/>
        <w:rPr>
          <w:rStyle w:val="eop"/>
          <w:rFonts w:ascii="Calibri" w:hAnsi="Calibri" w:cs="Calibri"/>
        </w:rPr>
      </w:pPr>
    </w:p>
    <w:p w14:paraId="3352376A" w14:textId="063F8CA8" w:rsidR="00355F6B" w:rsidRDefault="00355F6B" w:rsidP="00355F6B">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Word count: 957</w:t>
      </w:r>
    </w:p>
    <w:p w14:paraId="07676C14" w14:textId="77777777" w:rsidR="00355F6B" w:rsidRDefault="00355F6B">
      <w:pPr>
        <w:rPr>
          <w:b/>
          <w:bCs/>
          <w:sz w:val="24"/>
          <w:szCs w:val="24"/>
        </w:rPr>
      </w:pPr>
    </w:p>
    <w:p w14:paraId="70F1B397" w14:textId="4E9804D9" w:rsidR="00355F6B" w:rsidRDefault="00355F6B">
      <w:pPr>
        <w:rPr>
          <w:b/>
          <w:bCs/>
          <w:sz w:val="24"/>
          <w:szCs w:val="24"/>
        </w:rPr>
      </w:pPr>
    </w:p>
    <w:p w14:paraId="6524CFCC" w14:textId="25A9EE5E" w:rsidR="00913948" w:rsidRPr="00913948" w:rsidRDefault="00913948">
      <w:pPr>
        <w:rPr>
          <w:b/>
          <w:bCs/>
          <w:sz w:val="24"/>
          <w:szCs w:val="24"/>
        </w:rPr>
      </w:pPr>
      <w:r w:rsidRPr="00913948">
        <w:rPr>
          <w:b/>
          <w:bCs/>
          <w:sz w:val="24"/>
          <w:szCs w:val="24"/>
        </w:rPr>
        <w:t>Evaluate the effectiveness of cognitive interviews as a strategy for obtaining initial accounts from victims and witnesses. Your answer must be based on academic research. Word limit: 1000 words.</w:t>
      </w:r>
    </w:p>
    <w:p w14:paraId="21D6CACF" w14:textId="77777777" w:rsidR="00DD0A1D" w:rsidRDefault="00DD0A1D">
      <w:pPr>
        <w:rPr>
          <w:sz w:val="24"/>
          <w:szCs w:val="24"/>
        </w:rPr>
      </w:pPr>
    </w:p>
    <w:p w14:paraId="3527A838"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When police officers attend calls, they will often rely on individuals at the call to provide details of the incident, gained through a series of techniques by attending officers. One such technique includes cognitive interviewing, with the effectiveness of this serving as the crux of this essay. Whilst a wide range of models which can be utilised when discussing interview techniques exist, the College of Policing (2013) advocates for the PEACE model as the accepted primary model used for conducting interviews to achieve the best evidence.  </w:t>
      </w:r>
    </w:p>
    <w:p w14:paraId="4D6D2CA2"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705616D8"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lastRenderedPageBreak/>
        <w:t>Whilst conducting cognitive interviews, it is important for police officers to consider the implications of the questions they are asking and how they ask the questions. Loftus (1975), Dodd and Bradshaw (1980) and Sharman and Powell (2011) all recognise the importance of question types when conducting interviews, specifically open and closed questions. They also recognise the implications of presuming incorrect or citing misleading information when preparing question structures for subjects. It is vital for officers to consider this when conducting interviews as victims and witnesses will often look to the police officer as the authority figure which holds a lot of power. It can be argued that the subject will go along with the police officer’s questions if they contain misleading information without even being aware that they are recalling an incident that may have happened differently. By utilising misleading questions, it opens up inaccuracies in the account which can in turn lead to repercussions such as miscarriages of justice or not finding a suspect at all. Given that the police are impartial investigators, it is important for officers to consider this in their approach to gaining accounts. Another aspect to consider regarding this is memory, and how a victim or witness recalls an event. Memory is often a delicate thing and can be changed or altered depending on the circumstances presented to it. In this example, by asking closed questions or leading questions, it can distort a victim or witnesses’ memory enough for them to give a false account without them realising it. Gustafsson et al (2022), Loftus (2019) and Marr et al (2021) support this concept and recognise how sensitive memory can be, especially when applied to the scenario of a cognitive interview to give an account.  </w:t>
      </w:r>
    </w:p>
    <w:p w14:paraId="31B74E10"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603A7D60"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As previously mentioned, the College of Policing (2013) recommends the PEACE model when conducting cognitive interviews in order to achieve best evidence, typically used when conducting a video interview or gaining a further account. Officers may utilise a very basic version of this model when initially attending calls; however it often depends on the circumstances of the call. The PEACE model stands for planning and preparation, engage and explain, account clarification and challenge, closure, and evaluation. The model is based on gathering as much information as possible and allowing the victim or witness to disclose as much as they can recall. In order for the best evidence to be gathered, officers must first gain a rapport with the victim or witness which is part of the engagement stage. This is vital as when the victim or witness feels that their voice is heard and that they can trust the police, they are more likely to disclose details of the incidents. It is important for officers to clarify details of the account provided to obtain a more comprehensive understanding of the incident, allowing them to decide the best course of action to take going forward. In extension to this, it is also essential for officers to challenge the details of the incident should they feel the need to, however, officers must exercise discretion in challenging details as to not disrupt the rapport they have established. </w:t>
      </w:r>
    </w:p>
    <w:p w14:paraId="3EE8A33E"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7DCB536B"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xml:space="preserve">The effectiveness of cognitive interviews can also be considered to be contingent on the cooperation of the witnesses and victims themselves, with this being influenced by their trust and confidence in the police. Distrust within the communities can affect whether they are willing to provide an account, as well as impacting what they choose to disclose to the police, possibly leading to incorrect information being disclosed. When officers attend a call, they are often reliant on witnesses on the scene to gain details of the incident. Should the witness refuse to provide any details or an account, this can hamper the investigation from the very start and cause unnecessary delays or lead to investigations being closed off. </w:t>
      </w:r>
      <w:r w:rsidRPr="00396988">
        <w:rPr>
          <w:rFonts w:ascii="Calibri" w:eastAsia="Times New Roman" w:hAnsi="Calibri" w:cs="Calibri"/>
          <w:kern w:val="0"/>
          <w:sz w:val="24"/>
          <w:szCs w:val="24"/>
          <w:lang w:eastAsia="en-GB"/>
          <w14:ligatures w14:val="none"/>
        </w:rPr>
        <w:lastRenderedPageBreak/>
        <w:t>Reliability of witnesses and victims should also be taken into account when gaining an account, however this is not always practicable when officers first attend the scene. In addition to this, it is important to consider the suitability of the victim or witness for the investigation. For example, the best practice when dealing with a child or vulnerable person is to consider the use of a cognitive interview to obtain an account which can be visually recorded and conducted by a specialist in place of a statement. Several sources including Padilla and Geiselman (1988), Saywitz et al (1992), Aldridge (1999), Melinder et al (2021) and Wach and Jaśkiewicz-Obydzińska all agree on the importance and effectiveness of cognitive interviews with children, more specifically the increase in recollection and accuracy of the accounts as opposed to other methods of recall used, demonstrating the importance of cognitive interviews when gaining accounts.  </w:t>
      </w:r>
    </w:p>
    <w:p w14:paraId="7C4C1E2A"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0F2E197D"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In conclusion, cognitive interviews can be a great tool for police officers both when initially attending calls and also when they conduct interviews at further stages. Their effectiveness is clear, especially when utilised with children and vulnerable individuals when aiming to improve the accuracy and recollection of events, as well as providing the best evidence. As previously stated, it is important for officers to use open ended questions so that they can lead the victim or witness through the events in order to provide best evidence.  </w:t>
      </w:r>
    </w:p>
    <w:p w14:paraId="769476FF"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6E569A91" w14:textId="33BB4494" w:rsidR="00E239C8" w:rsidRDefault="00396988">
      <w:pPr>
        <w:rPr>
          <w:sz w:val="24"/>
          <w:szCs w:val="24"/>
        </w:rPr>
      </w:pPr>
      <w:r>
        <w:rPr>
          <w:sz w:val="24"/>
          <w:szCs w:val="24"/>
        </w:rPr>
        <w:t>Word count: 960</w:t>
      </w:r>
    </w:p>
    <w:p w14:paraId="72834006" w14:textId="77777777" w:rsidR="001A7FF4" w:rsidRDefault="001A7FF4">
      <w:pPr>
        <w:rPr>
          <w:b/>
          <w:bCs/>
          <w:sz w:val="24"/>
          <w:szCs w:val="24"/>
        </w:rPr>
      </w:pPr>
    </w:p>
    <w:p w14:paraId="2DD23EC0" w14:textId="1EBA5B8B" w:rsidR="00913948" w:rsidRPr="00913948" w:rsidRDefault="00913948">
      <w:pPr>
        <w:rPr>
          <w:b/>
          <w:bCs/>
          <w:sz w:val="24"/>
          <w:szCs w:val="24"/>
        </w:rPr>
      </w:pPr>
      <w:r w:rsidRPr="00913948">
        <w:rPr>
          <w:b/>
          <w:bCs/>
          <w:sz w:val="24"/>
          <w:szCs w:val="24"/>
        </w:rPr>
        <w:t>Examine the positive and negative aspects of media attention when dealing with public protection incidents. Your answer must be based on academic research rather than personal experience. Word limit: 1000 words.</w:t>
      </w:r>
    </w:p>
    <w:p w14:paraId="78507898"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The police have a complicated relationship with the media, influenced by a plethora of factors, particularly in relation to public protection incidents, acting as the crux of this essay. Public protection incidents, as summarised by The College of Policing, involve a range of aspects such as mental health, adults at risk, missing persons, domestic related incidents, and child sexual exploitation to name a few. This essay will specifically focus on cases relating to public protection and the portrayal of the police by the media within these. Both positive and negative aspects of media attention will be discussed, as well as the differing ways in which the media can be utilised to support policing in the current landscape. The College of Policing (2022) recognise the importance of a good relationship between the police and the media, given that the media are often used in investigations as a means of publishing information related to an investigation, such as circulating an image of a suspect, or even aiding in finding a missing person.  </w:t>
      </w:r>
    </w:p>
    <w:p w14:paraId="422F5070"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xml:space="preserve">It can be argued that the media is critical to the public perception of the police in today’s climate. There have been a number of cases in the world surrounding public protection in the UK in recent years where the media have both supported the police, and also revealed failings, subsequently holding them to account. This is becoming increasingly prevalent given the constant advancements in technology, allowing news outlets to reach many more people across the world than they may have been able to before. Colbran (2018) describes the relationship between the press and the police as symbiotic, giving the explanation that the rise of media using digital platforms can be seen as greater police transparency, however, the police also possess a greater control of the information released. Colbran </w:t>
      </w:r>
      <w:r w:rsidRPr="00396988">
        <w:rPr>
          <w:rFonts w:ascii="Calibri" w:eastAsia="Times New Roman" w:hAnsi="Calibri" w:cs="Calibri"/>
          <w:kern w:val="0"/>
          <w:sz w:val="24"/>
          <w:szCs w:val="24"/>
          <w:lang w:eastAsia="en-GB"/>
          <w14:ligatures w14:val="none"/>
        </w:rPr>
        <w:lastRenderedPageBreak/>
        <w:t>(2018) uses the shooting of Mark Duggan to exemplify this, depicting a widespread outrage in the media and social media about the incident, subsequently eliciting a riot to break out as a result. On the other hand, the Metropolitan Police at the time utilised the media as part of their investigations to identify those responsible for the riots, displaying the duality of the media. Cooke and Sturges (2008) state that the media is reliant on being fed this information by police and can utilise the Freedom of Information Act 2000 as a means of acting as an independent watchdog.  </w:t>
      </w:r>
    </w:p>
    <w:p w14:paraId="2C2D9DD9"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6D0D5A68"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It is important for the police to be held accountable by those with the power to do so, as well as the media presenting their findings to the public who, arguably, have a right to know given that the police are representative of the public. Mawby (1999) suggests that the greater number of media outlets and the greater reach of the media has correlated positively with demand to find stories to keep attention on the outlet. Mawby (1999) goes onto to suggest that for this reason, demand has increased for the police to keep up with the needs of the public for constant news. Further to this, Mawby (1999) documented the increase in handheld cameras and their role in holding the police accountable. Given that the source is dated as being from 1999, it is reasonable to suggest that with the boom in technology and smartphones that this has only increased the prevalence of this observation. Based on this, the media have an increased access to content that they can utilise to hold the police accountable, as well as provide the public with information regarding the police. Whilst supportive evidence from Newburn (2011) recognises the importance of the media in holding the police accountable during these issues, concerns of the emotive language used by the media which can be used to tar an entire police force are also raised. Newburn (2011) believes there must be a balanced portrayal of the police, as if the portrayal is too positive it can cause unrealistic expectations and huge pressure on officers to perform. Alternatively, if the portrayal is too negative, this can have an impact on how the police are able to carry out their role. This is relevant to public protection incidents as the portrayal of the police by the media can have an impact on trust with the public. Should people have a negative perception of the police from media bias, they may be less likely to engage and cooperate with the police when they deal with public protection incidents making it harder to carry out the investigations. On the contrary, if people have a positive perception of the police, then this can make them more likely to assist the investigation, and, thus, increase the effectiveness of it.  </w:t>
      </w:r>
    </w:p>
    <w:p w14:paraId="34523A0C"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5189B859"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The media has shown efficacy in a number of cases involving public protection incidents, with research surrounding this topic conducted by Feist (1999) concluding that the media’s importance in these investigations cannot be overstated. They allow the police to broadcast information to a wealth of people which they previously may not have had access to, and Feist (1999) recommended that the media be considered part of the investigative strategy as opposed to a luxury. They also concluded that the power of the media should be considered, specifically around what information is revealed to them. Too little information revealed may lead to speculation and misreporting, with this issue possibly compromising the investigation.  </w:t>
      </w:r>
    </w:p>
    <w:p w14:paraId="2B720DF1"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w:t>
      </w:r>
    </w:p>
    <w:p w14:paraId="518DA7B3" w14:textId="77777777" w:rsidR="00396988" w:rsidRPr="00396988" w:rsidRDefault="00396988" w:rsidP="00396988">
      <w:pPr>
        <w:spacing w:after="0" w:line="240" w:lineRule="auto"/>
        <w:textAlignment w:val="baseline"/>
        <w:rPr>
          <w:rFonts w:ascii="Segoe UI" w:eastAsia="Times New Roman" w:hAnsi="Segoe UI" w:cs="Segoe UI"/>
          <w:kern w:val="0"/>
          <w:sz w:val="18"/>
          <w:szCs w:val="18"/>
          <w:lang w:eastAsia="en-GB"/>
          <w14:ligatures w14:val="none"/>
        </w:rPr>
      </w:pPr>
      <w:r w:rsidRPr="00396988">
        <w:rPr>
          <w:rFonts w:ascii="Calibri" w:eastAsia="Times New Roman" w:hAnsi="Calibri" w:cs="Calibri"/>
          <w:kern w:val="0"/>
          <w:sz w:val="24"/>
          <w:szCs w:val="24"/>
          <w:lang w:eastAsia="en-GB"/>
          <w14:ligatures w14:val="none"/>
        </w:rPr>
        <w:t xml:space="preserve">In conclusion, it is important to consider both sides of the media when dealing with public protection incidents. Given the easy access to smartphones in the modern world, a simple video of an incident can be picked up by the media and shared to millions of people which </w:t>
      </w:r>
      <w:r w:rsidRPr="00396988">
        <w:rPr>
          <w:rFonts w:ascii="Calibri" w:eastAsia="Times New Roman" w:hAnsi="Calibri" w:cs="Calibri"/>
          <w:kern w:val="0"/>
          <w:sz w:val="24"/>
          <w:szCs w:val="24"/>
          <w:lang w:eastAsia="en-GB"/>
          <w14:ligatures w14:val="none"/>
        </w:rPr>
        <w:lastRenderedPageBreak/>
        <w:t>does not always tell the full story. The media attention in investigations can also be time consuming, and given the nature of their work, can lead to speculation and misreporting. On the contrary, the media can be a vital tool in an investigation to gain information and make the public aware. The media’s role in holding the police accountable for their actions also cannot be overstated.  </w:t>
      </w:r>
    </w:p>
    <w:p w14:paraId="210A0F47" w14:textId="77777777" w:rsidR="00294E87" w:rsidRDefault="00294E87"/>
    <w:p w14:paraId="065C13DB" w14:textId="25FE1EA0" w:rsidR="00294E87" w:rsidRDefault="00396988">
      <w:r>
        <w:t>Word count: 1000</w:t>
      </w:r>
    </w:p>
    <w:p w14:paraId="633CB4B4" w14:textId="77777777" w:rsidR="00294E87" w:rsidRDefault="00294E87"/>
    <w:p w14:paraId="7239E5AD" w14:textId="1572769A" w:rsidR="00913948" w:rsidRDefault="00913948">
      <w:pPr>
        <w:rPr>
          <w:b/>
          <w:bCs/>
          <w:sz w:val="24"/>
          <w:szCs w:val="24"/>
        </w:rPr>
      </w:pPr>
      <w:r w:rsidRPr="00913948">
        <w:rPr>
          <w:b/>
          <w:bCs/>
          <w:sz w:val="24"/>
          <w:szCs w:val="24"/>
        </w:rPr>
        <w:t>“Despite some progress, the system of juvenile justice in the United Kingdom remains excessively punitive. The state's response to juvenile crime should focus more on rehabilitation” (Hammarberg, 2012). Examine the effectiveness of rehabilitation and/or restorative justice as a means of reducing re-offending among young offenders. Your answer must be based on academic research, but you may make reference to relevant case studies. Word limit: 1000 words.</w:t>
      </w:r>
    </w:p>
    <w:p w14:paraId="6D538167" w14:textId="62ABBEE2" w:rsidR="008A3F90" w:rsidRDefault="008A3F90">
      <w:pPr>
        <w:rPr>
          <w:sz w:val="24"/>
          <w:szCs w:val="24"/>
        </w:rPr>
      </w:pPr>
      <w:r>
        <w:rPr>
          <w:sz w:val="24"/>
          <w:szCs w:val="24"/>
        </w:rPr>
        <w:t xml:space="preserve">Juvenile justice is a complex problem in the UK and one that must be manged with great care. In order to evaluate the effectiveness of the rehabilitation processes and restorative justice procedures, one must first understand the reasons why some youths offend and continue to re-offend following police contact. It is important to consider adverse childhood experiences (ACEs) when discussing youth offending, </w:t>
      </w:r>
      <w:r w:rsidR="00C82AF7">
        <w:rPr>
          <w:sz w:val="24"/>
          <w:szCs w:val="24"/>
        </w:rPr>
        <w:t>existing as a</w:t>
      </w:r>
      <w:r>
        <w:rPr>
          <w:sz w:val="24"/>
          <w:szCs w:val="24"/>
        </w:rPr>
        <w:t xml:space="preserve"> </w:t>
      </w:r>
      <w:r w:rsidR="00C82AF7">
        <w:rPr>
          <w:sz w:val="24"/>
          <w:szCs w:val="24"/>
        </w:rPr>
        <w:t>potent contributing</w:t>
      </w:r>
      <w:r>
        <w:rPr>
          <w:sz w:val="24"/>
          <w:szCs w:val="24"/>
        </w:rPr>
        <w:t xml:space="preserve"> factor leading towards youth offending. It is agreed by most organisations that ACEs include abuse, be it sexual, emotional</w:t>
      </w:r>
      <w:r w:rsidR="00C82AF7">
        <w:rPr>
          <w:sz w:val="24"/>
          <w:szCs w:val="24"/>
        </w:rPr>
        <w:t>,</w:t>
      </w:r>
      <w:r>
        <w:rPr>
          <w:sz w:val="24"/>
          <w:szCs w:val="24"/>
        </w:rPr>
        <w:t xml:space="preserve"> or physical, neglect, witnessing domestic abuse or being a victim of domestic abuse, growing up in a household with drink or drug problems and </w:t>
      </w:r>
      <w:r w:rsidR="00B61392">
        <w:rPr>
          <w:sz w:val="24"/>
          <w:szCs w:val="24"/>
        </w:rPr>
        <w:t xml:space="preserve">growing up in a household where the parents have separated. </w:t>
      </w:r>
      <w:r w:rsidR="00401BAE">
        <w:rPr>
          <w:sz w:val="24"/>
          <w:szCs w:val="24"/>
        </w:rPr>
        <w:t xml:space="preserve">It is argued by numerous sources, including Public Health Scotland (2021), Liverpool CAHMS (2023), Centres for Disease Control and Prevention (2023), Blow (2020) and Hays-Grudo and Morris (2020) that ACEs have a detrimental impact on brain development and a child’s behaviour towards others which is likely to lead to repeat offending and victimisation. </w:t>
      </w:r>
    </w:p>
    <w:p w14:paraId="2F0D708F" w14:textId="77777777" w:rsidR="00861547" w:rsidRDefault="00861547">
      <w:pPr>
        <w:rPr>
          <w:sz w:val="24"/>
          <w:szCs w:val="24"/>
        </w:rPr>
      </w:pPr>
    </w:p>
    <w:p w14:paraId="77ED6E81" w14:textId="75C6FACA" w:rsidR="00861547" w:rsidRDefault="00861547">
      <w:pPr>
        <w:rPr>
          <w:sz w:val="24"/>
          <w:szCs w:val="24"/>
        </w:rPr>
      </w:pPr>
      <w:r>
        <w:rPr>
          <w:sz w:val="24"/>
          <w:szCs w:val="24"/>
        </w:rPr>
        <w:t xml:space="preserve">An approach used to deal with youth offenders is an organisation called the Youth Justice Team (YOT) who work closely with the police and manage youth offenders. The UK Government describe their role as to work with young people to direct them away from crime and reduce reoffending. </w:t>
      </w:r>
      <w:r w:rsidR="00A34766">
        <w:rPr>
          <w:sz w:val="24"/>
          <w:szCs w:val="24"/>
        </w:rPr>
        <w:t xml:space="preserve">As for how successful they are, it would depend on the source. McNally (2015) advocates for YOTs and believes them to be a ‘cornerstone of the youth justice system’ and believes them to be successful in steering young people away from crime. </w:t>
      </w:r>
      <w:r w:rsidR="00FD2D65">
        <w:rPr>
          <w:sz w:val="24"/>
          <w:szCs w:val="24"/>
        </w:rPr>
        <w:t xml:space="preserve">It can be argued that this both supports and contradicts Hammerburg (2012) as YOTs utilise rehabilitative methods to try to redirect young people away from the criminal justice system as opposed to relying on the extreme punitive measures Hammerburg (2012) suggests are in place. </w:t>
      </w:r>
      <w:r w:rsidR="00E26D22">
        <w:rPr>
          <w:sz w:val="24"/>
          <w:szCs w:val="24"/>
        </w:rPr>
        <w:t xml:space="preserve"> The House of Commons (2012) published a paper which concluded that there are </w:t>
      </w:r>
      <w:r w:rsidR="00C82AF7">
        <w:rPr>
          <w:sz w:val="24"/>
          <w:szCs w:val="24"/>
        </w:rPr>
        <w:t>several</w:t>
      </w:r>
      <w:r w:rsidR="00E26D22">
        <w:rPr>
          <w:sz w:val="24"/>
          <w:szCs w:val="24"/>
        </w:rPr>
        <w:t xml:space="preserve"> different factors which can reduce reoffending long-term including maturing, employment and sobriety to name a few combined with behavioural-cognitive approaches were most effective at reducing reoffending as opposed to punitive measures. </w:t>
      </w:r>
      <w:r w:rsidR="00E26D22">
        <w:rPr>
          <w:sz w:val="24"/>
          <w:szCs w:val="24"/>
        </w:rPr>
        <w:lastRenderedPageBreak/>
        <w:t xml:space="preserve">These approaches can be in the form of intervention programs or conditional programs which require the young person to engage with partner services which is based on their needs and vulnerabilities. This is in brief, what YOT is there to do, assess a young person’s needs and match them with a support program to rehabilitate them as opposed to punish them. A difficulty that may be faced with these programs is balancing the need for rehabilitation with the need to satisfy the victim that there has been a real outcome following the offence. </w:t>
      </w:r>
    </w:p>
    <w:p w14:paraId="7ACD779F" w14:textId="77777777" w:rsidR="00D86A71" w:rsidRDefault="00D86A71">
      <w:pPr>
        <w:rPr>
          <w:sz w:val="24"/>
          <w:szCs w:val="24"/>
        </w:rPr>
      </w:pPr>
    </w:p>
    <w:p w14:paraId="52294176" w14:textId="04AB29FC" w:rsidR="00D86A71" w:rsidRDefault="00D86A71">
      <w:pPr>
        <w:rPr>
          <w:sz w:val="24"/>
          <w:szCs w:val="24"/>
        </w:rPr>
      </w:pPr>
      <w:r>
        <w:rPr>
          <w:sz w:val="24"/>
          <w:szCs w:val="24"/>
        </w:rPr>
        <w:t xml:space="preserve">Restorative justice is another approach which is often utilised when dealing with young offenders and is typically used for low level offences and allows the offender to make amends and take responsibility for their actions. </w:t>
      </w:r>
      <w:r w:rsidR="00F62147">
        <w:rPr>
          <w:sz w:val="24"/>
          <w:szCs w:val="24"/>
        </w:rPr>
        <w:t>Menkel-</w:t>
      </w:r>
      <w:r>
        <w:rPr>
          <w:sz w:val="24"/>
          <w:szCs w:val="24"/>
        </w:rPr>
        <w:t xml:space="preserve">Meadow (2007), Sherman and Strang (2012) and Strang et al (2013) all support this notion as a means of dealing with low level offences by allowing the offender to take responsibility for their actions and make amends. </w:t>
      </w:r>
      <w:r w:rsidR="008544C1">
        <w:rPr>
          <w:sz w:val="24"/>
          <w:szCs w:val="24"/>
        </w:rPr>
        <w:t xml:space="preserve">The College of Policing (2022) cite </w:t>
      </w:r>
      <w:r w:rsidR="00C82AF7">
        <w:rPr>
          <w:sz w:val="24"/>
          <w:szCs w:val="24"/>
        </w:rPr>
        <w:t>several</w:t>
      </w:r>
      <w:r w:rsidR="008544C1">
        <w:rPr>
          <w:sz w:val="24"/>
          <w:szCs w:val="24"/>
        </w:rPr>
        <w:t xml:space="preserve"> ways in which restorative justice can be used with youth offenders which are community resolutions, youth conditional cautions, referral order, youth rehabilitation order and early intervention. A common thread between these methods of restorative justice is that they are focused on rehabilitating the offender </w:t>
      </w:r>
      <w:r w:rsidR="00993947">
        <w:rPr>
          <w:sz w:val="24"/>
          <w:szCs w:val="24"/>
        </w:rPr>
        <w:t>as opposed to</w:t>
      </w:r>
      <w:r w:rsidR="008544C1">
        <w:rPr>
          <w:sz w:val="24"/>
          <w:szCs w:val="24"/>
        </w:rPr>
        <w:t xml:space="preserve"> punishing them contrasting what Hammarberg (2012) suggests. </w:t>
      </w:r>
      <w:r w:rsidR="000B7548">
        <w:rPr>
          <w:sz w:val="24"/>
          <w:szCs w:val="24"/>
        </w:rPr>
        <w:t xml:space="preserve">The overall aim of all these methods is to reduce re-offending and it can be argued that restorative justice is successful to some extent. The College of Policing (2022) </w:t>
      </w:r>
      <w:r w:rsidR="00E74853">
        <w:rPr>
          <w:sz w:val="24"/>
          <w:szCs w:val="24"/>
        </w:rPr>
        <w:t>notes that restorative justice reduces risk of reoffending and improve</w:t>
      </w:r>
      <w:r w:rsidR="00C82AF7">
        <w:rPr>
          <w:sz w:val="24"/>
          <w:szCs w:val="24"/>
        </w:rPr>
        <w:t>s</w:t>
      </w:r>
      <w:r w:rsidR="00E74853">
        <w:rPr>
          <w:sz w:val="24"/>
          <w:szCs w:val="24"/>
        </w:rPr>
        <w:t xml:space="preserve"> </w:t>
      </w:r>
      <w:r w:rsidR="00C82AF7">
        <w:rPr>
          <w:sz w:val="24"/>
          <w:szCs w:val="24"/>
        </w:rPr>
        <w:t xml:space="preserve">upon </w:t>
      </w:r>
      <w:r w:rsidR="00E74853">
        <w:rPr>
          <w:sz w:val="24"/>
          <w:szCs w:val="24"/>
        </w:rPr>
        <w:t xml:space="preserve">victim satisfaction. Further to this, The College of Policing (2022) also noted that victims who agreed to use the restorative justice method reported a reduced feeling of post traumatic stress following an incident. </w:t>
      </w:r>
      <w:r w:rsidR="00303938">
        <w:rPr>
          <w:sz w:val="24"/>
          <w:szCs w:val="24"/>
        </w:rPr>
        <w:t xml:space="preserve">Braithwaite (2014) supports this and adds that restorative justice provides an effective method of reducing reoffending </w:t>
      </w:r>
      <w:r w:rsidR="007C49F4">
        <w:rPr>
          <w:sz w:val="24"/>
          <w:szCs w:val="24"/>
        </w:rPr>
        <w:t>amongst</w:t>
      </w:r>
      <w:r w:rsidR="00303938">
        <w:rPr>
          <w:sz w:val="24"/>
          <w:szCs w:val="24"/>
        </w:rPr>
        <w:t xml:space="preserve"> young offenders providing they agree to engage in the scheme</w:t>
      </w:r>
      <w:r w:rsidR="007C49F4">
        <w:rPr>
          <w:sz w:val="24"/>
          <w:szCs w:val="24"/>
        </w:rPr>
        <w:t xml:space="preserve">. </w:t>
      </w:r>
      <w:r w:rsidR="00C52F36">
        <w:rPr>
          <w:sz w:val="24"/>
          <w:szCs w:val="24"/>
        </w:rPr>
        <w:t>Sherman et al (2015) provided another benefit of the restorative justice approach in that it is a cost-effective method of reducing reoffending</w:t>
      </w:r>
      <w:r w:rsidR="00E77EDF">
        <w:rPr>
          <w:sz w:val="24"/>
          <w:szCs w:val="24"/>
        </w:rPr>
        <w:t xml:space="preserve"> which is important given the current economic climate in the UK</w:t>
      </w:r>
      <w:r w:rsidR="00C52F36">
        <w:rPr>
          <w:sz w:val="24"/>
          <w:szCs w:val="24"/>
        </w:rPr>
        <w:t xml:space="preserve">. Rather than going through the full court process which can be expensive and time consuming, the restorative justice approach is a more cost-effective way of providing a better result which is advantageous to all parties involved.  A weakness of this approach however is that both the victim and offender must agree to it. </w:t>
      </w:r>
      <w:r w:rsidR="00AB11C1">
        <w:rPr>
          <w:sz w:val="24"/>
          <w:szCs w:val="24"/>
        </w:rPr>
        <w:t>This can be difficult to facilitate if the offender does not take responsibility for their actions and agree to the process. It could be that they do not wish to engage with the process due to long term behavioural problems which they have sustained as a result of ACEs</w:t>
      </w:r>
      <w:r w:rsidR="00673F0A">
        <w:rPr>
          <w:sz w:val="24"/>
          <w:szCs w:val="24"/>
        </w:rPr>
        <w:t>. This will be considered by the agencies involved and they will make efforts to try and manage this behaviour in an attempt to change it over time</w:t>
      </w:r>
      <w:r w:rsidR="00C82AF7">
        <w:rPr>
          <w:sz w:val="24"/>
          <w:szCs w:val="24"/>
        </w:rPr>
        <w:t xml:space="preserve">, </w:t>
      </w:r>
      <w:r w:rsidR="00673F0A">
        <w:rPr>
          <w:sz w:val="24"/>
          <w:szCs w:val="24"/>
        </w:rPr>
        <w:t>reduc</w:t>
      </w:r>
      <w:r w:rsidR="00C82AF7">
        <w:rPr>
          <w:sz w:val="24"/>
          <w:szCs w:val="24"/>
        </w:rPr>
        <w:t>ing</w:t>
      </w:r>
      <w:r w:rsidR="00673F0A">
        <w:rPr>
          <w:sz w:val="24"/>
          <w:szCs w:val="24"/>
        </w:rPr>
        <w:t xml:space="preserve"> the risk of reoffending and provide a positive outcome for all parties involved. </w:t>
      </w:r>
      <w:r w:rsidR="00AB11C1">
        <w:rPr>
          <w:sz w:val="24"/>
          <w:szCs w:val="24"/>
        </w:rPr>
        <w:t xml:space="preserve"> </w:t>
      </w:r>
    </w:p>
    <w:p w14:paraId="1B815A4B" w14:textId="77777777" w:rsidR="00E73114" w:rsidRDefault="00E73114">
      <w:pPr>
        <w:rPr>
          <w:sz w:val="24"/>
          <w:szCs w:val="24"/>
        </w:rPr>
      </w:pPr>
    </w:p>
    <w:p w14:paraId="7368D11A" w14:textId="49018956" w:rsidR="009700D7" w:rsidRDefault="00E73114">
      <w:pPr>
        <w:rPr>
          <w:sz w:val="24"/>
          <w:szCs w:val="24"/>
        </w:rPr>
      </w:pPr>
      <w:r>
        <w:rPr>
          <w:sz w:val="24"/>
          <w:szCs w:val="24"/>
        </w:rPr>
        <w:t xml:space="preserve">In conclusion, it can be argued that the criminal justice system has moved towards a rehabilitative approach as opposed to a punitive approach in the form of youth rehabilitation schemes and restorative justice. The effectiveness of these approaches </w:t>
      </w:r>
      <w:r w:rsidR="00C82AF7">
        <w:rPr>
          <w:sz w:val="24"/>
          <w:szCs w:val="24"/>
        </w:rPr>
        <w:t>is</w:t>
      </w:r>
      <w:r>
        <w:rPr>
          <w:sz w:val="24"/>
          <w:szCs w:val="24"/>
        </w:rPr>
        <w:t xml:space="preserve"> clear and should be utilised when dealing with young offenders. Most authors would agree that </w:t>
      </w:r>
      <w:r>
        <w:rPr>
          <w:sz w:val="24"/>
          <w:szCs w:val="24"/>
        </w:rPr>
        <w:lastRenderedPageBreak/>
        <w:t xml:space="preserve">young offenders should be dealt with by way of rehabilitation to reduce the risk of reoffending in the future leading to an overall reduction of crime. By dealing with these issues early on, it can benefit society as a whole </w:t>
      </w:r>
      <w:r w:rsidR="00C82AF7">
        <w:rPr>
          <w:sz w:val="24"/>
          <w:szCs w:val="24"/>
        </w:rPr>
        <w:t>down the line</w:t>
      </w:r>
      <w:r>
        <w:rPr>
          <w:sz w:val="24"/>
          <w:szCs w:val="24"/>
        </w:rPr>
        <w:t>. It is important to consider the needs of the young person as well as match them to a program which suits them in order to get the best outcome. Not only that, but the needs of the victim must be considered which is where restorative justice is a useful tool.</w:t>
      </w:r>
    </w:p>
    <w:p w14:paraId="5F2DEF81" w14:textId="77777777" w:rsidR="009700D7" w:rsidRDefault="009700D7">
      <w:pPr>
        <w:rPr>
          <w:sz w:val="24"/>
          <w:szCs w:val="24"/>
        </w:rPr>
      </w:pPr>
    </w:p>
    <w:p w14:paraId="3D767DA2" w14:textId="2740932E" w:rsidR="00396988" w:rsidRDefault="00396988">
      <w:pPr>
        <w:rPr>
          <w:sz w:val="24"/>
          <w:szCs w:val="24"/>
        </w:rPr>
      </w:pPr>
      <w:r>
        <w:rPr>
          <w:sz w:val="24"/>
          <w:szCs w:val="24"/>
        </w:rPr>
        <w:t>Word count: 1001</w:t>
      </w:r>
    </w:p>
    <w:p w14:paraId="3363BA3A" w14:textId="77777777" w:rsidR="009700D7" w:rsidRDefault="009700D7">
      <w:pPr>
        <w:rPr>
          <w:sz w:val="24"/>
          <w:szCs w:val="24"/>
        </w:rPr>
      </w:pPr>
    </w:p>
    <w:p w14:paraId="44190A13" w14:textId="004A09B9" w:rsidR="00AE20CE" w:rsidRPr="009700D7" w:rsidRDefault="00AE20CE">
      <w:pPr>
        <w:rPr>
          <w:sz w:val="24"/>
          <w:szCs w:val="24"/>
        </w:rPr>
      </w:pPr>
      <w:r>
        <w:rPr>
          <w:b/>
          <w:bCs/>
          <w:sz w:val="24"/>
          <w:szCs w:val="24"/>
        </w:rPr>
        <w:t>Bibliography</w:t>
      </w:r>
    </w:p>
    <w:p w14:paraId="04324C8A" w14:textId="77777777" w:rsidR="001A7FF4" w:rsidRDefault="001A7FF4" w:rsidP="001A7FF4">
      <w:r>
        <w:t xml:space="preserve">Aldridge, N (1999). ‘Enhancing Children’s Memory Through Cognitive Interviewing: An Assessment Technique for Social Work Practice’. </w:t>
      </w:r>
      <w:r>
        <w:rPr>
          <w:i/>
          <w:iCs/>
        </w:rPr>
        <w:t xml:space="preserve">Child and Adolescent Social Work Journal, </w:t>
      </w:r>
      <w:r>
        <w:t xml:space="preserve">16, pp, 101-126. </w:t>
      </w:r>
      <w:hyperlink r:id="rId5" w:history="1">
        <w:r>
          <w:rPr>
            <w:rStyle w:val="Hyperlink"/>
          </w:rPr>
          <w:t>Enhancing Children's Memory Through Cognitive Interviewing: An Assessment Technique for Social Work Practice | Child and Adolescent Social Work Journal (springer.com)</w:t>
        </w:r>
      </w:hyperlink>
    </w:p>
    <w:p w14:paraId="7A9DFC85" w14:textId="77777777" w:rsidR="00093FBD" w:rsidRDefault="00093FBD" w:rsidP="00093FBD">
      <w:pPr>
        <w:ind w:right="237"/>
        <w:rPr>
          <w:sz w:val="24"/>
          <w:szCs w:val="24"/>
        </w:rPr>
      </w:pPr>
    </w:p>
    <w:p w14:paraId="4D31158F" w14:textId="4183DC0F" w:rsidR="00093FBD" w:rsidRPr="00491135" w:rsidRDefault="00093FBD" w:rsidP="00093FBD">
      <w:pPr>
        <w:ind w:right="237"/>
        <w:rPr>
          <w:sz w:val="24"/>
          <w:szCs w:val="24"/>
        </w:rPr>
      </w:pPr>
      <w:r w:rsidRPr="00491135">
        <w:rPr>
          <w:sz w:val="24"/>
          <w:szCs w:val="24"/>
        </w:rPr>
        <w:t>Blow, M et al (2020) ‘</w:t>
      </w:r>
      <w:r w:rsidRPr="00491135">
        <w:rPr>
          <w:i/>
          <w:iCs/>
          <w:sz w:val="24"/>
          <w:szCs w:val="24"/>
        </w:rPr>
        <w:t>Adverse childhood experiences and justice system contact: a systematic review’</w:t>
      </w:r>
      <w:r w:rsidRPr="00491135">
        <w:rPr>
          <w:sz w:val="24"/>
          <w:szCs w:val="24"/>
        </w:rPr>
        <w:t xml:space="preserve">.  American Academy of Paediatrics. </w:t>
      </w:r>
      <w:hyperlink r:id="rId6" w:history="1">
        <w:r w:rsidRPr="00491135">
          <w:rPr>
            <w:rStyle w:val="Hyperlink"/>
            <w:sz w:val="24"/>
            <w:szCs w:val="24"/>
          </w:rPr>
          <w:t>Adverse Childhood Experiences and Justice System Contact: A Systematic Review - PubMed (nih.gov)</w:t>
        </w:r>
      </w:hyperlink>
    </w:p>
    <w:p w14:paraId="5EA1E746" w14:textId="6DD6CE69" w:rsidR="000A448B" w:rsidRDefault="000A448B"/>
    <w:p w14:paraId="4551CA9D" w14:textId="77777777" w:rsidR="000A448B" w:rsidRDefault="000A448B" w:rsidP="000A448B">
      <w:r>
        <w:t xml:space="preserve">Braithwaite, J (2014). ‘Evidence for restorative Justice’. </w:t>
      </w:r>
      <w:r>
        <w:rPr>
          <w:i/>
          <w:iCs/>
        </w:rPr>
        <w:t>The Vermont Bar Journal</w:t>
      </w:r>
      <w:r>
        <w:t xml:space="preserve">, pp 18-22 </w:t>
      </w:r>
      <w:hyperlink r:id="rId7" w:history="1">
        <w:r>
          <w:rPr>
            <w:rStyle w:val="Hyperlink"/>
          </w:rPr>
          <w:t>EvidenceForRestorativeJustice.pdf (johnbraithwaite.com)</w:t>
        </w:r>
      </w:hyperlink>
    </w:p>
    <w:p w14:paraId="67F1E101" w14:textId="77777777" w:rsidR="001A7FF4" w:rsidRDefault="001A7FF4" w:rsidP="00F144D5"/>
    <w:p w14:paraId="5548E6EE" w14:textId="77777777" w:rsidR="00093FBD" w:rsidRPr="00491135" w:rsidRDefault="00093FBD" w:rsidP="00093FBD">
      <w:pPr>
        <w:ind w:right="237"/>
        <w:jc w:val="both"/>
        <w:rPr>
          <w:rStyle w:val="Hyperlink"/>
          <w:sz w:val="24"/>
          <w:szCs w:val="24"/>
        </w:rPr>
      </w:pPr>
      <w:r w:rsidRPr="00491135">
        <w:rPr>
          <w:sz w:val="24"/>
          <w:szCs w:val="24"/>
        </w:rPr>
        <w:t xml:space="preserve">Centres for Disease Control and Prevention (2023). </w:t>
      </w:r>
      <w:r w:rsidRPr="00491135">
        <w:rPr>
          <w:i/>
          <w:iCs/>
          <w:sz w:val="24"/>
          <w:szCs w:val="24"/>
        </w:rPr>
        <w:t xml:space="preserve">Adverse Childhood Experiences (ACEs). </w:t>
      </w:r>
      <w:hyperlink r:id="rId8" w:history="1">
        <w:r w:rsidRPr="00491135">
          <w:rPr>
            <w:rStyle w:val="Hyperlink"/>
            <w:sz w:val="24"/>
            <w:szCs w:val="24"/>
          </w:rPr>
          <w:t>Adverse Childhood Experiences (ACEs) (cdc.gov)</w:t>
        </w:r>
      </w:hyperlink>
    </w:p>
    <w:p w14:paraId="2FF1409F" w14:textId="77777777" w:rsidR="00093FBD" w:rsidRDefault="00093FBD" w:rsidP="00F144D5"/>
    <w:p w14:paraId="635CA6A0" w14:textId="44CF4549" w:rsidR="00F144D5" w:rsidRDefault="00F144D5" w:rsidP="00F144D5">
      <w:r>
        <w:t xml:space="preserve">Clark (2024). ‘Number of police officers in the United Kingdom from 2003 to 2023’. </w:t>
      </w:r>
      <w:hyperlink r:id="rId9" w:history="1">
        <w:r>
          <w:rPr>
            <w:rStyle w:val="Hyperlink"/>
          </w:rPr>
          <w:t>UK police officer figures 2023 | Statista</w:t>
        </w:r>
      </w:hyperlink>
    </w:p>
    <w:p w14:paraId="7D946D52" w14:textId="77777777" w:rsidR="00F144D5" w:rsidRDefault="00F144D5" w:rsidP="00F144D5"/>
    <w:p w14:paraId="0D8AF598" w14:textId="77777777" w:rsidR="00294E87" w:rsidRDefault="00294E87" w:rsidP="00294E87">
      <w:r>
        <w:t>Colbran, M (2018). ‘</w:t>
      </w:r>
      <w:r w:rsidRPr="00B70D5C">
        <w:t>Policing, social media and the new media landscape: can the police and the traditional media ever successfully bypass each other?</w:t>
      </w:r>
      <w:r>
        <w:t xml:space="preserve">’. </w:t>
      </w:r>
      <w:r>
        <w:rPr>
          <w:i/>
          <w:iCs/>
        </w:rPr>
        <w:t xml:space="preserve">Policing and Society: An International Journal of Research and Policy, </w:t>
      </w:r>
      <w:r>
        <w:t xml:space="preserve">30, pp, 295-309. </w:t>
      </w:r>
      <w:hyperlink r:id="rId10" w:history="1">
        <w:r>
          <w:rPr>
            <w:rStyle w:val="Hyperlink"/>
          </w:rPr>
          <w:t>Full article: Policing, social media and the new media landscape: can the police and the traditional media ever successfully bypass each other? (uwtsd.ac.uk)</w:t>
        </w:r>
      </w:hyperlink>
    </w:p>
    <w:p w14:paraId="58E87420" w14:textId="77777777" w:rsidR="00294E87" w:rsidRDefault="00294E87" w:rsidP="00294E87"/>
    <w:p w14:paraId="6ED03EB2" w14:textId="227C6153" w:rsidR="00294E87" w:rsidRDefault="00294E87" w:rsidP="00294E87">
      <w:r>
        <w:t xml:space="preserve">College of Policing. ‘Major investigations and public protection’. </w:t>
      </w:r>
      <w:hyperlink r:id="rId11" w:history="1">
        <w:r>
          <w:rPr>
            <w:rStyle w:val="Hyperlink"/>
          </w:rPr>
          <w:t>Major investigation and public protection | College of Policing</w:t>
        </w:r>
      </w:hyperlink>
    </w:p>
    <w:p w14:paraId="27BCB57B" w14:textId="77777777" w:rsidR="00294E87" w:rsidRDefault="00294E87" w:rsidP="00F144D5"/>
    <w:p w14:paraId="56E5A844" w14:textId="43751431" w:rsidR="00F144D5" w:rsidRDefault="00F144D5" w:rsidP="00F144D5">
      <w:r>
        <w:t xml:space="preserve">College of Policing (2013). ‘Working with victims and witnesses’. </w:t>
      </w:r>
      <w:hyperlink r:id="rId12" w:history="1">
        <w:r>
          <w:rPr>
            <w:rStyle w:val="Hyperlink"/>
          </w:rPr>
          <w:t>Working with victims and witnesses | College of Policing</w:t>
        </w:r>
      </w:hyperlink>
    </w:p>
    <w:p w14:paraId="373ABC75" w14:textId="77777777" w:rsidR="00F144D5" w:rsidRDefault="00F144D5" w:rsidP="00AE20CE"/>
    <w:p w14:paraId="2CF6F65F" w14:textId="77777777" w:rsidR="00AB46EB" w:rsidRDefault="00AB46EB" w:rsidP="00AB46EB">
      <w:r>
        <w:t xml:space="preserve">College of Policing (2013). ‘Investigative interviewing’. </w:t>
      </w:r>
      <w:hyperlink r:id="rId13" w:history="1">
        <w:r>
          <w:rPr>
            <w:rStyle w:val="Hyperlink"/>
          </w:rPr>
          <w:t>Investigative interviewing | College of Policing</w:t>
        </w:r>
      </w:hyperlink>
    </w:p>
    <w:p w14:paraId="50B4E253" w14:textId="77777777" w:rsidR="00B70D5C" w:rsidRDefault="00B70D5C" w:rsidP="00B70D5C"/>
    <w:p w14:paraId="4BDBD894" w14:textId="77777777" w:rsidR="00294E87" w:rsidRDefault="00294E87" w:rsidP="00294E87">
      <w:r>
        <w:t xml:space="preserve">College of Policing (2017). ‘Media Relations’. </w:t>
      </w:r>
      <w:hyperlink r:id="rId14" w:history="1">
        <w:r>
          <w:rPr>
            <w:rStyle w:val="Hyperlink"/>
          </w:rPr>
          <w:t>Media relations | College of Policing</w:t>
        </w:r>
      </w:hyperlink>
    </w:p>
    <w:p w14:paraId="5B510A4D" w14:textId="77777777" w:rsidR="009700D7" w:rsidRDefault="009700D7" w:rsidP="009700D7"/>
    <w:p w14:paraId="13EC0982" w14:textId="61357832" w:rsidR="009700D7" w:rsidRPr="008A3F90" w:rsidRDefault="009700D7" w:rsidP="009700D7">
      <w:pPr>
        <w:rPr>
          <w:sz w:val="24"/>
          <w:szCs w:val="24"/>
        </w:rPr>
      </w:pPr>
      <w:r>
        <w:t xml:space="preserve">College of Policing (2022). ‘Evidence Briefing’ </w:t>
      </w:r>
      <w:hyperlink r:id="rId15" w:anchor=":~:text=Restorative%20justice%20(RJ)%20can%20be,reduction%20in%20post%2Dtraumatic%20stress." w:history="1">
        <w:r>
          <w:rPr>
            <w:rStyle w:val="Hyperlink"/>
          </w:rPr>
          <w:t>Evidence briefing | College of Policing</w:t>
        </w:r>
      </w:hyperlink>
    </w:p>
    <w:p w14:paraId="07EA8ACF" w14:textId="77777777" w:rsidR="00294E87" w:rsidRDefault="00294E87" w:rsidP="00B70D5C"/>
    <w:p w14:paraId="1B5143CB" w14:textId="17A28429" w:rsidR="00B70D5C" w:rsidRDefault="00B70D5C" w:rsidP="00B70D5C">
      <w:pPr>
        <w:rPr>
          <w:sz w:val="24"/>
          <w:szCs w:val="24"/>
        </w:rPr>
      </w:pPr>
      <w:r>
        <w:t xml:space="preserve">Cooke, L and Sturges, P (2008). ‘Police and media relations in an era of freedom of information’. </w:t>
      </w:r>
      <w:r>
        <w:rPr>
          <w:i/>
          <w:iCs/>
        </w:rPr>
        <w:t xml:space="preserve">Policing and Society: An International Journal of Research and Policy, </w:t>
      </w:r>
      <w:r>
        <w:t xml:space="preserve">pp, 406-424. </w:t>
      </w:r>
      <w:hyperlink r:id="rId16" w:history="1">
        <w:r>
          <w:rPr>
            <w:rStyle w:val="Hyperlink"/>
          </w:rPr>
          <w:t>Police and media relations in an era of freedom of information: Policing and Society: Vol 19, No 4 (tandfonline.com)</w:t>
        </w:r>
      </w:hyperlink>
    </w:p>
    <w:p w14:paraId="453F6AF4" w14:textId="77777777" w:rsidR="00AB46EB" w:rsidRDefault="00AB46EB" w:rsidP="00AE20CE"/>
    <w:p w14:paraId="20E0D2C8" w14:textId="77777777" w:rsidR="00AB46EB" w:rsidRDefault="00AB46EB" w:rsidP="00AB46EB">
      <w:r>
        <w:t xml:space="preserve">Dodd, D and Bradshaw, J (1980). ‘Leading questions and memory: Pragmatic constraints’. </w:t>
      </w:r>
      <w:r>
        <w:rPr>
          <w:i/>
          <w:iCs/>
        </w:rPr>
        <w:t xml:space="preserve">Journal of Verbal Learning and Verbal Behaviour, </w:t>
      </w:r>
      <w:r>
        <w:t xml:space="preserve">19(6), pp, 695-704. </w:t>
      </w:r>
      <w:hyperlink r:id="rId17" w:history="1">
        <w:r>
          <w:rPr>
            <w:rStyle w:val="Hyperlink"/>
          </w:rPr>
          <w:t>Leading questions and memory: Pragmatic constraints - ScienceDirect</w:t>
        </w:r>
      </w:hyperlink>
    </w:p>
    <w:p w14:paraId="306CC013" w14:textId="77777777" w:rsidR="00294E87" w:rsidRDefault="00294E87" w:rsidP="00294E87"/>
    <w:p w14:paraId="2AED5786" w14:textId="6E438C5D" w:rsidR="00294E87" w:rsidRDefault="00294E87" w:rsidP="00294E87">
      <w:r>
        <w:t xml:space="preserve">Feist, A (1999). ‘The Effective Use of the Media in Serious Crime Investigations’. </w:t>
      </w:r>
      <w:r>
        <w:rPr>
          <w:i/>
          <w:iCs/>
        </w:rPr>
        <w:t xml:space="preserve">Policing and Reducing Crime Unit Paper 120. </w:t>
      </w:r>
      <w:hyperlink r:id="rId18" w:history="1">
        <w:r>
          <w:rPr>
            <w:rStyle w:val="Hyperlink"/>
          </w:rPr>
          <w:t>3435.pdf (politieacademie.nl)</w:t>
        </w:r>
      </w:hyperlink>
      <w:r>
        <w:t xml:space="preserve"> </w:t>
      </w:r>
    </w:p>
    <w:p w14:paraId="6039B4FA" w14:textId="77777777" w:rsidR="00AB46EB" w:rsidRDefault="00AB46EB" w:rsidP="00AE20CE"/>
    <w:p w14:paraId="4D305086" w14:textId="77777777" w:rsidR="00294E87" w:rsidRDefault="00294E87" w:rsidP="00294E87">
      <w:pPr>
        <w:rPr>
          <w:rStyle w:val="Hyperlink"/>
        </w:rPr>
      </w:pPr>
      <w:r>
        <w:t>Graziano, L (2010). ‘</w:t>
      </w:r>
      <w:r w:rsidRPr="00294E87">
        <w:t>Police Misconduct, Media Coverage, and Public Perceptions of Racial Profiling: An Experiment</w:t>
      </w:r>
      <w:r>
        <w:t xml:space="preserve">’. </w:t>
      </w:r>
      <w:r>
        <w:rPr>
          <w:i/>
          <w:iCs/>
        </w:rPr>
        <w:t xml:space="preserve"> Justice Quarterly, </w:t>
      </w:r>
      <w:r>
        <w:t xml:space="preserve">27(1), pp, 52-76. </w:t>
      </w:r>
      <w:hyperlink r:id="rId19" w:history="1">
        <w:r>
          <w:rPr>
            <w:rStyle w:val="Hyperlink"/>
          </w:rPr>
          <w:t>Police Misconduct, Media Coverage, and Public Perceptions of Racial Profiling: An Experiment: Justice Quarterly: Vol 27, No 1 (tandfonline.com)</w:t>
        </w:r>
      </w:hyperlink>
    </w:p>
    <w:p w14:paraId="1F6DAA70" w14:textId="77777777" w:rsidR="00294E87" w:rsidRDefault="00294E87" w:rsidP="00AE20CE"/>
    <w:p w14:paraId="6957209B" w14:textId="4E65ECD0" w:rsidR="00AE20CE" w:rsidRDefault="00AE20CE" w:rsidP="00AE20CE">
      <w:pPr>
        <w:rPr>
          <w:sz w:val="24"/>
          <w:szCs w:val="24"/>
        </w:rPr>
      </w:pPr>
      <w:r>
        <w:t xml:space="preserve">Hanway, P and Hambly, O (2023). ‘Public perceptions of policing: A review of research and literature’. </w:t>
      </w:r>
      <w:hyperlink w:history="1">
        <w:r w:rsidRPr="00D44847">
          <w:rPr>
            <w:rStyle w:val="Hyperlink"/>
          </w:rPr>
          <w:t>Public perceptions of policing: A review of research and literature - GOV.UK (www.gov.uk)</w:t>
        </w:r>
      </w:hyperlink>
    </w:p>
    <w:p w14:paraId="5475A456" w14:textId="77777777" w:rsidR="00093FBD" w:rsidRDefault="00093FBD" w:rsidP="00093FBD">
      <w:pPr>
        <w:ind w:right="237"/>
        <w:rPr>
          <w:rFonts w:eastAsia="Arial"/>
          <w:color w:val="000000" w:themeColor="text1"/>
          <w:sz w:val="24"/>
          <w:szCs w:val="24"/>
        </w:rPr>
      </w:pPr>
    </w:p>
    <w:p w14:paraId="647A671C" w14:textId="30414EB8" w:rsidR="00093FBD" w:rsidRPr="00491135" w:rsidRDefault="00093FBD" w:rsidP="00093FBD">
      <w:pPr>
        <w:ind w:right="237"/>
        <w:rPr>
          <w:sz w:val="24"/>
          <w:szCs w:val="24"/>
        </w:rPr>
      </w:pPr>
      <w:r w:rsidRPr="00491135">
        <w:rPr>
          <w:rFonts w:eastAsia="Arial"/>
          <w:color w:val="000000" w:themeColor="text1"/>
          <w:sz w:val="24"/>
          <w:szCs w:val="24"/>
        </w:rPr>
        <w:t>Hays-Grudo, J. and Morris, A.S. (2020) ‘</w:t>
      </w:r>
      <w:r w:rsidRPr="00491135">
        <w:rPr>
          <w:rFonts w:eastAsia="Arial"/>
          <w:i/>
          <w:iCs/>
          <w:color w:val="000000" w:themeColor="text1"/>
          <w:sz w:val="24"/>
          <w:szCs w:val="24"/>
        </w:rPr>
        <w:t>Adverse and protective childhood experiences: a developmental perspective</w:t>
      </w:r>
      <w:r w:rsidRPr="00491135">
        <w:rPr>
          <w:rFonts w:eastAsia="Arial"/>
          <w:color w:val="000000" w:themeColor="text1"/>
          <w:sz w:val="24"/>
          <w:szCs w:val="24"/>
        </w:rPr>
        <w:t>’. American Psychological Association.</w:t>
      </w:r>
      <w:r w:rsidRPr="00491135">
        <w:rPr>
          <w:sz w:val="24"/>
          <w:szCs w:val="24"/>
        </w:rPr>
        <w:t xml:space="preserve"> </w:t>
      </w:r>
      <w:hyperlink r:id="rId20" w:history="1">
        <w:r w:rsidRPr="00491135">
          <w:rPr>
            <w:rStyle w:val="Hyperlink"/>
            <w:sz w:val="24"/>
            <w:szCs w:val="24"/>
          </w:rPr>
          <w:t>Adverse and protective childhood experiences: A developmental perspective. (apa.org)</w:t>
        </w:r>
      </w:hyperlink>
    </w:p>
    <w:p w14:paraId="7CF3CFF9" w14:textId="77777777" w:rsidR="00AE20CE" w:rsidRDefault="00AE20CE" w:rsidP="00AE20CE"/>
    <w:p w14:paraId="72A9FDD8" w14:textId="7E7C2DBE" w:rsidR="00AE20CE" w:rsidRPr="00913948" w:rsidRDefault="00AE20CE" w:rsidP="00AE20CE">
      <w:pPr>
        <w:rPr>
          <w:sz w:val="24"/>
          <w:szCs w:val="24"/>
        </w:rPr>
      </w:pPr>
      <w:r>
        <w:t>Home Office (2023). ‘</w:t>
      </w:r>
      <w:r w:rsidRPr="00AE20CE">
        <w:t>Police powers and procedures: Stop and search and arrests, England and Wales, year ending 31 March 2023</w:t>
      </w:r>
      <w:r>
        <w:t xml:space="preserve">’. </w:t>
      </w:r>
      <w:hyperlink w:history="1">
        <w:r w:rsidRPr="00D44847">
          <w:rPr>
            <w:rStyle w:val="Hyperlink"/>
          </w:rPr>
          <w:t>Police powers and procedures: Stop and search and arrests, England and Wales, year ending 31 March 2023 - GOV.UK (www.gov.uk)</w:t>
        </w:r>
      </w:hyperlink>
    </w:p>
    <w:p w14:paraId="679B6853" w14:textId="77777777" w:rsidR="00093FBD" w:rsidRDefault="00093FBD" w:rsidP="00093FBD">
      <w:pPr>
        <w:ind w:right="237"/>
        <w:rPr>
          <w:sz w:val="24"/>
          <w:szCs w:val="24"/>
        </w:rPr>
      </w:pPr>
    </w:p>
    <w:p w14:paraId="0411394E" w14:textId="0BBCDDF3" w:rsidR="00093FBD" w:rsidRPr="00491135" w:rsidRDefault="00093FBD" w:rsidP="00093FBD">
      <w:pPr>
        <w:ind w:right="237"/>
        <w:rPr>
          <w:sz w:val="24"/>
          <w:szCs w:val="24"/>
        </w:rPr>
      </w:pPr>
      <w:r w:rsidRPr="00491135">
        <w:rPr>
          <w:sz w:val="24"/>
          <w:szCs w:val="24"/>
        </w:rPr>
        <w:t>House of Commons (2012). ‘</w:t>
      </w:r>
      <w:r w:rsidRPr="00491135">
        <w:rPr>
          <w:i/>
          <w:iCs/>
          <w:sz w:val="24"/>
          <w:szCs w:val="24"/>
        </w:rPr>
        <w:t xml:space="preserve">Reducing Reoffending: The “What Works” Debate’. </w:t>
      </w:r>
      <w:r w:rsidRPr="00491135">
        <w:rPr>
          <w:sz w:val="24"/>
          <w:szCs w:val="24"/>
        </w:rPr>
        <w:t xml:space="preserve">House of Commons Research Paper 12/71. </w:t>
      </w:r>
      <w:hyperlink r:id="rId21" w:history="1">
        <w:r w:rsidRPr="00491135">
          <w:rPr>
            <w:rStyle w:val="Hyperlink"/>
            <w:sz w:val="24"/>
            <w:szCs w:val="24"/>
          </w:rPr>
          <w:t>Reducing Reoffending: The 'What Works' Debate (ethz.ch)</w:t>
        </w:r>
      </w:hyperlink>
    </w:p>
    <w:p w14:paraId="7AA62EA8" w14:textId="77777777" w:rsidR="001A7FF4" w:rsidRDefault="001A7FF4" w:rsidP="00AE20CE"/>
    <w:p w14:paraId="14AB7940" w14:textId="77777777" w:rsidR="00AB46EB" w:rsidRDefault="00AB46EB" w:rsidP="00AB46EB">
      <w:r>
        <w:t>Kebbell, M et al (1999). ‘</w:t>
      </w:r>
      <w:r w:rsidRPr="00AB46EB">
        <w:t>The cognitive interview: A survey of its forensic effectiveness</w:t>
      </w:r>
      <w:r>
        <w:t xml:space="preserve">’. </w:t>
      </w:r>
      <w:r>
        <w:rPr>
          <w:i/>
          <w:iCs/>
        </w:rPr>
        <w:t xml:space="preserve">Psychology, Crime and Law, </w:t>
      </w:r>
      <w:r>
        <w:t xml:space="preserve">5(1-2), Pp, 101-115. </w:t>
      </w:r>
      <w:hyperlink r:id="rId22" w:history="1">
        <w:r>
          <w:rPr>
            <w:rStyle w:val="Hyperlink"/>
          </w:rPr>
          <w:t>The cognitive interview: A survey of its forensic effectiveness: Psychology, Crime &amp; Law: Vol 5, No 1-2 (tandfonline.com)</w:t>
        </w:r>
      </w:hyperlink>
    </w:p>
    <w:p w14:paraId="7EF4E96A" w14:textId="77777777" w:rsidR="00AB46EB" w:rsidRDefault="00AB46EB" w:rsidP="00AE20CE"/>
    <w:p w14:paraId="38CB12E2" w14:textId="77777777" w:rsidR="00093FBD" w:rsidRPr="00491135" w:rsidRDefault="00093FBD" w:rsidP="00093FBD">
      <w:pPr>
        <w:ind w:right="237"/>
        <w:jc w:val="both"/>
        <w:rPr>
          <w:rStyle w:val="Hyperlink"/>
          <w:sz w:val="24"/>
          <w:szCs w:val="24"/>
        </w:rPr>
      </w:pPr>
      <w:r w:rsidRPr="00491135">
        <w:rPr>
          <w:sz w:val="24"/>
          <w:szCs w:val="24"/>
        </w:rPr>
        <w:t xml:space="preserve">Liverpool CAHMS (2023). </w:t>
      </w:r>
      <w:r w:rsidRPr="00491135">
        <w:rPr>
          <w:i/>
          <w:iCs/>
          <w:sz w:val="24"/>
          <w:szCs w:val="24"/>
        </w:rPr>
        <w:t xml:space="preserve">What are Adverse Childhood Experiences ACEs? </w:t>
      </w:r>
      <w:hyperlink r:id="rId23" w:history="1">
        <w:r w:rsidRPr="00491135">
          <w:rPr>
            <w:rStyle w:val="Hyperlink"/>
            <w:sz w:val="24"/>
            <w:szCs w:val="24"/>
          </w:rPr>
          <w:t>What are Adverse Childhood Experiences ACEs? - Liverpool CAMHS</w:t>
        </w:r>
      </w:hyperlink>
    </w:p>
    <w:p w14:paraId="1FCA8E8A" w14:textId="77777777" w:rsidR="00093FBD" w:rsidRDefault="00093FBD" w:rsidP="00AE20CE"/>
    <w:p w14:paraId="302944DD" w14:textId="77777777" w:rsidR="00AB46EB" w:rsidRDefault="00AB46EB" w:rsidP="00AB46EB">
      <w:r>
        <w:t xml:space="preserve">Loftus, E (1975). ‘Leading questions and the eyewitness report’. </w:t>
      </w:r>
      <w:r>
        <w:rPr>
          <w:i/>
          <w:iCs/>
        </w:rPr>
        <w:t xml:space="preserve">Cognitive Psychology, </w:t>
      </w:r>
      <w:r>
        <w:t xml:space="preserve">7(4), pp, 560-572. </w:t>
      </w:r>
      <w:hyperlink r:id="rId24" w:history="1">
        <w:r>
          <w:rPr>
            <w:rStyle w:val="Hyperlink"/>
          </w:rPr>
          <w:t>Leading questions and the eyewitness report - ScienceDirect</w:t>
        </w:r>
      </w:hyperlink>
    </w:p>
    <w:p w14:paraId="010822BC" w14:textId="77777777" w:rsidR="00AB46EB" w:rsidRDefault="00AB46EB" w:rsidP="00AE20CE"/>
    <w:p w14:paraId="71653E5E" w14:textId="77777777" w:rsidR="00294E87" w:rsidRDefault="00294E87" w:rsidP="00294E87">
      <w:r>
        <w:t xml:space="preserve">Mawby, R (1999). ‘Visibility, transparency and police-media relations’. </w:t>
      </w:r>
      <w:r>
        <w:rPr>
          <w:i/>
          <w:iCs/>
        </w:rPr>
        <w:t xml:space="preserve">Policing and Society: An international Journal of Research and Policy, </w:t>
      </w:r>
      <w:r>
        <w:t xml:space="preserve">9(3), pp, 263-286.  </w:t>
      </w:r>
      <w:hyperlink r:id="rId25" w:history="1">
        <w:r>
          <w:rPr>
            <w:rStyle w:val="Hyperlink"/>
          </w:rPr>
          <w:t>Visibility, transparency and police‐media relations (tandfonline.com)</w:t>
        </w:r>
      </w:hyperlink>
    </w:p>
    <w:p w14:paraId="2C987FA2" w14:textId="77777777" w:rsidR="00294E87" w:rsidRDefault="00294E87" w:rsidP="00AE20CE"/>
    <w:p w14:paraId="304B6184" w14:textId="77777777" w:rsidR="001A7FF4" w:rsidRDefault="001A7FF4" w:rsidP="001A7FF4">
      <w:r>
        <w:t>Melinder, A et al (2021). ‘</w:t>
      </w:r>
      <w:r w:rsidRPr="001A7FF4">
        <w:t>What Is a Child-Appropriate Interview? Interaction Between Child Witnesses and Police Officers</w:t>
      </w:r>
      <w:r>
        <w:t xml:space="preserve">’. </w:t>
      </w:r>
      <w:r>
        <w:rPr>
          <w:i/>
          <w:iCs/>
        </w:rPr>
        <w:t xml:space="preserve">International Journal on Child Maltreatement: Research, policy and Practice, </w:t>
      </w:r>
      <w:r>
        <w:t xml:space="preserve">3, pp 69-392. </w:t>
      </w:r>
      <w:hyperlink r:id="rId26" w:history="1">
        <w:r>
          <w:rPr>
            <w:rStyle w:val="Hyperlink"/>
          </w:rPr>
          <w:t>What Is a Child-Appropriate Interview? Interaction Between Child Witnesses and Police Officers | International Journal on Child Maltreatment: Research, Policy and Practice (springer.com)</w:t>
        </w:r>
      </w:hyperlink>
    </w:p>
    <w:p w14:paraId="4D253890" w14:textId="77777777" w:rsidR="009700D7" w:rsidRDefault="009700D7" w:rsidP="009700D7"/>
    <w:p w14:paraId="0247C5FF" w14:textId="16837B7D" w:rsidR="009700D7" w:rsidRDefault="009700D7" w:rsidP="009700D7">
      <w:r>
        <w:t xml:space="preserve">Menkel-Meadow, C (2007). ‘Restorative Justice: What is it and does it work?’ </w:t>
      </w:r>
      <w:r>
        <w:rPr>
          <w:i/>
          <w:iCs/>
        </w:rPr>
        <w:t xml:space="preserve">Annual Review of Law and Social Science. </w:t>
      </w:r>
      <w:r>
        <w:t xml:space="preserve">3, pp 161-187.  </w:t>
      </w:r>
      <w:hyperlink r:id="rId27" w:history="1">
        <w:r>
          <w:rPr>
            <w:rStyle w:val="Hyperlink"/>
          </w:rPr>
          <w:t>Restorative Justice: What Is It and Does It Work? | Annual Review of Law and Social Science (annualreviews.org)</w:t>
        </w:r>
      </w:hyperlink>
    </w:p>
    <w:p w14:paraId="011FD712" w14:textId="77777777" w:rsidR="001A7FF4" w:rsidRDefault="001A7FF4" w:rsidP="001A7FF4">
      <w:pPr>
        <w:rPr>
          <w:sz w:val="24"/>
          <w:szCs w:val="24"/>
        </w:rPr>
      </w:pPr>
    </w:p>
    <w:p w14:paraId="303C282E" w14:textId="0EDE4C3F" w:rsidR="001A7FF4" w:rsidRPr="00913948" w:rsidRDefault="001A7FF4" w:rsidP="001A7FF4">
      <w:pPr>
        <w:rPr>
          <w:b/>
          <w:bCs/>
          <w:sz w:val="24"/>
          <w:szCs w:val="24"/>
        </w:rPr>
      </w:pPr>
      <w:r>
        <w:rPr>
          <w:sz w:val="24"/>
          <w:szCs w:val="24"/>
        </w:rPr>
        <w:t xml:space="preserve">Padilla, J and Geiselman, R (1988). ‘Cognitive Interviewing with Child Witnesses’. </w:t>
      </w:r>
      <w:r>
        <w:rPr>
          <w:i/>
          <w:iCs/>
          <w:sz w:val="24"/>
          <w:szCs w:val="24"/>
        </w:rPr>
        <w:t xml:space="preserve">Journal of Police Science and Administration, </w:t>
      </w:r>
      <w:r>
        <w:rPr>
          <w:sz w:val="24"/>
          <w:szCs w:val="24"/>
        </w:rPr>
        <w:t xml:space="preserve">16(4), pp, 236-242. </w:t>
      </w:r>
      <w:hyperlink r:id="rId28" w:history="1">
        <w:r>
          <w:rPr>
            <w:rStyle w:val="Hyperlink"/>
          </w:rPr>
          <w:t>Cognitive Interviewing With Child Witnesses | Office of Justice Programs (ojp.gov)</w:t>
        </w:r>
      </w:hyperlink>
    </w:p>
    <w:p w14:paraId="11DBEA49" w14:textId="77777777" w:rsidR="009700D7" w:rsidRDefault="009700D7" w:rsidP="00093FBD">
      <w:pPr>
        <w:ind w:right="237"/>
        <w:jc w:val="both"/>
        <w:rPr>
          <w:sz w:val="24"/>
          <w:szCs w:val="24"/>
        </w:rPr>
      </w:pPr>
    </w:p>
    <w:p w14:paraId="5888E25F" w14:textId="4F051AA4" w:rsidR="00093FBD" w:rsidRPr="00491135" w:rsidRDefault="00093FBD" w:rsidP="00093FBD">
      <w:pPr>
        <w:ind w:right="237"/>
        <w:jc w:val="both"/>
        <w:rPr>
          <w:sz w:val="24"/>
          <w:szCs w:val="24"/>
        </w:rPr>
      </w:pPr>
      <w:r w:rsidRPr="00491135">
        <w:rPr>
          <w:sz w:val="24"/>
          <w:szCs w:val="24"/>
        </w:rPr>
        <w:t xml:space="preserve">Public Health Scotland (2021). </w:t>
      </w:r>
      <w:r w:rsidRPr="00491135">
        <w:rPr>
          <w:i/>
          <w:iCs/>
          <w:sz w:val="24"/>
          <w:szCs w:val="24"/>
        </w:rPr>
        <w:t>Adverse Childhood Experiences (ACEs)</w:t>
      </w:r>
      <w:r w:rsidRPr="00491135">
        <w:rPr>
          <w:sz w:val="24"/>
          <w:szCs w:val="24"/>
        </w:rPr>
        <w:t>. (</w:t>
      </w:r>
      <w:hyperlink r:id="rId29" w:anchor=":~:text=Adverse%20Childhood%20Experiences%20(ACEs)%20are,%2C%20sexual%20and%2For%20emotional)" w:history="1">
        <w:r w:rsidRPr="00491135">
          <w:rPr>
            <w:rStyle w:val="Hyperlink"/>
            <w:sz w:val="24"/>
            <w:szCs w:val="24"/>
          </w:rPr>
          <w:t>Overview of ACEs - Adverse Childhood Experiences (ACEs) - Children - Population groups - Public Health Scotland</w:t>
        </w:r>
      </w:hyperlink>
    </w:p>
    <w:p w14:paraId="1C422327" w14:textId="77777777" w:rsidR="001A7FF4" w:rsidRDefault="001A7FF4" w:rsidP="00AE20CE"/>
    <w:p w14:paraId="15B7A3FF" w14:textId="77777777" w:rsidR="0031110B" w:rsidRPr="0031110B" w:rsidRDefault="0031110B" w:rsidP="0031110B">
      <w:pPr>
        <w:rPr>
          <w:rStyle w:val="Hyperlink"/>
          <w:color w:val="auto"/>
          <w:u w:val="none"/>
        </w:rPr>
      </w:pPr>
      <w:r>
        <w:lastRenderedPageBreak/>
        <w:t xml:space="preserve">Saywitz, K et al (1992). </w:t>
      </w:r>
      <w:r>
        <w:rPr>
          <w:i/>
          <w:iCs/>
        </w:rPr>
        <w:t xml:space="preserve">Journal of Applied Psychology, 77(5), pp, 744-756. </w:t>
      </w:r>
      <w:hyperlink r:id="rId30" w:history="1">
        <w:r>
          <w:rPr>
            <w:rStyle w:val="Hyperlink"/>
          </w:rPr>
          <w:t>Effects_of_cognitive_interviewing_and_practice_on_childrens_recall_performance.pdf (calio.org)</w:t>
        </w:r>
      </w:hyperlink>
    </w:p>
    <w:p w14:paraId="4D1E127A" w14:textId="77777777" w:rsidR="0031110B" w:rsidRDefault="0031110B" w:rsidP="00AE20CE"/>
    <w:p w14:paraId="4A62CFD7" w14:textId="77777777" w:rsidR="0031110B" w:rsidRPr="0031110B" w:rsidRDefault="0031110B" w:rsidP="0031110B">
      <w:pPr>
        <w:rPr>
          <w:rStyle w:val="Hyperlink"/>
          <w:sz w:val="20"/>
          <w:szCs w:val="20"/>
        </w:rPr>
      </w:pPr>
      <w:r w:rsidRPr="0031110B">
        <w:t xml:space="preserve">Sharman, S and Powell, M (2011). ‘A Comparison of Adult Witnesses' Suggestibility Across Various Types of Leading Questions’. </w:t>
      </w:r>
      <w:r w:rsidRPr="0031110B">
        <w:rPr>
          <w:i/>
          <w:iCs/>
        </w:rPr>
        <w:t>Applied Cognitive Psychology.</w:t>
      </w:r>
      <w:r w:rsidRPr="0031110B">
        <w:t xml:space="preserve">  </w:t>
      </w:r>
      <w:hyperlink r:id="rId31" w:history="1">
        <w:r w:rsidRPr="0031110B">
          <w:rPr>
            <w:rStyle w:val="Hyperlink"/>
            <w:sz w:val="20"/>
            <w:szCs w:val="20"/>
          </w:rPr>
          <w:t>A Comparison of Adult Witnesses' Suggestibility Across Various Types of Leading Questions (wiley.com)</w:t>
        </w:r>
      </w:hyperlink>
    </w:p>
    <w:p w14:paraId="0D106E44" w14:textId="77777777" w:rsidR="0031110B" w:rsidRDefault="0031110B" w:rsidP="00AE20CE"/>
    <w:p w14:paraId="277F5977" w14:textId="179B023C" w:rsidR="007A3C64" w:rsidRDefault="007A3C64" w:rsidP="00AE20CE">
      <w:r>
        <w:t xml:space="preserve">Sherman, L and Strang, H (2012). ‘Restorative Justice as Evidence-Based Sentencing’. </w:t>
      </w:r>
      <w:r>
        <w:rPr>
          <w:i/>
          <w:iCs/>
        </w:rPr>
        <w:t xml:space="preserve">The Oxford Handbook of Sentencing and Corrections. </w:t>
      </w:r>
      <w:r>
        <w:t xml:space="preserve">Pp 215-244. </w:t>
      </w:r>
      <w:hyperlink r:id="rId32" w:history="1">
        <w:r>
          <w:rPr>
            <w:rStyle w:val="Hyperlink"/>
          </w:rPr>
          <w:t>Restorative Justice as Evidence-Based Sentencing | The Oxford Handbook of Sentencing and Corrections | Oxford Academic (oup.com)</w:t>
        </w:r>
      </w:hyperlink>
    </w:p>
    <w:p w14:paraId="32DBF5D6" w14:textId="77777777" w:rsidR="000A448B" w:rsidRDefault="000A448B" w:rsidP="000A448B">
      <w:pPr>
        <w:rPr>
          <w:sz w:val="24"/>
          <w:szCs w:val="24"/>
        </w:rPr>
      </w:pPr>
    </w:p>
    <w:p w14:paraId="61067F32" w14:textId="514A84F8" w:rsidR="000A448B" w:rsidRDefault="000A448B" w:rsidP="000A448B">
      <w:r>
        <w:rPr>
          <w:sz w:val="24"/>
          <w:szCs w:val="24"/>
        </w:rPr>
        <w:t>Sherman, L et al (2015). ‘</w:t>
      </w:r>
      <w:r w:rsidRPr="007A3C64">
        <w:rPr>
          <w:sz w:val="24"/>
          <w:szCs w:val="24"/>
        </w:rPr>
        <w:t>Are Restorative Justice Conferences Effective in Reducing Repeat Offending? Findings from a Campbell Systematic Review</w:t>
      </w:r>
      <w:r>
        <w:rPr>
          <w:sz w:val="24"/>
          <w:szCs w:val="24"/>
        </w:rPr>
        <w:t xml:space="preserve">’. </w:t>
      </w:r>
      <w:r>
        <w:rPr>
          <w:i/>
          <w:iCs/>
          <w:sz w:val="24"/>
          <w:szCs w:val="24"/>
        </w:rPr>
        <w:t xml:space="preserve">Journal of Quantitative Criminology. </w:t>
      </w:r>
      <w:r>
        <w:rPr>
          <w:sz w:val="24"/>
          <w:szCs w:val="24"/>
        </w:rPr>
        <w:t xml:space="preserve">31, pp 1-24. </w:t>
      </w:r>
      <w:hyperlink r:id="rId33" w:history="1">
        <w:r>
          <w:rPr>
            <w:rStyle w:val="Hyperlink"/>
          </w:rPr>
          <w:t>Are Restorative Justice Conferences Effective in Reducing Repeat Offending? Findings from a Campbell Systematic Review | Journal of Quantitative Criminology (springer.com)</w:t>
        </w:r>
      </w:hyperlink>
    </w:p>
    <w:p w14:paraId="2569A031" w14:textId="77777777" w:rsidR="007A3C64" w:rsidRPr="007A3C64" w:rsidRDefault="007A3C64" w:rsidP="00AE20CE"/>
    <w:p w14:paraId="4F9BEBC0" w14:textId="01567428" w:rsidR="00AE20CE" w:rsidRDefault="00AE20CE" w:rsidP="00AE20CE">
      <w:pPr>
        <w:rPr>
          <w:rStyle w:val="Hyperlink"/>
        </w:rPr>
      </w:pPr>
      <w:r>
        <w:t>Simpson, R (2017). ‘</w:t>
      </w:r>
      <w:r w:rsidRPr="00AE20CE">
        <w:t>The Police Officer Perception Project (POPP): An experimental evaluation of factors that impact perceptions of the police</w:t>
      </w:r>
      <w:r>
        <w:t xml:space="preserve">’. </w:t>
      </w:r>
      <w:r>
        <w:rPr>
          <w:i/>
          <w:iCs/>
        </w:rPr>
        <w:t xml:space="preserve">Journal of Experimental Criminology, </w:t>
      </w:r>
      <w:r>
        <w:t xml:space="preserve">13. Pp 393-415. </w:t>
      </w:r>
      <w:hyperlink r:id="rId34" w:history="1">
        <w:r>
          <w:rPr>
            <w:rStyle w:val="Hyperlink"/>
          </w:rPr>
          <w:t>The Police Officer Perception Project (POPP): An experimental evaluation of factors that impact perceptions of the police | Journal of Experimental Criminology (springer.com)</w:t>
        </w:r>
      </w:hyperlink>
    </w:p>
    <w:p w14:paraId="664D671B" w14:textId="77777777" w:rsidR="00F144D5" w:rsidRDefault="00F144D5" w:rsidP="00F144D5"/>
    <w:p w14:paraId="34EC374A" w14:textId="3DE3C6C6" w:rsidR="00F144D5" w:rsidRDefault="00F144D5" w:rsidP="00F144D5">
      <w:r>
        <w:t>Statista (2023). ‘</w:t>
      </w:r>
      <w:r w:rsidRPr="00F144D5">
        <w:t>Crime rate per 1,000 population in the United Kingdom from 2002/03 to 2022/23, by jurisdiction</w:t>
      </w:r>
      <w:r>
        <w:t xml:space="preserve">’. </w:t>
      </w:r>
      <w:hyperlink r:id="rId35" w:history="1">
        <w:r>
          <w:rPr>
            <w:rStyle w:val="Hyperlink"/>
          </w:rPr>
          <w:t>UK crime rate by country 2023 | Statista</w:t>
        </w:r>
      </w:hyperlink>
    </w:p>
    <w:p w14:paraId="0F4B9101" w14:textId="77777777" w:rsidR="000A448B" w:rsidRDefault="000A448B" w:rsidP="00AE20CE"/>
    <w:p w14:paraId="3FC846F1" w14:textId="205245C6" w:rsidR="00AE20CE" w:rsidRDefault="007A3C64" w:rsidP="00AE20CE">
      <w:r>
        <w:t>Strang, H et al (2013). ‘</w:t>
      </w:r>
      <w:r w:rsidRPr="007A3C64">
        <w:t>Restorative Justice Conferencing (RJC) Using Face-to-Face Meetings of Offenders and Victims: Effects on Offender Recidivism and Victim Satisfaction. A Systematic Review</w:t>
      </w:r>
      <w:r>
        <w:t xml:space="preserve">’. </w:t>
      </w:r>
      <w:r>
        <w:rPr>
          <w:i/>
          <w:iCs/>
        </w:rPr>
        <w:t xml:space="preserve">Campbell Systematic Reviews. </w:t>
      </w:r>
      <w:r>
        <w:t xml:space="preserve">9(1). Pp, 1-59. </w:t>
      </w:r>
      <w:hyperlink r:id="rId36" w:history="1">
        <w:r>
          <w:rPr>
            <w:rStyle w:val="Hyperlink"/>
          </w:rPr>
          <w:t>Restorative Justice Conferencing (RJC) Using Face‐to‐Face Meetings of Offenders and Victims: Effects on Offender Recidivism and Victim Satisfaction. A Systematic Review - Strang - 2013 - Campbell Systematic Reviews - Wiley Online Library</w:t>
        </w:r>
      </w:hyperlink>
    </w:p>
    <w:p w14:paraId="2BCF891D" w14:textId="77777777" w:rsidR="007A3C64" w:rsidRPr="007A3C64" w:rsidRDefault="007A3C64" w:rsidP="00AE20CE"/>
    <w:p w14:paraId="17D14B6C" w14:textId="4E8AD989" w:rsidR="00AE20CE" w:rsidRDefault="00AE20CE" w:rsidP="00AE20CE">
      <w:pPr>
        <w:rPr>
          <w:sz w:val="24"/>
          <w:szCs w:val="24"/>
        </w:rPr>
      </w:pPr>
      <w:r>
        <w:t xml:space="preserve">Tyler, T (2015) et al. ‘The </w:t>
      </w:r>
      <w:r w:rsidRPr="00AE20CE">
        <w:t>Consequences of Being an Object of Suspicion: Potential Pitfalls of Proactive Police Contact</w:t>
      </w:r>
      <w:r>
        <w:t xml:space="preserve">’. </w:t>
      </w:r>
      <w:r>
        <w:rPr>
          <w:i/>
          <w:iCs/>
        </w:rPr>
        <w:t xml:space="preserve">Journal of Empirical legal Studies, </w:t>
      </w:r>
      <w:r>
        <w:t>12(4). Pp. 602-636.</w:t>
      </w:r>
      <w:r>
        <w:rPr>
          <w:i/>
          <w:iCs/>
        </w:rPr>
        <w:t xml:space="preserve"> </w:t>
      </w:r>
      <w:hyperlink r:id="rId37" w:history="1">
        <w:r>
          <w:rPr>
            <w:rStyle w:val="Hyperlink"/>
          </w:rPr>
          <w:t>The Consequences of Being an Object of Suspicion: Potential Pitfalls of Proactive Police Contact - Tyler - 2015 - Journal of Empirical Legal Studies - Wiley Online Library</w:t>
        </w:r>
      </w:hyperlink>
    </w:p>
    <w:p w14:paraId="075548BF" w14:textId="77777777" w:rsidR="00AE20CE" w:rsidRDefault="00AE20CE"/>
    <w:p w14:paraId="39E3A95B" w14:textId="77777777" w:rsidR="00F144D5" w:rsidRDefault="00F144D5" w:rsidP="00F144D5">
      <w:r>
        <w:lastRenderedPageBreak/>
        <w:t>Victim’s Commissioner (2021). ‘</w:t>
      </w:r>
      <w:r w:rsidRPr="00F144D5">
        <w:t>New survey reveals low victim confidence, as Victims’ Commissioner warns victims remain an “afterthought”</w:t>
      </w:r>
      <w:r>
        <w:t xml:space="preserve">’. </w:t>
      </w:r>
      <w:hyperlink r:id="rId38" w:history="1">
        <w:r>
          <w:rPr>
            <w:rStyle w:val="Hyperlink"/>
          </w:rPr>
          <w:t>New survey reveals low victim confidence, as Victims’ Commissioner warns victims remain an “afterthought” - Victims Commissioner</w:t>
        </w:r>
      </w:hyperlink>
    </w:p>
    <w:p w14:paraId="10E280F6" w14:textId="77777777" w:rsidR="00F144D5" w:rsidRDefault="00F144D5"/>
    <w:p w14:paraId="0CFFC9EA" w14:textId="457B0BFC" w:rsidR="001A7FF4" w:rsidRDefault="001A7FF4" w:rsidP="001A7FF4">
      <w:r>
        <w:rPr>
          <w:sz w:val="24"/>
          <w:szCs w:val="24"/>
        </w:rPr>
        <w:t xml:space="preserve">Wach, E and </w:t>
      </w:r>
      <w:r w:rsidRPr="005A0C4E">
        <w:rPr>
          <w:sz w:val="24"/>
          <w:szCs w:val="24"/>
        </w:rPr>
        <w:t>Jaśkiewicz-Obydzińska</w:t>
      </w:r>
      <w:r>
        <w:rPr>
          <w:sz w:val="24"/>
          <w:szCs w:val="24"/>
        </w:rPr>
        <w:t xml:space="preserve">, T. ‘The Cognitive Interview of Children’. </w:t>
      </w:r>
      <w:r>
        <w:rPr>
          <w:i/>
          <w:iCs/>
          <w:sz w:val="24"/>
          <w:szCs w:val="24"/>
        </w:rPr>
        <w:t xml:space="preserve">Insitutte of Forensic Expert Opinions. </w:t>
      </w:r>
      <w:hyperlink r:id="rId39" w:history="1">
        <w:r>
          <w:rPr>
            <w:rStyle w:val="Hyperlink"/>
          </w:rPr>
          <w:t>skl_ang.qxd (canee.net)</w:t>
        </w:r>
      </w:hyperlink>
    </w:p>
    <w:p w14:paraId="63E2C080" w14:textId="77777777" w:rsidR="001A7FF4" w:rsidRDefault="001A7FF4"/>
    <w:p w14:paraId="5220742E" w14:textId="77777777" w:rsidR="00F144D5" w:rsidRDefault="00F144D5" w:rsidP="00F144D5">
      <w:r>
        <w:t>Wolcott, M and Lobczowski, N (2021). ‘</w:t>
      </w:r>
      <w:r w:rsidRPr="00F144D5">
        <w:t>Using cognitive interviews and think-aloud protocols to understand thought processes</w:t>
      </w:r>
      <w:r>
        <w:t xml:space="preserve">’. </w:t>
      </w:r>
      <w:r>
        <w:rPr>
          <w:i/>
          <w:iCs/>
        </w:rPr>
        <w:t xml:space="preserve">Currents in Pharmacy Teaching and Learning, </w:t>
      </w:r>
      <w:r>
        <w:t>13(2). Pp, 181-188</w:t>
      </w:r>
      <w:r>
        <w:rPr>
          <w:i/>
          <w:iCs/>
        </w:rPr>
        <w:t xml:space="preserve"> </w:t>
      </w:r>
      <w:hyperlink r:id="rId40" w:history="1">
        <w:r>
          <w:rPr>
            <w:rStyle w:val="Hyperlink"/>
          </w:rPr>
          <w:t>Using cognitive interviews and think-aloud protocols to understand thought processes - ScienceDirect</w:t>
        </w:r>
      </w:hyperlink>
    </w:p>
    <w:p w14:paraId="439BFC07" w14:textId="77777777" w:rsidR="00F144D5" w:rsidRDefault="00F144D5"/>
    <w:p w14:paraId="12FD7105" w14:textId="77777777" w:rsidR="00F144D5" w:rsidRDefault="00F144D5" w:rsidP="00F144D5">
      <w:r>
        <w:t>Wright, A and Holliday, R (2006). ‘</w:t>
      </w:r>
      <w:r w:rsidRPr="00F144D5">
        <w:t>Enhancing the recall of young, young–old and old–old adults with cognitive interviews</w:t>
      </w:r>
      <w:r>
        <w:t xml:space="preserve">’. </w:t>
      </w:r>
      <w:r>
        <w:rPr>
          <w:i/>
          <w:iCs/>
        </w:rPr>
        <w:t xml:space="preserve">Applied Cognitive Psychology, </w:t>
      </w:r>
      <w:r>
        <w:t>21(1), Pp, 19-43.</w:t>
      </w:r>
      <w:r>
        <w:rPr>
          <w:i/>
          <w:iCs/>
        </w:rPr>
        <w:t xml:space="preserve"> </w:t>
      </w:r>
      <w:hyperlink r:id="rId41" w:history="1">
        <w:r>
          <w:rPr>
            <w:rStyle w:val="Hyperlink"/>
          </w:rPr>
          <w:t>Enhancing the recall of young, young–old and old–old adults with cognitive interviews - Wright - 2007 - Applied Cognitive Psychology - Wiley Online Library</w:t>
        </w:r>
      </w:hyperlink>
    </w:p>
    <w:p w14:paraId="672F0C72" w14:textId="77777777" w:rsidR="00F144D5" w:rsidRPr="00AE20CE" w:rsidRDefault="00F144D5"/>
    <w:sectPr w:rsidR="00F144D5" w:rsidRPr="00AE20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913948"/>
    <w:rsid w:val="00071B4B"/>
    <w:rsid w:val="00093FBD"/>
    <w:rsid w:val="00095981"/>
    <w:rsid w:val="000A448B"/>
    <w:rsid w:val="000A5173"/>
    <w:rsid w:val="000B7548"/>
    <w:rsid w:val="001637F7"/>
    <w:rsid w:val="00193CBA"/>
    <w:rsid w:val="001A7FF4"/>
    <w:rsid w:val="001C1D9B"/>
    <w:rsid w:val="001C38A9"/>
    <w:rsid w:val="001D4C0A"/>
    <w:rsid w:val="002743F4"/>
    <w:rsid w:val="0027579A"/>
    <w:rsid w:val="00294E87"/>
    <w:rsid w:val="002B7481"/>
    <w:rsid w:val="002E4270"/>
    <w:rsid w:val="002F1DA5"/>
    <w:rsid w:val="00303938"/>
    <w:rsid w:val="0031110B"/>
    <w:rsid w:val="00340CAC"/>
    <w:rsid w:val="00355F6B"/>
    <w:rsid w:val="003672CA"/>
    <w:rsid w:val="0038621C"/>
    <w:rsid w:val="00391D8F"/>
    <w:rsid w:val="00396988"/>
    <w:rsid w:val="003A13C6"/>
    <w:rsid w:val="003B798B"/>
    <w:rsid w:val="00401BAE"/>
    <w:rsid w:val="00482262"/>
    <w:rsid w:val="00536E1F"/>
    <w:rsid w:val="005A0C4E"/>
    <w:rsid w:val="005D3A79"/>
    <w:rsid w:val="0060441E"/>
    <w:rsid w:val="00625601"/>
    <w:rsid w:val="00673F0A"/>
    <w:rsid w:val="00681906"/>
    <w:rsid w:val="006D7E3A"/>
    <w:rsid w:val="00730355"/>
    <w:rsid w:val="0074170E"/>
    <w:rsid w:val="007420DE"/>
    <w:rsid w:val="00750CB5"/>
    <w:rsid w:val="007A3C64"/>
    <w:rsid w:val="007B196A"/>
    <w:rsid w:val="007B6895"/>
    <w:rsid w:val="007C0CC7"/>
    <w:rsid w:val="007C49F4"/>
    <w:rsid w:val="007D74C9"/>
    <w:rsid w:val="00812C81"/>
    <w:rsid w:val="00814BF2"/>
    <w:rsid w:val="00816C24"/>
    <w:rsid w:val="008544C1"/>
    <w:rsid w:val="00861547"/>
    <w:rsid w:val="00872539"/>
    <w:rsid w:val="00877D79"/>
    <w:rsid w:val="0089683B"/>
    <w:rsid w:val="00897054"/>
    <w:rsid w:val="008A3F90"/>
    <w:rsid w:val="008C22CD"/>
    <w:rsid w:val="008F16AF"/>
    <w:rsid w:val="00913948"/>
    <w:rsid w:val="0094223F"/>
    <w:rsid w:val="0095170B"/>
    <w:rsid w:val="009700D7"/>
    <w:rsid w:val="00974B5C"/>
    <w:rsid w:val="00993947"/>
    <w:rsid w:val="009B76F9"/>
    <w:rsid w:val="00A125E0"/>
    <w:rsid w:val="00A1554D"/>
    <w:rsid w:val="00A34766"/>
    <w:rsid w:val="00A6699B"/>
    <w:rsid w:val="00A8359E"/>
    <w:rsid w:val="00A9448F"/>
    <w:rsid w:val="00AB11C1"/>
    <w:rsid w:val="00AB46EB"/>
    <w:rsid w:val="00AC7CB8"/>
    <w:rsid w:val="00AE20CE"/>
    <w:rsid w:val="00B30465"/>
    <w:rsid w:val="00B60518"/>
    <w:rsid w:val="00B61392"/>
    <w:rsid w:val="00B70D5C"/>
    <w:rsid w:val="00BA39A5"/>
    <w:rsid w:val="00C32D8B"/>
    <w:rsid w:val="00C441F2"/>
    <w:rsid w:val="00C47BC5"/>
    <w:rsid w:val="00C52F36"/>
    <w:rsid w:val="00C6741D"/>
    <w:rsid w:val="00C82AF7"/>
    <w:rsid w:val="00CA070A"/>
    <w:rsid w:val="00CF4FB2"/>
    <w:rsid w:val="00D661B7"/>
    <w:rsid w:val="00D86A71"/>
    <w:rsid w:val="00DD0A1D"/>
    <w:rsid w:val="00DD63D1"/>
    <w:rsid w:val="00E14570"/>
    <w:rsid w:val="00E239C8"/>
    <w:rsid w:val="00E26197"/>
    <w:rsid w:val="00E26D22"/>
    <w:rsid w:val="00E45A9F"/>
    <w:rsid w:val="00E73114"/>
    <w:rsid w:val="00E74853"/>
    <w:rsid w:val="00E77EDF"/>
    <w:rsid w:val="00F144D5"/>
    <w:rsid w:val="00F62147"/>
    <w:rsid w:val="00FD2D65"/>
    <w:rsid w:val="00FD6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A59F87"/>
  <w15:docId w15:val="{EE3E3FDB-CD1A-4088-B01D-0C9DB2CE1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nhideWhenUsed/>
    <w:rsid w:val="00A125E0"/>
    <w:rPr>
      <w:color w:val="0000FF"/>
      <w:u w:val="single"/>
    </w:rPr>
  </w:style>
  <w:style w:type="character" w:styleId="FollowedHyperlink">
    <w:name w:val="FollowedHyperlink"/>
    <w:basedOn w:val="DefaultParagraphFont"/>
    <w:uiPriority w:val="99"/>
    <w:semiHidden/>
    <w:unhideWhenUsed/>
    <w:rsid w:val="00AE20CE"/>
    <w:rPr>
      <w:color w:val="954F72" w:themeColor="followedHyperlink"/>
      <w:u w:val="single"/>
    </w:rPr>
  </w:style>
  <w:style w:type="character" w:styleId="UnresolvedMention">
    <w:name w:val="Unresolved Mention"/>
    <w:basedOn w:val="DefaultParagraphFont"/>
    <w:uiPriority w:val="99"/>
    <w:semiHidden/>
    <w:unhideWhenUsed/>
    <w:rsid w:val="00AE20CE"/>
    <w:rPr>
      <w:color w:val="605E5C"/>
      <w:shd w:val="clear" w:color="auto" w:fill="E1DFDD"/>
    </w:rPr>
  </w:style>
  <w:style w:type="paragraph" w:customStyle="1" w:styleId="paragraph">
    <w:name w:val="paragraph"/>
    <w:basedOn w:val="Normal"/>
    <w:rsid w:val="00355F6B"/>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eop">
    <w:name w:val="eop"/>
    <w:basedOn w:val="DefaultParagraphFont"/>
    <w:rsid w:val="00355F6B"/>
  </w:style>
  <w:style w:type="character" w:customStyle="1" w:styleId="normaltextrun">
    <w:name w:val="normaltextrun"/>
    <w:basedOn w:val="DefaultParagraphFont"/>
    <w:rsid w:val="00355F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28092">
      <w:bodyDiv w:val="1"/>
      <w:marLeft w:val="0"/>
      <w:marRight w:val="0"/>
      <w:marTop w:val="0"/>
      <w:marBottom w:val="0"/>
      <w:divBdr>
        <w:top w:val="none" w:sz="0" w:space="0" w:color="auto"/>
        <w:left w:val="none" w:sz="0" w:space="0" w:color="auto"/>
        <w:bottom w:val="none" w:sz="0" w:space="0" w:color="auto"/>
        <w:right w:val="none" w:sz="0" w:space="0" w:color="auto"/>
      </w:divBdr>
      <w:divsChild>
        <w:div w:id="1116675913">
          <w:marLeft w:val="0"/>
          <w:marRight w:val="0"/>
          <w:marTop w:val="0"/>
          <w:marBottom w:val="0"/>
          <w:divBdr>
            <w:top w:val="none" w:sz="0" w:space="0" w:color="auto"/>
            <w:left w:val="none" w:sz="0" w:space="0" w:color="auto"/>
            <w:bottom w:val="none" w:sz="0" w:space="0" w:color="auto"/>
            <w:right w:val="none" w:sz="0" w:space="0" w:color="auto"/>
          </w:divBdr>
        </w:div>
        <w:div w:id="1428425900">
          <w:marLeft w:val="0"/>
          <w:marRight w:val="0"/>
          <w:marTop w:val="0"/>
          <w:marBottom w:val="0"/>
          <w:divBdr>
            <w:top w:val="none" w:sz="0" w:space="0" w:color="auto"/>
            <w:left w:val="none" w:sz="0" w:space="0" w:color="auto"/>
            <w:bottom w:val="none" w:sz="0" w:space="0" w:color="auto"/>
            <w:right w:val="none" w:sz="0" w:space="0" w:color="auto"/>
          </w:divBdr>
        </w:div>
        <w:div w:id="971054872">
          <w:marLeft w:val="0"/>
          <w:marRight w:val="0"/>
          <w:marTop w:val="0"/>
          <w:marBottom w:val="0"/>
          <w:divBdr>
            <w:top w:val="none" w:sz="0" w:space="0" w:color="auto"/>
            <w:left w:val="none" w:sz="0" w:space="0" w:color="auto"/>
            <w:bottom w:val="none" w:sz="0" w:space="0" w:color="auto"/>
            <w:right w:val="none" w:sz="0" w:space="0" w:color="auto"/>
          </w:divBdr>
        </w:div>
        <w:div w:id="2134783580">
          <w:marLeft w:val="0"/>
          <w:marRight w:val="0"/>
          <w:marTop w:val="0"/>
          <w:marBottom w:val="0"/>
          <w:divBdr>
            <w:top w:val="none" w:sz="0" w:space="0" w:color="auto"/>
            <w:left w:val="none" w:sz="0" w:space="0" w:color="auto"/>
            <w:bottom w:val="none" w:sz="0" w:space="0" w:color="auto"/>
            <w:right w:val="none" w:sz="0" w:space="0" w:color="auto"/>
          </w:divBdr>
        </w:div>
        <w:div w:id="2024241546">
          <w:marLeft w:val="0"/>
          <w:marRight w:val="0"/>
          <w:marTop w:val="0"/>
          <w:marBottom w:val="0"/>
          <w:divBdr>
            <w:top w:val="none" w:sz="0" w:space="0" w:color="auto"/>
            <w:left w:val="none" w:sz="0" w:space="0" w:color="auto"/>
            <w:bottom w:val="none" w:sz="0" w:space="0" w:color="auto"/>
            <w:right w:val="none" w:sz="0" w:space="0" w:color="auto"/>
          </w:divBdr>
        </w:div>
        <w:div w:id="1296638271">
          <w:marLeft w:val="0"/>
          <w:marRight w:val="0"/>
          <w:marTop w:val="0"/>
          <w:marBottom w:val="0"/>
          <w:divBdr>
            <w:top w:val="none" w:sz="0" w:space="0" w:color="auto"/>
            <w:left w:val="none" w:sz="0" w:space="0" w:color="auto"/>
            <w:bottom w:val="none" w:sz="0" w:space="0" w:color="auto"/>
            <w:right w:val="none" w:sz="0" w:space="0" w:color="auto"/>
          </w:divBdr>
        </w:div>
        <w:div w:id="2056152000">
          <w:marLeft w:val="0"/>
          <w:marRight w:val="0"/>
          <w:marTop w:val="0"/>
          <w:marBottom w:val="0"/>
          <w:divBdr>
            <w:top w:val="none" w:sz="0" w:space="0" w:color="auto"/>
            <w:left w:val="none" w:sz="0" w:space="0" w:color="auto"/>
            <w:bottom w:val="none" w:sz="0" w:space="0" w:color="auto"/>
            <w:right w:val="none" w:sz="0" w:space="0" w:color="auto"/>
          </w:divBdr>
        </w:div>
        <w:div w:id="1944650037">
          <w:marLeft w:val="0"/>
          <w:marRight w:val="0"/>
          <w:marTop w:val="0"/>
          <w:marBottom w:val="0"/>
          <w:divBdr>
            <w:top w:val="none" w:sz="0" w:space="0" w:color="auto"/>
            <w:left w:val="none" w:sz="0" w:space="0" w:color="auto"/>
            <w:bottom w:val="none" w:sz="0" w:space="0" w:color="auto"/>
            <w:right w:val="none" w:sz="0" w:space="0" w:color="auto"/>
          </w:divBdr>
        </w:div>
        <w:div w:id="1598127516">
          <w:marLeft w:val="0"/>
          <w:marRight w:val="0"/>
          <w:marTop w:val="0"/>
          <w:marBottom w:val="0"/>
          <w:divBdr>
            <w:top w:val="none" w:sz="0" w:space="0" w:color="auto"/>
            <w:left w:val="none" w:sz="0" w:space="0" w:color="auto"/>
            <w:bottom w:val="none" w:sz="0" w:space="0" w:color="auto"/>
            <w:right w:val="none" w:sz="0" w:space="0" w:color="auto"/>
          </w:divBdr>
        </w:div>
        <w:div w:id="2057587047">
          <w:marLeft w:val="0"/>
          <w:marRight w:val="0"/>
          <w:marTop w:val="0"/>
          <w:marBottom w:val="0"/>
          <w:divBdr>
            <w:top w:val="none" w:sz="0" w:space="0" w:color="auto"/>
            <w:left w:val="none" w:sz="0" w:space="0" w:color="auto"/>
            <w:bottom w:val="none" w:sz="0" w:space="0" w:color="auto"/>
            <w:right w:val="none" w:sz="0" w:space="0" w:color="auto"/>
          </w:divBdr>
        </w:div>
      </w:divsChild>
    </w:div>
    <w:div w:id="474182284">
      <w:bodyDiv w:val="1"/>
      <w:marLeft w:val="0"/>
      <w:marRight w:val="0"/>
      <w:marTop w:val="0"/>
      <w:marBottom w:val="0"/>
      <w:divBdr>
        <w:top w:val="none" w:sz="0" w:space="0" w:color="auto"/>
        <w:left w:val="none" w:sz="0" w:space="0" w:color="auto"/>
        <w:bottom w:val="none" w:sz="0" w:space="0" w:color="auto"/>
        <w:right w:val="none" w:sz="0" w:space="0" w:color="auto"/>
      </w:divBdr>
    </w:div>
    <w:div w:id="490490859">
      <w:bodyDiv w:val="1"/>
      <w:marLeft w:val="0"/>
      <w:marRight w:val="0"/>
      <w:marTop w:val="0"/>
      <w:marBottom w:val="0"/>
      <w:divBdr>
        <w:top w:val="none" w:sz="0" w:space="0" w:color="auto"/>
        <w:left w:val="none" w:sz="0" w:space="0" w:color="auto"/>
        <w:bottom w:val="none" w:sz="0" w:space="0" w:color="auto"/>
        <w:right w:val="none" w:sz="0" w:space="0" w:color="auto"/>
      </w:divBdr>
    </w:div>
    <w:div w:id="914128808">
      <w:bodyDiv w:val="1"/>
      <w:marLeft w:val="0"/>
      <w:marRight w:val="0"/>
      <w:marTop w:val="0"/>
      <w:marBottom w:val="0"/>
      <w:divBdr>
        <w:top w:val="none" w:sz="0" w:space="0" w:color="auto"/>
        <w:left w:val="none" w:sz="0" w:space="0" w:color="auto"/>
        <w:bottom w:val="none" w:sz="0" w:space="0" w:color="auto"/>
        <w:right w:val="none" w:sz="0" w:space="0" w:color="auto"/>
      </w:divBdr>
      <w:divsChild>
        <w:div w:id="470250608">
          <w:marLeft w:val="0"/>
          <w:marRight w:val="0"/>
          <w:marTop w:val="0"/>
          <w:marBottom w:val="0"/>
          <w:divBdr>
            <w:top w:val="none" w:sz="0" w:space="0" w:color="auto"/>
            <w:left w:val="none" w:sz="0" w:space="0" w:color="auto"/>
            <w:bottom w:val="none" w:sz="0" w:space="0" w:color="auto"/>
            <w:right w:val="none" w:sz="0" w:space="0" w:color="auto"/>
          </w:divBdr>
        </w:div>
        <w:div w:id="87234462">
          <w:marLeft w:val="0"/>
          <w:marRight w:val="0"/>
          <w:marTop w:val="0"/>
          <w:marBottom w:val="0"/>
          <w:divBdr>
            <w:top w:val="none" w:sz="0" w:space="0" w:color="auto"/>
            <w:left w:val="none" w:sz="0" w:space="0" w:color="auto"/>
            <w:bottom w:val="none" w:sz="0" w:space="0" w:color="auto"/>
            <w:right w:val="none" w:sz="0" w:space="0" w:color="auto"/>
          </w:divBdr>
        </w:div>
        <w:div w:id="558323545">
          <w:marLeft w:val="0"/>
          <w:marRight w:val="0"/>
          <w:marTop w:val="0"/>
          <w:marBottom w:val="0"/>
          <w:divBdr>
            <w:top w:val="none" w:sz="0" w:space="0" w:color="auto"/>
            <w:left w:val="none" w:sz="0" w:space="0" w:color="auto"/>
            <w:bottom w:val="none" w:sz="0" w:space="0" w:color="auto"/>
            <w:right w:val="none" w:sz="0" w:space="0" w:color="auto"/>
          </w:divBdr>
        </w:div>
        <w:div w:id="145830265">
          <w:marLeft w:val="0"/>
          <w:marRight w:val="0"/>
          <w:marTop w:val="0"/>
          <w:marBottom w:val="0"/>
          <w:divBdr>
            <w:top w:val="none" w:sz="0" w:space="0" w:color="auto"/>
            <w:left w:val="none" w:sz="0" w:space="0" w:color="auto"/>
            <w:bottom w:val="none" w:sz="0" w:space="0" w:color="auto"/>
            <w:right w:val="none" w:sz="0" w:space="0" w:color="auto"/>
          </w:divBdr>
        </w:div>
        <w:div w:id="1992518812">
          <w:marLeft w:val="0"/>
          <w:marRight w:val="0"/>
          <w:marTop w:val="0"/>
          <w:marBottom w:val="0"/>
          <w:divBdr>
            <w:top w:val="none" w:sz="0" w:space="0" w:color="auto"/>
            <w:left w:val="none" w:sz="0" w:space="0" w:color="auto"/>
            <w:bottom w:val="none" w:sz="0" w:space="0" w:color="auto"/>
            <w:right w:val="none" w:sz="0" w:space="0" w:color="auto"/>
          </w:divBdr>
        </w:div>
        <w:div w:id="1143934843">
          <w:marLeft w:val="0"/>
          <w:marRight w:val="0"/>
          <w:marTop w:val="0"/>
          <w:marBottom w:val="0"/>
          <w:divBdr>
            <w:top w:val="none" w:sz="0" w:space="0" w:color="auto"/>
            <w:left w:val="none" w:sz="0" w:space="0" w:color="auto"/>
            <w:bottom w:val="none" w:sz="0" w:space="0" w:color="auto"/>
            <w:right w:val="none" w:sz="0" w:space="0" w:color="auto"/>
          </w:divBdr>
        </w:div>
        <w:div w:id="1634210593">
          <w:marLeft w:val="0"/>
          <w:marRight w:val="0"/>
          <w:marTop w:val="0"/>
          <w:marBottom w:val="0"/>
          <w:divBdr>
            <w:top w:val="none" w:sz="0" w:space="0" w:color="auto"/>
            <w:left w:val="none" w:sz="0" w:space="0" w:color="auto"/>
            <w:bottom w:val="none" w:sz="0" w:space="0" w:color="auto"/>
            <w:right w:val="none" w:sz="0" w:space="0" w:color="auto"/>
          </w:divBdr>
        </w:div>
        <w:div w:id="2025940487">
          <w:marLeft w:val="0"/>
          <w:marRight w:val="0"/>
          <w:marTop w:val="0"/>
          <w:marBottom w:val="0"/>
          <w:divBdr>
            <w:top w:val="none" w:sz="0" w:space="0" w:color="auto"/>
            <w:left w:val="none" w:sz="0" w:space="0" w:color="auto"/>
            <w:bottom w:val="none" w:sz="0" w:space="0" w:color="auto"/>
            <w:right w:val="none" w:sz="0" w:space="0" w:color="auto"/>
          </w:divBdr>
        </w:div>
      </w:divsChild>
    </w:div>
    <w:div w:id="1148857407">
      <w:bodyDiv w:val="1"/>
      <w:marLeft w:val="0"/>
      <w:marRight w:val="0"/>
      <w:marTop w:val="0"/>
      <w:marBottom w:val="0"/>
      <w:divBdr>
        <w:top w:val="none" w:sz="0" w:space="0" w:color="auto"/>
        <w:left w:val="none" w:sz="0" w:space="0" w:color="auto"/>
        <w:bottom w:val="none" w:sz="0" w:space="0" w:color="auto"/>
        <w:right w:val="none" w:sz="0" w:space="0" w:color="auto"/>
      </w:divBdr>
    </w:div>
    <w:div w:id="1191914930">
      <w:bodyDiv w:val="1"/>
      <w:marLeft w:val="0"/>
      <w:marRight w:val="0"/>
      <w:marTop w:val="0"/>
      <w:marBottom w:val="0"/>
      <w:divBdr>
        <w:top w:val="none" w:sz="0" w:space="0" w:color="auto"/>
        <w:left w:val="none" w:sz="0" w:space="0" w:color="auto"/>
        <w:bottom w:val="none" w:sz="0" w:space="0" w:color="auto"/>
        <w:right w:val="none" w:sz="0" w:space="0" w:color="auto"/>
      </w:divBdr>
    </w:div>
    <w:div w:id="1198156137">
      <w:bodyDiv w:val="1"/>
      <w:marLeft w:val="0"/>
      <w:marRight w:val="0"/>
      <w:marTop w:val="0"/>
      <w:marBottom w:val="0"/>
      <w:divBdr>
        <w:top w:val="none" w:sz="0" w:space="0" w:color="auto"/>
        <w:left w:val="none" w:sz="0" w:space="0" w:color="auto"/>
        <w:bottom w:val="none" w:sz="0" w:space="0" w:color="auto"/>
        <w:right w:val="none" w:sz="0" w:space="0" w:color="auto"/>
      </w:divBdr>
      <w:divsChild>
        <w:div w:id="443892393">
          <w:marLeft w:val="0"/>
          <w:marRight w:val="0"/>
          <w:marTop w:val="0"/>
          <w:marBottom w:val="0"/>
          <w:divBdr>
            <w:top w:val="none" w:sz="0" w:space="0" w:color="auto"/>
            <w:left w:val="none" w:sz="0" w:space="0" w:color="auto"/>
            <w:bottom w:val="none" w:sz="0" w:space="0" w:color="auto"/>
            <w:right w:val="none" w:sz="0" w:space="0" w:color="auto"/>
          </w:divBdr>
        </w:div>
        <w:div w:id="1986885267">
          <w:marLeft w:val="0"/>
          <w:marRight w:val="0"/>
          <w:marTop w:val="0"/>
          <w:marBottom w:val="0"/>
          <w:divBdr>
            <w:top w:val="none" w:sz="0" w:space="0" w:color="auto"/>
            <w:left w:val="none" w:sz="0" w:space="0" w:color="auto"/>
            <w:bottom w:val="none" w:sz="0" w:space="0" w:color="auto"/>
            <w:right w:val="none" w:sz="0" w:space="0" w:color="auto"/>
          </w:divBdr>
        </w:div>
        <w:div w:id="476920968">
          <w:marLeft w:val="0"/>
          <w:marRight w:val="0"/>
          <w:marTop w:val="0"/>
          <w:marBottom w:val="0"/>
          <w:divBdr>
            <w:top w:val="none" w:sz="0" w:space="0" w:color="auto"/>
            <w:left w:val="none" w:sz="0" w:space="0" w:color="auto"/>
            <w:bottom w:val="none" w:sz="0" w:space="0" w:color="auto"/>
            <w:right w:val="none" w:sz="0" w:space="0" w:color="auto"/>
          </w:divBdr>
        </w:div>
        <w:div w:id="1425567382">
          <w:marLeft w:val="0"/>
          <w:marRight w:val="0"/>
          <w:marTop w:val="0"/>
          <w:marBottom w:val="0"/>
          <w:divBdr>
            <w:top w:val="none" w:sz="0" w:space="0" w:color="auto"/>
            <w:left w:val="none" w:sz="0" w:space="0" w:color="auto"/>
            <w:bottom w:val="none" w:sz="0" w:space="0" w:color="auto"/>
            <w:right w:val="none" w:sz="0" w:space="0" w:color="auto"/>
          </w:divBdr>
        </w:div>
        <w:div w:id="637882234">
          <w:marLeft w:val="0"/>
          <w:marRight w:val="0"/>
          <w:marTop w:val="0"/>
          <w:marBottom w:val="0"/>
          <w:divBdr>
            <w:top w:val="none" w:sz="0" w:space="0" w:color="auto"/>
            <w:left w:val="none" w:sz="0" w:space="0" w:color="auto"/>
            <w:bottom w:val="none" w:sz="0" w:space="0" w:color="auto"/>
            <w:right w:val="none" w:sz="0" w:space="0" w:color="auto"/>
          </w:divBdr>
        </w:div>
        <w:div w:id="346062274">
          <w:marLeft w:val="0"/>
          <w:marRight w:val="0"/>
          <w:marTop w:val="0"/>
          <w:marBottom w:val="0"/>
          <w:divBdr>
            <w:top w:val="none" w:sz="0" w:space="0" w:color="auto"/>
            <w:left w:val="none" w:sz="0" w:space="0" w:color="auto"/>
            <w:bottom w:val="none" w:sz="0" w:space="0" w:color="auto"/>
            <w:right w:val="none" w:sz="0" w:space="0" w:color="auto"/>
          </w:divBdr>
        </w:div>
        <w:div w:id="449973739">
          <w:marLeft w:val="0"/>
          <w:marRight w:val="0"/>
          <w:marTop w:val="0"/>
          <w:marBottom w:val="0"/>
          <w:divBdr>
            <w:top w:val="none" w:sz="0" w:space="0" w:color="auto"/>
            <w:left w:val="none" w:sz="0" w:space="0" w:color="auto"/>
            <w:bottom w:val="none" w:sz="0" w:space="0" w:color="auto"/>
            <w:right w:val="none" w:sz="0" w:space="0" w:color="auto"/>
          </w:divBdr>
        </w:div>
        <w:div w:id="19861034">
          <w:marLeft w:val="0"/>
          <w:marRight w:val="0"/>
          <w:marTop w:val="0"/>
          <w:marBottom w:val="0"/>
          <w:divBdr>
            <w:top w:val="none" w:sz="0" w:space="0" w:color="auto"/>
            <w:left w:val="none" w:sz="0" w:space="0" w:color="auto"/>
            <w:bottom w:val="none" w:sz="0" w:space="0" w:color="auto"/>
            <w:right w:val="none" w:sz="0" w:space="0" w:color="auto"/>
          </w:divBdr>
        </w:div>
        <w:div w:id="2133740503">
          <w:marLeft w:val="0"/>
          <w:marRight w:val="0"/>
          <w:marTop w:val="0"/>
          <w:marBottom w:val="0"/>
          <w:divBdr>
            <w:top w:val="none" w:sz="0" w:space="0" w:color="auto"/>
            <w:left w:val="none" w:sz="0" w:space="0" w:color="auto"/>
            <w:bottom w:val="none" w:sz="0" w:space="0" w:color="auto"/>
            <w:right w:val="none" w:sz="0" w:space="0" w:color="auto"/>
          </w:divBdr>
        </w:div>
        <w:div w:id="354884819">
          <w:marLeft w:val="0"/>
          <w:marRight w:val="0"/>
          <w:marTop w:val="0"/>
          <w:marBottom w:val="0"/>
          <w:divBdr>
            <w:top w:val="none" w:sz="0" w:space="0" w:color="auto"/>
            <w:left w:val="none" w:sz="0" w:space="0" w:color="auto"/>
            <w:bottom w:val="none" w:sz="0" w:space="0" w:color="auto"/>
            <w:right w:val="none" w:sz="0" w:space="0" w:color="auto"/>
          </w:divBdr>
        </w:div>
        <w:div w:id="1311979817">
          <w:marLeft w:val="0"/>
          <w:marRight w:val="0"/>
          <w:marTop w:val="0"/>
          <w:marBottom w:val="0"/>
          <w:divBdr>
            <w:top w:val="none" w:sz="0" w:space="0" w:color="auto"/>
            <w:left w:val="none" w:sz="0" w:space="0" w:color="auto"/>
            <w:bottom w:val="none" w:sz="0" w:space="0" w:color="auto"/>
            <w:right w:val="none" w:sz="0" w:space="0" w:color="auto"/>
          </w:divBdr>
        </w:div>
        <w:div w:id="2010717855">
          <w:marLeft w:val="0"/>
          <w:marRight w:val="0"/>
          <w:marTop w:val="0"/>
          <w:marBottom w:val="0"/>
          <w:divBdr>
            <w:top w:val="none" w:sz="0" w:space="0" w:color="auto"/>
            <w:left w:val="none" w:sz="0" w:space="0" w:color="auto"/>
            <w:bottom w:val="none" w:sz="0" w:space="0" w:color="auto"/>
            <w:right w:val="none" w:sz="0" w:space="0" w:color="auto"/>
          </w:divBdr>
        </w:div>
      </w:divsChild>
    </w:div>
    <w:div w:id="1345598006">
      <w:bodyDiv w:val="1"/>
      <w:marLeft w:val="0"/>
      <w:marRight w:val="0"/>
      <w:marTop w:val="0"/>
      <w:marBottom w:val="0"/>
      <w:divBdr>
        <w:top w:val="none" w:sz="0" w:space="0" w:color="auto"/>
        <w:left w:val="none" w:sz="0" w:space="0" w:color="auto"/>
        <w:bottom w:val="none" w:sz="0" w:space="0" w:color="auto"/>
        <w:right w:val="none" w:sz="0" w:space="0" w:color="auto"/>
      </w:divBdr>
    </w:div>
    <w:div w:id="1348796555">
      <w:bodyDiv w:val="1"/>
      <w:marLeft w:val="0"/>
      <w:marRight w:val="0"/>
      <w:marTop w:val="0"/>
      <w:marBottom w:val="0"/>
      <w:divBdr>
        <w:top w:val="none" w:sz="0" w:space="0" w:color="auto"/>
        <w:left w:val="none" w:sz="0" w:space="0" w:color="auto"/>
        <w:bottom w:val="none" w:sz="0" w:space="0" w:color="auto"/>
        <w:right w:val="none" w:sz="0" w:space="0" w:color="auto"/>
      </w:divBdr>
    </w:div>
    <w:div w:id="19155080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investigation/investigative-interviewing/investigative-interviewing" TargetMode="External"/><Relationship Id="rId18" Type="http://schemas.openxmlformats.org/officeDocument/2006/relationships/hyperlink" Target="https://www.politieacademie.nl/kennisenonderzoek/kennis/mediatheek/PDF/3435.pdf" TargetMode="External"/><Relationship Id="rId26" Type="http://schemas.openxmlformats.org/officeDocument/2006/relationships/hyperlink" Target="https://link.springer.com/article/10.1007/s42448-020-00052-8" TargetMode="External"/><Relationship Id="rId39" Type="http://schemas.openxmlformats.org/officeDocument/2006/relationships/hyperlink" Target="https://www.canee.net/files/The%20Cognitive%20Interview%20of%20Children.pdf" TargetMode="External"/><Relationship Id="rId21" Type="http://schemas.openxmlformats.org/officeDocument/2006/relationships/hyperlink" Target="https://www.files.ethz.ch/isn/157081/RP12-71.pdf" TargetMode="External"/><Relationship Id="rId34" Type="http://schemas.openxmlformats.org/officeDocument/2006/relationships/hyperlink" Target="https://link.springer.com/article/10.1007/s11292-017-9292-4" TargetMode="External"/><Relationship Id="rId42" Type="http://schemas.openxmlformats.org/officeDocument/2006/relationships/fontTable" Target="fontTable.xml"/><Relationship Id="rId7" Type="http://schemas.openxmlformats.org/officeDocument/2006/relationships/hyperlink" Target="http://johnbraithwaite.com/wp-content/uploads/2016/03/EvidenceForRestorativeJustice.pdf" TargetMode="External"/><Relationship Id="rId2" Type="http://schemas.openxmlformats.org/officeDocument/2006/relationships/styles" Target="styles.xml"/><Relationship Id="rId16" Type="http://schemas.openxmlformats.org/officeDocument/2006/relationships/hyperlink" Target="https://www.tandfonline.com/doi/abs/10.1080/10439460903281513" TargetMode="External"/><Relationship Id="rId20" Type="http://schemas.openxmlformats.org/officeDocument/2006/relationships/hyperlink" Target="https://psycnet.apa.org/record/2020-14999-000" TargetMode="External"/><Relationship Id="rId29" Type="http://schemas.openxmlformats.org/officeDocument/2006/relationships/hyperlink" Target="https://www.healthscotland.scot/population-groups/children/adverse-childhood-experiences-aces/overview-of-aces" TargetMode="External"/><Relationship Id="rId41" Type="http://schemas.openxmlformats.org/officeDocument/2006/relationships/hyperlink" Target="https://onlinelibrary.wiley.com/doi/abs/10.1002/acp.1260" TargetMode="External"/><Relationship Id="rId1" Type="http://schemas.openxmlformats.org/officeDocument/2006/relationships/customXml" Target="../customXml/item1.xml"/><Relationship Id="rId6" Type="http://schemas.openxmlformats.org/officeDocument/2006/relationships/hyperlink" Target="https://pubmed.ncbi.nlm.nih.gov/33328338/" TargetMode="External"/><Relationship Id="rId11" Type="http://schemas.openxmlformats.org/officeDocument/2006/relationships/hyperlink" Target="https://www.college.police.uk/app/major-investigation-and-public-protection" TargetMode="External"/><Relationship Id="rId24" Type="http://schemas.openxmlformats.org/officeDocument/2006/relationships/hyperlink" Target="https://www.sciencedirect.com/science/article/abs/pii/0010028575900237" TargetMode="External"/><Relationship Id="rId32" Type="http://schemas.openxmlformats.org/officeDocument/2006/relationships/hyperlink" Target="https://academic.oup.com/edited-volume/36315/chapter-abstract/318654215?redirectedFrom=fulltext&amp;login=false" TargetMode="External"/><Relationship Id="rId37" Type="http://schemas.openxmlformats.org/officeDocument/2006/relationships/hyperlink" Target="https://onlinelibrary.wiley.com/doi/abs/10.1111/jels.12086" TargetMode="External"/><Relationship Id="rId40" Type="http://schemas.openxmlformats.org/officeDocument/2006/relationships/hyperlink" Target="https://www.sciencedirect.com/science/article/pii/S1877129720303026" TargetMode="External"/><Relationship Id="rId5" Type="http://schemas.openxmlformats.org/officeDocument/2006/relationships/hyperlink" Target="https://link.springer.com/article/10.1023/A:1022309423642" TargetMode="External"/><Relationship Id="rId15" Type="http://schemas.openxmlformats.org/officeDocument/2006/relationships/hyperlink" Target="https://www.college.police.uk/guidance/restorative-justice/evidence-briefing" TargetMode="External"/><Relationship Id="rId23" Type="http://schemas.openxmlformats.org/officeDocument/2006/relationships/hyperlink" Target="https://www.liverpoolcamhs.com/aces/what-are-adverse-childhood-experiences/" TargetMode="External"/><Relationship Id="rId28" Type="http://schemas.openxmlformats.org/officeDocument/2006/relationships/hyperlink" Target="https://www.ojp.gov/ncjrs/virtual-library/abstracts/cognitive-interviewing-child-witnesses" TargetMode="External"/><Relationship Id="rId36" Type="http://schemas.openxmlformats.org/officeDocument/2006/relationships/hyperlink" Target="https://onlinelibrary.wiley.com/doi/10.4073/csr.2013.12" TargetMode="External"/><Relationship Id="rId10" Type="http://schemas.openxmlformats.org/officeDocument/2006/relationships/hyperlink" Target="https://www-tandfonline-com.ezproxy.uwtsd.ac.uk/doi/full/10.1080/10439463.2018.1532426" TargetMode="External"/><Relationship Id="rId19" Type="http://schemas.openxmlformats.org/officeDocument/2006/relationships/hyperlink" Target="https://www.tandfonline.com/doi/abs/10.1080/07418820902763046" TargetMode="External"/><Relationship Id="rId31" Type="http://schemas.openxmlformats.org/officeDocument/2006/relationships/hyperlink" Target="https://onlinelibrary.wiley.com/doi/epdf/10.1002/acp.1793?saml_referrer" TargetMode="External"/><Relationship Id="rId4" Type="http://schemas.openxmlformats.org/officeDocument/2006/relationships/webSettings" Target="webSettings.xml"/><Relationship Id="rId9" Type="http://schemas.openxmlformats.org/officeDocument/2006/relationships/hyperlink" Target="https://www.statista.com/statistics/303963/uk-police-officer-numbers/" TargetMode="External"/><Relationship Id="rId14" Type="http://schemas.openxmlformats.org/officeDocument/2006/relationships/hyperlink" Target="https://www.college.police.uk/app/engagement-and-communication/media-relations" TargetMode="External"/><Relationship Id="rId22" Type="http://schemas.openxmlformats.org/officeDocument/2006/relationships/hyperlink" Target="https://www.tandfonline.com/doi/abs/10.1080/10683169908414996" TargetMode="External"/><Relationship Id="rId27" Type="http://schemas.openxmlformats.org/officeDocument/2006/relationships/hyperlink" Target="https://www.annualreviews.org/doi/pdf/10.1146/annurev.lawsocsci.2.081805.110005" TargetMode="External"/><Relationship Id="rId30" Type="http://schemas.openxmlformats.org/officeDocument/2006/relationships/hyperlink" Target="https://calio.org/wp-content/uploads/2015/03/Effects_of_cognitive_interviewing_and_practice_on_childrens_recall_performance.pdf" TargetMode="External"/><Relationship Id="rId35" Type="http://schemas.openxmlformats.org/officeDocument/2006/relationships/hyperlink" Target="https://www.statista.com/statistics/1030625/crime-rate-uk/" TargetMode="External"/><Relationship Id="rId43" Type="http://schemas.openxmlformats.org/officeDocument/2006/relationships/theme" Target="theme/theme1.xml"/><Relationship Id="rId8" Type="http://schemas.openxmlformats.org/officeDocument/2006/relationships/hyperlink" Target="https://www.cdc.gov/violenceprevention/aces/index.html" TargetMode="External"/><Relationship Id="rId3" Type="http://schemas.openxmlformats.org/officeDocument/2006/relationships/settings" Target="settings.xml"/><Relationship Id="rId12" Type="http://schemas.openxmlformats.org/officeDocument/2006/relationships/hyperlink" Target="https://www.college.police.uk/app/investigation/working-victims-and-witnesses" TargetMode="External"/><Relationship Id="rId17" Type="http://schemas.openxmlformats.org/officeDocument/2006/relationships/hyperlink" Target="https://www.sciencedirect.com/science/article/abs/pii/S0022537180903795" TargetMode="External"/><Relationship Id="rId25" Type="http://schemas.openxmlformats.org/officeDocument/2006/relationships/hyperlink" Target="https://www.tandfonline.com/doi/epdf/10.1080/10439463.1999.9964816?needAccess=true" TargetMode="External"/><Relationship Id="rId33" Type="http://schemas.openxmlformats.org/officeDocument/2006/relationships/hyperlink" Target="https://link.springer.com/article/10.1007/S10940-014-9222-9" TargetMode="External"/><Relationship Id="rId38" Type="http://schemas.openxmlformats.org/officeDocument/2006/relationships/hyperlink" Target="https://victimscommissioner.org.uk/news/2021-victim-surv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199CE-214B-43FE-B79B-E6964D180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4356</TotalTime>
  <Pages>12</Pages>
  <Words>5671</Words>
  <Characters>32331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Davies,Daniel swp8378</dc:creator>
  <cp:keywords/>
  <dc:description/>
  <cp:lastModifiedBy>Davies,Daniel swp8378</cp:lastModifiedBy>
  <cp:revision>46</cp:revision>
  <dcterms:created xsi:type="dcterms:W3CDTF">2024-01-29T13:21:00Z</dcterms:created>
  <dcterms:modified xsi:type="dcterms:W3CDTF">2024-03-04T20:59:00Z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2024-01-29T13:38:11Z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59c83b60-8a59-47c6-a4e5-3a244101eda7</vt:lpwstr>
  </property>
  <property fmtid="{D5CDD505-2E9C-101B-9397-08002B2CF9AE}" pid="8" name="MSIP_Label_66cf8fe5-b7b7-4df7-b38d-1c61ac2f6639_ContentBits">
    <vt:lpwstr>0</vt:lpwstr>
  </property>
</Properties>
</file>