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128" w:rsidRDefault="008F1128" w:rsidP="009B2FEA">
      <w:pPr>
        <w:jc w:val="center"/>
        <w:rPr>
          <w:rFonts w:ascii="Arial" w:hAnsi="Arial" w:cs="Arial"/>
          <w:b/>
          <w:sz w:val="40"/>
          <w:szCs w:val="40"/>
        </w:rPr>
      </w:pPr>
    </w:p>
    <w:p w:rsidR="009B2FEA" w:rsidRDefault="009B2FEA" w:rsidP="009B2FEA">
      <w:pPr>
        <w:jc w:val="center"/>
        <w:rPr>
          <w:rFonts w:ascii="Arial" w:hAnsi="Arial" w:cs="Arial"/>
          <w:b/>
          <w:sz w:val="40"/>
          <w:szCs w:val="40"/>
        </w:rPr>
      </w:pPr>
    </w:p>
    <w:p w:rsidR="009B2FEA" w:rsidRDefault="009B2FEA" w:rsidP="009B2FEA">
      <w:pPr>
        <w:jc w:val="center"/>
        <w:rPr>
          <w:rFonts w:ascii="Arial" w:hAnsi="Arial" w:cs="Arial"/>
          <w:b/>
          <w:sz w:val="40"/>
          <w:szCs w:val="40"/>
        </w:rPr>
      </w:pPr>
    </w:p>
    <w:p w:rsidR="009B2FEA" w:rsidRDefault="009B2FEA" w:rsidP="009B2FEA">
      <w:pPr>
        <w:jc w:val="center"/>
        <w:rPr>
          <w:rFonts w:ascii="Arial" w:hAnsi="Arial" w:cs="Arial"/>
          <w:sz w:val="52"/>
          <w:szCs w:val="52"/>
        </w:rPr>
      </w:pPr>
    </w:p>
    <w:p w:rsidR="009B2FEA" w:rsidRDefault="009B2FEA" w:rsidP="009B2FEA">
      <w:pPr>
        <w:jc w:val="center"/>
        <w:rPr>
          <w:rFonts w:ascii="Arial" w:hAnsi="Arial" w:cs="Arial"/>
          <w:b/>
          <w:sz w:val="52"/>
          <w:szCs w:val="52"/>
        </w:rPr>
      </w:pPr>
      <w:r>
        <w:rPr>
          <w:rFonts w:ascii="Arial" w:hAnsi="Arial" w:cs="Arial"/>
          <w:sz w:val="52"/>
          <w:szCs w:val="52"/>
        </w:rPr>
        <w:t xml:space="preserve">Contract Law – Assignment 2: </w:t>
      </w:r>
      <w:r>
        <w:rPr>
          <w:rFonts w:ascii="Arial" w:hAnsi="Arial" w:cs="Arial"/>
          <w:b/>
          <w:sz w:val="52"/>
          <w:szCs w:val="52"/>
        </w:rPr>
        <w:t>Consumer Rights Act 2015</w:t>
      </w:r>
    </w:p>
    <w:p w:rsidR="009B2FEA" w:rsidRDefault="009B2FEA" w:rsidP="009B2FEA">
      <w:pPr>
        <w:jc w:val="center"/>
        <w:rPr>
          <w:rFonts w:ascii="Arial" w:hAnsi="Arial" w:cs="Arial"/>
          <w:sz w:val="32"/>
          <w:szCs w:val="32"/>
        </w:rPr>
      </w:pPr>
      <w:r>
        <w:rPr>
          <w:rFonts w:ascii="Arial" w:hAnsi="Arial" w:cs="Arial"/>
          <w:sz w:val="32"/>
          <w:szCs w:val="32"/>
        </w:rPr>
        <w:t xml:space="preserve">By George </w:t>
      </w:r>
      <w:proofErr w:type="spellStart"/>
      <w:r>
        <w:rPr>
          <w:rFonts w:ascii="Arial" w:hAnsi="Arial" w:cs="Arial"/>
          <w:sz w:val="32"/>
          <w:szCs w:val="32"/>
        </w:rPr>
        <w:t>Lovering</w:t>
      </w:r>
      <w:proofErr w:type="spellEnd"/>
    </w:p>
    <w:p w:rsidR="009B2FEA" w:rsidRDefault="009B2FEA">
      <w:pPr>
        <w:rPr>
          <w:rFonts w:ascii="Arial" w:hAnsi="Arial" w:cs="Arial"/>
          <w:sz w:val="32"/>
          <w:szCs w:val="32"/>
        </w:rPr>
      </w:pPr>
      <w:r>
        <w:rPr>
          <w:rFonts w:ascii="Arial" w:hAnsi="Arial" w:cs="Arial"/>
          <w:sz w:val="32"/>
          <w:szCs w:val="32"/>
        </w:rPr>
        <w:br w:type="page"/>
      </w:r>
      <w:bookmarkStart w:id="0" w:name="_GoBack"/>
      <w:bookmarkEnd w:id="0"/>
    </w:p>
    <w:p w:rsidR="009B2FEA" w:rsidRDefault="000F6736" w:rsidP="00F05A32">
      <w:pPr>
        <w:spacing w:line="480" w:lineRule="auto"/>
        <w:rPr>
          <w:rFonts w:ascii="Arial" w:hAnsi="Arial" w:cs="Arial"/>
          <w:sz w:val="24"/>
          <w:szCs w:val="24"/>
        </w:rPr>
      </w:pPr>
      <w:r>
        <w:rPr>
          <w:rFonts w:ascii="Arial" w:hAnsi="Arial" w:cs="Arial"/>
          <w:sz w:val="24"/>
          <w:szCs w:val="24"/>
        </w:rPr>
        <w:lastRenderedPageBreak/>
        <w:t>During this discussion there will be an examination of</w:t>
      </w:r>
      <w:r w:rsidR="00D15217">
        <w:rPr>
          <w:rFonts w:ascii="Arial" w:hAnsi="Arial" w:cs="Arial"/>
          <w:sz w:val="24"/>
          <w:szCs w:val="24"/>
        </w:rPr>
        <w:t xml:space="preserve"> the Consumer Rights Act (2015), with the main emphasis being on evaluating the effectiveness of the act in offering</w:t>
      </w:r>
      <w:r w:rsidR="00EC59BA">
        <w:rPr>
          <w:rFonts w:ascii="Arial" w:hAnsi="Arial" w:cs="Arial"/>
          <w:sz w:val="24"/>
          <w:szCs w:val="24"/>
        </w:rPr>
        <w:t xml:space="preserve"> more protection for consumers. There will also be </w:t>
      </w:r>
      <w:r w:rsidR="006675AC">
        <w:rPr>
          <w:rFonts w:ascii="Arial" w:hAnsi="Arial" w:cs="Arial"/>
          <w:sz w:val="24"/>
          <w:szCs w:val="24"/>
        </w:rPr>
        <w:t>previous</w:t>
      </w:r>
      <w:r w:rsidR="00EC59BA">
        <w:rPr>
          <w:rFonts w:ascii="Arial" w:hAnsi="Arial" w:cs="Arial"/>
          <w:sz w:val="24"/>
          <w:szCs w:val="24"/>
        </w:rPr>
        <w:t xml:space="preserve"> legislation that holds significance in this discussion</w:t>
      </w:r>
      <w:r w:rsidR="00567A9A">
        <w:rPr>
          <w:rFonts w:ascii="Arial" w:hAnsi="Arial" w:cs="Arial"/>
          <w:sz w:val="24"/>
          <w:szCs w:val="24"/>
        </w:rPr>
        <w:t xml:space="preserve"> which will be primarily used</w:t>
      </w:r>
      <w:r w:rsidR="00E9791E">
        <w:rPr>
          <w:rFonts w:ascii="Arial" w:hAnsi="Arial" w:cs="Arial"/>
          <w:sz w:val="24"/>
          <w:szCs w:val="24"/>
        </w:rPr>
        <w:t xml:space="preserve"> as a means to compare them to CRA (2015)</w:t>
      </w:r>
      <w:r w:rsidR="00EC59BA">
        <w:rPr>
          <w:rFonts w:ascii="Arial" w:hAnsi="Arial" w:cs="Arial"/>
          <w:sz w:val="24"/>
          <w:szCs w:val="24"/>
        </w:rPr>
        <w:t>,</w:t>
      </w:r>
      <w:r w:rsidR="00E9791E">
        <w:rPr>
          <w:rFonts w:ascii="Arial" w:hAnsi="Arial" w:cs="Arial"/>
          <w:sz w:val="24"/>
          <w:szCs w:val="24"/>
        </w:rPr>
        <w:t xml:space="preserve"> legislation</w:t>
      </w:r>
      <w:r w:rsidR="00EC59BA">
        <w:rPr>
          <w:rFonts w:ascii="Arial" w:hAnsi="Arial" w:cs="Arial"/>
          <w:sz w:val="24"/>
          <w:szCs w:val="24"/>
        </w:rPr>
        <w:t xml:space="preserve"> such as </w:t>
      </w:r>
      <w:r w:rsidR="007E546E">
        <w:rPr>
          <w:rFonts w:ascii="Arial" w:hAnsi="Arial" w:cs="Arial"/>
          <w:sz w:val="24"/>
          <w:szCs w:val="24"/>
        </w:rPr>
        <w:t>(</w:t>
      </w:r>
      <w:r w:rsidR="00EC59BA">
        <w:rPr>
          <w:rFonts w:ascii="Arial" w:hAnsi="Arial" w:cs="Arial"/>
          <w:sz w:val="24"/>
          <w:szCs w:val="24"/>
        </w:rPr>
        <w:t>but not limited to</w:t>
      </w:r>
      <w:r w:rsidR="007E546E">
        <w:rPr>
          <w:rFonts w:ascii="Arial" w:hAnsi="Arial" w:cs="Arial"/>
          <w:sz w:val="24"/>
          <w:szCs w:val="24"/>
        </w:rPr>
        <w:t>)</w:t>
      </w:r>
      <w:r w:rsidR="00EC59BA">
        <w:rPr>
          <w:rFonts w:ascii="Arial" w:hAnsi="Arial" w:cs="Arial"/>
          <w:sz w:val="24"/>
          <w:szCs w:val="24"/>
        </w:rPr>
        <w:t>, Sale of Goods Act (1979), Supply of Goods and Services Act (1982) and Unfair Contract Terms Act (1977).</w:t>
      </w:r>
      <w:r w:rsidR="00567A9A">
        <w:rPr>
          <w:rFonts w:ascii="Arial" w:hAnsi="Arial" w:cs="Arial"/>
          <w:sz w:val="24"/>
          <w:szCs w:val="24"/>
        </w:rPr>
        <w:t xml:space="preserve"> </w:t>
      </w:r>
      <w:r w:rsidR="00702E3B">
        <w:rPr>
          <w:rFonts w:ascii="Arial" w:hAnsi="Arial" w:cs="Arial"/>
          <w:sz w:val="24"/>
          <w:szCs w:val="24"/>
        </w:rPr>
        <w:t>Using CRA (2015) and the other relevant pieces of legislation there will be an opportunity to evaluate if the main aims set out when the act was introduced have been met</w:t>
      </w:r>
      <w:r w:rsidR="003D758F">
        <w:rPr>
          <w:rFonts w:ascii="Arial" w:hAnsi="Arial" w:cs="Arial"/>
          <w:sz w:val="24"/>
          <w:szCs w:val="24"/>
        </w:rPr>
        <w:t xml:space="preserve"> when it comes to providing consumers more rights and improving the process of disputes.</w:t>
      </w:r>
    </w:p>
    <w:p w:rsidR="00EF41A6" w:rsidRPr="00714D76" w:rsidRDefault="00A60E9F" w:rsidP="00F05A32">
      <w:pPr>
        <w:spacing w:line="480" w:lineRule="auto"/>
        <w:rPr>
          <w:rFonts w:ascii="Arial" w:hAnsi="Arial" w:cs="Arial"/>
          <w:sz w:val="24"/>
          <w:szCs w:val="24"/>
        </w:rPr>
      </w:pPr>
      <w:r>
        <w:rPr>
          <w:rFonts w:ascii="Arial" w:hAnsi="Arial" w:cs="Arial"/>
          <w:sz w:val="24"/>
          <w:szCs w:val="24"/>
        </w:rPr>
        <w:t>With the main aim of CRA (2015) being</w:t>
      </w:r>
      <w:r w:rsidR="009B62C7">
        <w:rPr>
          <w:rFonts w:ascii="Arial" w:hAnsi="Arial" w:cs="Arial"/>
          <w:sz w:val="24"/>
          <w:szCs w:val="24"/>
        </w:rPr>
        <w:t xml:space="preserve"> to </w:t>
      </w:r>
      <w:r w:rsidR="00FF76C9">
        <w:rPr>
          <w:rFonts w:ascii="Arial" w:hAnsi="Arial" w:cs="Arial"/>
          <w:sz w:val="24"/>
          <w:szCs w:val="24"/>
        </w:rPr>
        <w:t xml:space="preserve">offer </w:t>
      </w:r>
      <w:r w:rsidR="009B62C7" w:rsidRPr="009B62C7">
        <w:rPr>
          <w:rStyle w:val="Strong"/>
          <w:rFonts w:ascii="Arial" w:hAnsi="Arial" w:cs="Arial"/>
          <w:b w:val="0"/>
          <w:sz w:val="24"/>
          <w:szCs w:val="24"/>
          <w:shd w:val="clear" w:color="auto" w:fill="FFFFFF"/>
        </w:rPr>
        <w:t>“a simple, coherent framework of consumer legislation by consolidating and simplifying existing law”</w:t>
      </w:r>
      <w:r w:rsidR="009B62C7">
        <w:rPr>
          <w:rStyle w:val="Strong"/>
          <w:rFonts w:ascii="Arial" w:hAnsi="Arial" w:cs="Arial"/>
          <w:b w:val="0"/>
          <w:sz w:val="24"/>
          <w:szCs w:val="24"/>
          <w:shd w:val="clear" w:color="auto" w:fill="FFFFFF"/>
        </w:rPr>
        <w:t xml:space="preserve"> and</w:t>
      </w:r>
      <w:r w:rsidRPr="009B62C7">
        <w:rPr>
          <w:rFonts w:ascii="Arial" w:hAnsi="Arial" w:cs="Arial"/>
          <w:sz w:val="24"/>
          <w:szCs w:val="24"/>
        </w:rPr>
        <w:t xml:space="preserve"> </w:t>
      </w:r>
      <w:r>
        <w:rPr>
          <w:rFonts w:ascii="Arial" w:hAnsi="Arial" w:cs="Arial"/>
          <w:sz w:val="24"/>
          <w:szCs w:val="24"/>
        </w:rPr>
        <w:t xml:space="preserve">to provide protection to consumers when purchasing goods, digital content and services, </w:t>
      </w:r>
      <w:r w:rsidRPr="003752E6">
        <w:rPr>
          <w:rFonts w:ascii="Arial" w:hAnsi="Arial" w:cs="Arial"/>
          <w:i/>
          <w:sz w:val="24"/>
          <w:szCs w:val="24"/>
        </w:rPr>
        <w:t xml:space="preserve">Flynn and </w:t>
      </w:r>
      <w:proofErr w:type="spellStart"/>
      <w:r w:rsidRPr="003752E6">
        <w:rPr>
          <w:rFonts w:ascii="Arial" w:hAnsi="Arial" w:cs="Arial"/>
          <w:i/>
          <w:sz w:val="24"/>
          <w:szCs w:val="24"/>
        </w:rPr>
        <w:t>Broadhurst</w:t>
      </w:r>
      <w:proofErr w:type="spellEnd"/>
      <w:r>
        <w:rPr>
          <w:rFonts w:ascii="Arial" w:hAnsi="Arial" w:cs="Arial"/>
          <w:sz w:val="24"/>
          <w:szCs w:val="24"/>
        </w:rPr>
        <w:t xml:space="preserve"> (2020) </w:t>
      </w:r>
      <w:r w:rsidR="00215CD4">
        <w:rPr>
          <w:rFonts w:ascii="Arial" w:hAnsi="Arial" w:cs="Arial"/>
          <w:sz w:val="24"/>
          <w:szCs w:val="24"/>
        </w:rPr>
        <w:t xml:space="preserve">outline the </w:t>
      </w:r>
      <w:r>
        <w:rPr>
          <w:rFonts w:ascii="Arial" w:hAnsi="Arial" w:cs="Arial"/>
          <w:sz w:val="24"/>
          <w:szCs w:val="24"/>
        </w:rPr>
        <w:t>significance</w:t>
      </w:r>
      <w:r w:rsidR="00215CD4">
        <w:rPr>
          <w:rFonts w:ascii="Arial" w:hAnsi="Arial" w:cs="Arial"/>
          <w:sz w:val="24"/>
          <w:szCs w:val="24"/>
        </w:rPr>
        <w:t xml:space="preserve"> of the act</w:t>
      </w:r>
      <w:r>
        <w:rPr>
          <w:rFonts w:ascii="Arial" w:hAnsi="Arial" w:cs="Arial"/>
          <w:sz w:val="24"/>
          <w:szCs w:val="24"/>
        </w:rPr>
        <w:t xml:space="preserve"> in expanding the definition of what falls under a “consumer” and also how the act has built on the existing legal requirements in contract law to provide more remedies for consumers. </w:t>
      </w:r>
      <w:r w:rsidR="00193FD6">
        <w:rPr>
          <w:rFonts w:ascii="Arial" w:hAnsi="Arial" w:cs="Arial"/>
          <w:sz w:val="24"/>
          <w:szCs w:val="24"/>
        </w:rPr>
        <w:t xml:space="preserve">Firstly, CRA (2015) </w:t>
      </w:r>
      <w:r w:rsidR="00EF41A6">
        <w:rPr>
          <w:rFonts w:ascii="Arial" w:hAnsi="Arial" w:cs="Arial"/>
          <w:sz w:val="24"/>
          <w:szCs w:val="24"/>
        </w:rPr>
        <w:t xml:space="preserve">provides a more diverse definition of consumer, this is summed up by Flynn and </w:t>
      </w:r>
      <w:proofErr w:type="spellStart"/>
      <w:r w:rsidR="00EF41A6">
        <w:rPr>
          <w:rFonts w:ascii="Arial" w:hAnsi="Arial" w:cs="Arial"/>
          <w:sz w:val="24"/>
          <w:szCs w:val="24"/>
        </w:rPr>
        <w:t>Broadhurst</w:t>
      </w:r>
      <w:proofErr w:type="spellEnd"/>
      <w:r w:rsidR="00EF41A6">
        <w:rPr>
          <w:rFonts w:ascii="Arial" w:hAnsi="Arial" w:cs="Arial"/>
          <w:sz w:val="24"/>
          <w:szCs w:val="24"/>
        </w:rPr>
        <w:t xml:space="preserve"> who </w:t>
      </w:r>
      <w:r w:rsidR="008F498D">
        <w:rPr>
          <w:rFonts w:ascii="Arial" w:hAnsi="Arial" w:cs="Arial"/>
          <w:sz w:val="24"/>
          <w:szCs w:val="24"/>
        </w:rPr>
        <w:t xml:space="preserve">state </w:t>
      </w:r>
      <w:r w:rsidR="00EF41A6" w:rsidRPr="00EF41A6">
        <w:rPr>
          <w:rFonts w:ascii="Arial" w:hAnsi="Arial" w:cs="Arial"/>
          <w:sz w:val="24"/>
          <w:szCs w:val="24"/>
        </w:rPr>
        <w:t xml:space="preserve">“This now includes individuals acting “mainly” as well as “wholly” outside that “individual’s trade, business, craft or profession”. </w:t>
      </w:r>
      <w:r w:rsidR="00805E13">
        <w:rPr>
          <w:rFonts w:ascii="Arial" w:hAnsi="Arial" w:cs="Arial"/>
          <w:sz w:val="24"/>
          <w:szCs w:val="24"/>
        </w:rPr>
        <w:t>Su</w:t>
      </w:r>
      <w:r w:rsidR="00025D5F">
        <w:rPr>
          <w:rFonts w:ascii="Arial" w:hAnsi="Arial" w:cs="Arial"/>
          <w:sz w:val="24"/>
          <w:szCs w:val="24"/>
        </w:rPr>
        <w:t xml:space="preserve">mmarising </w:t>
      </w:r>
      <w:r w:rsidR="003302D1">
        <w:rPr>
          <w:rFonts w:ascii="Arial" w:hAnsi="Arial" w:cs="Arial"/>
          <w:sz w:val="24"/>
          <w:szCs w:val="24"/>
        </w:rPr>
        <w:t xml:space="preserve">the significance of that point, </w:t>
      </w:r>
      <w:r w:rsidR="001B2FD4">
        <w:rPr>
          <w:rFonts w:ascii="Arial" w:hAnsi="Arial" w:cs="Arial"/>
          <w:sz w:val="24"/>
          <w:szCs w:val="24"/>
        </w:rPr>
        <w:t xml:space="preserve">this means that the </w:t>
      </w:r>
      <w:r w:rsidR="00C174C3">
        <w:rPr>
          <w:rFonts w:ascii="Arial" w:hAnsi="Arial" w:cs="Arial"/>
          <w:sz w:val="24"/>
          <w:szCs w:val="24"/>
        </w:rPr>
        <w:t>definition of consumer</w:t>
      </w:r>
      <w:r w:rsidR="001B2FD4">
        <w:rPr>
          <w:rFonts w:ascii="Arial" w:hAnsi="Arial" w:cs="Arial"/>
          <w:sz w:val="24"/>
          <w:szCs w:val="24"/>
        </w:rPr>
        <w:t xml:space="preserve"> is expanded</w:t>
      </w:r>
      <w:r w:rsidR="00C174C3">
        <w:rPr>
          <w:rFonts w:ascii="Arial" w:hAnsi="Arial" w:cs="Arial"/>
          <w:sz w:val="24"/>
          <w:szCs w:val="24"/>
        </w:rPr>
        <w:t xml:space="preserve"> in the act</w:t>
      </w:r>
      <w:r w:rsidR="001B2FD4">
        <w:rPr>
          <w:rFonts w:ascii="Arial" w:hAnsi="Arial" w:cs="Arial"/>
          <w:sz w:val="24"/>
          <w:szCs w:val="24"/>
        </w:rPr>
        <w:t xml:space="preserve"> </w:t>
      </w:r>
      <w:r w:rsidR="00C174C3">
        <w:rPr>
          <w:rFonts w:ascii="Arial" w:hAnsi="Arial" w:cs="Arial"/>
          <w:sz w:val="24"/>
          <w:szCs w:val="24"/>
        </w:rPr>
        <w:t>to include</w:t>
      </w:r>
      <w:r w:rsidR="0027710A">
        <w:rPr>
          <w:rFonts w:ascii="Arial" w:hAnsi="Arial" w:cs="Arial"/>
          <w:sz w:val="24"/>
          <w:szCs w:val="24"/>
        </w:rPr>
        <w:t xml:space="preserve"> and compensate for</w:t>
      </w:r>
      <w:r w:rsidR="001B2FD4">
        <w:rPr>
          <w:rFonts w:ascii="Arial" w:hAnsi="Arial" w:cs="Arial"/>
          <w:sz w:val="24"/>
          <w:szCs w:val="24"/>
        </w:rPr>
        <w:t xml:space="preserve"> individuals who may be </w:t>
      </w:r>
      <w:r w:rsidR="00C174C3">
        <w:rPr>
          <w:rFonts w:ascii="Arial" w:hAnsi="Arial" w:cs="Arial"/>
          <w:sz w:val="24"/>
          <w:szCs w:val="24"/>
        </w:rPr>
        <w:t>purchasing goods or services for home use and sole traders who wish to purchase</w:t>
      </w:r>
      <w:r w:rsidR="00070C59">
        <w:rPr>
          <w:rFonts w:ascii="Arial" w:hAnsi="Arial" w:cs="Arial"/>
          <w:sz w:val="24"/>
          <w:szCs w:val="24"/>
        </w:rPr>
        <w:t xml:space="preserve"> for small businesses.</w:t>
      </w:r>
      <w:r w:rsidR="00686117">
        <w:rPr>
          <w:rFonts w:ascii="Arial" w:hAnsi="Arial" w:cs="Arial"/>
          <w:sz w:val="24"/>
          <w:szCs w:val="24"/>
        </w:rPr>
        <w:t xml:space="preserve"> Each part of CRA (2015) plays a key role in the current law regarding consumers in the UK, part 1 is important </w:t>
      </w:r>
      <w:r w:rsidR="00066919">
        <w:rPr>
          <w:rFonts w:ascii="Arial" w:hAnsi="Arial" w:cs="Arial"/>
          <w:sz w:val="24"/>
          <w:szCs w:val="24"/>
        </w:rPr>
        <w:t>as</w:t>
      </w:r>
      <w:r w:rsidR="00686117">
        <w:rPr>
          <w:rFonts w:ascii="Arial" w:hAnsi="Arial" w:cs="Arial"/>
          <w:sz w:val="24"/>
          <w:szCs w:val="24"/>
        </w:rPr>
        <w:t xml:space="preserve"> it provides guidelines and standards that consumers should expect in these situations, </w:t>
      </w:r>
      <w:r w:rsidR="00066919">
        <w:rPr>
          <w:rFonts w:ascii="Arial" w:hAnsi="Arial" w:cs="Arial"/>
          <w:sz w:val="24"/>
          <w:szCs w:val="24"/>
        </w:rPr>
        <w:t xml:space="preserve">this can be clearly identified as an </w:t>
      </w:r>
      <w:r w:rsidR="00066919">
        <w:rPr>
          <w:rFonts w:ascii="Arial" w:hAnsi="Arial" w:cs="Arial"/>
          <w:sz w:val="24"/>
          <w:szCs w:val="24"/>
        </w:rPr>
        <w:lastRenderedPageBreak/>
        <w:t>advantage of the CRA because it allows</w:t>
      </w:r>
      <w:r w:rsidR="00686117">
        <w:rPr>
          <w:rFonts w:ascii="Arial" w:hAnsi="Arial" w:cs="Arial"/>
          <w:sz w:val="24"/>
          <w:szCs w:val="24"/>
        </w:rPr>
        <w:t xml:space="preserve"> the providers of </w:t>
      </w:r>
      <w:r w:rsidR="00AE2F3F">
        <w:rPr>
          <w:rFonts w:ascii="Arial" w:hAnsi="Arial" w:cs="Arial"/>
          <w:sz w:val="24"/>
          <w:szCs w:val="24"/>
        </w:rPr>
        <w:t>the</w:t>
      </w:r>
      <w:r w:rsidR="00686117">
        <w:rPr>
          <w:rFonts w:ascii="Arial" w:hAnsi="Arial" w:cs="Arial"/>
          <w:sz w:val="24"/>
          <w:szCs w:val="24"/>
        </w:rPr>
        <w:t xml:space="preserve"> goods, services </w:t>
      </w:r>
      <w:r w:rsidR="00AE2F3F">
        <w:rPr>
          <w:rFonts w:ascii="Arial" w:hAnsi="Arial" w:cs="Arial"/>
          <w:sz w:val="24"/>
          <w:szCs w:val="24"/>
        </w:rPr>
        <w:t>and</w:t>
      </w:r>
      <w:r w:rsidR="00686117">
        <w:rPr>
          <w:rFonts w:ascii="Arial" w:hAnsi="Arial" w:cs="Arial"/>
          <w:sz w:val="24"/>
          <w:szCs w:val="24"/>
        </w:rPr>
        <w:t xml:space="preserve"> digital content to be held accountable for following these standards. </w:t>
      </w:r>
      <w:r w:rsidR="00714D76">
        <w:rPr>
          <w:rFonts w:ascii="Arial" w:hAnsi="Arial" w:cs="Arial"/>
          <w:sz w:val="24"/>
          <w:szCs w:val="24"/>
        </w:rPr>
        <w:t xml:space="preserve">To cite </w:t>
      </w:r>
      <w:proofErr w:type="spellStart"/>
      <w:r w:rsidR="00714D76" w:rsidRPr="00714D76">
        <w:rPr>
          <w:rFonts w:ascii="Arial" w:hAnsi="Arial" w:cs="Arial"/>
          <w:i/>
          <w:sz w:val="24"/>
          <w:szCs w:val="24"/>
        </w:rPr>
        <w:t>Gilker</w:t>
      </w:r>
      <w:proofErr w:type="spellEnd"/>
      <w:r w:rsidR="00714D76">
        <w:rPr>
          <w:rFonts w:ascii="Arial" w:hAnsi="Arial" w:cs="Arial"/>
          <w:sz w:val="24"/>
          <w:szCs w:val="24"/>
        </w:rPr>
        <w:t xml:space="preserve"> (2017), </w:t>
      </w:r>
      <w:r w:rsidR="00714D76" w:rsidRPr="00714D76">
        <w:rPr>
          <w:rFonts w:ascii="Arial" w:hAnsi="Arial" w:cs="Arial"/>
          <w:sz w:val="24"/>
          <w:szCs w:val="24"/>
        </w:rPr>
        <w:t>“Part 1 of the Act deals with agreements between a trader and a consumer for the trader to supply goods, digital content or services, i</w:t>
      </w:r>
      <w:r w:rsidR="00714D76">
        <w:rPr>
          <w:rFonts w:ascii="Arial" w:hAnsi="Arial" w:cs="Arial"/>
          <w:sz w:val="24"/>
          <w:szCs w:val="24"/>
        </w:rPr>
        <w:t>f the agreement is a contract.</w:t>
      </w:r>
      <w:r w:rsidR="00714D76" w:rsidRPr="00714D76">
        <w:rPr>
          <w:rFonts w:ascii="Arial" w:hAnsi="Arial" w:cs="Arial"/>
          <w:sz w:val="24"/>
          <w:szCs w:val="24"/>
        </w:rPr>
        <w:t xml:space="preserve"> It replaces earlier legislation which had implemented the Consumer Sales Directive (CSD), namely the Sale and Supply of Goods to Consumers Regulations 2002, which are now revoked.</w:t>
      </w:r>
      <w:r w:rsidR="00714D76">
        <w:rPr>
          <w:rFonts w:ascii="Arial" w:hAnsi="Arial" w:cs="Arial"/>
          <w:sz w:val="24"/>
          <w:szCs w:val="24"/>
        </w:rPr>
        <w:t xml:space="preserve">” </w:t>
      </w:r>
      <w:r w:rsidR="00F07941">
        <w:rPr>
          <w:rFonts w:ascii="Arial" w:hAnsi="Arial" w:cs="Arial"/>
          <w:sz w:val="24"/>
          <w:szCs w:val="24"/>
        </w:rPr>
        <w:t>In order to examine the extent to which the introduction of the CRA (2015) has offered an advantage to</w:t>
      </w:r>
      <w:r w:rsidR="004852CC">
        <w:rPr>
          <w:rFonts w:ascii="Arial" w:hAnsi="Arial" w:cs="Arial"/>
          <w:sz w:val="24"/>
          <w:szCs w:val="24"/>
        </w:rPr>
        <w:t xml:space="preserve"> consumers, specifically part 1;</w:t>
      </w:r>
      <w:r w:rsidR="00F07941">
        <w:rPr>
          <w:rFonts w:ascii="Arial" w:hAnsi="Arial" w:cs="Arial"/>
          <w:sz w:val="24"/>
          <w:szCs w:val="24"/>
        </w:rPr>
        <w:t xml:space="preserve"> it is critical to compare </w:t>
      </w:r>
      <w:r w:rsidR="004852CC">
        <w:rPr>
          <w:rFonts w:ascii="Arial" w:hAnsi="Arial" w:cs="Arial"/>
          <w:sz w:val="24"/>
          <w:szCs w:val="24"/>
        </w:rPr>
        <w:t>past legislation</w:t>
      </w:r>
      <w:r w:rsidR="00F07941">
        <w:rPr>
          <w:rFonts w:ascii="Arial" w:hAnsi="Arial" w:cs="Arial"/>
          <w:sz w:val="24"/>
          <w:szCs w:val="24"/>
        </w:rPr>
        <w:t xml:space="preserve"> </w:t>
      </w:r>
      <w:r w:rsidR="004852CC">
        <w:rPr>
          <w:rFonts w:ascii="Arial" w:hAnsi="Arial" w:cs="Arial"/>
          <w:sz w:val="24"/>
          <w:szCs w:val="24"/>
        </w:rPr>
        <w:t xml:space="preserve">to the current law. </w:t>
      </w:r>
      <w:r w:rsidR="00F5666B">
        <w:rPr>
          <w:rFonts w:ascii="Arial" w:hAnsi="Arial" w:cs="Arial"/>
          <w:sz w:val="24"/>
          <w:szCs w:val="24"/>
        </w:rPr>
        <w:t xml:space="preserve">The Supply of Goods and Services Act (1982) </w:t>
      </w:r>
      <w:r w:rsidR="006E716F">
        <w:rPr>
          <w:rFonts w:ascii="Arial" w:hAnsi="Arial" w:cs="Arial"/>
          <w:sz w:val="24"/>
          <w:szCs w:val="24"/>
        </w:rPr>
        <w:t>can be used as a means of comparison here as it arguably had similar aims when ob</w:t>
      </w:r>
      <w:r w:rsidR="00AD24FE">
        <w:rPr>
          <w:rFonts w:ascii="Arial" w:hAnsi="Arial" w:cs="Arial"/>
          <w:sz w:val="24"/>
          <w:szCs w:val="24"/>
        </w:rPr>
        <w:t xml:space="preserve">jectively looking at both acts. </w:t>
      </w:r>
      <w:r w:rsidR="00CA6B00">
        <w:rPr>
          <w:rFonts w:ascii="Arial" w:hAnsi="Arial" w:cs="Arial"/>
          <w:sz w:val="24"/>
          <w:szCs w:val="24"/>
        </w:rPr>
        <w:t xml:space="preserve">In this instance when discussing the </w:t>
      </w:r>
      <w:r w:rsidR="006B7572">
        <w:rPr>
          <w:rFonts w:ascii="Arial" w:hAnsi="Arial" w:cs="Arial"/>
          <w:sz w:val="24"/>
          <w:szCs w:val="24"/>
        </w:rPr>
        <w:t>advantages that</w:t>
      </w:r>
      <w:r w:rsidR="00CA6B00">
        <w:rPr>
          <w:rFonts w:ascii="Arial" w:hAnsi="Arial" w:cs="Arial"/>
          <w:sz w:val="24"/>
          <w:szCs w:val="24"/>
        </w:rPr>
        <w:t xml:space="preserve"> the act holds as a whole, citing </w:t>
      </w:r>
      <w:r w:rsidR="00CA6B00">
        <w:rPr>
          <w:rFonts w:ascii="Arial" w:hAnsi="Arial" w:cs="Arial"/>
          <w:i/>
          <w:sz w:val="24"/>
          <w:szCs w:val="24"/>
        </w:rPr>
        <w:t xml:space="preserve">Citizens Advice Bureau </w:t>
      </w:r>
      <w:r w:rsidR="0047694C">
        <w:rPr>
          <w:rFonts w:ascii="Arial" w:hAnsi="Arial" w:cs="Arial"/>
          <w:sz w:val="24"/>
          <w:szCs w:val="24"/>
        </w:rPr>
        <w:t xml:space="preserve">(2022), </w:t>
      </w:r>
      <w:r w:rsidR="0054680A">
        <w:rPr>
          <w:rFonts w:ascii="Arial" w:hAnsi="Arial" w:cs="Arial"/>
          <w:sz w:val="24"/>
          <w:szCs w:val="24"/>
        </w:rPr>
        <w:t>“</w:t>
      </w:r>
      <w:r w:rsidR="0047694C" w:rsidRPr="0047694C">
        <w:rPr>
          <w:rFonts w:ascii="Arial" w:hAnsi="Arial" w:cs="Arial"/>
          <w:color w:val="111111"/>
          <w:sz w:val="24"/>
          <w:szCs w:val="24"/>
          <w:shd w:val="clear" w:color="auto" w:fill="FFFFFF"/>
        </w:rPr>
        <w:t>The law is now clearer and easier to understand, meaning that consumers can buy and businesses can sell to them with confidence.</w:t>
      </w:r>
      <w:r w:rsidR="0054680A">
        <w:rPr>
          <w:rFonts w:ascii="Arial" w:hAnsi="Arial" w:cs="Arial"/>
          <w:color w:val="111111"/>
          <w:sz w:val="24"/>
          <w:szCs w:val="24"/>
          <w:shd w:val="clear" w:color="auto" w:fill="FFFFFF"/>
        </w:rPr>
        <w:t xml:space="preserve">” Expanding on this observation, with </w:t>
      </w:r>
      <w:r w:rsidR="00F822FC">
        <w:rPr>
          <w:rFonts w:ascii="Arial" w:hAnsi="Arial" w:cs="Arial"/>
          <w:color w:val="111111"/>
          <w:sz w:val="24"/>
          <w:szCs w:val="24"/>
          <w:shd w:val="clear" w:color="auto" w:fill="FFFFFF"/>
        </w:rPr>
        <w:t xml:space="preserve">the view </w:t>
      </w:r>
      <w:r w:rsidR="00D459BB">
        <w:rPr>
          <w:rFonts w:ascii="Arial" w:hAnsi="Arial" w:cs="Arial"/>
          <w:color w:val="111111"/>
          <w:sz w:val="24"/>
          <w:szCs w:val="24"/>
          <w:shd w:val="clear" w:color="auto" w:fill="FFFFFF"/>
        </w:rPr>
        <w:t>that the act has allowed for a</w:t>
      </w:r>
      <w:r w:rsidR="0054680A">
        <w:rPr>
          <w:rFonts w:ascii="Arial" w:hAnsi="Arial" w:cs="Arial"/>
          <w:color w:val="111111"/>
          <w:sz w:val="24"/>
          <w:szCs w:val="24"/>
          <w:shd w:val="clear" w:color="auto" w:fill="FFFFFF"/>
        </w:rPr>
        <w:t xml:space="preserve"> </w:t>
      </w:r>
      <w:r w:rsidR="00967250">
        <w:rPr>
          <w:rFonts w:ascii="Arial" w:hAnsi="Arial" w:cs="Arial"/>
          <w:color w:val="111111"/>
          <w:sz w:val="24"/>
          <w:szCs w:val="24"/>
          <w:shd w:val="clear" w:color="auto" w:fill="FFFFFF"/>
        </w:rPr>
        <w:t>clearer</w:t>
      </w:r>
      <w:r w:rsidR="0054680A">
        <w:rPr>
          <w:rFonts w:ascii="Arial" w:hAnsi="Arial" w:cs="Arial"/>
          <w:color w:val="111111"/>
          <w:sz w:val="24"/>
          <w:szCs w:val="24"/>
          <w:shd w:val="clear" w:color="auto" w:fill="FFFFFF"/>
        </w:rPr>
        <w:t xml:space="preserve"> understanding </w:t>
      </w:r>
      <w:r w:rsidR="00D459BB">
        <w:rPr>
          <w:rFonts w:ascii="Arial" w:hAnsi="Arial" w:cs="Arial"/>
          <w:color w:val="111111"/>
          <w:sz w:val="24"/>
          <w:szCs w:val="24"/>
          <w:shd w:val="clear" w:color="auto" w:fill="FFFFFF"/>
        </w:rPr>
        <w:t xml:space="preserve">to be </w:t>
      </w:r>
      <w:r w:rsidR="00F822FC">
        <w:rPr>
          <w:rFonts w:ascii="Arial" w:hAnsi="Arial" w:cs="Arial"/>
          <w:color w:val="111111"/>
          <w:sz w:val="24"/>
          <w:szCs w:val="24"/>
          <w:shd w:val="clear" w:color="auto" w:fill="FFFFFF"/>
        </w:rPr>
        <w:t>provided</w:t>
      </w:r>
      <w:r w:rsidR="00D459BB">
        <w:rPr>
          <w:rFonts w:ascii="Arial" w:hAnsi="Arial" w:cs="Arial"/>
          <w:color w:val="111111"/>
          <w:sz w:val="24"/>
          <w:szCs w:val="24"/>
          <w:shd w:val="clear" w:color="auto" w:fill="FFFFFF"/>
        </w:rPr>
        <w:t>,</w:t>
      </w:r>
      <w:r w:rsidR="00F822FC">
        <w:rPr>
          <w:rFonts w:ascii="Arial" w:hAnsi="Arial" w:cs="Arial"/>
          <w:color w:val="111111"/>
          <w:sz w:val="24"/>
          <w:szCs w:val="24"/>
          <w:shd w:val="clear" w:color="auto" w:fill="FFFFFF"/>
        </w:rPr>
        <w:t xml:space="preserve"> it is foreseeable </w:t>
      </w:r>
      <w:r w:rsidR="00821151">
        <w:rPr>
          <w:rFonts w:ascii="Arial" w:hAnsi="Arial" w:cs="Arial"/>
          <w:color w:val="111111"/>
          <w:sz w:val="24"/>
          <w:szCs w:val="24"/>
          <w:shd w:val="clear" w:color="auto" w:fill="FFFFFF"/>
        </w:rPr>
        <w:t xml:space="preserve">that this would benefit consumers who have issues and disputes because the process of resolution would be more sufficient. </w:t>
      </w:r>
    </w:p>
    <w:p w:rsidR="006D745C" w:rsidRDefault="0075278B" w:rsidP="00F05A32">
      <w:pPr>
        <w:pStyle w:val="enlisttextstandard"/>
        <w:shd w:val="clear" w:color="auto" w:fill="FFFFFF"/>
        <w:spacing w:before="0" w:beforeAutospacing="0" w:after="120" w:afterAutospacing="0" w:line="480" w:lineRule="auto"/>
        <w:rPr>
          <w:rFonts w:ascii="Arial" w:hAnsi="Arial" w:cs="Arial"/>
        </w:rPr>
      </w:pPr>
      <w:r>
        <w:rPr>
          <w:rFonts w:ascii="Arial" w:hAnsi="Arial" w:cs="Arial"/>
        </w:rPr>
        <w:t xml:space="preserve">Part 2 of the CRA (2015) </w:t>
      </w:r>
      <w:r w:rsidR="00B25070">
        <w:rPr>
          <w:rFonts w:ascii="Arial" w:hAnsi="Arial" w:cs="Arial"/>
        </w:rPr>
        <w:t>focuses on</w:t>
      </w:r>
      <w:r>
        <w:rPr>
          <w:rFonts w:ascii="Arial" w:hAnsi="Arial" w:cs="Arial"/>
        </w:rPr>
        <w:t xml:space="preserve"> the</w:t>
      </w:r>
      <w:r w:rsidR="003A04C9">
        <w:rPr>
          <w:rFonts w:ascii="Arial" w:hAnsi="Arial" w:cs="Arial"/>
        </w:rPr>
        <w:t xml:space="preserve"> terms of contracts and what is deemed by “unfair terms</w:t>
      </w:r>
      <w:r w:rsidR="009A1619">
        <w:rPr>
          <w:rFonts w:ascii="Arial" w:hAnsi="Arial" w:cs="Arial"/>
        </w:rPr>
        <w:t>”</w:t>
      </w:r>
      <w:r w:rsidR="003A04C9">
        <w:rPr>
          <w:rFonts w:ascii="Arial" w:hAnsi="Arial" w:cs="Arial"/>
        </w:rPr>
        <w:t xml:space="preserve">. Part 2 can be compared to </w:t>
      </w:r>
      <w:r w:rsidR="000079BB">
        <w:rPr>
          <w:rFonts w:ascii="Arial" w:hAnsi="Arial" w:cs="Arial"/>
        </w:rPr>
        <w:t xml:space="preserve">the </w:t>
      </w:r>
      <w:r w:rsidR="003A04C9">
        <w:rPr>
          <w:rFonts w:ascii="Arial" w:hAnsi="Arial" w:cs="Arial"/>
        </w:rPr>
        <w:t>U</w:t>
      </w:r>
      <w:r w:rsidR="00807EDB">
        <w:rPr>
          <w:rFonts w:ascii="Arial" w:hAnsi="Arial" w:cs="Arial"/>
        </w:rPr>
        <w:t>nfair Contract Terms Act (1977). A</w:t>
      </w:r>
      <w:r w:rsidR="00B25070">
        <w:rPr>
          <w:rFonts w:ascii="Arial" w:hAnsi="Arial" w:cs="Arial"/>
        </w:rPr>
        <w:t>s previously stated about part 1 of the act, this part also aids in encompassing all the components of consumer rights and unifying them in the CRA.</w:t>
      </w:r>
      <w:r w:rsidR="001E134C">
        <w:rPr>
          <w:rFonts w:ascii="Arial" w:hAnsi="Arial" w:cs="Arial"/>
        </w:rPr>
        <w:t xml:space="preserve"> </w:t>
      </w:r>
      <w:r w:rsidR="00305499">
        <w:rPr>
          <w:rFonts w:ascii="Arial" w:hAnsi="Arial" w:cs="Arial"/>
        </w:rPr>
        <w:t xml:space="preserve">Despite the fact that </w:t>
      </w:r>
      <w:r w:rsidR="0042598A">
        <w:rPr>
          <w:rFonts w:ascii="Arial" w:hAnsi="Arial" w:cs="Arial"/>
        </w:rPr>
        <w:t xml:space="preserve">in </w:t>
      </w:r>
      <w:r w:rsidR="00305499">
        <w:rPr>
          <w:rFonts w:ascii="Arial" w:hAnsi="Arial" w:cs="Arial"/>
        </w:rPr>
        <w:t>part 2 the definition of unfair terms</w:t>
      </w:r>
      <w:r w:rsidR="0042598A">
        <w:rPr>
          <w:rFonts w:ascii="Arial" w:hAnsi="Arial" w:cs="Arial"/>
        </w:rPr>
        <w:t xml:space="preserve"> remains</w:t>
      </w:r>
      <w:r w:rsidR="00305499">
        <w:rPr>
          <w:rFonts w:ascii="Arial" w:hAnsi="Arial" w:cs="Arial"/>
        </w:rPr>
        <w:t xml:space="preserve"> unchanged, the key improvement to point to in this area is stated by </w:t>
      </w:r>
      <w:r w:rsidR="00466EB8">
        <w:rPr>
          <w:rFonts w:ascii="Arial" w:hAnsi="Arial" w:cs="Arial"/>
        </w:rPr>
        <w:t xml:space="preserve">the </w:t>
      </w:r>
      <w:r w:rsidR="00DE240B" w:rsidRPr="00DE240B">
        <w:rPr>
          <w:rFonts w:ascii="Arial" w:hAnsi="Arial" w:cs="Arial"/>
          <w:shd w:val="clear" w:color="auto" w:fill="FFFFFF"/>
        </w:rPr>
        <w:t>Department for Business, Innovation and Skills</w:t>
      </w:r>
      <w:r w:rsidR="00DE240B">
        <w:rPr>
          <w:rFonts w:ascii="Arial" w:hAnsi="Arial" w:cs="Arial"/>
          <w:shd w:val="clear" w:color="auto" w:fill="FFFFFF"/>
        </w:rPr>
        <w:t xml:space="preserve"> (2015), para 22,</w:t>
      </w:r>
      <w:r w:rsidR="00172FDD">
        <w:rPr>
          <w:rFonts w:ascii="Arial" w:hAnsi="Arial" w:cs="Arial"/>
          <w:shd w:val="clear" w:color="auto" w:fill="FFFFFF"/>
        </w:rPr>
        <w:t xml:space="preserve"> stating that</w:t>
      </w:r>
      <w:r w:rsidR="00DE240B">
        <w:rPr>
          <w:rFonts w:ascii="Arial" w:hAnsi="Arial" w:cs="Arial"/>
          <w:shd w:val="clear" w:color="auto" w:fill="FFFFFF"/>
        </w:rPr>
        <w:t xml:space="preserve"> </w:t>
      </w:r>
      <w:r w:rsidR="003D0970">
        <w:rPr>
          <w:rFonts w:ascii="Arial" w:hAnsi="Arial" w:cs="Arial"/>
          <w:shd w:val="clear" w:color="auto" w:fill="FFFFFF"/>
        </w:rPr>
        <w:t>part 2</w:t>
      </w:r>
      <w:r w:rsidR="006425C0">
        <w:rPr>
          <w:rFonts w:ascii="Arial" w:hAnsi="Arial" w:cs="Arial"/>
          <w:shd w:val="clear" w:color="auto" w:fill="FFFFFF"/>
        </w:rPr>
        <w:t xml:space="preserve"> removes</w:t>
      </w:r>
      <w:r w:rsidR="006425C0" w:rsidRPr="006425C0">
        <w:rPr>
          <w:rFonts w:ascii="Arial" w:hAnsi="Arial" w:cs="Arial"/>
          <w:shd w:val="clear" w:color="auto" w:fill="FFFFFF"/>
        </w:rPr>
        <w:t xml:space="preserve"> “anomalies and overlapping provisions in relation to consumer contracts</w:t>
      </w:r>
      <w:r w:rsidR="003D0970">
        <w:rPr>
          <w:rFonts w:ascii="Arial" w:hAnsi="Arial" w:cs="Arial"/>
          <w:shd w:val="clear" w:color="auto" w:fill="FFFFFF"/>
        </w:rPr>
        <w:t>.”</w:t>
      </w:r>
      <w:r w:rsidR="00CA35EF">
        <w:rPr>
          <w:rFonts w:ascii="Arial" w:hAnsi="Arial" w:cs="Arial"/>
          <w:shd w:val="clear" w:color="auto" w:fill="FFFFFF"/>
        </w:rPr>
        <w:t xml:space="preserve"> This explanation of part 2 is significant due to the </w:t>
      </w:r>
      <w:r w:rsidR="00CA35EF">
        <w:rPr>
          <w:rFonts w:ascii="Arial" w:hAnsi="Arial" w:cs="Arial"/>
          <w:shd w:val="clear" w:color="auto" w:fill="FFFFFF"/>
        </w:rPr>
        <w:lastRenderedPageBreak/>
        <w:t xml:space="preserve">implication that part 2 helps provide </w:t>
      </w:r>
      <w:r w:rsidR="0006278D">
        <w:rPr>
          <w:rFonts w:ascii="Arial" w:hAnsi="Arial" w:cs="Arial"/>
          <w:shd w:val="clear" w:color="auto" w:fill="FFFFFF"/>
        </w:rPr>
        <w:t>more</w:t>
      </w:r>
      <w:r w:rsidR="00CA35EF">
        <w:rPr>
          <w:rFonts w:ascii="Arial" w:hAnsi="Arial" w:cs="Arial"/>
          <w:shd w:val="clear" w:color="auto" w:fill="FFFFFF"/>
        </w:rPr>
        <w:t xml:space="preserve"> clarification in disputes and eliminating any previous uncertainty there may have been before the introduction of the act.</w:t>
      </w:r>
      <w:r w:rsidR="0006278D">
        <w:rPr>
          <w:rFonts w:ascii="Arial" w:hAnsi="Arial" w:cs="Arial"/>
          <w:shd w:val="clear" w:color="auto" w:fill="FFFFFF"/>
        </w:rPr>
        <w:t xml:space="preserve"> </w:t>
      </w:r>
      <w:r w:rsidR="005D538B">
        <w:rPr>
          <w:rFonts w:ascii="Arial" w:hAnsi="Arial" w:cs="Arial"/>
          <w:shd w:val="clear" w:color="auto" w:fill="FFFFFF"/>
        </w:rPr>
        <w:t>Additionally</w:t>
      </w:r>
      <w:r w:rsidR="0006278D">
        <w:rPr>
          <w:rFonts w:ascii="Arial" w:hAnsi="Arial" w:cs="Arial"/>
          <w:shd w:val="clear" w:color="auto" w:fill="FFFFFF"/>
        </w:rPr>
        <w:t>,</w:t>
      </w:r>
      <w:r w:rsidR="00524550">
        <w:rPr>
          <w:rFonts w:ascii="Arial" w:hAnsi="Arial" w:cs="Arial"/>
          <w:shd w:val="clear" w:color="auto" w:fill="FFFFFF"/>
        </w:rPr>
        <w:t xml:space="preserve"> the act also has been observed to play a considerable role in competition law, citing </w:t>
      </w:r>
      <w:r w:rsidR="00524550">
        <w:rPr>
          <w:rFonts w:ascii="Arial" w:hAnsi="Arial" w:cs="Arial"/>
          <w:i/>
          <w:shd w:val="clear" w:color="auto" w:fill="FFFFFF"/>
        </w:rPr>
        <w:t xml:space="preserve">Rodger </w:t>
      </w:r>
      <w:r w:rsidR="00524550">
        <w:rPr>
          <w:rFonts w:ascii="Arial" w:hAnsi="Arial" w:cs="Arial"/>
          <w:shd w:val="clear" w:color="auto" w:fill="FFFFFF"/>
        </w:rPr>
        <w:t>(2015)</w:t>
      </w:r>
      <w:r w:rsidR="00F20494">
        <w:rPr>
          <w:rFonts w:ascii="Arial" w:hAnsi="Arial" w:cs="Arial"/>
          <w:shd w:val="clear" w:color="auto" w:fill="FFFFFF"/>
        </w:rPr>
        <w:t xml:space="preserve"> who notes</w:t>
      </w:r>
      <w:r w:rsidR="00524550">
        <w:rPr>
          <w:rFonts w:ascii="Arial" w:hAnsi="Arial" w:cs="Arial"/>
          <w:shd w:val="clear" w:color="auto" w:fill="FFFFFF"/>
        </w:rPr>
        <w:t xml:space="preserve">, </w:t>
      </w:r>
      <w:r w:rsidR="00F20494" w:rsidRPr="00F20494">
        <w:rPr>
          <w:rFonts w:ascii="Arial" w:hAnsi="Arial" w:cs="Arial"/>
          <w:shd w:val="clear" w:color="auto" w:fill="FFFFFF"/>
        </w:rPr>
        <w:t>“</w:t>
      </w:r>
      <w:r w:rsidR="00512BAA" w:rsidRPr="00F20494">
        <w:rPr>
          <w:rFonts w:ascii="Arial" w:hAnsi="Arial" w:cs="Arial"/>
          <w:shd w:val="clear" w:color="auto" w:fill="FFFFFF"/>
        </w:rPr>
        <w:t>Schedule 8 of the Consumers Rights Act introduces various measures to facilitate and encourage competition litigation in the UK</w:t>
      </w:r>
      <w:r w:rsidR="00C33FA9">
        <w:rPr>
          <w:rFonts w:ascii="Arial" w:hAnsi="Arial" w:cs="Arial"/>
          <w:shd w:val="clear" w:color="auto" w:fill="FFFFFF"/>
        </w:rPr>
        <w:t xml:space="preserve">.” </w:t>
      </w:r>
      <w:r w:rsidR="003D5C92">
        <w:rPr>
          <w:rFonts w:ascii="Arial" w:hAnsi="Arial" w:cs="Arial"/>
          <w:shd w:val="clear" w:color="auto" w:fill="FFFFFF"/>
        </w:rPr>
        <w:t xml:space="preserve">Expanding on this, </w:t>
      </w:r>
      <w:r w:rsidR="00E44C22">
        <w:rPr>
          <w:rFonts w:ascii="Arial" w:hAnsi="Arial" w:cs="Arial"/>
          <w:shd w:val="clear" w:color="auto" w:fill="FFFFFF"/>
        </w:rPr>
        <w:t xml:space="preserve">the CRA </w:t>
      </w:r>
      <w:r w:rsidR="00B57D1C">
        <w:rPr>
          <w:rFonts w:ascii="Arial" w:hAnsi="Arial" w:cs="Arial"/>
          <w:shd w:val="clear" w:color="auto" w:fill="FFFFFF"/>
        </w:rPr>
        <w:t>achieved this breakthrough due to schedule 8 of the act placing emphasis on pri</w:t>
      </w:r>
      <w:r w:rsidR="00667042">
        <w:rPr>
          <w:rFonts w:ascii="Arial" w:hAnsi="Arial" w:cs="Arial"/>
          <w:shd w:val="clear" w:color="auto" w:fill="FFFFFF"/>
        </w:rPr>
        <w:t>vate actions in competition law, furthermore, this was aided with the revision of the Competition Act 1998.</w:t>
      </w:r>
      <w:r w:rsidR="00DD3401">
        <w:rPr>
          <w:rFonts w:ascii="Arial" w:hAnsi="Arial" w:cs="Arial"/>
          <w:shd w:val="clear" w:color="auto" w:fill="FFFFFF"/>
        </w:rPr>
        <w:t xml:space="preserve"> </w:t>
      </w:r>
      <w:r w:rsidR="006D745C">
        <w:rPr>
          <w:rFonts w:ascii="Arial" w:hAnsi="Arial" w:cs="Arial"/>
          <w:shd w:val="clear" w:color="auto" w:fill="FFFFFF"/>
        </w:rPr>
        <w:t xml:space="preserve">The impact the CRA has had in competition law was intended as the one of the three aims of schedule 8 and section 81 of the act was </w:t>
      </w:r>
      <w:r w:rsidR="006D745C" w:rsidRPr="006D745C">
        <w:rPr>
          <w:rFonts w:ascii="Arial" w:hAnsi="Arial" w:cs="Arial"/>
          <w:shd w:val="clear" w:color="auto" w:fill="FFFFFF"/>
        </w:rPr>
        <w:t>“</w:t>
      </w:r>
      <w:r w:rsidR="006D745C" w:rsidRPr="006D745C">
        <w:rPr>
          <w:rFonts w:ascii="Arial" w:hAnsi="Arial" w:cs="Arial"/>
        </w:rPr>
        <w:t xml:space="preserve">To widen the types of the competition cases that the Competition Appeal Tribunal hears (“CAT”) and to make other changes to the procedure of bringing </w:t>
      </w:r>
      <w:r w:rsidR="006D745C">
        <w:rPr>
          <w:rFonts w:ascii="Arial" w:hAnsi="Arial" w:cs="Arial"/>
        </w:rPr>
        <w:t>a private action before the CAT.”</w:t>
      </w:r>
    </w:p>
    <w:p w:rsidR="00D24659" w:rsidRDefault="00766FB0" w:rsidP="00F05A32">
      <w:pPr>
        <w:pStyle w:val="enlisttextstandard"/>
        <w:shd w:val="clear" w:color="auto" w:fill="FFFFFF"/>
        <w:spacing w:before="0" w:beforeAutospacing="0" w:after="120" w:afterAutospacing="0" w:line="480" w:lineRule="auto"/>
        <w:rPr>
          <w:rFonts w:ascii="Arial" w:hAnsi="Arial" w:cs="Arial"/>
          <w:shd w:val="clear" w:color="auto" w:fill="FFFFFF"/>
        </w:rPr>
      </w:pPr>
      <w:r w:rsidRPr="00464F38">
        <w:rPr>
          <w:rFonts w:ascii="Arial" w:hAnsi="Arial" w:cs="Arial"/>
        </w:rPr>
        <w:t>Another piece of legislation that holds relevance in consumer rights and the sale of goods is the Sale of Goods Act (1979).</w:t>
      </w:r>
      <w:r w:rsidR="00635EB4" w:rsidRPr="00464F38">
        <w:rPr>
          <w:rFonts w:ascii="Arial" w:hAnsi="Arial" w:cs="Arial"/>
        </w:rPr>
        <w:t xml:space="preserve"> To cite </w:t>
      </w:r>
      <w:r w:rsidR="00635EB4" w:rsidRPr="00464F38">
        <w:rPr>
          <w:rFonts w:ascii="Arial" w:hAnsi="Arial" w:cs="Arial"/>
          <w:i/>
        </w:rPr>
        <w:t>Howells</w:t>
      </w:r>
      <w:r w:rsidR="00635EB4" w:rsidRPr="00464F38">
        <w:rPr>
          <w:rFonts w:ascii="Arial" w:hAnsi="Arial" w:cs="Arial"/>
        </w:rPr>
        <w:t xml:space="preserve"> and </w:t>
      </w:r>
      <w:proofErr w:type="spellStart"/>
      <w:r w:rsidR="00635EB4" w:rsidRPr="00464F38">
        <w:rPr>
          <w:rFonts w:ascii="Arial" w:hAnsi="Arial" w:cs="Arial"/>
          <w:i/>
        </w:rPr>
        <w:t>Weatherill</w:t>
      </w:r>
      <w:proofErr w:type="spellEnd"/>
      <w:r w:rsidR="00464F38">
        <w:rPr>
          <w:rFonts w:ascii="Arial" w:hAnsi="Arial" w:cs="Arial"/>
          <w:i/>
        </w:rPr>
        <w:t xml:space="preserve"> </w:t>
      </w:r>
      <w:r w:rsidR="00464F38">
        <w:rPr>
          <w:rFonts w:ascii="Arial" w:hAnsi="Arial" w:cs="Arial"/>
        </w:rPr>
        <w:t>(2005)</w:t>
      </w:r>
      <w:r w:rsidR="00635EB4" w:rsidRPr="00464F38">
        <w:rPr>
          <w:rFonts w:ascii="Arial" w:hAnsi="Arial" w:cs="Arial"/>
          <w:i/>
        </w:rPr>
        <w:t xml:space="preserve"> </w:t>
      </w:r>
      <w:r w:rsidR="00557043" w:rsidRPr="00464F38">
        <w:rPr>
          <w:rFonts w:ascii="Arial" w:hAnsi="Arial" w:cs="Arial"/>
        </w:rPr>
        <w:t>on the</w:t>
      </w:r>
      <w:r w:rsidR="006A5974" w:rsidRPr="00464F38">
        <w:rPr>
          <w:rFonts w:ascii="Arial" w:hAnsi="Arial" w:cs="Arial"/>
        </w:rPr>
        <w:t xml:space="preserve"> purpose of the</w:t>
      </w:r>
      <w:r w:rsidR="00557043" w:rsidRPr="00464F38">
        <w:rPr>
          <w:rFonts w:ascii="Arial" w:hAnsi="Arial" w:cs="Arial"/>
        </w:rPr>
        <w:t xml:space="preserve"> Sale of Goods Act,</w:t>
      </w:r>
      <w:r w:rsidR="006A5974" w:rsidRPr="00464F38">
        <w:rPr>
          <w:rFonts w:ascii="Arial" w:hAnsi="Arial" w:cs="Arial"/>
        </w:rPr>
        <w:t xml:space="preserve"> “</w:t>
      </w:r>
      <w:r w:rsidR="006A5974" w:rsidRPr="00464F38">
        <w:rPr>
          <w:rFonts w:ascii="Arial" w:hAnsi="Arial" w:cs="Arial"/>
          <w:spacing w:val="5"/>
          <w:shd w:val="clear" w:color="auto" w:fill="FFFFFF"/>
        </w:rPr>
        <w:t>The Sale of Goods Act 1979 implies terms governing the quality of goods supplied.”</w:t>
      </w:r>
      <w:r w:rsidR="002D4E2E">
        <w:rPr>
          <w:rFonts w:ascii="Arial" w:hAnsi="Arial" w:cs="Arial"/>
          <w:spacing w:val="5"/>
          <w:shd w:val="clear" w:color="auto" w:fill="FFFFFF"/>
        </w:rPr>
        <w:t xml:space="preserve"> This is another key aspect of consumer rights that is consolidated in the CRA.</w:t>
      </w:r>
      <w:r w:rsidR="00EC6097">
        <w:rPr>
          <w:rFonts w:ascii="Arial" w:hAnsi="Arial" w:cs="Arial"/>
          <w:spacing w:val="5"/>
          <w:shd w:val="clear" w:color="auto" w:fill="FFFFFF"/>
        </w:rPr>
        <w:t xml:space="preserve"> </w:t>
      </w:r>
      <w:r w:rsidR="002B597C">
        <w:rPr>
          <w:rFonts w:ascii="Arial" w:hAnsi="Arial" w:cs="Arial"/>
          <w:shd w:val="clear" w:color="auto" w:fill="FFFFFF"/>
        </w:rPr>
        <w:t xml:space="preserve">With the consolation of previous acts and the improvements that the </w:t>
      </w:r>
      <w:r w:rsidR="00165AA4">
        <w:rPr>
          <w:rFonts w:ascii="Arial" w:hAnsi="Arial" w:cs="Arial"/>
          <w:shd w:val="clear" w:color="auto" w:fill="FFFFFF"/>
        </w:rPr>
        <w:t>CRA has brought forward</w:t>
      </w:r>
      <w:r w:rsidR="002B597C">
        <w:rPr>
          <w:rFonts w:ascii="Arial" w:hAnsi="Arial" w:cs="Arial"/>
          <w:shd w:val="clear" w:color="auto" w:fill="FFFFFF"/>
        </w:rPr>
        <w:t xml:space="preserve"> </w:t>
      </w:r>
      <w:r w:rsidR="00033D27">
        <w:rPr>
          <w:rFonts w:ascii="Arial" w:hAnsi="Arial" w:cs="Arial"/>
          <w:shd w:val="clear" w:color="auto" w:fill="FFFFFF"/>
        </w:rPr>
        <w:t xml:space="preserve">being discussed so far, in order to objectively look at the effectiveness of the act, there must also be a consideration for opposing viewpoints. In regards to concerns and criticism towards the act, </w:t>
      </w:r>
      <w:r w:rsidR="00033D27">
        <w:rPr>
          <w:rFonts w:ascii="Arial" w:hAnsi="Arial" w:cs="Arial"/>
          <w:i/>
          <w:shd w:val="clear" w:color="auto" w:fill="FFFFFF"/>
        </w:rPr>
        <w:t xml:space="preserve">Wrench </w:t>
      </w:r>
      <w:r w:rsidR="00033D27">
        <w:rPr>
          <w:rFonts w:ascii="Arial" w:hAnsi="Arial" w:cs="Arial"/>
          <w:shd w:val="clear" w:color="auto" w:fill="FFFFFF"/>
        </w:rPr>
        <w:t xml:space="preserve">and </w:t>
      </w:r>
      <w:proofErr w:type="spellStart"/>
      <w:r w:rsidR="00033D27">
        <w:rPr>
          <w:rFonts w:ascii="Arial" w:hAnsi="Arial" w:cs="Arial"/>
          <w:i/>
          <w:shd w:val="clear" w:color="auto" w:fill="FFFFFF"/>
        </w:rPr>
        <w:t>Farrant</w:t>
      </w:r>
      <w:proofErr w:type="spellEnd"/>
      <w:r w:rsidR="00033D27">
        <w:rPr>
          <w:rFonts w:ascii="Arial" w:hAnsi="Arial" w:cs="Arial"/>
          <w:i/>
          <w:shd w:val="clear" w:color="auto" w:fill="FFFFFF"/>
        </w:rPr>
        <w:t xml:space="preserve"> </w:t>
      </w:r>
      <w:r w:rsidR="00033D27">
        <w:rPr>
          <w:rFonts w:ascii="Arial" w:hAnsi="Arial" w:cs="Arial"/>
          <w:shd w:val="clear" w:color="auto" w:fill="FFFFFF"/>
        </w:rPr>
        <w:t xml:space="preserve">(2017) state </w:t>
      </w:r>
      <w:r w:rsidR="00033D27" w:rsidRPr="00033D27">
        <w:rPr>
          <w:rFonts w:ascii="Arial" w:hAnsi="Arial" w:cs="Arial"/>
          <w:shd w:val="clear" w:color="auto" w:fill="FFFFFF"/>
        </w:rPr>
        <w:t>“While the CRA has certainly consolidated a number of Acts, its failure to create a single piece of legislation can leave consumers slightly in the dark.</w:t>
      </w:r>
      <w:r w:rsidR="00B1743C">
        <w:rPr>
          <w:rFonts w:ascii="Arial" w:hAnsi="Arial" w:cs="Arial"/>
          <w:shd w:val="clear" w:color="auto" w:fill="FFFFFF"/>
        </w:rPr>
        <w:t xml:space="preserve"> </w:t>
      </w:r>
      <w:r w:rsidR="00B1743C" w:rsidRPr="00B1743C">
        <w:rPr>
          <w:rFonts w:ascii="Arial" w:hAnsi="Arial" w:cs="Arial"/>
          <w:shd w:val="clear" w:color="auto" w:fill="FFFFFF"/>
        </w:rPr>
        <w:t>Furthermore, the CRA is by no means a simple piece of legislation that can be easily navigated by consumers, leaving its full comprehension available only to those with deep knowledge and understanding of its workings.</w:t>
      </w:r>
      <w:r w:rsidR="00033D27" w:rsidRPr="00B1743C">
        <w:rPr>
          <w:rFonts w:ascii="Arial" w:hAnsi="Arial" w:cs="Arial"/>
          <w:shd w:val="clear" w:color="auto" w:fill="FFFFFF"/>
        </w:rPr>
        <w:t>”</w:t>
      </w:r>
      <w:r w:rsidR="005F5FE4" w:rsidRPr="00B1743C">
        <w:rPr>
          <w:rFonts w:ascii="Arial" w:hAnsi="Arial" w:cs="Arial"/>
          <w:shd w:val="clear" w:color="auto" w:fill="FFFFFF"/>
        </w:rPr>
        <w:t xml:space="preserve"> </w:t>
      </w:r>
      <w:r w:rsidR="00283206">
        <w:rPr>
          <w:rFonts w:ascii="Arial" w:hAnsi="Arial" w:cs="Arial"/>
          <w:shd w:val="clear" w:color="auto" w:fill="FFFFFF"/>
        </w:rPr>
        <w:lastRenderedPageBreak/>
        <w:t>Taking this statement into account, the primary aim of the act as stated at the beginning of this discussion, was to simplify and unify the legislation already in place and to provide more clarity on consumer rights</w:t>
      </w:r>
      <w:r w:rsidR="00DB487B">
        <w:rPr>
          <w:rFonts w:ascii="Arial" w:hAnsi="Arial" w:cs="Arial"/>
          <w:shd w:val="clear" w:color="auto" w:fill="FFFFFF"/>
        </w:rPr>
        <w:t xml:space="preserve">, this </w:t>
      </w:r>
      <w:r w:rsidR="00707CAF">
        <w:rPr>
          <w:rFonts w:ascii="Arial" w:hAnsi="Arial" w:cs="Arial"/>
          <w:shd w:val="clear" w:color="auto" w:fill="FFFFFF"/>
        </w:rPr>
        <w:t xml:space="preserve">viewpoint implies that it has achieved the exact opposite. Expanding on the statement from Wrench and </w:t>
      </w:r>
      <w:proofErr w:type="spellStart"/>
      <w:r w:rsidR="00707CAF">
        <w:rPr>
          <w:rFonts w:ascii="Arial" w:hAnsi="Arial" w:cs="Arial"/>
          <w:shd w:val="clear" w:color="auto" w:fill="FFFFFF"/>
        </w:rPr>
        <w:t>Farrant</w:t>
      </w:r>
      <w:proofErr w:type="spellEnd"/>
      <w:r w:rsidR="00707CAF">
        <w:rPr>
          <w:rFonts w:ascii="Arial" w:hAnsi="Arial" w:cs="Arial"/>
          <w:shd w:val="clear" w:color="auto" w:fill="FFFFFF"/>
        </w:rPr>
        <w:t xml:space="preserve">, </w:t>
      </w:r>
      <w:r w:rsidR="00482BAC">
        <w:rPr>
          <w:rFonts w:ascii="Arial" w:hAnsi="Arial" w:cs="Arial"/>
          <w:shd w:val="clear" w:color="auto" w:fill="FFFFFF"/>
        </w:rPr>
        <w:t xml:space="preserve">the </w:t>
      </w:r>
      <w:r w:rsidR="00B41034">
        <w:rPr>
          <w:rFonts w:ascii="Arial" w:hAnsi="Arial" w:cs="Arial"/>
          <w:shd w:val="clear" w:color="auto" w:fill="FFFFFF"/>
        </w:rPr>
        <w:t>issue</w:t>
      </w:r>
      <w:r w:rsidR="008A7271">
        <w:rPr>
          <w:rFonts w:ascii="Arial" w:hAnsi="Arial" w:cs="Arial"/>
          <w:shd w:val="clear" w:color="auto" w:fill="FFFFFF"/>
        </w:rPr>
        <w:t xml:space="preserve"> presented</w:t>
      </w:r>
      <w:r w:rsidR="00482BAC">
        <w:rPr>
          <w:rFonts w:ascii="Arial" w:hAnsi="Arial" w:cs="Arial"/>
          <w:shd w:val="clear" w:color="auto" w:fill="FFFFFF"/>
        </w:rPr>
        <w:t xml:space="preserve"> is that </w:t>
      </w:r>
      <w:r w:rsidR="00B41034">
        <w:rPr>
          <w:rFonts w:ascii="Arial" w:hAnsi="Arial" w:cs="Arial"/>
          <w:shd w:val="clear" w:color="auto" w:fill="FFFFFF"/>
        </w:rPr>
        <w:t xml:space="preserve">the act not as simple to follow as it was originally intended, paraphrasing </w:t>
      </w:r>
      <w:r w:rsidR="00F303A6">
        <w:rPr>
          <w:rFonts w:ascii="Arial" w:hAnsi="Arial" w:cs="Arial"/>
          <w:shd w:val="clear" w:color="auto" w:fill="FFFFFF"/>
        </w:rPr>
        <w:t xml:space="preserve">the same article, there is still additional pieces of legislation outside of the CRA that should be </w:t>
      </w:r>
      <w:r w:rsidR="00026085">
        <w:rPr>
          <w:rFonts w:ascii="Arial" w:hAnsi="Arial" w:cs="Arial"/>
          <w:shd w:val="clear" w:color="auto" w:fill="FFFFFF"/>
        </w:rPr>
        <w:t>studied</w:t>
      </w:r>
      <w:r w:rsidR="00F303A6">
        <w:rPr>
          <w:rFonts w:ascii="Arial" w:hAnsi="Arial" w:cs="Arial"/>
          <w:shd w:val="clear" w:color="auto" w:fill="FFFFFF"/>
        </w:rPr>
        <w:t xml:space="preserve"> alongside it in order to gain a better understanding, such as the Consumer Protection Act 1987.</w:t>
      </w:r>
      <w:r w:rsidR="00026085">
        <w:rPr>
          <w:rFonts w:ascii="Arial" w:hAnsi="Arial" w:cs="Arial"/>
          <w:shd w:val="clear" w:color="auto" w:fill="FFFFFF"/>
        </w:rPr>
        <w:t xml:space="preserve"> </w:t>
      </w:r>
      <w:r w:rsidR="00A44443">
        <w:rPr>
          <w:rFonts w:ascii="Arial" w:hAnsi="Arial" w:cs="Arial"/>
          <w:shd w:val="clear" w:color="auto" w:fill="FFFFFF"/>
        </w:rPr>
        <w:t xml:space="preserve">Adding to the concerns around additional legislation and regulation hindering the effectiveness of the CRA, Andrews (2015) notes </w:t>
      </w:r>
      <w:r w:rsidR="00242A2A">
        <w:rPr>
          <w:rFonts w:ascii="Arial" w:hAnsi="Arial" w:cs="Arial"/>
          <w:shd w:val="clear" w:color="auto" w:fill="FFFFFF"/>
        </w:rPr>
        <w:t>more important regulations that should be taken into account when discussing consumer rights,</w:t>
      </w:r>
      <w:r w:rsidR="00E70FCB">
        <w:rPr>
          <w:rFonts w:ascii="Arial" w:hAnsi="Arial" w:cs="Arial"/>
          <w:shd w:val="clear" w:color="auto" w:fill="FFFFFF"/>
        </w:rPr>
        <w:t xml:space="preserve"> these include:</w:t>
      </w:r>
      <w:r w:rsidR="00E70FCB" w:rsidRPr="00E70FCB">
        <w:rPr>
          <w:rFonts w:ascii="Arial" w:hAnsi="Arial" w:cs="Arial"/>
          <w:shd w:val="clear" w:color="auto" w:fill="FFFFFF"/>
        </w:rPr>
        <w:t xml:space="preserve"> Part 4A of the Consumer Protection from Unfair Trading Regulations 2008</w:t>
      </w:r>
      <w:r w:rsidR="00E70FCB">
        <w:rPr>
          <w:rFonts w:ascii="Arial" w:hAnsi="Arial" w:cs="Arial"/>
          <w:shd w:val="clear" w:color="auto" w:fill="FFFFFF"/>
        </w:rPr>
        <w:t xml:space="preserve">, </w:t>
      </w:r>
      <w:r w:rsidR="001A50C2">
        <w:rPr>
          <w:rFonts w:ascii="Arial" w:hAnsi="Arial" w:cs="Arial"/>
          <w:color w:val="333333"/>
          <w:shd w:val="clear" w:color="auto" w:fill="FFFFFF"/>
        </w:rPr>
        <w:t>Consumer Contracts (</w:t>
      </w:r>
      <w:r w:rsidR="004B5CFA" w:rsidRPr="004B5CFA">
        <w:rPr>
          <w:rFonts w:ascii="Arial" w:hAnsi="Arial" w:cs="Arial"/>
          <w:color w:val="333333"/>
          <w:shd w:val="clear" w:color="auto" w:fill="FFFFFF"/>
        </w:rPr>
        <w:t>Information, Cancellation and Additional Charges) Regulations 2013</w:t>
      </w:r>
      <w:r w:rsidR="00E813BC">
        <w:rPr>
          <w:rFonts w:ascii="Arial" w:hAnsi="Arial" w:cs="Arial"/>
          <w:color w:val="333333"/>
          <w:shd w:val="clear" w:color="auto" w:fill="FFFFFF"/>
        </w:rPr>
        <w:t xml:space="preserve"> and</w:t>
      </w:r>
      <w:r w:rsidR="00E813BC" w:rsidRPr="00E813BC">
        <w:rPr>
          <w:rFonts w:ascii="Arial" w:hAnsi="Arial" w:cs="Arial"/>
          <w:shd w:val="clear" w:color="auto" w:fill="FFFFFF"/>
        </w:rPr>
        <w:t xml:space="preserve"> Alternative Dispute Resolution for Consumer Disputes (Competent Authorities and Information) Regulations 2015.</w:t>
      </w:r>
    </w:p>
    <w:p w:rsidR="00A41839" w:rsidRDefault="00164D35" w:rsidP="00F05A32">
      <w:pPr>
        <w:pStyle w:val="enlisttextstandard"/>
        <w:shd w:val="clear" w:color="auto" w:fill="FFFFFF"/>
        <w:spacing w:before="0" w:beforeAutospacing="0" w:after="120" w:afterAutospacing="0" w:line="480" w:lineRule="auto"/>
        <w:rPr>
          <w:rFonts w:ascii="Arial" w:hAnsi="Arial" w:cs="Arial"/>
          <w:shd w:val="clear" w:color="auto" w:fill="FFFFFF"/>
        </w:rPr>
      </w:pPr>
      <w:r>
        <w:rPr>
          <w:rFonts w:ascii="Arial" w:hAnsi="Arial" w:cs="Arial"/>
          <w:shd w:val="clear" w:color="auto" w:fill="FFFFFF"/>
        </w:rPr>
        <w:t xml:space="preserve">In order to fully assess the extent to which the CRA has made changes to the law, the views on the law pre CRA </w:t>
      </w:r>
      <w:r w:rsidR="00A33BF4">
        <w:rPr>
          <w:rFonts w:ascii="Arial" w:hAnsi="Arial" w:cs="Arial"/>
          <w:shd w:val="clear" w:color="auto" w:fill="FFFFFF"/>
        </w:rPr>
        <w:t xml:space="preserve">could be another aspect to look at when determining the improvements made, for example, </w:t>
      </w:r>
      <w:r w:rsidR="00D9150B">
        <w:rPr>
          <w:rFonts w:ascii="Arial" w:hAnsi="Arial" w:cs="Arial"/>
          <w:shd w:val="clear" w:color="auto" w:fill="FFFFFF"/>
        </w:rPr>
        <w:t xml:space="preserve">in 2012 the Law Commission and the Scottish Law Commission released a report on ‘Consumer redress for misleading and aggressive practices’ which helped identify issues with the current law at the time. Additionally, </w:t>
      </w:r>
      <w:r w:rsidR="007C06F0">
        <w:rPr>
          <w:rFonts w:ascii="Arial" w:hAnsi="Arial" w:cs="Arial"/>
          <w:shd w:val="clear" w:color="auto" w:fill="FFFFFF"/>
        </w:rPr>
        <w:t>after the report was published, further work was</w:t>
      </w:r>
      <w:r w:rsidR="001B0C10">
        <w:rPr>
          <w:rFonts w:ascii="Arial" w:hAnsi="Arial" w:cs="Arial"/>
          <w:shd w:val="clear" w:color="auto" w:fill="FFFFFF"/>
        </w:rPr>
        <w:t xml:space="preserve"> </w:t>
      </w:r>
      <w:r w:rsidR="00886B91">
        <w:rPr>
          <w:rFonts w:ascii="Arial" w:hAnsi="Arial" w:cs="Arial"/>
          <w:shd w:val="clear" w:color="auto" w:fill="FFFFFF"/>
        </w:rPr>
        <w:t xml:space="preserve">produced in the area, but the assessment of the law in place at the time was made by the Scottish Law Commission, </w:t>
      </w:r>
      <w:r w:rsidR="0059363B">
        <w:rPr>
          <w:rFonts w:ascii="Arial" w:hAnsi="Arial" w:cs="Arial"/>
          <w:shd w:val="clear" w:color="auto" w:fill="FFFFFF"/>
        </w:rPr>
        <w:t>to cite</w:t>
      </w:r>
      <w:r w:rsidR="00886B91">
        <w:rPr>
          <w:rFonts w:ascii="Arial" w:hAnsi="Arial" w:cs="Arial"/>
          <w:shd w:val="clear" w:color="auto" w:fill="FFFFFF"/>
        </w:rPr>
        <w:t xml:space="preserve"> </w:t>
      </w:r>
      <w:proofErr w:type="spellStart"/>
      <w:r w:rsidR="00C1684E">
        <w:rPr>
          <w:rFonts w:ascii="Arial" w:hAnsi="Arial" w:cs="Arial"/>
          <w:i/>
          <w:shd w:val="clear" w:color="auto" w:fill="FFFFFF"/>
        </w:rPr>
        <w:t>MacQueen</w:t>
      </w:r>
      <w:proofErr w:type="spellEnd"/>
      <w:r w:rsidR="00C1684E">
        <w:rPr>
          <w:rFonts w:ascii="Arial" w:hAnsi="Arial" w:cs="Arial"/>
          <w:i/>
          <w:shd w:val="clear" w:color="auto" w:fill="FFFFFF"/>
        </w:rPr>
        <w:t xml:space="preserve"> et al</w:t>
      </w:r>
      <w:r w:rsidR="00C1684E">
        <w:rPr>
          <w:rFonts w:ascii="Arial" w:hAnsi="Arial" w:cs="Arial"/>
          <w:shd w:val="clear" w:color="auto" w:fill="FFFFFF"/>
        </w:rPr>
        <w:t xml:space="preserve">, (2014), para 4, </w:t>
      </w:r>
      <w:r w:rsidR="00C1684E" w:rsidRPr="00C1684E">
        <w:rPr>
          <w:rFonts w:ascii="Arial" w:hAnsi="Arial" w:cs="Arial"/>
          <w:shd w:val="clear" w:color="auto" w:fill="FFFFFF"/>
        </w:rPr>
        <w:t xml:space="preserve">“Misleading and aggressive commercial practices are a major problem.  Under the existing laws that govern misleading and aggressive practices it is difficult, if not impossible, for consumers to </w:t>
      </w:r>
      <w:r w:rsidR="00C1684E" w:rsidRPr="00C1684E">
        <w:rPr>
          <w:rFonts w:ascii="Arial" w:hAnsi="Arial" w:cs="Arial"/>
          <w:shd w:val="clear" w:color="auto" w:fill="FFFFFF"/>
        </w:rPr>
        <w:lastRenderedPageBreak/>
        <w:t>get their money back.</w:t>
      </w:r>
      <w:r w:rsidR="00C1684E">
        <w:rPr>
          <w:rFonts w:ascii="Arial" w:hAnsi="Arial" w:cs="Arial"/>
          <w:shd w:val="clear" w:color="auto" w:fill="FFFFFF"/>
        </w:rPr>
        <w:t>”</w:t>
      </w:r>
      <w:r w:rsidR="00E36F67">
        <w:rPr>
          <w:rFonts w:ascii="Arial" w:hAnsi="Arial" w:cs="Arial"/>
          <w:shd w:val="clear" w:color="auto" w:fill="FFFFFF"/>
        </w:rPr>
        <w:t xml:space="preserve"> With this assessment in mind about the difficulty </w:t>
      </w:r>
      <w:r w:rsidR="0002057A">
        <w:rPr>
          <w:rFonts w:ascii="Arial" w:hAnsi="Arial" w:cs="Arial"/>
          <w:shd w:val="clear" w:color="auto" w:fill="FFFFFF"/>
        </w:rPr>
        <w:t xml:space="preserve">that </w:t>
      </w:r>
      <w:r w:rsidR="00E36F67">
        <w:rPr>
          <w:rFonts w:ascii="Arial" w:hAnsi="Arial" w:cs="Arial"/>
          <w:shd w:val="clear" w:color="auto" w:fill="FFFFFF"/>
        </w:rPr>
        <w:t>consumers had trying to resolve disputes</w:t>
      </w:r>
      <w:r w:rsidR="0002057A">
        <w:rPr>
          <w:rFonts w:ascii="Arial" w:hAnsi="Arial" w:cs="Arial"/>
          <w:shd w:val="clear" w:color="auto" w:fill="FFFFFF"/>
        </w:rPr>
        <w:t xml:space="preserve"> before the CRA was introduced</w:t>
      </w:r>
      <w:r w:rsidR="00E36F67">
        <w:rPr>
          <w:rFonts w:ascii="Arial" w:hAnsi="Arial" w:cs="Arial"/>
          <w:shd w:val="clear" w:color="auto" w:fill="FFFFFF"/>
        </w:rPr>
        <w:t xml:space="preserve">, </w:t>
      </w:r>
      <w:r w:rsidR="00644D30">
        <w:rPr>
          <w:rFonts w:ascii="Arial" w:hAnsi="Arial" w:cs="Arial"/>
          <w:shd w:val="clear" w:color="auto" w:fill="FFFFFF"/>
        </w:rPr>
        <w:t xml:space="preserve">it is appropriate to revisit the statements made earlier in the discussion about the improvements made to this process and disputes being able to get resolved more sufficiently. </w:t>
      </w:r>
    </w:p>
    <w:p w:rsidR="00D17448" w:rsidRPr="00CD6815" w:rsidRDefault="00E82842" w:rsidP="00F05A32">
      <w:pPr>
        <w:pStyle w:val="enlisttextstandard"/>
        <w:shd w:val="clear" w:color="auto" w:fill="FFFFFF"/>
        <w:spacing w:before="0" w:beforeAutospacing="0" w:after="120" w:afterAutospacing="0" w:line="480" w:lineRule="auto"/>
        <w:rPr>
          <w:rFonts w:ascii="Arial" w:hAnsi="Arial" w:cs="Arial"/>
        </w:rPr>
      </w:pPr>
      <w:r>
        <w:rPr>
          <w:rFonts w:ascii="Arial" w:hAnsi="Arial" w:cs="Arial"/>
          <w:shd w:val="clear" w:color="auto" w:fill="FFFFFF"/>
        </w:rPr>
        <w:t>The Law Commission also made a number of recommendations for consumer rights, concerning the remedies consumers would have available,</w:t>
      </w:r>
      <w:r w:rsidR="005B3648">
        <w:rPr>
          <w:rFonts w:ascii="Arial" w:hAnsi="Arial" w:cs="Arial"/>
          <w:shd w:val="clear" w:color="auto" w:fill="FFFFFF"/>
        </w:rPr>
        <w:t xml:space="preserve"> quoting </w:t>
      </w:r>
      <w:r w:rsidR="005B3648" w:rsidRPr="00BE756C">
        <w:rPr>
          <w:rFonts w:ascii="Arial" w:hAnsi="Arial" w:cs="Arial"/>
          <w:i/>
          <w:shd w:val="clear" w:color="auto" w:fill="FFFFFF"/>
        </w:rPr>
        <w:t>The Law Commission</w:t>
      </w:r>
      <w:r w:rsidR="005B3648">
        <w:rPr>
          <w:rFonts w:ascii="Arial" w:hAnsi="Arial" w:cs="Arial"/>
          <w:shd w:val="clear" w:color="auto" w:fill="FFFFFF"/>
        </w:rPr>
        <w:t xml:space="preserve"> (2012), para 8.15,</w:t>
      </w:r>
      <w:r>
        <w:rPr>
          <w:rFonts w:ascii="Arial" w:hAnsi="Arial" w:cs="Arial"/>
          <w:shd w:val="clear" w:color="auto" w:fill="FFFFFF"/>
        </w:rPr>
        <w:t xml:space="preserve"> </w:t>
      </w:r>
      <w:r w:rsidR="00E75585" w:rsidRPr="00E75585">
        <w:rPr>
          <w:rFonts w:ascii="Arial" w:hAnsi="Arial" w:cs="Arial"/>
          <w:shd w:val="clear" w:color="auto" w:fill="FFFFFF"/>
        </w:rPr>
        <w:t>“</w:t>
      </w:r>
      <w:r w:rsidR="00E75585" w:rsidRPr="00E75585">
        <w:rPr>
          <w:rFonts w:ascii="Arial" w:hAnsi="Arial" w:cs="Arial"/>
        </w:rPr>
        <w:t>Remedies under the new Act should aim to restore consumers to the position in which they were before they entered into the contract or made the payment.</w:t>
      </w:r>
      <w:r w:rsidR="005B3648">
        <w:rPr>
          <w:rFonts w:ascii="Arial" w:hAnsi="Arial" w:cs="Arial"/>
        </w:rPr>
        <w:t>”</w:t>
      </w:r>
      <w:r w:rsidR="00F54E4F">
        <w:rPr>
          <w:rFonts w:ascii="Arial" w:hAnsi="Arial" w:cs="Arial"/>
        </w:rPr>
        <w:t xml:space="preserve"> </w:t>
      </w:r>
      <w:r w:rsidR="00771BD3">
        <w:rPr>
          <w:rFonts w:ascii="Arial" w:hAnsi="Arial" w:cs="Arial"/>
        </w:rPr>
        <w:t xml:space="preserve">Weighing this recommendation against the specific remedies outlined after the introduction of the CRA, </w:t>
      </w:r>
      <w:r w:rsidR="00A41839">
        <w:rPr>
          <w:rFonts w:ascii="Arial" w:hAnsi="Arial" w:cs="Arial"/>
        </w:rPr>
        <w:t xml:space="preserve">the remedies that can be identified are in relation to the </w:t>
      </w:r>
      <w:r w:rsidR="00BA6DDD">
        <w:rPr>
          <w:rFonts w:ascii="Arial" w:hAnsi="Arial" w:cs="Arial"/>
        </w:rPr>
        <w:t>ability for the consumer’s right to reject,</w:t>
      </w:r>
      <w:r w:rsidR="00EA565F">
        <w:rPr>
          <w:rFonts w:ascii="Arial" w:hAnsi="Arial" w:cs="Arial"/>
        </w:rPr>
        <w:t xml:space="preserve"> with the initial short term right to reject and the final right to reject goods or services,</w:t>
      </w:r>
      <w:r w:rsidR="0061031F">
        <w:rPr>
          <w:rFonts w:ascii="Arial" w:hAnsi="Arial" w:cs="Arial"/>
        </w:rPr>
        <w:t xml:space="preserve"> there is also an addition that the consumer has an option for repairing or replacing goods,</w:t>
      </w:r>
      <w:r w:rsidR="00BA6DDD">
        <w:rPr>
          <w:rFonts w:ascii="Arial" w:hAnsi="Arial" w:cs="Arial"/>
        </w:rPr>
        <w:t xml:space="preserve"> citing </w:t>
      </w:r>
      <w:r w:rsidR="00BA6DDD">
        <w:rPr>
          <w:rFonts w:ascii="Arial" w:hAnsi="Arial" w:cs="Arial"/>
          <w:i/>
        </w:rPr>
        <w:t xml:space="preserve">Emerson </w:t>
      </w:r>
      <w:r w:rsidR="0073564C">
        <w:rPr>
          <w:rFonts w:ascii="Arial" w:hAnsi="Arial" w:cs="Arial"/>
        </w:rPr>
        <w:t>(2015)</w:t>
      </w:r>
      <w:r w:rsidR="00EA565F">
        <w:rPr>
          <w:rFonts w:ascii="Arial" w:hAnsi="Arial" w:cs="Arial"/>
        </w:rPr>
        <w:t xml:space="preserve">, </w:t>
      </w:r>
      <w:r w:rsidR="00636AA5">
        <w:rPr>
          <w:rFonts w:ascii="Arial" w:hAnsi="Arial" w:cs="Arial"/>
        </w:rPr>
        <w:t xml:space="preserve">para  4 , </w:t>
      </w:r>
      <w:r w:rsidR="00EA565F" w:rsidRPr="00CD6815">
        <w:rPr>
          <w:rFonts w:ascii="Arial" w:hAnsi="Arial" w:cs="Arial"/>
        </w:rPr>
        <w:t>“</w:t>
      </w:r>
      <w:r w:rsidR="00CD6815" w:rsidRPr="00CD6815">
        <w:rPr>
          <w:rFonts w:ascii="Arial" w:hAnsi="Arial" w:cs="Arial"/>
        </w:rPr>
        <w:t>Should the consumer not wish to immediately return the goods under the 'Short Term Right to Reject' or they are no longer able to do so due to the expiry of the 30 day period, the trader will have one opportunity to repair or replace the goods, before movi</w:t>
      </w:r>
      <w:r w:rsidR="00CD6815">
        <w:rPr>
          <w:rFonts w:ascii="Arial" w:hAnsi="Arial" w:cs="Arial"/>
        </w:rPr>
        <w:t xml:space="preserve">ng to the next tier of remedies.” </w:t>
      </w:r>
      <w:r w:rsidR="0021335D">
        <w:rPr>
          <w:rFonts w:ascii="Arial" w:hAnsi="Arial" w:cs="Arial"/>
        </w:rPr>
        <w:t xml:space="preserve">These options now available to the consumer fall further in line with the recommendation </w:t>
      </w:r>
      <w:r w:rsidR="004023B4">
        <w:rPr>
          <w:rFonts w:ascii="Arial" w:hAnsi="Arial" w:cs="Arial"/>
        </w:rPr>
        <w:t>that the Law Commission made to put the consumer in a position they were before entering into a contract.</w:t>
      </w:r>
    </w:p>
    <w:p w:rsidR="001238A2" w:rsidRDefault="001238A2" w:rsidP="00F05A32">
      <w:pPr>
        <w:pStyle w:val="enlisttextstandard"/>
        <w:shd w:val="clear" w:color="auto" w:fill="FFFFFF"/>
        <w:spacing w:before="0" w:beforeAutospacing="0" w:after="120" w:afterAutospacing="0" w:line="480" w:lineRule="auto"/>
        <w:rPr>
          <w:rFonts w:ascii="Arial" w:hAnsi="Arial" w:cs="Arial"/>
        </w:rPr>
      </w:pPr>
    </w:p>
    <w:p w:rsidR="00B73FEC" w:rsidRDefault="001238A2" w:rsidP="00F05A32">
      <w:pPr>
        <w:pStyle w:val="enlisttextstandard"/>
        <w:shd w:val="clear" w:color="auto" w:fill="FFFFFF"/>
        <w:spacing w:before="0" w:beforeAutospacing="0" w:after="120" w:afterAutospacing="0" w:line="480" w:lineRule="auto"/>
        <w:rPr>
          <w:rFonts w:ascii="Arial" w:hAnsi="Arial" w:cs="Arial"/>
        </w:rPr>
      </w:pPr>
      <w:r>
        <w:rPr>
          <w:rFonts w:ascii="Arial" w:hAnsi="Arial" w:cs="Arial"/>
        </w:rPr>
        <w:t>Concluding everything that has been prese</w:t>
      </w:r>
      <w:r w:rsidR="000237E5">
        <w:rPr>
          <w:rFonts w:ascii="Arial" w:hAnsi="Arial" w:cs="Arial"/>
        </w:rPr>
        <w:t xml:space="preserve">nted in this discussion so far and evaluating the effectiveness of the Consumer Rights Act (2015), </w:t>
      </w:r>
      <w:r w:rsidR="008D7365">
        <w:rPr>
          <w:rFonts w:ascii="Arial" w:hAnsi="Arial" w:cs="Arial"/>
        </w:rPr>
        <w:t xml:space="preserve">despite the initial aims set out in the act </w:t>
      </w:r>
      <w:r w:rsidR="00491666">
        <w:rPr>
          <w:rFonts w:ascii="Arial" w:hAnsi="Arial" w:cs="Arial"/>
        </w:rPr>
        <w:t xml:space="preserve">it is still difficult </w:t>
      </w:r>
      <w:r w:rsidR="00EA5442">
        <w:rPr>
          <w:rFonts w:ascii="Arial" w:hAnsi="Arial" w:cs="Arial"/>
        </w:rPr>
        <w:t xml:space="preserve">to </w:t>
      </w:r>
      <w:r w:rsidR="00491666">
        <w:rPr>
          <w:rFonts w:ascii="Arial" w:hAnsi="Arial" w:cs="Arial"/>
        </w:rPr>
        <w:t>fully assess to what extent the act has had, however it is clear that the act has simplified and consolidated legislation</w:t>
      </w:r>
      <w:r w:rsidR="00B0296A">
        <w:rPr>
          <w:rFonts w:ascii="Arial" w:hAnsi="Arial" w:cs="Arial"/>
        </w:rPr>
        <w:t xml:space="preserve"> in order to </w:t>
      </w:r>
      <w:r w:rsidR="00B0296A">
        <w:rPr>
          <w:rFonts w:ascii="Arial" w:hAnsi="Arial" w:cs="Arial"/>
        </w:rPr>
        <w:lastRenderedPageBreak/>
        <w:t xml:space="preserve">aid consumers, with part 1 consolidating the Sale of Goods Act (1979) and Supply of Goods and Services Act (1982) to </w:t>
      </w:r>
      <w:r w:rsidR="00EE06D4">
        <w:rPr>
          <w:rFonts w:ascii="Arial" w:hAnsi="Arial" w:cs="Arial"/>
        </w:rPr>
        <w:t>give</w:t>
      </w:r>
      <w:r w:rsidR="00B0296A">
        <w:rPr>
          <w:rFonts w:ascii="Arial" w:hAnsi="Arial" w:cs="Arial"/>
        </w:rPr>
        <w:t xml:space="preserve"> a clearer understanding</w:t>
      </w:r>
      <w:r w:rsidR="00EE06D4">
        <w:rPr>
          <w:rFonts w:ascii="Arial" w:hAnsi="Arial" w:cs="Arial"/>
        </w:rPr>
        <w:t xml:space="preserve"> and a set of standards</w:t>
      </w:r>
      <w:r w:rsidR="00B0296A">
        <w:rPr>
          <w:rFonts w:ascii="Arial" w:hAnsi="Arial" w:cs="Arial"/>
        </w:rPr>
        <w:t xml:space="preserve"> </w:t>
      </w:r>
      <w:r w:rsidR="00EE06D4">
        <w:rPr>
          <w:rFonts w:ascii="Arial" w:hAnsi="Arial" w:cs="Arial"/>
        </w:rPr>
        <w:t>providers must adhere to, then</w:t>
      </w:r>
      <w:r w:rsidR="00B0296A">
        <w:rPr>
          <w:rFonts w:ascii="Arial" w:hAnsi="Arial" w:cs="Arial"/>
        </w:rPr>
        <w:t xml:space="preserve"> part 2 </w:t>
      </w:r>
      <w:r w:rsidR="00EE06D4">
        <w:rPr>
          <w:rFonts w:ascii="Arial" w:hAnsi="Arial" w:cs="Arial"/>
        </w:rPr>
        <w:t>builds</w:t>
      </w:r>
      <w:r w:rsidR="00B0296A">
        <w:rPr>
          <w:rFonts w:ascii="Arial" w:hAnsi="Arial" w:cs="Arial"/>
        </w:rPr>
        <w:t xml:space="preserve"> on the Unfair Contract Terms Act (1977)</w:t>
      </w:r>
      <w:r w:rsidR="00EE06D4">
        <w:rPr>
          <w:rFonts w:ascii="Arial" w:hAnsi="Arial" w:cs="Arial"/>
        </w:rPr>
        <w:t>.</w:t>
      </w:r>
      <w:r w:rsidR="009D7375">
        <w:rPr>
          <w:rFonts w:ascii="Arial" w:hAnsi="Arial" w:cs="Arial"/>
        </w:rPr>
        <w:t xml:space="preserve"> The CRA has also been utilised in competition law as previously discussed, encouraging more litigation. </w:t>
      </w:r>
      <w:r w:rsidR="004F42F2">
        <w:rPr>
          <w:rFonts w:ascii="Arial" w:hAnsi="Arial" w:cs="Arial"/>
        </w:rPr>
        <w:t xml:space="preserve">An aspect of the CRA that has also been touched on is the advantage the act has provided in the area of digital content, providing a modernised and updated piece of legislation. </w:t>
      </w:r>
      <w:r w:rsidR="00C86651">
        <w:rPr>
          <w:rFonts w:ascii="Arial" w:hAnsi="Arial" w:cs="Arial"/>
        </w:rPr>
        <w:t>Going forward, in order to keep improving legislation on consumer rights, there could possibly be room for more amendments to further simplify the legislation due to the criticism and concerns mentioned earlier regarding having to examine other regulations in conjunction with the CRA in order to fully understand consumer rights</w:t>
      </w:r>
      <w:r w:rsidR="006C64AF">
        <w:rPr>
          <w:rFonts w:ascii="Arial" w:hAnsi="Arial" w:cs="Arial"/>
        </w:rPr>
        <w:t xml:space="preserve">, this would in turn take the original aims of the act closer to being met. </w:t>
      </w:r>
    </w:p>
    <w:p w:rsidR="00B73FEC" w:rsidRDefault="00B73FEC">
      <w:pPr>
        <w:rPr>
          <w:rFonts w:ascii="Arial" w:eastAsia="Times New Roman" w:hAnsi="Arial" w:cs="Arial"/>
          <w:sz w:val="24"/>
          <w:szCs w:val="24"/>
          <w:lang w:eastAsia="en-GB"/>
        </w:rPr>
      </w:pPr>
      <w:r>
        <w:rPr>
          <w:rFonts w:ascii="Arial" w:hAnsi="Arial" w:cs="Arial"/>
        </w:rPr>
        <w:br w:type="page"/>
      </w:r>
    </w:p>
    <w:p w:rsidR="00B73FEC" w:rsidRDefault="00B73FEC" w:rsidP="00B73FEC">
      <w:pPr>
        <w:rPr>
          <w:rFonts w:ascii="Arial" w:hAnsi="Arial" w:cs="Arial"/>
          <w:color w:val="000000"/>
          <w:sz w:val="24"/>
          <w:szCs w:val="24"/>
          <w:u w:val="single"/>
        </w:rPr>
      </w:pPr>
      <w:r>
        <w:rPr>
          <w:rFonts w:ascii="Arial" w:hAnsi="Arial" w:cs="Arial"/>
          <w:color w:val="000000"/>
          <w:sz w:val="24"/>
          <w:szCs w:val="24"/>
          <w:u w:val="single"/>
        </w:rPr>
        <w:lastRenderedPageBreak/>
        <w:t>References</w:t>
      </w:r>
    </w:p>
    <w:p w:rsidR="00B73FEC" w:rsidRPr="00B81E69" w:rsidRDefault="00B73FEC" w:rsidP="00B73FEC">
      <w:pPr>
        <w:rPr>
          <w:rFonts w:ascii="Arial" w:hAnsi="Arial" w:cs="Arial"/>
          <w:sz w:val="24"/>
          <w:szCs w:val="24"/>
        </w:rPr>
      </w:pPr>
      <w:r w:rsidRPr="00D2657B">
        <w:rPr>
          <w:rFonts w:ascii="Arial" w:hAnsi="Arial" w:cs="Arial"/>
          <w:sz w:val="24"/>
          <w:szCs w:val="24"/>
        </w:rPr>
        <w:t>Andrews, C (2015). </w:t>
      </w:r>
      <w:r w:rsidRPr="00D2657B">
        <w:rPr>
          <w:rFonts w:ascii="Arial" w:hAnsi="Arial" w:cs="Arial"/>
          <w:i/>
          <w:iCs/>
          <w:sz w:val="24"/>
          <w:szCs w:val="24"/>
        </w:rPr>
        <w:t>Enforcement of Consumer Rights and Protections</w:t>
      </w:r>
      <w:r w:rsidRPr="00D2657B">
        <w:rPr>
          <w:rFonts w:ascii="Arial" w:hAnsi="Arial" w:cs="Arial"/>
          <w:sz w:val="24"/>
          <w:szCs w:val="24"/>
        </w:rPr>
        <w:t xml:space="preserve">. </w:t>
      </w:r>
      <w:r>
        <w:rPr>
          <w:rFonts w:ascii="Arial" w:hAnsi="Arial" w:cs="Arial"/>
          <w:sz w:val="24"/>
          <w:szCs w:val="24"/>
        </w:rPr>
        <w:t>1st</w:t>
      </w:r>
      <w:r w:rsidRPr="00D2657B">
        <w:rPr>
          <w:rFonts w:ascii="Arial" w:hAnsi="Arial" w:cs="Arial"/>
          <w:sz w:val="24"/>
          <w:szCs w:val="24"/>
        </w:rPr>
        <w:t xml:space="preserve"> ed. Cardiff: Lexis </w:t>
      </w:r>
      <w:proofErr w:type="spellStart"/>
      <w:r w:rsidRPr="00D2657B">
        <w:rPr>
          <w:rFonts w:ascii="Arial" w:hAnsi="Arial" w:cs="Arial"/>
          <w:sz w:val="24"/>
          <w:szCs w:val="24"/>
        </w:rPr>
        <w:t>Nexis</w:t>
      </w:r>
      <w:proofErr w:type="spellEnd"/>
      <w:r w:rsidRPr="00D2657B">
        <w:rPr>
          <w:rFonts w:ascii="Arial" w:hAnsi="Arial" w:cs="Arial"/>
          <w:sz w:val="24"/>
          <w:szCs w:val="24"/>
        </w:rPr>
        <w:t xml:space="preserve">. </w:t>
      </w:r>
    </w:p>
    <w:p w:rsidR="00B73FEC" w:rsidRPr="007F5CFA" w:rsidRDefault="00B73FEC" w:rsidP="00B73FEC">
      <w:pPr>
        <w:pStyle w:val="NormalWeb"/>
        <w:rPr>
          <w:rFonts w:ascii="Arial" w:hAnsi="Arial" w:cs="Arial"/>
        </w:rPr>
      </w:pPr>
      <w:r w:rsidRPr="007F5CFA">
        <w:rPr>
          <w:rFonts w:ascii="Arial" w:hAnsi="Arial" w:cs="Arial"/>
        </w:rPr>
        <w:t>Emerson, J. (2015). </w:t>
      </w:r>
      <w:r w:rsidRPr="007F5CFA">
        <w:rPr>
          <w:rFonts w:ascii="Arial" w:hAnsi="Arial" w:cs="Arial"/>
          <w:i/>
          <w:iCs/>
        </w:rPr>
        <w:t>Consumer Rights Act 2015: Remedies.</w:t>
      </w:r>
      <w:r w:rsidRPr="007F5CFA">
        <w:rPr>
          <w:rFonts w:ascii="Arial" w:hAnsi="Arial" w:cs="Arial"/>
        </w:rPr>
        <w:t xml:space="preserve"> Available: </w:t>
      </w:r>
      <w:hyperlink r:id="rId5" w:anchor=":~:text=Consumer%20Rights%20Act%202015%3A%20Remedies%201%20Initial%20Short,do%20so%20...%203%20Final%20Right" w:history="1">
        <w:r w:rsidRPr="009B326A">
          <w:rPr>
            <w:rStyle w:val="Hyperlink"/>
            <w:rFonts w:ascii="Arial" w:hAnsi="Arial" w:cs="Arial"/>
          </w:rPr>
          <w:t>https://www.geppsolicitors.co.uk/site/blog/government-law/consumer-rights-act-2015-remedies#:~:text=Consumer%20Rights%20Act%202015%3A%20Remedies%201%20Initial%20Short,do%20so%20...%203%20Final%20Right</w:t>
        </w:r>
      </w:hyperlink>
      <w:r>
        <w:rPr>
          <w:rFonts w:ascii="Arial" w:hAnsi="Arial" w:cs="Arial"/>
        </w:rPr>
        <w:t xml:space="preserve">. </w:t>
      </w:r>
      <w:r w:rsidRPr="007F5CFA">
        <w:rPr>
          <w:rFonts w:ascii="Arial" w:hAnsi="Arial" w:cs="Arial"/>
        </w:rPr>
        <w:t>Last accessed 5th May 2022.</w:t>
      </w:r>
    </w:p>
    <w:p w:rsidR="00B73FEC" w:rsidRPr="005A1BFD" w:rsidRDefault="00B73FEC" w:rsidP="00B73FEC">
      <w:pPr>
        <w:rPr>
          <w:rFonts w:ascii="Arial" w:hAnsi="Arial" w:cs="Arial"/>
          <w:color w:val="000000" w:themeColor="text1"/>
          <w:sz w:val="24"/>
          <w:szCs w:val="24"/>
          <w:shd w:val="clear" w:color="auto" w:fill="CAE7FF"/>
          <w14:textOutline w14:w="0" w14:cap="flat" w14:cmpd="sng" w14:algn="ctr">
            <w14:noFill/>
            <w14:prstDash w14:val="solid"/>
            <w14:round/>
          </w14:textOutline>
        </w:rPr>
      </w:pPr>
      <w:r w:rsidRPr="005A1BFD">
        <w:rPr>
          <w:rFonts w:ascii="Arial" w:hAnsi="Arial" w:cs="Arial"/>
          <w:color w:val="000000"/>
          <w:sz w:val="24"/>
          <w:szCs w:val="24"/>
        </w:rPr>
        <w:t>Flynn, B.</w:t>
      </w:r>
      <w:r>
        <w:rPr>
          <w:rFonts w:ascii="Arial" w:hAnsi="Arial" w:cs="Arial"/>
          <w:color w:val="000000"/>
          <w:sz w:val="24"/>
          <w:szCs w:val="24"/>
        </w:rPr>
        <w:t xml:space="preserve">, </w:t>
      </w:r>
      <w:proofErr w:type="spellStart"/>
      <w:r>
        <w:rPr>
          <w:rFonts w:ascii="Arial" w:hAnsi="Arial" w:cs="Arial"/>
          <w:color w:val="000000"/>
          <w:sz w:val="24"/>
          <w:szCs w:val="24"/>
        </w:rPr>
        <w:t>Broadhurst</w:t>
      </w:r>
      <w:proofErr w:type="spellEnd"/>
      <w:r>
        <w:rPr>
          <w:rFonts w:ascii="Arial" w:hAnsi="Arial" w:cs="Arial"/>
          <w:color w:val="000000"/>
          <w:sz w:val="24"/>
          <w:szCs w:val="24"/>
        </w:rPr>
        <w:t>, N</w:t>
      </w:r>
      <w:r w:rsidRPr="005A1BFD">
        <w:rPr>
          <w:rFonts w:ascii="Arial" w:hAnsi="Arial" w:cs="Arial"/>
          <w:color w:val="000000"/>
          <w:sz w:val="24"/>
          <w:szCs w:val="24"/>
        </w:rPr>
        <w:t>. (2020). </w:t>
      </w:r>
      <w:r w:rsidRPr="005A1BFD">
        <w:rPr>
          <w:rFonts w:ascii="Arial" w:hAnsi="Arial" w:cs="Arial"/>
          <w:i/>
          <w:iCs/>
          <w:color w:val="000000"/>
          <w:sz w:val="24"/>
          <w:szCs w:val="24"/>
        </w:rPr>
        <w:t>CONSUMER RIGHTS ACT 2015.</w:t>
      </w:r>
      <w:r w:rsidRPr="005A1BFD">
        <w:rPr>
          <w:rFonts w:ascii="Arial" w:hAnsi="Arial" w:cs="Arial"/>
          <w:color w:val="000000"/>
          <w:sz w:val="24"/>
          <w:szCs w:val="24"/>
        </w:rPr>
        <w:t xml:space="preserve"> Available: </w:t>
      </w:r>
      <w:hyperlink r:id="rId6" w:history="1">
        <w:r w:rsidRPr="00BE0A49">
          <w:rPr>
            <w:rStyle w:val="Hyperlink"/>
            <w:rFonts w:ascii="Arial" w:hAnsi="Arial" w:cs="Arial"/>
            <w:sz w:val="24"/>
            <w:szCs w:val="24"/>
          </w:rPr>
          <w:t>https://www.stevens-bolton.com/site/insights/briefing-notes/changes-to-consumer-law-in-the-uk-consumer-rights-act-2015</w:t>
        </w:r>
      </w:hyperlink>
      <w:r>
        <w:rPr>
          <w:rFonts w:ascii="Arial" w:hAnsi="Arial" w:cs="Arial"/>
          <w:color w:val="000000"/>
          <w:sz w:val="24"/>
          <w:szCs w:val="24"/>
        </w:rPr>
        <w:t xml:space="preserve">. </w:t>
      </w:r>
      <w:r w:rsidRPr="005A1BFD">
        <w:rPr>
          <w:rFonts w:ascii="Arial" w:hAnsi="Arial" w:cs="Arial"/>
          <w:color w:val="000000"/>
          <w:sz w:val="24"/>
          <w:szCs w:val="24"/>
        </w:rPr>
        <w:t>Last accessed 5th May 2022.</w:t>
      </w:r>
    </w:p>
    <w:p w:rsidR="00B73FEC" w:rsidRPr="00C575C5" w:rsidRDefault="00B73FEC" w:rsidP="00B73FEC">
      <w:pPr>
        <w:rPr>
          <w:rFonts w:ascii="Arial" w:hAnsi="Arial" w:cs="Arial"/>
          <w:sz w:val="24"/>
          <w:szCs w:val="24"/>
        </w:rPr>
      </w:pPr>
      <w:proofErr w:type="spellStart"/>
      <w:r w:rsidRPr="00C575C5">
        <w:rPr>
          <w:rFonts w:ascii="Arial" w:hAnsi="Arial" w:cs="Arial"/>
          <w:sz w:val="24"/>
          <w:szCs w:val="24"/>
        </w:rPr>
        <w:t>Giliker</w:t>
      </w:r>
      <w:proofErr w:type="spellEnd"/>
      <w:r w:rsidRPr="00C575C5">
        <w:rPr>
          <w:rFonts w:ascii="Arial" w:hAnsi="Arial" w:cs="Arial"/>
          <w:sz w:val="24"/>
          <w:szCs w:val="24"/>
        </w:rPr>
        <w:t xml:space="preserve">, P. (2017). The Consumer Rights Act 2015 - a bastion of European consumer rights? </w:t>
      </w:r>
      <w:r w:rsidRPr="00107D94">
        <w:rPr>
          <w:rFonts w:ascii="Arial" w:hAnsi="Arial" w:cs="Arial"/>
          <w:i/>
          <w:sz w:val="24"/>
          <w:szCs w:val="24"/>
        </w:rPr>
        <w:t>Legal Studies</w:t>
      </w:r>
      <w:r w:rsidRPr="00C575C5">
        <w:rPr>
          <w:rFonts w:ascii="Arial" w:hAnsi="Arial" w:cs="Arial"/>
          <w:sz w:val="24"/>
          <w:szCs w:val="24"/>
        </w:rPr>
        <w:t>,</w:t>
      </w:r>
      <w:r>
        <w:rPr>
          <w:rFonts w:ascii="Arial" w:hAnsi="Arial" w:cs="Arial"/>
          <w:sz w:val="24"/>
          <w:szCs w:val="24"/>
        </w:rPr>
        <w:t xml:space="preserve"> Vol.</w:t>
      </w:r>
      <w:r w:rsidRPr="00C575C5">
        <w:rPr>
          <w:rFonts w:ascii="Arial" w:hAnsi="Arial" w:cs="Arial"/>
          <w:sz w:val="24"/>
          <w:szCs w:val="24"/>
        </w:rPr>
        <w:t xml:space="preserve"> 37</w:t>
      </w:r>
      <w:r>
        <w:rPr>
          <w:rFonts w:ascii="Arial" w:hAnsi="Arial" w:cs="Arial"/>
          <w:sz w:val="24"/>
          <w:szCs w:val="24"/>
        </w:rPr>
        <w:t xml:space="preserve"> </w:t>
      </w:r>
      <w:r w:rsidRPr="00C575C5">
        <w:rPr>
          <w:rFonts w:ascii="Arial" w:hAnsi="Arial" w:cs="Arial"/>
          <w:sz w:val="24"/>
          <w:szCs w:val="24"/>
        </w:rPr>
        <w:t xml:space="preserve">(1), </w:t>
      </w:r>
      <w:r>
        <w:rPr>
          <w:rFonts w:ascii="Arial" w:hAnsi="Arial" w:cs="Arial"/>
          <w:sz w:val="24"/>
          <w:szCs w:val="24"/>
        </w:rPr>
        <w:t xml:space="preserve">pp </w:t>
      </w:r>
      <w:r w:rsidRPr="00C575C5">
        <w:rPr>
          <w:rFonts w:ascii="Arial" w:hAnsi="Arial" w:cs="Arial"/>
          <w:sz w:val="24"/>
          <w:szCs w:val="24"/>
        </w:rPr>
        <w:t xml:space="preserve">78-102. </w:t>
      </w:r>
      <w:hyperlink r:id="rId7" w:history="1">
        <w:r w:rsidRPr="00C575C5">
          <w:rPr>
            <w:rStyle w:val="Hyperlink"/>
            <w:rFonts w:ascii="Arial" w:hAnsi="Arial" w:cs="Arial"/>
            <w:sz w:val="24"/>
            <w:szCs w:val="24"/>
          </w:rPr>
          <w:t>https://doi.org/10.1111/lest.12139</w:t>
        </w:r>
      </w:hyperlink>
    </w:p>
    <w:p w:rsidR="00B73FEC" w:rsidRDefault="00B73FEC" w:rsidP="00B73FEC">
      <w:pPr>
        <w:rPr>
          <w:rFonts w:ascii="Arial" w:hAnsi="Arial" w:cs="Arial"/>
          <w:sz w:val="24"/>
          <w:szCs w:val="24"/>
        </w:rPr>
      </w:pPr>
      <w:r w:rsidRPr="00F578C8">
        <w:rPr>
          <w:rFonts w:ascii="Arial" w:hAnsi="Arial" w:cs="Arial"/>
          <w:sz w:val="24"/>
          <w:szCs w:val="24"/>
        </w:rPr>
        <w:t xml:space="preserve">Howells, G., &amp; </w:t>
      </w:r>
      <w:proofErr w:type="spellStart"/>
      <w:r w:rsidRPr="00F578C8">
        <w:rPr>
          <w:rFonts w:ascii="Arial" w:hAnsi="Arial" w:cs="Arial"/>
          <w:sz w:val="24"/>
          <w:szCs w:val="24"/>
        </w:rPr>
        <w:t>Weatherill</w:t>
      </w:r>
      <w:proofErr w:type="spellEnd"/>
      <w:r w:rsidRPr="00F578C8">
        <w:rPr>
          <w:rFonts w:ascii="Arial" w:hAnsi="Arial" w:cs="Arial"/>
          <w:sz w:val="24"/>
          <w:szCs w:val="24"/>
        </w:rPr>
        <w:t xml:space="preserve">, S. (2005). </w:t>
      </w:r>
      <w:r w:rsidRPr="00DF3A4E">
        <w:rPr>
          <w:rFonts w:ascii="Arial" w:hAnsi="Arial" w:cs="Arial"/>
          <w:i/>
          <w:sz w:val="24"/>
          <w:szCs w:val="24"/>
        </w:rPr>
        <w:t>Consumer Protection Law</w:t>
      </w:r>
      <w:r w:rsidRPr="00F578C8">
        <w:rPr>
          <w:rFonts w:ascii="Arial" w:hAnsi="Arial" w:cs="Arial"/>
          <w:sz w:val="24"/>
          <w:szCs w:val="24"/>
        </w:rPr>
        <w:t xml:space="preserve"> (2nd ed.). Routledge. </w:t>
      </w:r>
      <w:hyperlink r:id="rId8" w:history="1">
        <w:r w:rsidRPr="00BE0A49">
          <w:rPr>
            <w:rStyle w:val="Hyperlink"/>
            <w:rFonts w:ascii="Arial" w:hAnsi="Arial" w:cs="Arial"/>
            <w:sz w:val="24"/>
            <w:szCs w:val="24"/>
          </w:rPr>
          <w:t>https://doi.org/10.4324/9781315259512</w:t>
        </w:r>
      </w:hyperlink>
      <w:r>
        <w:rPr>
          <w:rFonts w:ascii="Arial" w:hAnsi="Arial" w:cs="Arial"/>
          <w:sz w:val="24"/>
          <w:szCs w:val="24"/>
        </w:rPr>
        <w:t xml:space="preserve">. </w:t>
      </w:r>
    </w:p>
    <w:p w:rsidR="00B73FEC" w:rsidRPr="009661F4" w:rsidRDefault="00B73FEC" w:rsidP="00B73FEC">
      <w:pPr>
        <w:rPr>
          <w:rFonts w:ascii="Arial" w:hAnsi="Arial" w:cs="Arial"/>
          <w:sz w:val="24"/>
          <w:szCs w:val="24"/>
        </w:rPr>
      </w:pPr>
      <w:proofErr w:type="spellStart"/>
      <w:r w:rsidRPr="009661F4">
        <w:rPr>
          <w:rFonts w:ascii="Arial" w:hAnsi="Arial" w:cs="Arial"/>
          <w:sz w:val="24"/>
          <w:szCs w:val="24"/>
        </w:rPr>
        <w:t>MacQueen</w:t>
      </w:r>
      <w:proofErr w:type="spellEnd"/>
      <w:r w:rsidRPr="009661F4">
        <w:rPr>
          <w:rFonts w:ascii="Arial" w:hAnsi="Arial" w:cs="Arial"/>
          <w:sz w:val="24"/>
          <w:szCs w:val="24"/>
        </w:rPr>
        <w:t xml:space="preserve">, H., Davidson, </w:t>
      </w:r>
      <w:proofErr w:type="spellStart"/>
      <w:proofErr w:type="gramStart"/>
      <w:r w:rsidRPr="009661F4">
        <w:rPr>
          <w:rFonts w:ascii="Arial" w:hAnsi="Arial" w:cs="Arial"/>
          <w:sz w:val="24"/>
          <w:szCs w:val="24"/>
        </w:rPr>
        <w:t>J.,Swanson</w:t>
      </w:r>
      <w:proofErr w:type="spellEnd"/>
      <w:proofErr w:type="gramEnd"/>
      <w:r w:rsidRPr="009661F4">
        <w:rPr>
          <w:rFonts w:ascii="Arial" w:hAnsi="Arial" w:cs="Arial"/>
          <w:sz w:val="24"/>
          <w:szCs w:val="24"/>
        </w:rPr>
        <w:t xml:space="preserve"> G. (2014). </w:t>
      </w:r>
      <w:r w:rsidRPr="009661F4">
        <w:rPr>
          <w:rFonts w:ascii="Arial" w:hAnsi="Arial" w:cs="Arial"/>
          <w:i/>
          <w:iCs/>
          <w:sz w:val="24"/>
          <w:szCs w:val="24"/>
        </w:rPr>
        <w:t>Consumer redress for misleading and aggressive practices.</w:t>
      </w:r>
      <w:r w:rsidRPr="009661F4">
        <w:rPr>
          <w:rFonts w:ascii="Arial" w:hAnsi="Arial" w:cs="Arial"/>
          <w:sz w:val="24"/>
          <w:szCs w:val="24"/>
        </w:rPr>
        <w:t xml:space="preserve"> Available: </w:t>
      </w:r>
      <w:hyperlink r:id="rId9" w:history="1">
        <w:r w:rsidRPr="009B326A">
          <w:rPr>
            <w:rStyle w:val="Hyperlink"/>
            <w:rFonts w:ascii="Arial" w:hAnsi="Arial" w:cs="Arial"/>
            <w:sz w:val="24"/>
            <w:szCs w:val="24"/>
          </w:rPr>
          <w:t>https://www.scotlawcom.gov.uk/law-reform/law-reform-projects/completed-projects/consumer-redress-for-misleading-and-aggressive-practices/</w:t>
        </w:r>
      </w:hyperlink>
      <w:r>
        <w:rPr>
          <w:rFonts w:ascii="Arial" w:hAnsi="Arial" w:cs="Arial"/>
          <w:sz w:val="24"/>
          <w:szCs w:val="24"/>
        </w:rPr>
        <w:t xml:space="preserve">. </w:t>
      </w:r>
      <w:r w:rsidRPr="009661F4">
        <w:rPr>
          <w:rFonts w:ascii="Arial" w:hAnsi="Arial" w:cs="Arial"/>
          <w:sz w:val="24"/>
          <w:szCs w:val="24"/>
        </w:rPr>
        <w:t>Last accessed 5th May 2022.</w:t>
      </w:r>
    </w:p>
    <w:p w:rsidR="00B73FEC" w:rsidRDefault="00B73FEC" w:rsidP="00B73FEC">
      <w:pPr>
        <w:rPr>
          <w:rFonts w:ascii="Arial" w:hAnsi="Arial" w:cs="Arial"/>
          <w:color w:val="000000"/>
          <w:sz w:val="24"/>
          <w:szCs w:val="24"/>
        </w:rPr>
      </w:pPr>
      <w:r w:rsidRPr="004F5713">
        <w:rPr>
          <w:rFonts w:ascii="Arial" w:hAnsi="Arial" w:cs="Arial"/>
          <w:color w:val="000000"/>
          <w:sz w:val="24"/>
          <w:szCs w:val="24"/>
        </w:rPr>
        <w:t>Rodger, B. (2015). The Consumer Rights Act 2015 and collective redress for competition law infrin</w:t>
      </w:r>
      <w:r>
        <w:rPr>
          <w:rFonts w:ascii="Arial" w:hAnsi="Arial" w:cs="Arial"/>
          <w:color w:val="000000"/>
          <w:sz w:val="24"/>
          <w:szCs w:val="24"/>
        </w:rPr>
        <w:t>gements in the UK: a class act?</w:t>
      </w:r>
      <w:r w:rsidRPr="004F5713">
        <w:rPr>
          <w:rFonts w:ascii="Arial" w:hAnsi="Arial" w:cs="Arial"/>
          <w:color w:val="000000"/>
          <w:sz w:val="24"/>
          <w:szCs w:val="24"/>
        </w:rPr>
        <w:t> </w:t>
      </w:r>
      <w:r w:rsidRPr="004F5713">
        <w:rPr>
          <w:rFonts w:ascii="Arial" w:hAnsi="Arial" w:cs="Arial"/>
          <w:i/>
          <w:iCs/>
          <w:color w:val="000000"/>
          <w:sz w:val="24"/>
          <w:szCs w:val="24"/>
        </w:rPr>
        <w:t>Journal of Antitrust Enforcement</w:t>
      </w:r>
      <w:r w:rsidRPr="004F5713">
        <w:rPr>
          <w:rFonts w:ascii="Arial" w:hAnsi="Arial" w:cs="Arial"/>
          <w:color w:val="000000"/>
          <w:sz w:val="24"/>
          <w:szCs w:val="24"/>
        </w:rPr>
        <w:t xml:space="preserve">. </w:t>
      </w:r>
      <w:r>
        <w:rPr>
          <w:rFonts w:ascii="Arial" w:hAnsi="Arial" w:cs="Arial"/>
          <w:color w:val="000000"/>
          <w:sz w:val="24"/>
          <w:szCs w:val="24"/>
        </w:rPr>
        <w:t xml:space="preserve">Vol. </w:t>
      </w:r>
      <w:r w:rsidRPr="004F5713">
        <w:rPr>
          <w:rFonts w:ascii="Arial" w:hAnsi="Arial" w:cs="Arial"/>
          <w:color w:val="000000"/>
          <w:sz w:val="24"/>
          <w:szCs w:val="24"/>
        </w:rPr>
        <w:t>3 (2), p</w:t>
      </w:r>
      <w:r>
        <w:rPr>
          <w:rFonts w:ascii="Arial" w:hAnsi="Arial" w:cs="Arial"/>
          <w:color w:val="000000"/>
          <w:sz w:val="24"/>
          <w:szCs w:val="24"/>
        </w:rPr>
        <w:t xml:space="preserve">p </w:t>
      </w:r>
      <w:r w:rsidRPr="004F5713">
        <w:rPr>
          <w:rFonts w:ascii="Arial" w:hAnsi="Arial" w:cs="Arial"/>
          <w:color w:val="000000"/>
          <w:sz w:val="24"/>
          <w:szCs w:val="24"/>
        </w:rPr>
        <w:t>258-286.</w:t>
      </w:r>
    </w:p>
    <w:p w:rsidR="00B73FEC" w:rsidRPr="009D1C44" w:rsidRDefault="00B73FEC" w:rsidP="00B73FEC">
      <w:pPr>
        <w:rPr>
          <w:rFonts w:ascii="Arial" w:hAnsi="Arial" w:cs="Arial"/>
          <w:color w:val="000000"/>
          <w:sz w:val="24"/>
          <w:szCs w:val="24"/>
        </w:rPr>
      </w:pPr>
      <w:r>
        <w:rPr>
          <w:rFonts w:ascii="Arial" w:hAnsi="Arial" w:cs="Arial"/>
          <w:color w:val="000000"/>
          <w:sz w:val="24"/>
          <w:szCs w:val="24"/>
        </w:rPr>
        <w:t xml:space="preserve">The Law Commission and The Scottish Law Commission. (2012). </w:t>
      </w:r>
      <w:r>
        <w:rPr>
          <w:rFonts w:ascii="Arial" w:hAnsi="Arial" w:cs="Arial"/>
          <w:i/>
          <w:color w:val="000000"/>
          <w:sz w:val="24"/>
          <w:szCs w:val="24"/>
        </w:rPr>
        <w:t>Consumer redress for misleading and aggressive practices</w:t>
      </w:r>
      <w:r>
        <w:rPr>
          <w:rFonts w:ascii="Arial" w:hAnsi="Arial" w:cs="Arial"/>
          <w:color w:val="000000"/>
          <w:sz w:val="24"/>
          <w:szCs w:val="24"/>
        </w:rPr>
        <w:t xml:space="preserve">. Scottish Law Commission: Edinburgh. </w:t>
      </w:r>
    </w:p>
    <w:p w:rsidR="00B73FEC" w:rsidRDefault="00B73FEC" w:rsidP="00B73FEC">
      <w:pPr>
        <w:rPr>
          <w:rFonts w:ascii="Arial" w:hAnsi="Arial" w:cs="Arial"/>
          <w:color w:val="000000"/>
          <w:sz w:val="24"/>
          <w:szCs w:val="24"/>
        </w:rPr>
      </w:pPr>
      <w:r w:rsidRPr="009C0E7D">
        <w:rPr>
          <w:rFonts w:ascii="Arial" w:hAnsi="Arial" w:cs="Arial"/>
          <w:color w:val="000000"/>
          <w:sz w:val="24"/>
          <w:szCs w:val="24"/>
        </w:rPr>
        <w:t>Wrench, D.</w:t>
      </w:r>
      <w:r>
        <w:rPr>
          <w:rFonts w:ascii="Arial" w:hAnsi="Arial" w:cs="Arial"/>
          <w:color w:val="000000"/>
          <w:sz w:val="24"/>
          <w:szCs w:val="24"/>
        </w:rPr>
        <w:t>,</w:t>
      </w:r>
      <w:r w:rsidRPr="009C0E7D">
        <w:rPr>
          <w:rFonts w:ascii="Arial" w:hAnsi="Arial" w:cs="Arial"/>
          <w:color w:val="000000"/>
          <w:sz w:val="24"/>
          <w:szCs w:val="24"/>
        </w:rPr>
        <w:t xml:space="preserve"> </w:t>
      </w:r>
      <w:proofErr w:type="spellStart"/>
      <w:r w:rsidRPr="009C0E7D">
        <w:rPr>
          <w:rFonts w:ascii="Arial" w:hAnsi="Arial" w:cs="Arial"/>
          <w:color w:val="000000"/>
          <w:sz w:val="24"/>
          <w:szCs w:val="24"/>
        </w:rPr>
        <w:t>Farrant</w:t>
      </w:r>
      <w:proofErr w:type="spellEnd"/>
      <w:r w:rsidRPr="009C0E7D">
        <w:rPr>
          <w:rFonts w:ascii="Arial" w:hAnsi="Arial" w:cs="Arial"/>
          <w:color w:val="000000"/>
          <w:sz w:val="24"/>
          <w:szCs w:val="24"/>
        </w:rPr>
        <w:t>, P. (2017). </w:t>
      </w:r>
      <w:r w:rsidRPr="009C0E7D">
        <w:rPr>
          <w:rFonts w:ascii="Arial" w:hAnsi="Arial" w:cs="Arial"/>
          <w:i/>
          <w:iCs/>
          <w:color w:val="000000"/>
          <w:sz w:val="24"/>
          <w:szCs w:val="24"/>
        </w:rPr>
        <w:t>The Consumer Rights Act 2015, two years on… a seismic change in the business-to-consumer relationship?</w:t>
      </w:r>
      <w:r w:rsidRPr="009C0E7D">
        <w:rPr>
          <w:rFonts w:ascii="Arial" w:hAnsi="Arial" w:cs="Arial"/>
          <w:color w:val="000000"/>
          <w:sz w:val="24"/>
          <w:szCs w:val="24"/>
        </w:rPr>
        <w:t xml:space="preserve"> Available: </w:t>
      </w:r>
      <w:hyperlink r:id="rId10" w:history="1">
        <w:r w:rsidRPr="00BE0A49">
          <w:rPr>
            <w:rStyle w:val="Hyperlink"/>
            <w:rFonts w:ascii="Arial" w:hAnsi="Arial" w:cs="Arial"/>
            <w:sz w:val="24"/>
            <w:szCs w:val="24"/>
          </w:rPr>
          <w:t>https://www.taylorvinters.com/article/the-consumer-rights-act-2015-two-years-on-a-seismic-change-in-the-business-to-consumer-relationship</w:t>
        </w:r>
      </w:hyperlink>
      <w:r>
        <w:rPr>
          <w:rFonts w:ascii="Arial" w:hAnsi="Arial" w:cs="Arial"/>
          <w:color w:val="000000"/>
          <w:sz w:val="24"/>
          <w:szCs w:val="24"/>
        </w:rPr>
        <w:t xml:space="preserve">. </w:t>
      </w:r>
      <w:r w:rsidRPr="009C0E7D">
        <w:rPr>
          <w:rFonts w:ascii="Arial" w:hAnsi="Arial" w:cs="Arial"/>
          <w:color w:val="000000"/>
          <w:sz w:val="24"/>
          <w:szCs w:val="24"/>
        </w:rPr>
        <w:t>Last accessed 5th May 2022.</w:t>
      </w:r>
    </w:p>
    <w:p w:rsidR="00B73FEC" w:rsidRDefault="00B73FEC" w:rsidP="00B73FEC">
      <w:pPr>
        <w:rPr>
          <w:rFonts w:ascii="Arial" w:hAnsi="Arial" w:cs="Arial"/>
          <w:sz w:val="24"/>
          <w:szCs w:val="24"/>
        </w:rPr>
      </w:pPr>
    </w:p>
    <w:p w:rsidR="00B73FEC" w:rsidRDefault="00B73FEC" w:rsidP="00B73FEC">
      <w:pPr>
        <w:rPr>
          <w:rFonts w:ascii="Arial" w:hAnsi="Arial" w:cs="Arial"/>
          <w:color w:val="000000"/>
          <w:sz w:val="24"/>
          <w:szCs w:val="24"/>
          <w:u w:val="single"/>
        </w:rPr>
      </w:pPr>
      <w:r>
        <w:rPr>
          <w:rFonts w:ascii="Arial" w:hAnsi="Arial" w:cs="Arial"/>
          <w:color w:val="000000"/>
          <w:sz w:val="24"/>
          <w:szCs w:val="24"/>
          <w:u w:val="single"/>
        </w:rPr>
        <w:t>Legislation</w:t>
      </w:r>
    </w:p>
    <w:p w:rsidR="00B73FEC" w:rsidRDefault="00B73FEC" w:rsidP="00B73FEC">
      <w:pPr>
        <w:rPr>
          <w:rFonts w:ascii="Arial" w:hAnsi="Arial" w:cs="Arial"/>
          <w:sz w:val="24"/>
          <w:szCs w:val="24"/>
        </w:rPr>
      </w:pPr>
      <w:r>
        <w:rPr>
          <w:rFonts w:ascii="Arial" w:hAnsi="Arial" w:cs="Arial"/>
          <w:sz w:val="24"/>
          <w:szCs w:val="24"/>
        </w:rPr>
        <w:t>Consumer Rights Act (2015)</w:t>
      </w:r>
    </w:p>
    <w:p w:rsidR="001057FE" w:rsidRDefault="001057FE" w:rsidP="00B73FEC">
      <w:pPr>
        <w:rPr>
          <w:rFonts w:ascii="Arial" w:hAnsi="Arial" w:cs="Arial"/>
          <w:sz w:val="24"/>
          <w:szCs w:val="24"/>
        </w:rPr>
      </w:pPr>
      <w:r>
        <w:rPr>
          <w:rFonts w:ascii="Arial" w:hAnsi="Arial" w:cs="Arial"/>
          <w:sz w:val="24"/>
          <w:szCs w:val="24"/>
          <w:shd w:val="clear" w:color="auto" w:fill="FFFFFF"/>
        </w:rPr>
        <w:t>Competition Act (1998)</w:t>
      </w:r>
    </w:p>
    <w:p w:rsidR="00B73FEC" w:rsidRDefault="00B73FEC" w:rsidP="00B73FEC">
      <w:pPr>
        <w:rPr>
          <w:rFonts w:ascii="Arial" w:hAnsi="Arial" w:cs="Arial"/>
          <w:sz w:val="24"/>
          <w:szCs w:val="24"/>
        </w:rPr>
      </w:pPr>
      <w:r>
        <w:rPr>
          <w:rFonts w:ascii="Arial" w:hAnsi="Arial" w:cs="Arial"/>
          <w:sz w:val="24"/>
          <w:szCs w:val="24"/>
        </w:rPr>
        <w:t>Sale of Goods Act (1979)</w:t>
      </w:r>
    </w:p>
    <w:p w:rsidR="00B73FEC" w:rsidRDefault="00B73FEC" w:rsidP="00B73FEC">
      <w:pPr>
        <w:rPr>
          <w:rFonts w:ascii="Arial" w:hAnsi="Arial" w:cs="Arial"/>
          <w:sz w:val="24"/>
          <w:szCs w:val="24"/>
        </w:rPr>
      </w:pPr>
      <w:r>
        <w:rPr>
          <w:rFonts w:ascii="Arial" w:hAnsi="Arial" w:cs="Arial"/>
          <w:sz w:val="24"/>
          <w:szCs w:val="24"/>
        </w:rPr>
        <w:t>Supply of Goods and Services Act (1982)</w:t>
      </w:r>
    </w:p>
    <w:p w:rsidR="00B73FEC" w:rsidRDefault="00B73FEC" w:rsidP="00B73FEC">
      <w:pPr>
        <w:rPr>
          <w:rFonts w:ascii="Arial" w:hAnsi="Arial" w:cs="Arial"/>
          <w:sz w:val="24"/>
          <w:szCs w:val="24"/>
        </w:rPr>
      </w:pPr>
      <w:r>
        <w:rPr>
          <w:rFonts w:ascii="Arial" w:hAnsi="Arial" w:cs="Arial"/>
          <w:sz w:val="24"/>
          <w:szCs w:val="24"/>
        </w:rPr>
        <w:t>Unfair Contract Terms Act (1977)</w:t>
      </w:r>
    </w:p>
    <w:p w:rsidR="00B73FEC" w:rsidRDefault="00B73FEC" w:rsidP="00B73FEC">
      <w:pPr>
        <w:rPr>
          <w:rFonts w:ascii="Arial" w:hAnsi="Arial" w:cs="Arial"/>
          <w:sz w:val="24"/>
          <w:szCs w:val="24"/>
          <w:shd w:val="clear" w:color="auto" w:fill="FFFFFF"/>
        </w:rPr>
      </w:pPr>
      <w:r>
        <w:rPr>
          <w:rFonts w:ascii="Arial" w:hAnsi="Arial" w:cs="Arial"/>
          <w:sz w:val="24"/>
          <w:szCs w:val="24"/>
          <w:shd w:val="clear" w:color="auto" w:fill="FFFFFF"/>
        </w:rPr>
        <w:lastRenderedPageBreak/>
        <w:t>Consumer Protection Act (1987)</w:t>
      </w:r>
    </w:p>
    <w:p w:rsidR="001238A2" w:rsidRPr="00D24659" w:rsidRDefault="001238A2" w:rsidP="00D24659">
      <w:pPr>
        <w:pStyle w:val="enlisttextstandard"/>
        <w:shd w:val="clear" w:color="auto" w:fill="FFFFFF"/>
        <w:spacing w:before="0" w:beforeAutospacing="0" w:after="120" w:afterAutospacing="0" w:line="360" w:lineRule="atLeast"/>
        <w:rPr>
          <w:rFonts w:ascii="Arial" w:hAnsi="Arial" w:cs="Arial"/>
          <w:sz w:val="18"/>
          <w:szCs w:val="18"/>
        </w:rPr>
      </w:pPr>
    </w:p>
    <w:p w:rsidR="00DC2A59" w:rsidRPr="009B2FEA" w:rsidRDefault="00DC2A59" w:rsidP="009B2FEA">
      <w:pPr>
        <w:rPr>
          <w:rFonts w:ascii="Arial" w:hAnsi="Arial" w:cs="Arial"/>
          <w:sz w:val="24"/>
          <w:szCs w:val="24"/>
        </w:rPr>
      </w:pPr>
    </w:p>
    <w:sectPr w:rsidR="00DC2A59" w:rsidRPr="009B2F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B112B9"/>
    <w:multiLevelType w:val="multilevel"/>
    <w:tmpl w:val="D660C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945"/>
    <w:rsid w:val="000079BB"/>
    <w:rsid w:val="0002057A"/>
    <w:rsid w:val="000237E5"/>
    <w:rsid w:val="00025D5F"/>
    <w:rsid w:val="00026085"/>
    <w:rsid w:val="00033D27"/>
    <w:rsid w:val="00056500"/>
    <w:rsid w:val="0006278D"/>
    <w:rsid w:val="00066919"/>
    <w:rsid w:val="00070C59"/>
    <w:rsid w:val="0007505A"/>
    <w:rsid w:val="00083B4E"/>
    <w:rsid w:val="00094D32"/>
    <w:rsid w:val="00094FA1"/>
    <w:rsid w:val="000E4874"/>
    <w:rsid w:val="000F6736"/>
    <w:rsid w:val="001057FE"/>
    <w:rsid w:val="001238A2"/>
    <w:rsid w:val="00164D35"/>
    <w:rsid w:val="00165AA4"/>
    <w:rsid w:val="001718E4"/>
    <w:rsid w:val="00172FDD"/>
    <w:rsid w:val="00181EF4"/>
    <w:rsid w:val="00193FD6"/>
    <w:rsid w:val="001A10E2"/>
    <w:rsid w:val="001A50C2"/>
    <w:rsid w:val="001A76B2"/>
    <w:rsid w:val="001B0C10"/>
    <w:rsid w:val="001B2FD4"/>
    <w:rsid w:val="001C00C1"/>
    <w:rsid w:val="001E134C"/>
    <w:rsid w:val="001F0AC4"/>
    <w:rsid w:val="0021335D"/>
    <w:rsid w:val="00215CD4"/>
    <w:rsid w:val="00242A2A"/>
    <w:rsid w:val="0027710A"/>
    <w:rsid w:val="00283206"/>
    <w:rsid w:val="002B597C"/>
    <w:rsid w:val="002D17F7"/>
    <w:rsid w:val="002D4E2E"/>
    <w:rsid w:val="002F351D"/>
    <w:rsid w:val="00305499"/>
    <w:rsid w:val="0032442D"/>
    <w:rsid w:val="003302D1"/>
    <w:rsid w:val="003752E6"/>
    <w:rsid w:val="00380701"/>
    <w:rsid w:val="003A04C9"/>
    <w:rsid w:val="003B1A01"/>
    <w:rsid w:val="003B3CC0"/>
    <w:rsid w:val="003D0970"/>
    <w:rsid w:val="003D5C92"/>
    <w:rsid w:val="003D758F"/>
    <w:rsid w:val="003F7600"/>
    <w:rsid w:val="004023B4"/>
    <w:rsid w:val="0042598A"/>
    <w:rsid w:val="00464F38"/>
    <w:rsid w:val="00466EB8"/>
    <w:rsid w:val="0047694C"/>
    <w:rsid w:val="004779EE"/>
    <w:rsid w:val="00482BAC"/>
    <w:rsid w:val="004852CC"/>
    <w:rsid w:val="00491666"/>
    <w:rsid w:val="004A04ED"/>
    <w:rsid w:val="004B5CFA"/>
    <w:rsid w:val="004D0391"/>
    <w:rsid w:val="004E28F4"/>
    <w:rsid w:val="004F42F2"/>
    <w:rsid w:val="00512BAA"/>
    <w:rsid w:val="00524550"/>
    <w:rsid w:val="0054680A"/>
    <w:rsid w:val="00553214"/>
    <w:rsid w:val="00557043"/>
    <w:rsid w:val="00567A9A"/>
    <w:rsid w:val="0059363B"/>
    <w:rsid w:val="005B3648"/>
    <w:rsid w:val="005B7FDC"/>
    <w:rsid w:val="005D538B"/>
    <w:rsid w:val="005E1568"/>
    <w:rsid w:val="005F5FE4"/>
    <w:rsid w:val="0061031F"/>
    <w:rsid w:val="00635EB4"/>
    <w:rsid w:val="00636AA5"/>
    <w:rsid w:val="00637987"/>
    <w:rsid w:val="006425C0"/>
    <w:rsid w:val="00644D30"/>
    <w:rsid w:val="006522D7"/>
    <w:rsid w:val="00667042"/>
    <w:rsid w:val="006675AC"/>
    <w:rsid w:val="0068443E"/>
    <w:rsid w:val="00686117"/>
    <w:rsid w:val="006A5974"/>
    <w:rsid w:val="006B7572"/>
    <w:rsid w:val="006C64AF"/>
    <w:rsid w:val="006D745C"/>
    <w:rsid w:val="006E590A"/>
    <w:rsid w:val="006E716F"/>
    <w:rsid w:val="00702E3B"/>
    <w:rsid w:val="00707CAF"/>
    <w:rsid w:val="00714D76"/>
    <w:rsid w:val="0073564C"/>
    <w:rsid w:val="0075278B"/>
    <w:rsid w:val="00757861"/>
    <w:rsid w:val="00766FB0"/>
    <w:rsid w:val="007708B0"/>
    <w:rsid w:val="00771BD3"/>
    <w:rsid w:val="007A2B18"/>
    <w:rsid w:val="007C06F0"/>
    <w:rsid w:val="007D25B0"/>
    <w:rsid w:val="007D627E"/>
    <w:rsid w:val="007E546E"/>
    <w:rsid w:val="00805E13"/>
    <w:rsid w:val="00807EDB"/>
    <w:rsid w:val="0082087E"/>
    <w:rsid w:val="00821151"/>
    <w:rsid w:val="00886B91"/>
    <w:rsid w:val="008A7271"/>
    <w:rsid w:val="008B2C06"/>
    <w:rsid w:val="008D7365"/>
    <w:rsid w:val="008E3D8C"/>
    <w:rsid w:val="008F1128"/>
    <w:rsid w:val="008F498D"/>
    <w:rsid w:val="00956F03"/>
    <w:rsid w:val="00967250"/>
    <w:rsid w:val="009A1619"/>
    <w:rsid w:val="009A7F82"/>
    <w:rsid w:val="009B2FEA"/>
    <w:rsid w:val="009B62C7"/>
    <w:rsid w:val="009D7375"/>
    <w:rsid w:val="00A33BF4"/>
    <w:rsid w:val="00A41839"/>
    <w:rsid w:val="00A44443"/>
    <w:rsid w:val="00A60E9F"/>
    <w:rsid w:val="00A8014C"/>
    <w:rsid w:val="00A80DCD"/>
    <w:rsid w:val="00A871C7"/>
    <w:rsid w:val="00AD24FE"/>
    <w:rsid w:val="00AE2F3F"/>
    <w:rsid w:val="00B0296A"/>
    <w:rsid w:val="00B1743C"/>
    <w:rsid w:val="00B25070"/>
    <w:rsid w:val="00B41034"/>
    <w:rsid w:val="00B57D1C"/>
    <w:rsid w:val="00B650C8"/>
    <w:rsid w:val="00B73FEC"/>
    <w:rsid w:val="00B978FD"/>
    <w:rsid w:val="00BA4E64"/>
    <w:rsid w:val="00BA6DDD"/>
    <w:rsid w:val="00BC794E"/>
    <w:rsid w:val="00BE756C"/>
    <w:rsid w:val="00C1684E"/>
    <w:rsid w:val="00C174C3"/>
    <w:rsid w:val="00C33FA9"/>
    <w:rsid w:val="00C44E01"/>
    <w:rsid w:val="00C75D87"/>
    <w:rsid w:val="00C8648E"/>
    <w:rsid w:val="00C86651"/>
    <w:rsid w:val="00CA35EF"/>
    <w:rsid w:val="00CA6B00"/>
    <w:rsid w:val="00CB470D"/>
    <w:rsid w:val="00CD5F7E"/>
    <w:rsid w:val="00CD6815"/>
    <w:rsid w:val="00D02162"/>
    <w:rsid w:val="00D15217"/>
    <w:rsid w:val="00D17448"/>
    <w:rsid w:val="00D20B8E"/>
    <w:rsid w:val="00D24659"/>
    <w:rsid w:val="00D459BB"/>
    <w:rsid w:val="00D83A74"/>
    <w:rsid w:val="00D9150B"/>
    <w:rsid w:val="00DA6C09"/>
    <w:rsid w:val="00DB0163"/>
    <w:rsid w:val="00DB487B"/>
    <w:rsid w:val="00DC2A59"/>
    <w:rsid w:val="00DD3401"/>
    <w:rsid w:val="00DE240B"/>
    <w:rsid w:val="00DF0E76"/>
    <w:rsid w:val="00E13149"/>
    <w:rsid w:val="00E13945"/>
    <w:rsid w:val="00E26625"/>
    <w:rsid w:val="00E30D2F"/>
    <w:rsid w:val="00E36F67"/>
    <w:rsid w:val="00E44C22"/>
    <w:rsid w:val="00E70FCB"/>
    <w:rsid w:val="00E75585"/>
    <w:rsid w:val="00E77BBB"/>
    <w:rsid w:val="00E813BC"/>
    <w:rsid w:val="00E82842"/>
    <w:rsid w:val="00E951D4"/>
    <w:rsid w:val="00E9791E"/>
    <w:rsid w:val="00EA5442"/>
    <w:rsid w:val="00EA565F"/>
    <w:rsid w:val="00EC59BA"/>
    <w:rsid w:val="00EC6097"/>
    <w:rsid w:val="00EE06D4"/>
    <w:rsid w:val="00EF41A6"/>
    <w:rsid w:val="00F05A32"/>
    <w:rsid w:val="00F07941"/>
    <w:rsid w:val="00F20494"/>
    <w:rsid w:val="00F303A6"/>
    <w:rsid w:val="00F53328"/>
    <w:rsid w:val="00F54E4F"/>
    <w:rsid w:val="00F5666B"/>
    <w:rsid w:val="00F822FC"/>
    <w:rsid w:val="00FB05B0"/>
    <w:rsid w:val="00FC6050"/>
    <w:rsid w:val="00FD414C"/>
    <w:rsid w:val="00FF1A62"/>
    <w:rsid w:val="00FF7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5DF1E0-12CE-45C3-94BF-2439ECBBB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E240B"/>
    <w:rPr>
      <w:i/>
      <w:iCs/>
    </w:rPr>
  </w:style>
  <w:style w:type="character" w:styleId="Strong">
    <w:name w:val="Strong"/>
    <w:basedOn w:val="DefaultParagraphFont"/>
    <w:uiPriority w:val="22"/>
    <w:qFormat/>
    <w:rsid w:val="009B62C7"/>
    <w:rPr>
      <w:b/>
      <w:bCs/>
    </w:rPr>
  </w:style>
  <w:style w:type="paragraph" w:customStyle="1" w:styleId="enlisttextstandard">
    <w:name w:val="enlisttextstandard"/>
    <w:basedOn w:val="Normal"/>
    <w:rsid w:val="006D74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73FEC"/>
    <w:rPr>
      <w:color w:val="0563C1" w:themeColor="hyperlink"/>
      <w:u w:val="single"/>
    </w:rPr>
  </w:style>
  <w:style w:type="paragraph" w:styleId="NormalWeb">
    <w:name w:val="Normal (Web)"/>
    <w:basedOn w:val="Normal"/>
    <w:uiPriority w:val="99"/>
    <w:semiHidden/>
    <w:unhideWhenUsed/>
    <w:rsid w:val="00B73FE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447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315259512" TargetMode="External"/><Relationship Id="rId3" Type="http://schemas.openxmlformats.org/officeDocument/2006/relationships/settings" Target="settings.xml"/><Relationship Id="rId7" Type="http://schemas.openxmlformats.org/officeDocument/2006/relationships/hyperlink" Target="https://doi.org/10.1111/lest.1213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evens-bolton.com/site/insights/briefing-notes/changes-to-consumer-law-in-the-uk-consumer-rights-act-2015" TargetMode="External"/><Relationship Id="rId11" Type="http://schemas.openxmlformats.org/officeDocument/2006/relationships/fontTable" Target="fontTable.xml"/><Relationship Id="rId5" Type="http://schemas.openxmlformats.org/officeDocument/2006/relationships/hyperlink" Target="https://www.geppsolicitors.co.uk/site/blog/government-law/consumer-rights-act-2015-remedies" TargetMode="External"/><Relationship Id="rId10" Type="http://schemas.openxmlformats.org/officeDocument/2006/relationships/hyperlink" Target="https://www.taylorvinters.com/article/the-consumer-rights-act-2015-two-years-on-a-seismic-change-in-the-business-to-consumer-relationship" TargetMode="External"/><Relationship Id="rId4" Type="http://schemas.openxmlformats.org/officeDocument/2006/relationships/webSettings" Target="webSettings.xml"/><Relationship Id="rId9" Type="http://schemas.openxmlformats.org/officeDocument/2006/relationships/hyperlink" Target="https://www.scotlawcom.gov.uk/law-reform/law-reform-projects/completed-projects/consumer-redress-for-misleading-and-aggressive-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1651</TotalTime>
  <Pages>9</Pages>
  <Words>2059</Words>
  <Characters>11737</Characters>
  <Application>Microsoft Office Word</Application>
  <DocSecurity>0</DocSecurity>
  <Lines>97</Lines>
  <Paragraphs>27</Paragraphs>
  <ScaleCrop>false</ScaleCrop>
  <Company/>
  <LinksUpToDate>false</LinksUpToDate>
  <CharactersWithSpaces>13769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dc:creator>
  <cp:keywords/>
  <dc:description/>
  <cp:lastModifiedBy>CD</cp:lastModifiedBy>
  <cp:revision>656</cp:revision>
  <dcterms:created xsi:type="dcterms:W3CDTF">2022-05-04T15:59:00Z</dcterms:created>
  <dcterms:modified xsi:type="dcterms:W3CDTF">2022-05-06T14:50:00Z</dcterms:modified>
</cp:coreProperties>
</file>