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DEB239" w14:textId="77777777" w:rsidR="00D53039" w:rsidRPr="00F35398" w:rsidRDefault="00D53039" w:rsidP="000D02A9">
      <w:pPr>
        <w:pStyle w:val="NormalWeb"/>
        <w:spacing w:line="360" w:lineRule="auto"/>
        <w:rPr>
          <w:color w:val="000007"/>
          <w:sz w:val="22"/>
          <w:szCs w:val="22"/>
        </w:rPr>
      </w:pPr>
      <w:r w:rsidRPr="00F35398">
        <w:rPr>
          <w:color w:val="000007"/>
          <w:sz w:val="22"/>
          <w:szCs w:val="22"/>
        </w:rPr>
        <w:t>Discuss and analyse the relationship between the Eleusinian mysteries and the Persephone myth.</w:t>
      </w:r>
    </w:p>
    <w:p w14:paraId="614B3AEF" w14:textId="625CDDF2" w:rsidR="00F35398" w:rsidRPr="00F35398" w:rsidRDefault="007F5733" w:rsidP="00F35398">
      <w:pPr>
        <w:pStyle w:val="NormalWeb"/>
        <w:spacing w:line="360" w:lineRule="auto"/>
        <w:rPr>
          <w:color w:val="000007"/>
          <w:sz w:val="22"/>
          <w:szCs w:val="22"/>
        </w:rPr>
      </w:pPr>
      <w:r w:rsidRPr="00F35398">
        <w:rPr>
          <w:color w:val="000007"/>
          <w:sz w:val="22"/>
          <w:szCs w:val="22"/>
        </w:rPr>
        <w:t xml:space="preserve">The Eleusinian mysteries can be defined as an initiation cult which was dependent on the worship of the goddess Demeter and her daughter Persephone, the Queen of the Underworld. They consisted of the Greater and Lesser mysteries which happened </w:t>
      </w:r>
      <w:r w:rsidR="00F35398" w:rsidRPr="00F35398">
        <w:rPr>
          <w:color w:val="000007"/>
          <w:sz w:val="22"/>
          <w:szCs w:val="22"/>
        </w:rPr>
        <w:t>at</w:t>
      </w:r>
      <w:r w:rsidRPr="00F35398">
        <w:rPr>
          <w:color w:val="000007"/>
          <w:sz w:val="22"/>
          <w:szCs w:val="22"/>
        </w:rPr>
        <w:t xml:space="preserve"> different periods of the year</w:t>
      </w:r>
      <w:r w:rsidR="00F35398" w:rsidRPr="00F35398">
        <w:rPr>
          <w:color w:val="000007"/>
          <w:sz w:val="22"/>
          <w:szCs w:val="22"/>
        </w:rPr>
        <w:t xml:space="preserve"> which promised that whoever joins would have a greater life and as a result a greater afterlife</w:t>
      </w:r>
      <w:r w:rsidR="00F35398" w:rsidRPr="00F35398">
        <w:rPr>
          <w:rStyle w:val="FootnoteReference"/>
          <w:color w:val="000007"/>
          <w:sz w:val="22"/>
          <w:szCs w:val="22"/>
        </w:rPr>
        <w:footnoteReference w:id="1"/>
      </w:r>
      <w:r w:rsidR="00F35398" w:rsidRPr="00F35398">
        <w:rPr>
          <w:color w:val="000007"/>
          <w:sz w:val="22"/>
          <w:szCs w:val="22"/>
        </w:rPr>
        <w:t>.</w:t>
      </w:r>
      <w:r w:rsidRPr="00F35398">
        <w:rPr>
          <w:color w:val="000007"/>
          <w:sz w:val="22"/>
          <w:szCs w:val="22"/>
        </w:rPr>
        <w:t xml:space="preserve"> Scholars collectively agree from the analysis of ancient sources that the Greater mysteries happened at the same time every year in the month of Boedromion</w:t>
      </w:r>
      <w:r w:rsidRPr="00F35398">
        <w:rPr>
          <w:rStyle w:val="FootnoteReference"/>
          <w:color w:val="000007"/>
          <w:sz w:val="22"/>
          <w:szCs w:val="22"/>
        </w:rPr>
        <w:footnoteReference w:id="2"/>
      </w:r>
      <w:r w:rsidRPr="00F35398">
        <w:rPr>
          <w:color w:val="000007"/>
          <w:sz w:val="22"/>
          <w:szCs w:val="22"/>
        </w:rPr>
        <w:t xml:space="preserve">. </w:t>
      </w:r>
      <w:r w:rsidR="00F35398" w:rsidRPr="00F35398">
        <w:rPr>
          <w:color w:val="000007"/>
          <w:sz w:val="22"/>
          <w:szCs w:val="22"/>
        </w:rPr>
        <w:t>There are many relationships that can be noted in connect</w:t>
      </w:r>
      <w:r w:rsidR="00EF1045">
        <w:rPr>
          <w:color w:val="000007"/>
          <w:sz w:val="22"/>
          <w:szCs w:val="22"/>
        </w:rPr>
        <w:t xml:space="preserve">ion to </w:t>
      </w:r>
      <w:r w:rsidR="00F35398" w:rsidRPr="00F35398">
        <w:rPr>
          <w:color w:val="000007"/>
          <w:sz w:val="22"/>
          <w:szCs w:val="22"/>
        </w:rPr>
        <w:t xml:space="preserve">the Eleusinian mysteries and the myths related to Persephone. As a result, this essay will include discussion of the connection between the cult of Eleusis and one instantiation of the Persephone myth, </w:t>
      </w:r>
      <w:r w:rsidR="00F35398" w:rsidRPr="00F35398">
        <w:rPr>
          <w:i/>
          <w:iCs/>
          <w:color w:val="000007"/>
          <w:sz w:val="22"/>
          <w:szCs w:val="22"/>
        </w:rPr>
        <w:t xml:space="preserve">The Homeric Hymn to Demeter. </w:t>
      </w:r>
    </w:p>
    <w:p w14:paraId="135C1CD9" w14:textId="0ECE2CCD" w:rsidR="00F35398" w:rsidRPr="00F35398" w:rsidRDefault="00F35398" w:rsidP="00F35398">
      <w:pPr>
        <w:pStyle w:val="NormalWeb"/>
        <w:spacing w:line="360" w:lineRule="auto"/>
        <w:rPr>
          <w:color w:val="000007"/>
          <w:sz w:val="22"/>
          <w:szCs w:val="22"/>
        </w:rPr>
      </w:pPr>
      <w:r w:rsidRPr="00F35398">
        <w:rPr>
          <w:color w:val="000007"/>
          <w:sz w:val="22"/>
          <w:szCs w:val="22"/>
        </w:rPr>
        <w:t xml:space="preserve">The Persephone myth is something that has evolved over </w:t>
      </w:r>
      <w:proofErr w:type="spellStart"/>
      <w:r w:rsidRPr="00F35398">
        <w:rPr>
          <w:color w:val="000007"/>
          <w:sz w:val="22"/>
          <w:szCs w:val="22"/>
        </w:rPr>
        <w:t>millennia</w:t>
      </w:r>
      <w:r w:rsidR="00EF1045">
        <w:rPr>
          <w:color w:val="000007"/>
          <w:sz w:val="22"/>
          <w:szCs w:val="22"/>
        </w:rPr>
        <w:t>s</w:t>
      </w:r>
      <w:proofErr w:type="spellEnd"/>
      <w:r w:rsidRPr="00F35398">
        <w:rPr>
          <w:color w:val="000007"/>
          <w:sz w:val="22"/>
          <w:szCs w:val="22"/>
        </w:rPr>
        <w:t xml:space="preserve"> and will be continually adapted overtime, dependent on the place and the level of understanding associated to the myth. It lives on through many instantiations which can be seen in both the past and present. Scholars argue over which versions of the myth hold the most importance. Authors such as Cosmopoulos argue that</w:t>
      </w:r>
      <w:r w:rsidRPr="00F35398">
        <w:rPr>
          <w:color w:val="C00000"/>
          <w:sz w:val="22"/>
          <w:szCs w:val="22"/>
        </w:rPr>
        <w:t xml:space="preserve"> </w:t>
      </w:r>
      <w:r w:rsidRPr="00F35398">
        <w:rPr>
          <w:color w:val="000007"/>
          <w:sz w:val="22"/>
          <w:szCs w:val="22"/>
        </w:rPr>
        <w:t xml:space="preserve">that the </w:t>
      </w:r>
      <w:r w:rsidRPr="00EF1045">
        <w:rPr>
          <w:i/>
          <w:iCs/>
          <w:color w:val="000007"/>
          <w:sz w:val="22"/>
          <w:szCs w:val="22"/>
        </w:rPr>
        <w:t>Homeric Hymn to Demeter</w:t>
      </w:r>
      <w:r w:rsidRPr="00F35398">
        <w:rPr>
          <w:color w:val="000007"/>
          <w:sz w:val="22"/>
          <w:szCs w:val="22"/>
        </w:rPr>
        <w:t xml:space="preserve"> is of great significance</w:t>
      </w:r>
      <w:r w:rsidRPr="00F35398">
        <w:rPr>
          <w:rStyle w:val="FootnoteReference"/>
          <w:color w:val="000007"/>
          <w:sz w:val="22"/>
          <w:szCs w:val="22"/>
        </w:rPr>
        <w:footnoteReference w:id="3"/>
      </w:r>
      <w:r w:rsidRPr="00F35398">
        <w:rPr>
          <w:color w:val="000007"/>
          <w:sz w:val="22"/>
          <w:szCs w:val="22"/>
        </w:rPr>
        <w:t xml:space="preserve">. This is consequently because the </w:t>
      </w:r>
      <w:r w:rsidRPr="00EF1045">
        <w:rPr>
          <w:i/>
          <w:iCs/>
          <w:color w:val="000007"/>
          <w:sz w:val="22"/>
          <w:szCs w:val="22"/>
        </w:rPr>
        <w:t>Hymn to Demeter</w:t>
      </w:r>
      <w:r w:rsidRPr="00F35398">
        <w:rPr>
          <w:color w:val="000007"/>
          <w:sz w:val="22"/>
          <w:szCs w:val="22"/>
        </w:rPr>
        <w:t xml:space="preserve"> is the most intact of the Greek versions of the Persephone myth that exists today</w:t>
      </w:r>
      <w:r w:rsidRPr="00F35398">
        <w:rPr>
          <w:rStyle w:val="FootnoteReference"/>
          <w:color w:val="000007"/>
          <w:sz w:val="22"/>
          <w:szCs w:val="22"/>
        </w:rPr>
        <w:footnoteReference w:id="4"/>
      </w:r>
      <w:r w:rsidRPr="00F35398">
        <w:rPr>
          <w:color w:val="000007"/>
          <w:sz w:val="22"/>
          <w:szCs w:val="22"/>
        </w:rPr>
        <w:t xml:space="preserve">. Other adaptations of the myth include Claudian’s </w:t>
      </w:r>
      <w:r w:rsidRPr="00F35398">
        <w:rPr>
          <w:i/>
          <w:iCs/>
          <w:color w:val="000007"/>
          <w:sz w:val="22"/>
          <w:szCs w:val="22"/>
        </w:rPr>
        <w:t>De Raptu Proserpine</w:t>
      </w:r>
      <w:r w:rsidRPr="00F35398">
        <w:rPr>
          <w:color w:val="000007"/>
          <w:sz w:val="22"/>
          <w:szCs w:val="22"/>
        </w:rPr>
        <w:t xml:space="preserve">, as well as Ovid’s instantiations in the </w:t>
      </w:r>
      <w:r w:rsidRPr="00F35398">
        <w:rPr>
          <w:i/>
          <w:iCs/>
          <w:color w:val="000007"/>
          <w:sz w:val="22"/>
          <w:szCs w:val="22"/>
        </w:rPr>
        <w:t xml:space="preserve">Metamorphoses </w:t>
      </w:r>
      <w:r w:rsidRPr="00F35398">
        <w:rPr>
          <w:color w:val="000007"/>
          <w:sz w:val="22"/>
          <w:szCs w:val="22"/>
        </w:rPr>
        <w:t xml:space="preserve">and </w:t>
      </w:r>
      <w:r w:rsidRPr="00F35398">
        <w:rPr>
          <w:i/>
          <w:iCs/>
          <w:color w:val="000007"/>
          <w:sz w:val="22"/>
          <w:szCs w:val="22"/>
        </w:rPr>
        <w:t>Fasti</w:t>
      </w:r>
      <w:r w:rsidRPr="00F35398">
        <w:rPr>
          <w:color w:val="000007"/>
          <w:sz w:val="22"/>
          <w:szCs w:val="22"/>
        </w:rPr>
        <w:t>. The hymn was rediscovered in the 18</w:t>
      </w:r>
      <w:r w:rsidRPr="00F35398">
        <w:rPr>
          <w:color w:val="000007"/>
          <w:sz w:val="22"/>
          <w:szCs w:val="22"/>
          <w:vertAlign w:val="superscript"/>
        </w:rPr>
        <w:t>th</w:t>
      </w:r>
      <w:r w:rsidRPr="00F35398">
        <w:rPr>
          <w:color w:val="000007"/>
          <w:sz w:val="22"/>
          <w:szCs w:val="22"/>
        </w:rPr>
        <w:t xml:space="preserve"> century CE through a medieval transcript</w:t>
      </w:r>
      <w:r w:rsidRPr="00F35398">
        <w:rPr>
          <w:rStyle w:val="FootnoteReference"/>
          <w:color w:val="000007"/>
          <w:sz w:val="22"/>
          <w:szCs w:val="22"/>
        </w:rPr>
        <w:footnoteReference w:id="5"/>
      </w:r>
      <w:r w:rsidRPr="00F35398">
        <w:rPr>
          <w:color w:val="000007"/>
          <w:sz w:val="22"/>
          <w:szCs w:val="22"/>
        </w:rPr>
        <w:t xml:space="preserve">. This is thought to have spiked a certain interest with this specific hymn from the </w:t>
      </w:r>
      <w:r w:rsidRPr="00F35398">
        <w:rPr>
          <w:i/>
          <w:iCs/>
          <w:color w:val="000007"/>
          <w:sz w:val="22"/>
          <w:szCs w:val="22"/>
        </w:rPr>
        <w:t xml:space="preserve">Homeric Hymns. </w:t>
      </w:r>
      <w:r w:rsidRPr="00F35398">
        <w:rPr>
          <w:color w:val="000007"/>
          <w:sz w:val="22"/>
          <w:szCs w:val="22"/>
        </w:rPr>
        <w:t>Before this, ancient authors such as Hesiod and Apollodorus could give some of the information of what was known to be the Persephone myth. Due to the existence of only one original manuscript of the Homeric Hymn to Demeter, the validity of the hymn as a whole is limited which is a consequence of</w:t>
      </w:r>
      <w:r w:rsidR="00EF1045">
        <w:rPr>
          <w:color w:val="000007"/>
          <w:sz w:val="22"/>
          <w:szCs w:val="22"/>
        </w:rPr>
        <w:t xml:space="preserve"> the single</w:t>
      </w:r>
      <w:r w:rsidRPr="00F35398">
        <w:rPr>
          <w:color w:val="000007"/>
          <w:sz w:val="22"/>
          <w:szCs w:val="22"/>
        </w:rPr>
        <w:t xml:space="preserve"> manuscript being copied over many years. As a </w:t>
      </w:r>
      <w:r w:rsidR="00EF1045" w:rsidRPr="00F35398">
        <w:rPr>
          <w:color w:val="000007"/>
          <w:sz w:val="22"/>
          <w:szCs w:val="22"/>
        </w:rPr>
        <w:t>result,</w:t>
      </w:r>
      <w:r w:rsidRPr="00F35398">
        <w:rPr>
          <w:color w:val="000007"/>
          <w:sz w:val="22"/>
          <w:szCs w:val="22"/>
        </w:rPr>
        <w:t xml:space="preserve"> </w:t>
      </w:r>
      <w:r w:rsidR="00EF1045">
        <w:rPr>
          <w:color w:val="000007"/>
          <w:sz w:val="22"/>
          <w:szCs w:val="22"/>
        </w:rPr>
        <w:t>there can only be reliance</w:t>
      </w:r>
      <w:r w:rsidRPr="00F35398">
        <w:rPr>
          <w:color w:val="000007"/>
          <w:sz w:val="22"/>
          <w:szCs w:val="22"/>
        </w:rPr>
        <w:t xml:space="preserve"> on the original manuscript, however, not being able to read Greek leaves scholars with a variety of translations to analyse. </w:t>
      </w:r>
    </w:p>
    <w:p w14:paraId="1AEF5F24" w14:textId="6FFDB105" w:rsidR="00F35398" w:rsidRPr="00F35398" w:rsidRDefault="00F35398" w:rsidP="00F35398">
      <w:pPr>
        <w:pStyle w:val="NormalWeb"/>
        <w:spacing w:line="360" w:lineRule="auto"/>
        <w:rPr>
          <w:color w:val="000007"/>
          <w:sz w:val="22"/>
          <w:szCs w:val="22"/>
        </w:rPr>
      </w:pPr>
      <w:r w:rsidRPr="00F35398">
        <w:rPr>
          <w:color w:val="000007"/>
          <w:sz w:val="22"/>
          <w:szCs w:val="22"/>
        </w:rPr>
        <w:t>In short, the myth tells the story of the young Persephone plucking flowers as she is abducted by Hades. Her mother, the goddess of agriculture, Demeter searches for nine days until she comes to Eleusis where she gives the sacred rites and as a result this is the foundation of the Eleusinian Mysteries</w:t>
      </w:r>
      <w:r w:rsidRPr="00F35398">
        <w:rPr>
          <w:rStyle w:val="FootnoteReference"/>
          <w:color w:val="000007"/>
          <w:sz w:val="22"/>
          <w:szCs w:val="22"/>
        </w:rPr>
        <w:footnoteReference w:id="6"/>
      </w:r>
      <w:r w:rsidRPr="00F35398">
        <w:rPr>
          <w:color w:val="000007"/>
          <w:sz w:val="22"/>
          <w:szCs w:val="22"/>
        </w:rPr>
        <w:t xml:space="preserve">. After a series of other events that take place, Persephone returns to her mother from the </w:t>
      </w:r>
      <w:r w:rsidRPr="00F35398">
        <w:rPr>
          <w:color w:val="000007"/>
          <w:sz w:val="22"/>
          <w:szCs w:val="22"/>
        </w:rPr>
        <w:lastRenderedPageBreak/>
        <w:t>underworld for a limited amount of time every year before having to return to her husband</w:t>
      </w:r>
      <w:r w:rsidRPr="00F35398">
        <w:rPr>
          <w:rStyle w:val="FootnoteReference"/>
          <w:color w:val="000007"/>
          <w:sz w:val="22"/>
          <w:szCs w:val="22"/>
        </w:rPr>
        <w:footnoteReference w:id="7"/>
      </w:r>
      <w:r w:rsidRPr="00F35398">
        <w:rPr>
          <w:color w:val="000007"/>
          <w:sz w:val="22"/>
          <w:szCs w:val="22"/>
        </w:rPr>
        <w:t>. When Demeter is accompanied by her daughter Persephone, agriculture and vegetation thrive, but when she is alone the world turns to famine again, hence the conjuring of the seasons.</w:t>
      </w:r>
    </w:p>
    <w:p w14:paraId="00DB2DBE" w14:textId="1D5CBB97" w:rsidR="007F5733" w:rsidRPr="00F35398" w:rsidRDefault="007F5733" w:rsidP="007F5733">
      <w:pPr>
        <w:pStyle w:val="NormalWeb"/>
        <w:spacing w:line="360" w:lineRule="auto"/>
        <w:rPr>
          <w:color w:val="000007"/>
          <w:sz w:val="18"/>
          <w:szCs w:val="18"/>
        </w:rPr>
      </w:pPr>
      <w:r w:rsidRPr="00F35398">
        <w:rPr>
          <w:color w:val="000007"/>
          <w:sz w:val="22"/>
          <w:szCs w:val="22"/>
        </w:rPr>
        <w:t xml:space="preserve">There is little that we do have knowledge on regarding the mysteries as a whole. The </w:t>
      </w:r>
      <w:r w:rsidRPr="00EF1045">
        <w:rPr>
          <w:i/>
          <w:iCs/>
          <w:color w:val="000007"/>
          <w:sz w:val="22"/>
          <w:szCs w:val="22"/>
        </w:rPr>
        <w:t xml:space="preserve">Homeric Hymn to Demeter </w:t>
      </w:r>
      <w:r w:rsidRPr="00F35398">
        <w:rPr>
          <w:color w:val="000007"/>
          <w:sz w:val="22"/>
          <w:szCs w:val="22"/>
        </w:rPr>
        <w:t>gives some good evidence as to what may have happened during the greater mysteries of Eleusis.</w:t>
      </w:r>
      <w:r w:rsidR="00F35398" w:rsidRPr="00F35398">
        <w:rPr>
          <w:color w:val="000007"/>
          <w:sz w:val="22"/>
          <w:szCs w:val="22"/>
        </w:rPr>
        <w:t xml:space="preserve"> This could be seen as problematic as this is merely one source which would have most likely been authored by those with a great knowledge of the cult and as a result were initiates. As a result, there could be issues in the reliability of this instantiation, but this is also the case for all differing adaptations of the myth in the ancient world. This is because it was against the Athenian law to describe and or explain the cult happenings to someone who had not been initiated into the Eleusinian Mysteries</w:t>
      </w:r>
      <w:r w:rsidR="00F35398" w:rsidRPr="00F35398">
        <w:rPr>
          <w:rStyle w:val="FootnoteReference"/>
          <w:color w:val="000007"/>
          <w:sz w:val="22"/>
          <w:szCs w:val="22"/>
        </w:rPr>
        <w:footnoteReference w:id="8"/>
      </w:r>
      <w:r w:rsidR="00F35398" w:rsidRPr="00F35398">
        <w:rPr>
          <w:color w:val="000007"/>
          <w:sz w:val="22"/>
          <w:szCs w:val="22"/>
        </w:rPr>
        <w:t xml:space="preserve">. </w:t>
      </w:r>
      <w:r w:rsidRPr="00F35398">
        <w:rPr>
          <w:color w:val="000007"/>
          <w:sz w:val="22"/>
          <w:szCs w:val="22"/>
        </w:rPr>
        <w:t xml:space="preserve"> However, it must be taken into consideration that this would have impacted the truth in the message being administered. This means that there could be a bias in what is believed to have actually happened in the mysteries. The hymn portrays a grief-stricken mother searching for nine days in order to find and gain knowledge on the disappearance of her daughter</w:t>
      </w:r>
      <w:r w:rsidRPr="00F35398">
        <w:rPr>
          <w:rStyle w:val="FootnoteReference"/>
          <w:color w:val="000007"/>
          <w:sz w:val="22"/>
          <w:szCs w:val="22"/>
        </w:rPr>
        <w:footnoteReference w:id="9"/>
      </w:r>
      <w:r w:rsidRPr="00F35398">
        <w:rPr>
          <w:color w:val="000007"/>
          <w:sz w:val="22"/>
          <w:szCs w:val="22"/>
        </w:rPr>
        <w:t>. This could be a direct link to the annual festival and what happens on the 19</w:t>
      </w:r>
      <w:r w:rsidRPr="00F35398">
        <w:rPr>
          <w:color w:val="000007"/>
          <w:sz w:val="22"/>
          <w:szCs w:val="22"/>
          <w:vertAlign w:val="superscript"/>
        </w:rPr>
        <w:t>th</w:t>
      </w:r>
      <w:r w:rsidRPr="00F35398">
        <w:rPr>
          <w:color w:val="000007"/>
          <w:sz w:val="22"/>
          <w:szCs w:val="22"/>
        </w:rPr>
        <w:t xml:space="preserve"> of Boedromion when the initiates travel from the Eleusinian temple at Athens to Eleusis</w:t>
      </w:r>
      <w:r w:rsidR="00EF1045">
        <w:rPr>
          <w:color w:val="000007"/>
          <w:sz w:val="22"/>
          <w:szCs w:val="22"/>
        </w:rPr>
        <w:t xml:space="preserve"> in which the participants mirror travels of Demeter</w:t>
      </w:r>
      <w:r w:rsidRPr="00F35398">
        <w:rPr>
          <w:rStyle w:val="FootnoteReference"/>
          <w:color w:val="000007"/>
          <w:sz w:val="22"/>
          <w:szCs w:val="22"/>
        </w:rPr>
        <w:footnoteReference w:id="10"/>
      </w:r>
      <w:r w:rsidR="00F35398" w:rsidRPr="00F35398">
        <w:rPr>
          <w:color w:val="000007"/>
          <w:sz w:val="22"/>
          <w:szCs w:val="22"/>
        </w:rPr>
        <w:t>.</w:t>
      </w:r>
    </w:p>
    <w:p w14:paraId="414F973D" w14:textId="77777777" w:rsidR="00F35398" w:rsidRPr="00F35398" w:rsidRDefault="00D53039" w:rsidP="000D02A9">
      <w:pPr>
        <w:pStyle w:val="NormalWeb"/>
        <w:spacing w:line="360" w:lineRule="auto"/>
        <w:rPr>
          <w:color w:val="000007"/>
          <w:sz w:val="22"/>
          <w:szCs w:val="22"/>
        </w:rPr>
      </w:pPr>
      <w:r w:rsidRPr="00F35398">
        <w:rPr>
          <w:color w:val="000007"/>
          <w:sz w:val="22"/>
          <w:szCs w:val="22"/>
        </w:rPr>
        <w:t xml:space="preserve">Hesiod briefly mentions the Persephone myth in his </w:t>
      </w:r>
      <w:r w:rsidRPr="00F35398">
        <w:rPr>
          <w:i/>
          <w:iCs/>
          <w:color w:val="000007"/>
          <w:sz w:val="22"/>
          <w:szCs w:val="22"/>
        </w:rPr>
        <w:t>Theogony</w:t>
      </w:r>
      <w:r w:rsidRPr="00F35398">
        <w:rPr>
          <w:color w:val="000007"/>
          <w:sz w:val="22"/>
          <w:szCs w:val="22"/>
        </w:rPr>
        <w:t xml:space="preserve">. He </w:t>
      </w:r>
      <w:r w:rsidR="007F5733" w:rsidRPr="00F35398">
        <w:rPr>
          <w:color w:val="000007"/>
          <w:sz w:val="22"/>
          <w:szCs w:val="22"/>
        </w:rPr>
        <w:t>mentions</w:t>
      </w:r>
      <w:r w:rsidRPr="00F35398">
        <w:rPr>
          <w:color w:val="000007"/>
          <w:sz w:val="22"/>
          <w:szCs w:val="22"/>
        </w:rPr>
        <w:t xml:space="preserve"> that Demeter bore Persephone who was then given to Aidoneus by Zeus</w:t>
      </w:r>
      <w:r w:rsidRPr="00F35398">
        <w:rPr>
          <w:rStyle w:val="FootnoteReference"/>
          <w:color w:val="000007"/>
          <w:sz w:val="22"/>
          <w:szCs w:val="22"/>
        </w:rPr>
        <w:footnoteReference w:id="11"/>
      </w:r>
      <w:r w:rsidRPr="00F35398">
        <w:rPr>
          <w:color w:val="000007"/>
          <w:sz w:val="22"/>
          <w:szCs w:val="22"/>
        </w:rPr>
        <w:t>. In context to the rest of the Theogony it can be made apparent that Zeus was the father of Persephone because this part of the poem is describing his wives. However, it must be noted that there is no mention at all to the mysteries of Eleusis.</w:t>
      </w:r>
      <w:r w:rsidR="000D02A9" w:rsidRPr="00F35398">
        <w:rPr>
          <w:color w:val="000007"/>
          <w:sz w:val="22"/>
          <w:szCs w:val="22"/>
        </w:rPr>
        <w:t xml:space="preserve"> This could be a result of Hesiod not being part of the mysteries or because of the laws in the cult which meant that no non-initiates could have knowledge of what happened during the mysteries</w:t>
      </w:r>
      <w:r w:rsidR="000D02A9" w:rsidRPr="00F35398">
        <w:rPr>
          <w:rStyle w:val="FootnoteReference"/>
          <w:color w:val="000007"/>
          <w:sz w:val="22"/>
          <w:szCs w:val="22"/>
        </w:rPr>
        <w:footnoteReference w:id="12"/>
      </w:r>
      <w:r w:rsidR="000D02A9" w:rsidRPr="00F35398">
        <w:rPr>
          <w:color w:val="000007"/>
          <w:sz w:val="22"/>
          <w:szCs w:val="22"/>
        </w:rPr>
        <w:t xml:space="preserve">. </w:t>
      </w:r>
    </w:p>
    <w:p w14:paraId="4E164D05" w14:textId="05DA133D" w:rsidR="00F35398" w:rsidRPr="00F35398" w:rsidRDefault="00F35398" w:rsidP="00F35398">
      <w:pPr>
        <w:pStyle w:val="NormalWeb"/>
        <w:spacing w:line="360" w:lineRule="auto"/>
        <w:rPr>
          <w:color w:val="000007"/>
          <w:sz w:val="22"/>
          <w:szCs w:val="22"/>
        </w:rPr>
      </w:pPr>
      <w:r w:rsidRPr="00F35398">
        <w:rPr>
          <w:color w:val="000007"/>
          <w:sz w:val="22"/>
          <w:szCs w:val="22"/>
        </w:rPr>
        <w:t xml:space="preserve">The differentiation of what was known by initiates compared to non-initiates is something that directly plays a part in the </w:t>
      </w:r>
      <w:r w:rsidRPr="00F35398">
        <w:rPr>
          <w:i/>
          <w:iCs/>
          <w:color w:val="000007"/>
          <w:sz w:val="22"/>
          <w:szCs w:val="22"/>
        </w:rPr>
        <w:t xml:space="preserve">Hymn to Demeter. </w:t>
      </w:r>
      <w:r w:rsidRPr="00F35398">
        <w:rPr>
          <w:color w:val="000007"/>
          <w:sz w:val="22"/>
          <w:szCs w:val="22"/>
        </w:rPr>
        <w:t xml:space="preserve">Demeter suggests to those at Eleusis that they shall be blessed in the afterlife, however those who are not initiated will not understand this and they will enter into the </w:t>
      </w:r>
      <w:r w:rsidR="00EF1045">
        <w:rPr>
          <w:color w:val="000007"/>
          <w:sz w:val="22"/>
          <w:szCs w:val="22"/>
        </w:rPr>
        <w:t>“</w:t>
      </w:r>
      <w:r w:rsidRPr="00F35398">
        <w:rPr>
          <w:color w:val="000007"/>
          <w:sz w:val="22"/>
          <w:szCs w:val="22"/>
        </w:rPr>
        <w:t>gloom and darkness below</w:t>
      </w:r>
      <w:r w:rsidR="00EF1045">
        <w:rPr>
          <w:color w:val="000007"/>
          <w:sz w:val="22"/>
          <w:szCs w:val="22"/>
        </w:rPr>
        <w:t>”</w:t>
      </w:r>
      <w:r w:rsidRPr="00F35398">
        <w:rPr>
          <w:rStyle w:val="FootnoteReference"/>
          <w:color w:val="000007"/>
          <w:sz w:val="22"/>
          <w:szCs w:val="22"/>
        </w:rPr>
        <w:footnoteReference w:id="13"/>
      </w:r>
      <w:r w:rsidRPr="00F35398">
        <w:rPr>
          <w:color w:val="000007"/>
          <w:sz w:val="22"/>
          <w:szCs w:val="22"/>
        </w:rPr>
        <w:t>. It can also be inferred from the foreshadowing in the first section of the poem that non-initiates were not to know about the mysteries in general. No one tells Demeter of what happened except for Hekate and Helios</w:t>
      </w:r>
      <w:r w:rsidRPr="00F35398">
        <w:rPr>
          <w:rStyle w:val="FootnoteReference"/>
          <w:color w:val="000007"/>
          <w:sz w:val="22"/>
          <w:szCs w:val="22"/>
        </w:rPr>
        <w:footnoteReference w:id="14"/>
      </w:r>
      <w:r w:rsidRPr="00F35398">
        <w:rPr>
          <w:color w:val="000007"/>
          <w:sz w:val="22"/>
          <w:szCs w:val="22"/>
        </w:rPr>
        <w:t xml:space="preserve">. Although this does not directly suggest that those who were not initiated into the mysteries could not have knowledge on it, some </w:t>
      </w:r>
      <w:r w:rsidRPr="00F35398">
        <w:rPr>
          <w:color w:val="000007"/>
          <w:sz w:val="22"/>
          <w:szCs w:val="22"/>
        </w:rPr>
        <w:lastRenderedPageBreak/>
        <w:t>could infer this because no one was to speak of Persephone. As a result, this could be representing the secrecy regarding the mysteries. There is knowledge to suggest that Aeschylus was attacked in a crowd in Athens for almost revealing some of the ongoings of the cult</w:t>
      </w:r>
      <w:r w:rsidRPr="00F35398">
        <w:rPr>
          <w:rStyle w:val="FootnoteReference"/>
          <w:color w:val="000007"/>
          <w:sz w:val="22"/>
          <w:szCs w:val="22"/>
        </w:rPr>
        <w:footnoteReference w:id="15"/>
      </w:r>
      <w:r w:rsidRPr="00F35398">
        <w:rPr>
          <w:color w:val="000007"/>
          <w:sz w:val="22"/>
          <w:szCs w:val="22"/>
        </w:rPr>
        <w:t>. Herodotus also mentions that those in the cult must be sure to keep their word silent</w:t>
      </w:r>
      <w:r w:rsidRPr="00F35398">
        <w:rPr>
          <w:rStyle w:val="FootnoteReference"/>
          <w:color w:val="000007"/>
          <w:sz w:val="22"/>
          <w:szCs w:val="22"/>
        </w:rPr>
        <w:footnoteReference w:id="16"/>
      </w:r>
      <w:r w:rsidRPr="00F35398">
        <w:rPr>
          <w:color w:val="000007"/>
          <w:sz w:val="22"/>
          <w:szCs w:val="22"/>
        </w:rPr>
        <w:t xml:space="preserve">. This shows the extremism which was related to the confidentiality associated the mysteries. Those who did not have knowledge of the word of </w:t>
      </w:r>
      <w:proofErr w:type="spellStart"/>
      <w:r w:rsidRPr="00F35398">
        <w:rPr>
          <w:color w:val="000007"/>
          <w:sz w:val="22"/>
          <w:szCs w:val="22"/>
        </w:rPr>
        <w:t>Iacchus</w:t>
      </w:r>
      <w:proofErr w:type="spellEnd"/>
      <w:r w:rsidRPr="00F35398">
        <w:rPr>
          <w:color w:val="000007"/>
          <w:sz w:val="22"/>
          <w:szCs w:val="22"/>
        </w:rPr>
        <w:t xml:space="preserve"> could be seen as ignorant for not understanding the mysteries</w:t>
      </w:r>
      <w:r w:rsidRPr="00F35398">
        <w:rPr>
          <w:rStyle w:val="FootnoteReference"/>
          <w:color w:val="000007"/>
          <w:sz w:val="22"/>
          <w:szCs w:val="22"/>
        </w:rPr>
        <w:footnoteReference w:id="17"/>
      </w:r>
      <w:r w:rsidRPr="00F35398">
        <w:rPr>
          <w:color w:val="000007"/>
          <w:sz w:val="22"/>
          <w:szCs w:val="22"/>
        </w:rPr>
        <w:t>. This suggests an eternal cycle where those who were not initiated could be seen as less than in comparison to those who were initiated. Line 300 of the hymn insinuates that after the temple at Eleusis was build, the goddess Demeter hid inside</w:t>
      </w:r>
      <w:r w:rsidRPr="00F35398">
        <w:rPr>
          <w:rStyle w:val="FootnoteReference"/>
          <w:color w:val="000007"/>
          <w:sz w:val="22"/>
          <w:szCs w:val="22"/>
        </w:rPr>
        <w:footnoteReference w:id="18"/>
      </w:r>
      <w:r w:rsidRPr="00F35398">
        <w:rPr>
          <w:color w:val="000007"/>
          <w:sz w:val="22"/>
          <w:szCs w:val="22"/>
        </w:rPr>
        <w:t>. This could be another allusion to the mysteries being kept hidden.</w:t>
      </w:r>
    </w:p>
    <w:p w14:paraId="16AFBC6D" w14:textId="77777777" w:rsidR="00EF1045" w:rsidRDefault="00F35398" w:rsidP="00F35398">
      <w:pPr>
        <w:pStyle w:val="NormalWeb"/>
        <w:spacing w:line="360" w:lineRule="auto"/>
        <w:rPr>
          <w:color w:val="000007"/>
          <w:sz w:val="22"/>
          <w:szCs w:val="22"/>
        </w:rPr>
      </w:pPr>
      <w:r w:rsidRPr="00F35398">
        <w:rPr>
          <w:color w:val="000007"/>
          <w:sz w:val="22"/>
          <w:szCs w:val="22"/>
        </w:rPr>
        <w:t xml:space="preserve">In the </w:t>
      </w:r>
      <w:r w:rsidRPr="00EF1045">
        <w:rPr>
          <w:i/>
          <w:iCs/>
          <w:color w:val="000007"/>
          <w:sz w:val="22"/>
          <w:szCs w:val="22"/>
        </w:rPr>
        <w:t>Homeric Hymn to Demeter</w:t>
      </w:r>
      <w:r w:rsidRPr="00F35398">
        <w:rPr>
          <w:color w:val="000007"/>
          <w:sz w:val="22"/>
          <w:szCs w:val="22"/>
        </w:rPr>
        <w:t>, the mystery foundation seems to be the climax of the poem</w:t>
      </w:r>
      <w:r w:rsidRPr="00F35398">
        <w:rPr>
          <w:rStyle w:val="FootnoteReference"/>
          <w:color w:val="000007"/>
          <w:sz w:val="22"/>
          <w:szCs w:val="22"/>
        </w:rPr>
        <w:footnoteReference w:id="19"/>
      </w:r>
      <w:r w:rsidRPr="00F35398">
        <w:rPr>
          <w:color w:val="000007"/>
          <w:sz w:val="22"/>
          <w:szCs w:val="22"/>
        </w:rPr>
        <w:t xml:space="preserve">. Of course, it must be taken into consideration that the rape and abduction of Persephone is a huge element of the poem, but it must be reinforced that these actions lead to Demeter arriving at Eleusis. As a result, the </w:t>
      </w:r>
      <w:r w:rsidRPr="00F35398">
        <w:rPr>
          <w:i/>
          <w:iCs/>
          <w:color w:val="000007"/>
          <w:sz w:val="22"/>
          <w:szCs w:val="22"/>
        </w:rPr>
        <w:t>Homeric Hymn to Demeter</w:t>
      </w:r>
      <w:r w:rsidRPr="00F35398">
        <w:rPr>
          <w:color w:val="000007"/>
          <w:sz w:val="22"/>
          <w:szCs w:val="22"/>
        </w:rPr>
        <w:t xml:space="preserve"> exists to give knowledge on how the mysteries were founded and Demeter pined for her daughter. From line 475 of the hymn Demeter reveals her rites to the cult</w:t>
      </w:r>
      <w:r w:rsidRPr="00F35398">
        <w:rPr>
          <w:rStyle w:val="FootnoteReference"/>
          <w:color w:val="000007"/>
          <w:sz w:val="22"/>
          <w:szCs w:val="22"/>
        </w:rPr>
        <w:footnoteReference w:id="20"/>
      </w:r>
      <w:r w:rsidRPr="00F35398">
        <w:rPr>
          <w:color w:val="000007"/>
          <w:sz w:val="22"/>
          <w:szCs w:val="22"/>
        </w:rPr>
        <w:t>. The mysteries could therefore be a way to appease the goddess of agriculture</w:t>
      </w:r>
      <w:r w:rsidR="00EF1045">
        <w:rPr>
          <w:color w:val="000007"/>
          <w:sz w:val="22"/>
          <w:szCs w:val="22"/>
        </w:rPr>
        <w:t xml:space="preserve"> and ensure that a good harvest remained</w:t>
      </w:r>
      <w:r w:rsidRPr="00F35398">
        <w:rPr>
          <w:rStyle w:val="FootnoteReference"/>
          <w:color w:val="000007"/>
          <w:sz w:val="22"/>
          <w:szCs w:val="22"/>
        </w:rPr>
        <w:footnoteReference w:id="21"/>
      </w:r>
      <w:r w:rsidRPr="00F35398">
        <w:rPr>
          <w:color w:val="000007"/>
          <w:sz w:val="22"/>
          <w:szCs w:val="22"/>
        </w:rPr>
        <w:t xml:space="preserve">. However, the hymn could merely exist to pay homage to the goddess Demeter and be narration of one of the key aspects of her life. </w:t>
      </w:r>
    </w:p>
    <w:p w14:paraId="467247E7" w14:textId="3B7F1E07" w:rsidR="00F35398" w:rsidRPr="00F35398" w:rsidRDefault="00F35398" w:rsidP="00F35398">
      <w:pPr>
        <w:pStyle w:val="NormalWeb"/>
        <w:spacing w:line="360" w:lineRule="auto"/>
        <w:rPr>
          <w:color w:val="000007"/>
          <w:sz w:val="22"/>
          <w:szCs w:val="22"/>
        </w:rPr>
      </w:pPr>
      <w:r w:rsidRPr="00F35398">
        <w:rPr>
          <w:color w:val="000007"/>
          <w:sz w:val="22"/>
          <w:szCs w:val="22"/>
        </w:rPr>
        <w:t>The transformation of Demeter through the epithets could also be symbolic to the cult of Eleusis. The first half of the poem characterises Persephone as merely the daughter of Demeter, stolen away by Hades</w:t>
      </w:r>
      <w:r w:rsidRPr="00F35398">
        <w:rPr>
          <w:rStyle w:val="FootnoteReference"/>
          <w:color w:val="000007"/>
          <w:sz w:val="22"/>
          <w:szCs w:val="22"/>
        </w:rPr>
        <w:footnoteReference w:id="22"/>
      </w:r>
      <w:r w:rsidRPr="00F35398">
        <w:rPr>
          <w:color w:val="000007"/>
          <w:sz w:val="22"/>
          <w:szCs w:val="22"/>
        </w:rPr>
        <w:t>. However, she is soon represented as a completely different character when just before being spoken to by Hermes she is described by the author as “wise Persephone”</w:t>
      </w:r>
      <w:r w:rsidRPr="00F35398">
        <w:rPr>
          <w:rStyle w:val="FootnoteReference"/>
          <w:color w:val="000007"/>
          <w:sz w:val="22"/>
          <w:szCs w:val="22"/>
        </w:rPr>
        <w:footnoteReference w:id="23"/>
      </w:r>
      <w:r w:rsidRPr="00F35398">
        <w:rPr>
          <w:color w:val="000007"/>
          <w:sz w:val="22"/>
          <w:szCs w:val="22"/>
        </w:rPr>
        <w:t>. This drastic transformation from an innocent child to what is now Queen of the Underworld holds great significance. The main connection could be a relation between the rites of Eleusis and the underworld. Isocrates mentions the notion of two things that Demeter gave to the cult, fruits of the earth and the holy rite</w:t>
      </w:r>
      <w:r w:rsidRPr="00F35398">
        <w:rPr>
          <w:rStyle w:val="FootnoteReference"/>
          <w:color w:val="000007"/>
          <w:sz w:val="22"/>
          <w:szCs w:val="22"/>
        </w:rPr>
        <w:footnoteReference w:id="24"/>
      </w:r>
      <w:r w:rsidRPr="00F35398">
        <w:rPr>
          <w:color w:val="000007"/>
          <w:sz w:val="22"/>
          <w:szCs w:val="22"/>
        </w:rPr>
        <w:t>. The holy right being a blessed afterlife</w:t>
      </w:r>
      <w:r w:rsidRPr="00F35398">
        <w:rPr>
          <w:rStyle w:val="FootnoteReference"/>
          <w:color w:val="000007"/>
          <w:sz w:val="22"/>
          <w:szCs w:val="22"/>
        </w:rPr>
        <w:footnoteReference w:id="25"/>
      </w:r>
      <w:r w:rsidRPr="00F35398">
        <w:rPr>
          <w:color w:val="000007"/>
          <w:sz w:val="22"/>
          <w:szCs w:val="22"/>
        </w:rPr>
        <w:t>. Therefore, it can be assumed that when an initiate goes to the underworld, they will be more favoured by Persephone as the queen of the realm</w:t>
      </w:r>
      <w:r w:rsidRPr="00F35398">
        <w:rPr>
          <w:rStyle w:val="FootnoteReference"/>
          <w:color w:val="000007"/>
          <w:sz w:val="22"/>
          <w:szCs w:val="22"/>
        </w:rPr>
        <w:footnoteReference w:id="26"/>
      </w:r>
      <w:r w:rsidRPr="00F35398">
        <w:rPr>
          <w:color w:val="000007"/>
          <w:sz w:val="22"/>
          <w:szCs w:val="22"/>
        </w:rPr>
        <w:t xml:space="preserve">. </w:t>
      </w:r>
    </w:p>
    <w:p w14:paraId="213640B1" w14:textId="72E74230" w:rsidR="00F35398" w:rsidRPr="00F35398" w:rsidRDefault="00F35398" w:rsidP="00F35398">
      <w:pPr>
        <w:pStyle w:val="NormalWeb"/>
        <w:spacing w:line="360" w:lineRule="auto"/>
        <w:rPr>
          <w:color w:val="000007"/>
          <w:sz w:val="22"/>
          <w:szCs w:val="22"/>
        </w:rPr>
      </w:pPr>
      <w:r w:rsidRPr="00F35398">
        <w:rPr>
          <w:color w:val="000007"/>
          <w:sz w:val="22"/>
          <w:szCs w:val="22"/>
        </w:rPr>
        <w:lastRenderedPageBreak/>
        <w:t>Following on from this there should also be the mention of Demophon in the hymn being connected to the piglet sacrifice in the greater mysteries. Demeter, disguised as Demo, places the child Demophon in the fire as a way to grant him immortality</w:t>
      </w:r>
      <w:r w:rsidRPr="00F35398">
        <w:rPr>
          <w:rStyle w:val="FootnoteReference"/>
          <w:color w:val="000007"/>
          <w:sz w:val="22"/>
          <w:szCs w:val="22"/>
        </w:rPr>
        <w:footnoteReference w:id="27"/>
      </w:r>
      <w:r w:rsidRPr="00F35398">
        <w:rPr>
          <w:color w:val="000007"/>
          <w:sz w:val="22"/>
          <w:szCs w:val="22"/>
        </w:rPr>
        <w:t>. There is knowledge to suggest that the piglet sacrifice on the 16</w:t>
      </w:r>
      <w:r w:rsidRPr="00F35398">
        <w:rPr>
          <w:color w:val="000007"/>
          <w:sz w:val="22"/>
          <w:szCs w:val="22"/>
          <w:vertAlign w:val="superscript"/>
        </w:rPr>
        <w:t>th</w:t>
      </w:r>
      <w:r w:rsidRPr="00F35398">
        <w:rPr>
          <w:color w:val="000007"/>
          <w:sz w:val="22"/>
          <w:szCs w:val="22"/>
        </w:rPr>
        <w:t xml:space="preserve"> Boedromion was the initial initiation which allows people to have a better life as well as life after death</w:t>
      </w:r>
      <w:r w:rsidRPr="00F35398">
        <w:rPr>
          <w:rStyle w:val="FootnoteReference"/>
          <w:color w:val="000007"/>
          <w:sz w:val="22"/>
          <w:szCs w:val="22"/>
        </w:rPr>
        <w:footnoteReference w:id="28"/>
      </w:r>
      <w:r w:rsidRPr="00F35398">
        <w:rPr>
          <w:color w:val="000007"/>
          <w:sz w:val="22"/>
          <w:szCs w:val="22"/>
        </w:rPr>
        <w:t>. From this, one could allude that this shows a great relationship between the hymn and the cult of Eleusis due to the representation of what causes the mysteries to be inaugurated. By the mother of the child interfering with Demeter’s actions this results in him not being made immortal. This could suggest that those who do not partake in the mysteries are consequently merely fated to an afterlife merely in the underworld.</w:t>
      </w:r>
    </w:p>
    <w:p w14:paraId="756F30AD" w14:textId="18904FE1" w:rsidR="000D02A9" w:rsidRPr="00F35398" w:rsidRDefault="007F5733" w:rsidP="000D02A9">
      <w:pPr>
        <w:pStyle w:val="NormalWeb"/>
        <w:spacing w:line="360" w:lineRule="auto"/>
        <w:rPr>
          <w:color w:val="000007"/>
          <w:sz w:val="18"/>
          <w:szCs w:val="18"/>
        </w:rPr>
      </w:pPr>
      <w:r w:rsidRPr="00F35398">
        <w:rPr>
          <w:color w:val="000007"/>
          <w:sz w:val="22"/>
          <w:szCs w:val="22"/>
        </w:rPr>
        <w:t>The festival which was a consequence of the greater mysteries is described by some as the greatest of all of the festivals which took place in ancient Athens</w:t>
      </w:r>
      <w:r w:rsidRPr="00F35398">
        <w:rPr>
          <w:rStyle w:val="FootnoteReference"/>
          <w:color w:val="000007"/>
          <w:sz w:val="22"/>
          <w:szCs w:val="22"/>
        </w:rPr>
        <w:footnoteReference w:id="29"/>
      </w:r>
      <w:r w:rsidRPr="00F35398">
        <w:rPr>
          <w:color w:val="000007"/>
          <w:sz w:val="22"/>
          <w:szCs w:val="22"/>
        </w:rPr>
        <w:t xml:space="preserve">. This relates to the reputation and the feelings towards propaganda in the ancient world. Although Eleusis was not originally part of Athens it was taken charge of and as a result the temple of Eleusis was built in Athens. However, there is evidence to suggest that the Athenian politicians used this to their </w:t>
      </w:r>
      <w:proofErr w:type="gramStart"/>
      <w:r w:rsidRPr="00F35398">
        <w:rPr>
          <w:color w:val="000007"/>
          <w:sz w:val="22"/>
          <w:szCs w:val="22"/>
        </w:rPr>
        <w:t>advantage</w:t>
      </w:r>
      <w:proofErr w:type="gramEnd"/>
      <w:r w:rsidRPr="00F35398">
        <w:rPr>
          <w:color w:val="000007"/>
          <w:sz w:val="22"/>
          <w:szCs w:val="22"/>
        </w:rPr>
        <w:t xml:space="preserve"> and it was commercialised. Keller (1988) mentions that in the 4</w:t>
      </w:r>
      <w:r w:rsidRPr="00F35398">
        <w:rPr>
          <w:color w:val="000007"/>
          <w:sz w:val="22"/>
          <w:szCs w:val="22"/>
          <w:vertAlign w:val="superscript"/>
        </w:rPr>
        <w:t>th</w:t>
      </w:r>
      <w:r w:rsidRPr="00F35398">
        <w:rPr>
          <w:color w:val="000007"/>
          <w:sz w:val="22"/>
          <w:szCs w:val="22"/>
        </w:rPr>
        <w:t xml:space="preserve"> century BCE it cost fifteen drachmas to be initiated into the mysteries. Not only does this reinforce the reasoning that the Athenian government were profiting off of the mystery cult, but it also hinders the chance of all people being able to undertake initiation</w:t>
      </w:r>
      <w:r w:rsidRPr="00F35398">
        <w:rPr>
          <w:rStyle w:val="FootnoteReference"/>
          <w:color w:val="000007"/>
          <w:sz w:val="22"/>
          <w:szCs w:val="22"/>
        </w:rPr>
        <w:footnoteReference w:id="30"/>
      </w:r>
      <w:r w:rsidRPr="00F35398">
        <w:rPr>
          <w:color w:val="000007"/>
          <w:sz w:val="22"/>
          <w:szCs w:val="22"/>
        </w:rPr>
        <w:t xml:space="preserve">. One of the well-known facts of the cult of Eleusis is that it was open to all people who spoke the Greek language that had not committed a murder. As a result, this meant that all were welcome to become initiates with the inclusion of slaves, freedmen and all others who spoke Greek. However, the insinuation of fifteen drachmas needing to be compensated to be initiated could suggest the exclusions of those from a </w:t>
      </w:r>
      <w:r w:rsidR="00EF1045">
        <w:rPr>
          <w:color w:val="000007"/>
          <w:sz w:val="22"/>
          <w:szCs w:val="22"/>
        </w:rPr>
        <w:t xml:space="preserve">less affluent </w:t>
      </w:r>
      <w:r w:rsidRPr="00F35398">
        <w:rPr>
          <w:color w:val="000007"/>
          <w:sz w:val="22"/>
          <w:szCs w:val="22"/>
        </w:rPr>
        <w:t xml:space="preserve">background. Just because they were seemingly allowed to join the cult does not mean that they would have had the means to do so. </w:t>
      </w:r>
      <w:r w:rsidR="00F35398" w:rsidRPr="00F35398">
        <w:rPr>
          <w:color w:val="000007"/>
          <w:sz w:val="22"/>
          <w:szCs w:val="22"/>
        </w:rPr>
        <w:t>A relationship to the cult of Eleusis is suggested in</w:t>
      </w:r>
      <w:r w:rsidRPr="00F35398">
        <w:rPr>
          <w:color w:val="000007"/>
          <w:sz w:val="22"/>
          <w:szCs w:val="22"/>
        </w:rPr>
        <w:t xml:space="preserve"> line 153 of the </w:t>
      </w:r>
      <w:r w:rsidRPr="00F35398">
        <w:rPr>
          <w:i/>
          <w:iCs/>
          <w:color w:val="000007"/>
          <w:sz w:val="22"/>
          <w:szCs w:val="22"/>
        </w:rPr>
        <w:t>Homeric Hymn to Demeter</w:t>
      </w:r>
      <w:r w:rsidRPr="00F35398">
        <w:rPr>
          <w:color w:val="000007"/>
          <w:sz w:val="22"/>
          <w:szCs w:val="22"/>
        </w:rPr>
        <w:t>, the daughters mention that the wives of the cult would happily welcome Demo, the poor old mortal version of the goddess Demeter</w:t>
      </w:r>
      <w:r w:rsidR="00F35398" w:rsidRPr="00F35398">
        <w:rPr>
          <w:rStyle w:val="FootnoteReference"/>
          <w:color w:val="000007"/>
          <w:sz w:val="22"/>
          <w:szCs w:val="22"/>
        </w:rPr>
        <w:footnoteReference w:id="31"/>
      </w:r>
      <w:r w:rsidRPr="00F35398">
        <w:rPr>
          <w:color w:val="000007"/>
          <w:sz w:val="22"/>
          <w:szCs w:val="22"/>
        </w:rPr>
        <w:t>. Although Demo was elderly and did not portray any means of wealth the people of Eleusis would still welcome her. This could be a direct portrayal of all being welcomed into the cult of Eleusis</w:t>
      </w:r>
      <w:r w:rsidR="00F35398" w:rsidRPr="00F35398">
        <w:rPr>
          <w:color w:val="000007"/>
          <w:sz w:val="22"/>
          <w:szCs w:val="22"/>
        </w:rPr>
        <w:t xml:space="preserve"> and as a result justifies the creation of the rule in which the majority of the Greek speaking population were eligible candidates for being welcomed as initiates. On the other hand, one could argue that the daughters were merely projecting xenia meaning the correct guest friendship in the hymn. This could also be interpreted as respecting the kind of gods Zeus</w:t>
      </w:r>
      <w:r w:rsidR="00EF1045">
        <w:rPr>
          <w:color w:val="000007"/>
          <w:sz w:val="22"/>
          <w:szCs w:val="22"/>
        </w:rPr>
        <w:t xml:space="preserve"> (the father of Persephone)</w:t>
      </w:r>
      <w:r w:rsidR="00F35398" w:rsidRPr="00F35398">
        <w:rPr>
          <w:color w:val="000007"/>
          <w:sz w:val="22"/>
          <w:szCs w:val="22"/>
        </w:rPr>
        <w:t xml:space="preserve">; however, this does not </w:t>
      </w:r>
      <w:r w:rsidR="00F35398" w:rsidRPr="00F35398">
        <w:rPr>
          <w:color w:val="000007"/>
          <w:sz w:val="22"/>
          <w:szCs w:val="22"/>
        </w:rPr>
        <w:lastRenderedPageBreak/>
        <w:t xml:space="preserve">correlate with the rest of the hymn in which Zeus is seen to have been disobeyed by the goddess of agriculture. </w:t>
      </w:r>
    </w:p>
    <w:p w14:paraId="4AA23772" w14:textId="531F4CA9" w:rsidR="00F35398" w:rsidRPr="00F35398" w:rsidRDefault="00F35398" w:rsidP="000D02A9">
      <w:pPr>
        <w:pStyle w:val="NormalWeb"/>
        <w:spacing w:line="360" w:lineRule="auto"/>
        <w:rPr>
          <w:color w:val="000007"/>
          <w:sz w:val="22"/>
          <w:szCs w:val="22"/>
        </w:rPr>
      </w:pPr>
      <w:r w:rsidRPr="00F35398">
        <w:rPr>
          <w:color w:val="000007"/>
          <w:sz w:val="22"/>
          <w:szCs w:val="22"/>
        </w:rPr>
        <w:t xml:space="preserve">There is knowledge to suggest that Demeter fasting after losing her daughter could be a direct connection to the period of time during the greater mysteries where the initiates fast on their journey to Eleusis. In line 200 of the </w:t>
      </w:r>
      <w:r w:rsidRPr="00F35398">
        <w:rPr>
          <w:i/>
          <w:iCs/>
          <w:color w:val="000007"/>
          <w:sz w:val="22"/>
          <w:szCs w:val="22"/>
        </w:rPr>
        <w:t>Homeric Hymn to Demeter</w:t>
      </w:r>
      <w:r w:rsidRPr="00F35398">
        <w:rPr>
          <w:color w:val="000007"/>
          <w:sz w:val="22"/>
          <w:szCs w:val="22"/>
        </w:rPr>
        <w:t>, it becomes apparent that Demeter is fasting due to the loss of her daughter</w:t>
      </w:r>
      <w:r w:rsidRPr="00F35398">
        <w:rPr>
          <w:rStyle w:val="FootnoteReference"/>
          <w:color w:val="000007"/>
          <w:sz w:val="22"/>
          <w:szCs w:val="22"/>
        </w:rPr>
        <w:footnoteReference w:id="32"/>
      </w:r>
      <w:r w:rsidRPr="00F35398">
        <w:rPr>
          <w:color w:val="000007"/>
          <w:sz w:val="22"/>
          <w:szCs w:val="22"/>
        </w:rPr>
        <w:t>. Although this evidence does not definitely suggest that a fast took place, Johnston (2013) notes that on the day of the procession the initiates of the cult were given a breakfast which was at the cost of the state</w:t>
      </w:r>
      <w:r w:rsidRPr="00F35398">
        <w:rPr>
          <w:rStyle w:val="FootnoteReference"/>
          <w:color w:val="000007"/>
          <w:sz w:val="22"/>
          <w:szCs w:val="22"/>
        </w:rPr>
        <w:footnoteReference w:id="33"/>
      </w:r>
      <w:r w:rsidRPr="00F35398">
        <w:rPr>
          <w:color w:val="000007"/>
          <w:sz w:val="22"/>
          <w:szCs w:val="22"/>
        </w:rPr>
        <w:t>. As a result, one can assume that this was a very luxuri</w:t>
      </w:r>
      <w:r w:rsidR="00EF1045">
        <w:rPr>
          <w:color w:val="000007"/>
          <w:sz w:val="22"/>
          <w:szCs w:val="22"/>
        </w:rPr>
        <w:t>ou</w:t>
      </w:r>
      <w:r w:rsidRPr="00F35398">
        <w:rPr>
          <w:color w:val="000007"/>
          <w:sz w:val="22"/>
          <w:szCs w:val="22"/>
        </w:rPr>
        <w:t>s breakfast which would have given the initiates the adequate fuel to walk from the temple in Athens to the town of Eleusis which consisted of a fourteen-mile walk</w:t>
      </w:r>
      <w:r w:rsidRPr="00F35398">
        <w:rPr>
          <w:rStyle w:val="FootnoteReference"/>
          <w:color w:val="000007"/>
          <w:sz w:val="22"/>
          <w:szCs w:val="22"/>
        </w:rPr>
        <w:footnoteReference w:id="34"/>
      </w:r>
      <w:r w:rsidRPr="00F35398">
        <w:rPr>
          <w:color w:val="000007"/>
          <w:sz w:val="22"/>
          <w:szCs w:val="22"/>
        </w:rPr>
        <w:t xml:space="preserve">. This suggests that the cult </w:t>
      </w:r>
      <w:r w:rsidR="00EF1045">
        <w:rPr>
          <w:color w:val="000007"/>
          <w:sz w:val="22"/>
          <w:szCs w:val="22"/>
        </w:rPr>
        <w:t>o</w:t>
      </w:r>
      <w:r w:rsidRPr="00F35398">
        <w:rPr>
          <w:color w:val="000007"/>
          <w:sz w:val="22"/>
          <w:szCs w:val="22"/>
        </w:rPr>
        <w:t>f Eleusis’ greater mysteries existed to re-enact the process of Demeter’s loss of Persephone and her reaching the town of Eleusis. There is also the knowledge that Demeter breaks her fast with a specific drink. A mixture of water, barley and mint which is known as kykeon</w:t>
      </w:r>
      <w:r w:rsidRPr="00F35398">
        <w:rPr>
          <w:rStyle w:val="FootnoteReference"/>
          <w:color w:val="000007"/>
          <w:sz w:val="22"/>
          <w:szCs w:val="22"/>
        </w:rPr>
        <w:footnoteReference w:id="35"/>
      </w:r>
      <w:r w:rsidRPr="00F35398">
        <w:rPr>
          <w:color w:val="000007"/>
          <w:sz w:val="22"/>
          <w:szCs w:val="22"/>
        </w:rPr>
        <w:t>. This is the sacred drink of Eleusis which is consumed when the procession reach</w:t>
      </w:r>
      <w:r w:rsidR="00EF1045">
        <w:rPr>
          <w:color w:val="000007"/>
          <w:sz w:val="22"/>
          <w:szCs w:val="22"/>
        </w:rPr>
        <w:t>es</w:t>
      </w:r>
      <w:r w:rsidRPr="00F35398">
        <w:rPr>
          <w:color w:val="000007"/>
          <w:sz w:val="22"/>
          <w:szCs w:val="22"/>
        </w:rPr>
        <w:t xml:space="preserve"> Eleusis on the 19</w:t>
      </w:r>
      <w:r w:rsidRPr="00F35398">
        <w:rPr>
          <w:color w:val="000007"/>
          <w:sz w:val="22"/>
          <w:szCs w:val="22"/>
          <w:vertAlign w:val="superscript"/>
        </w:rPr>
        <w:t>th</w:t>
      </w:r>
      <w:r w:rsidRPr="00F35398">
        <w:rPr>
          <w:color w:val="000007"/>
          <w:sz w:val="22"/>
          <w:szCs w:val="22"/>
        </w:rPr>
        <w:t xml:space="preserve"> of Boedromion. It can be deduced from this that the people were drinking for the sake of the rite</w:t>
      </w:r>
      <w:r w:rsidRPr="00F35398">
        <w:rPr>
          <w:rStyle w:val="FootnoteReference"/>
          <w:color w:val="000007"/>
          <w:sz w:val="22"/>
          <w:szCs w:val="22"/>
        </w:rPr>
        <w:footnoteReference w:id="36"/>
      </w:r>
      <w:r w:rsidRPr="00F35398">
        <w:rPr>
          <w:color w:val="000007"/>
          <w:sz w:val="22"/>
          <w:szCs w:val="22"/>
        </w:rPr>
        <w:t>. This suggests a relationship between Eleusis and the Persephone myth because of the connection of the same concoction being d</w:t>
      </w:r>
      <w:r w:rsidR="00EF1045">
        <w:rPr>
          <w:color w:val="000007"/>
          <w:sz w:val="22"/>
          <w:szCs w:val="22"/>
        </w:rPr>
        <w:t>evoured</w:t>
      </w:r>
      <w:r w:rsidRPr="00F35398">
        <w:rPr>
          <w:color w:val="000007"/>
          <w:sz w:val="22"/>
          <w:szCs w:val="22"/>
        </w:rPr>
        <w:t xml:space="preserve">. However, one could look deeper into this and look like the direct link to the goddess of agriculture herself. Demeter is the one who stops the harvesting of </w:t>
      </w:r>
      <w:r w:rsidR="00EF1045">
        <w:rPr>
          <w:color w:val="000007"/>
          <w:sz w:val="22"/>
          <w:szCs w:val="22"/>
        </w:rPr>
        <w:t>wheat</w:t>
      </w:r>
      <w:r w:rsidRPr="00F35398">
        <w:rPr>
          <w:color w:val="000007"/>
          <w:sz w:val="22"/>
          <w:szCs w:val="22"/>
        </w:rPr>
        <w:t xml:space="preserve"> and so by suggesting that this </w:t>
      </w:r>
      <w:r w:rsidR="00EF1045">
        <w:rPr>
          <w:color w:val="000007"/>
          <w:sz w:val="22"/>
          <w:szCs w:val="22"/>
        </w:rPr>
        <w:t>mixture</w:t>
      </w:r>
      <w:r w:rsidRPr="00F35398">
        <w:rPr>
          <w:color w:val="000007"/>
          <w:sz w:val="22"/>
          <w:szCs w:val="22"/>
        </w:rPr>
        <w:t xml:space="preserve"> be created it could suggest that the production of grain was starting again, and as a result the foreshadowing of her daughter Persephone returning from the underworld and the harvest taking place again. The rites of the mysteries were put in place by Demeter herself and so by performing the rites they are directly appeasing her. This could have been a way of ensuring that the harvest still took place, especially when Persephone had return</w:t>
      </w:r>
      <w:r w:rsidR="00EF1045">
        <w:rPr>
          <w:color w:val="000007"/>
          <w:sz w:val="22"/>
          <w:szCs w:val="22"/>
        </w:rPr>
        <w:t>ed</w:t>
      </w:r>
      <w:r w:rsidRPr="00F35398">
        <w:rPr>
          <w:color w:val="000007"/>
          <w:sz w:val="22"/>
          <w:szCs w:val="22"/>
        </w:rPr>
        <w:t xml:space="preserve"> to her life as queen of the underworld.</w:t>
      </w:r>
    </w:p>
    <w:p w14:paraId="06F29261" w14:textId="1C12CEC5" w:rsidR="00607444" w:rsidRPr="00F35398" w:rsidRDefault="00F35398" w:rsidP="000D02A9">
      <w:pPr>
        <w:pStyle w:val="NormalWeb"/>
        <w:spacing w:line="360" w:lineRule="auto"/>
        <w:rPr>
          <w:color w:val="000007"/>
          <w:sz w:val="22"/>
          <w:szCs w:val="22"/>
        </w:rPr>
      </w:pPr>
      <w:r w:rsidRPr="00F35398">
        <w:rPr>
          <w:color w:val="000007"/>
          <w:sz w:val="22"/>
          <w:szCs w:val="22"/>
        </w:rPr>
        <w:t xml:space="preserve">In conclusion, the relationship between the Eleusinian mysteries and the Persephone myth can be seen as considerable, especially in the case of the </w:t>
      </w:r>
      <w:r w:rsidRPr="00F35398">
        <w:rPr>
          <w:i/>
          <w:iCs/>
          <w:color w:val="000007"/>
          <w:sz w:val="22"/>
          <w:szCs w:val="22"/>
        </w:rPr>
        <w:t>Homeric Hymn to Demeter.</w:t>
      </w:r>
      <w:r w:rsidRPr="00F35398">
        <w:rPr>
          <w:color w:val="000007"/>
          <w:sz w:val="22"/>
          <w:szCs w:val="22"/>
        </w:rPr>
        <w:t xml:space="preserve"> As a result, it could be argued that the mysteries and the myth are technically the same thing, not just that the </w:t>
      </w:r>
      <w:r w:rsidRPr="00F35398">
        <w:rPr>
          <w:i/>
          <w:iCs/>
          <w:color w:val="000007"/>
          <w:sz w:val="22"/>
          <w:szCs w:val="22"/>
        </w:rPr>
        <w:t>Homeric Hymn</w:t>
      </w:r>
      <w:r w:rsidRPr="00F35398">
        <w:rPr>
          <w:color w:val="000007"/>
          <w:sz w:val="22"/>
          <w:szCs w:val="22"/>
        </w:rPr>
        <w:t xml:space="preserve"> is a consequence of the cult of Eleusis. Much of the information that exists today on the mystery cult can be found as a result of reading the hymn and so it tells the audience much more information when it is looked into in greater detail. However, it could also be argued that other instantiations continue to give detail on the matter, however they do not give as much detail on Eleusis as a whole. Many adaptations give knowledge on the rape rather than what happened during the mysteries themselves. </w:t>
      </w:r>
      <w:r w:rsidRPr="00F35398">
        <w:rPr>
          <w:color w:val="000007"/>
          <w:sz w:val="22"/>
          <w:szCs w:val="22"/>
        </w:rPr>
        <w:lastRenderedPageBreak/>
        <w:t xml:space="preserve">However, it can be argued that the ongoings of the mysteries can be deduced from differing instantiations. Alfred Tennyson’s poem, </w:t>
      </w:r>
      <w:r w:rsidRPr="00F35398">
        <w:rPr>
          <w:i/>
          <w:iCs/>
          <w:color w:val="000007"/>
          <w:sz w:val="22"/>
          <w:szCs w:val="22"/>
        </w:rPr>
        <w:t>Demeter and Persephone</w:t>
      </w:r>
      <w:r w:rsidRPr="00F35398">
        <w:rPr>
          <w:color w:val="000007"/>
          <w:sz w:val="22"/>
          <w:szCs w:val="22"/>
        </w:rPr>
        <w:t>, gives a great modernised variation on the myth, however it only gives one line in mentioning Eleusis</w:t>
      </w:r>
      <w:r w:rsidRPr="00F35398">
        <w:rPr>
          <w:rStyle w:val="FootnoteReference"/>
          <w:color w:val="000007"/>
          <w:sz w:val="22"/>
          <w:szCs w:val="22"/>
        </w:rPr>
        <w:footnoteReference w:id="37"/>
      </w:r>
      <w:r w:rsidRPr="00F35398">
        <w:rPr>
          <w:color w:val="000007"/>
          <w:sz w:val="22"/>
          <w:szCs w:val="22"/>
        </w:rPr>
        <w:t xml:space="preserve">. As a result, it can be argued that the </w:t>
      </w:r>
      <w:r w:rsidR="00EF1045">
        <w:rPr>
          <w:color w:val="000007"/>
          <w:sz w:val="22"/>
          <w:szCs w:val="22"/>
        </w:rPr>
        <w:t>‘</w:t>
      </w:r>
      <w:r w:rsidRPr="00F35398">
        <w:rPr>
          <w:color w:val="000007"/>
          <w:sz w:val="22"/>
          <w:szCs w:val="22"/>
        </w:rPr>
        <w:t>Persephone myth</w:t>
      </w:r>
      <w:r w:rsidR="00EF1045">
        <w:rPr>
          <w:color w:val="000007"/>
          <w:sz w:val="22"/>
          <w:szCs w:val="22"/>
        </w:rPr>
        <w:t>’</w:t>
      </w:r>
      <w:r w:rsidRPr="00F35398">
        <w:rPr>
          <w:color w:val="000007"/>
          <w:sz w:val="22"/>
          <w:szCs w:val="22"/>
        </w:rPr>
        <w:t xml:space="preserve"> as a generic way to coin all of the differing adaptations of the myth do</w:t>
      </w:r>
      <w:r w:rsidR="00EF1045">
        <w:rPr>
          <w:color w:val="000007"/>
          <w:sz w:val="22"/>
          <w:szCs w:val="22"/>
        </w:rPr>
        <w:t>es</w:t>
      </w:r>
      <w:r w:rsidRPr="00F35398">
        <w:rPr>
          <w:color w:val="000007"/>
          <w:sz w:val="22"/>
          <w:szCs w:val="22"/>
        </w:rPr>
        <w:t xml:space="preserve"> not represent a relationship between the cult of Eleusis and what happened to Demeter and Persephone</w:t>
      </w:r>
      <w:r w:rsidR="00EF1045">
        <w:rPr>
          <w:color w:val="000007"/>
          <w:sz w:val="22"/>
          <w:szCs w:val="22"/>
        </w:rPr>
        <w:t>;</w:t>
      </w:r>
      <w:r w:rsidRPr="00F35398">
        <w:rPr>
          <w:color w:val="000007"/>
          <w:sz w:val="22"/>
          <w:szCs w:val="22"/>
        </w:rPr>
        <w:t xml:space="preserve"> they merely exist to portray the rape of young Persephone. This does however suggest that this mythology still lives on today, it has been modernised and altered by many authors and this suggests just how grand of a story it is.</w:t>
      </w:r>
    </w:p>
    <w:p w14:paraId="2B88F855" w14:textId="0B7EF746" w:rsidR="00D5669C" w:rsidRPr="00F35398" w:rsidRDefault="004E4AB9" w:rsidP="000D02A9">
      <w:pPr>
        <w:spacing w:line="360" w:lineRule="auto"/>
        <w:rPr>
          <w:rFonts w:ascii="Times New Roman" w:hAnsi="Times New Roman" w:cs="Times New Roman"/>
          <w:sz w:val="28"/>
          <w:szCs w:val="28"/>
        </w:rPr>
      </w:pPr>
    </w:p>
    <w:p w14:paraId="59404FE8" w14:textId="77777777" w:rsidR="00EF1045" w:rsidRDefault="00EF1045" w:rsidP="00EF1045">
      <w:pPr>
        <w:spacing w:line="360" w:lineRule="auto"/>
        <w:rPr>
          <w:rFonts w:ascii="Times New Roman" w:hAnsi="Times New Roman" w:cs="Times New Roman"/>
          <w:sz w:val="21"/>
          <w:szCs w:val="21"/>
        </w:rPr>
      </w:pPr>
    </w:p>
    <w:p w14:paraId="0E82C2D4" w14:textId="77777777" w:rsidR="00EF1045" w:rsidRDefault="00EF1045" w:rsidP="00EF1045">
      <w:pPr>
        <w:spacing w:line="360" w:lineRule="auto"/>
        <w:rPr>
          <w:rFonts w:ascii="Times New Roman" w:hAnsi="Times New Roman" w:cs="Times New Roman"/>
          <w:sz w:val="21"/>
          <w:szCs w:val="21"/>
        </w:rPr>
      </w:pPr>
    </w:p>
    <w:p w14:paraId="42CA3D1D" w14:textId="77777777" w:rsidR="00EF1045" w:rsidRDefault="00EF1045" w:rsidP="00EF1045">
      <w:pPr>
        <w:spacing w:line="360" w:lineRule="auto"/>
        <w:rPr>
          <w:rFonts w:ascii="Times New Roman" w:hAnsi="Times New Roman" w:cs="Times New Roman"/>
          <w:sz w:val="21"/>
          <w:szCs w:val="21"/>
        </w:rPr>
      </w:pPr>
    </w:p>
    <w:p w14:paraId="415CBAC1" w14:textId="77777777" w:rsidR="00EF1045" w:rsidRDefault="00EF1045" w:rsidP="00EF1045">
      <w:pPr>
        <w:spacing w:line="360" w:lineRule="auto"/>
        <w:rPr>
          <w:rFonts w:ascii="Times New Roman" w:hAnsi="Times New Roman" w:cs="Times New Roman"/>
          <w:sz w:val="21"/>
          <w:szCs w:val="21"/>
        </w:rPr>
      </w:pPr>
    </w:p>
    <w:p w14:paraId="37EA5244" w14:textId="77777777" w:rsidR="00EF1045" w:rsidRDefault="00EF1045" w:rsidP="00EF1045">
      <w:pPr>
        <w:spacing w:line="360" w:lineRule="auto"/>
        <w:rPr>
          <w:rFonts w:ascii="Times New Roman" w:hAnsi="Times New Roman" w:cs="Times New Roman"/>
          <w:sz w:val="21"/>
          <w:szCs w:val="21"/>
        </w:rPr>
      </w:pPr>
    </w:p>
    <w:p w14:paraId="6DFFD284" w14:textId="77777777" w:rsidR="00EF1045" w:rsidRDefault="00EF1045" w:rsidP="00EF1045">
      <w:pPr>
        <w:spacing w:line="360" w:lineRule="auto"/>
        <w:rPr>
          <w:rFonts w:ascii="Times New Roman" w:hAnsi="Times New Roman" w:cs="Times New Roman"/>
          <w:sz w:val="21"/>
          <w:szCs w:val="21"/>
        </w:rPr>
      </w:pPr>
    </w:p>
    <w:p w14:paraId="3AB73B21" w14:textId="77777777" w:rsidR="00EF1045" w:rsidRDefault="00EF1045" w:rsidP="00EF1045">
      <w:pPr>
        <w:spacing w:line="360" w:lineRule="auto"/>
        <w:rPr>
          <w:rFonts w:ascii="Times New Roman" w:hAnsi="Times New Roman" w:cs="Times New Roman"/>
          <w:sz w:val="21"/>
          <w:szCs w:val="21"/>
        </w:rPr>
      </w:pPr>
    </w:p>
    <w:p w14:paraId="770FACC4" w14:textId="77777777" w:rsidR="00EF1045" w:rsidRDefault="00EF1045" w:rsidP="00EF1045">
      <w:pPr>
        <w:spacing w:line="360" w:lineRule="auto"/>
        <w:rPr>
          <w:rFonts w:ascii="Times New Roman" w:hAnsi="Times New Roman" w:cs="Times New Roman"/>
          <w:sz w:val="21"/>
          <w:szCs w:val="21"/>
        </w:rPr>
      </w:pPr>
    </w:p>
    <w:p w14:paraId="24A89952" w14:textId="77777777" w:rsidR="00EF1045" w:rsidRDefault="00EF1045" w:rsidP="00EF1045">
      <w:pPr>
        <w:spacing w:line="360" w:lineRule="auto"/>
        <w:rPr>
          <w:rFonts w:ascii="Times New Roman" w:hAnsi="Times New Roman" w:cs="Times New Roman"/>
          <w:sz w:val="21"/>
          <w:szCs w:val="21"/>
        </w:rPr>
      </w:pPr>
    </w:p>
    <w:p w14:paraId="148C0428" w14:textId="77777777" w:rsidR="00EF1045" w:rsidRDefault="00EF1045" w:rsidP="00EF1045">
      <w:pPr>
        <w:spacing w:line="360" w:lineRule="auto"/>
        <w:rPr>
          <w:rFonts w:ascii="Times New Roman" w:hAnsi="Times New Roman" w:cs="Times New Roman"/>
          <w:sz w:val="21"/>
          <w:szCs w:val="21"/>
        </w:rPr>
      </w:pPr>
    </w:p>
    <w:p w14:paraId="377F85DC" w14:textId="77777777" w:rsidR="00EF1045" w:rsidRDefault="00EF1045" w:rsidP="00EF1045">
      <w:pPr>
        <w:spacing w:line="360" w:lineRule="auto"/>
        <w:rPr>
          <w:rFonts w:ascii="Times New Roman" w:hAnsi="Times New Roman" w:cs="Times New Roman"/>
          <w:sz w:val="21"/>
          <w:szCs w:val="21"/>
        </w:rPr>
      </w:pPr>
    </w:p>
    <w:p w14:paraId="3B02E610" w14:textId="77777777" w:rsidR="00EF1045" w:rsidRDefault="00EF1045" w:rsidP="00EF1045">
      <w:pPr>
        <w:spacing w:line="360" w:lineRule="auto"/>
        <w:rPr>
          <w:rFonts w:ascii="Times New Roman" w:hAnsi="Times New Roman" w:cs="Times New Roman"/>
          <w:sz w:val="21"/>
          <w:szCs w:val="21"/>
        </w:rPr>
      </w:pPr>
    </w:p>
    <w:p w14:paraId="47B67EFA" w14:textId="77777777" w:rsidR="00EF1045" w:rsidRDefault="00EF1045" w:rsidP="00EF1045">
      <w:pPr>
        <w:spacing w:line="360" w:lineRule="auto"/>
        <w:rPr>
          <w:rFonts w:ascii="Times New Roman" w:hAnsi="Times New Roman" w:cs="Times New Roman"/>
          <w:sz w:val="21"/>
          <w:szCs w:val="21"/>
        </w:rPr>
      </w:pPr>
    </w:p>
    <w:p w14:paraId="7E1534A7" w14:textId="77777777" w:rsidR="00EF1045" w:rsidRDefault="00EF1045" w:rsidP="00EF1045">
      <w:pPr>
        <w:spacing w:line="360" w:lineRule="auto"/>
        <w:rPr>
          <w:rFonts w:ascii="Times New Roman" w:hAnsi="Times New Roman" w:cs="Times New Roman"/>
          <w:sz w:val="21"/>
          <w:szCs w:val="21"/>
        </w:rPr>
      </w:pPr>
    </w:p>
    <w:p w14:paraId="0C9C1967" w14:textId="77777777" w:rsidR="00EF1045" w:rsidRDefault="00EF1045" w:rsidP="00EF1045">
      <w:pPr>
        <w:spacing w:line="360" w:lineRule="auto"/>
        <w:rPr>
          <w:rFonts w:ascii="Times New Roman" w:hAnsi="Times New Roman" w:cs="Times New Roman"/>
          <w:sz w:val="21"/>
          <w:szCs w:val="21"/>
        </w:rPr>
      </w:pPr>
    </w:p>
    <w:p w14:paraId="6F2FEA13" w14:textId="77777777" w:rsidR="00EF1045" w:rsidRDefault="00EF1045" w:rsidP="00EF1045">
      <w:pPr>
        <w:spacing w:line="360" w:lineRule="auto"/>
        <w:rPr>
          <w:rFonts w:ascii="Times New Roman" w:hAnsi="Times New Roman" w:cs="Times New Roman"/>
          <w:sz w:val="21"/>
          <w:szCs w:val="21"/>
        </w:rPr>
      </w:pPr>
    </w:p>
    <w:p w14:paraId="09D72A40" w14:textId="77777777" w:rsidR="00EF1045" w:rsidRDefault="00EF1045" w:rsidP="00EF1045">
      <w:pPr>
        <w:spacing w:line="360" w:lineRule="auto"/>
        <w:rPr>
          <w:rFonts w:ascii="Times New Roman" w:hAnsi="Times New Roman" w:cs="Times New Roman"/>
          <w:sz w:val="21"/>
          <w:szCs w:val="21"/>
        </w:rPr>
      </w:pPr>
    </w:p>
    <w:p w14:paraId="2AE7B07A" w14:textId="77777777" w:rsidR="00EF1045" w:rsidRDefault="00EF1045" w:rsidP="00EF1045">
      <w:pPr>
        <w:spacing w:line="360" w:lineRule="auto"/>
        <w:rPr>
          <w:rFonts w:ascii="Times New Roman" w:hAnsi="Times New Roman" w:cs="Times New Roman"/>
          <w:sz w:val="21"/>
          <w:szCs w:val="21"/>
        </w:rPr>
      </w:pPr>
    </w:p>
    <w:p w14:paraId="1F67762B" w14:textId="77777777" w:rsidR="00EF1045" w:rsidRDefault="00EF1045" w:rsidP="00EF1045">
      <w:pPr>
        <w:spacing w:line="360" w:lineRule="auto"/>
        <w:rPr>
          <w:rFonts w:ascii="Times New Roman" w:hAnsi="Times New Roman" w:cs="Times New Roman"/>
          <w:sz w:val="21"/>
          <w:szCs w:val="21"/>
        </w:rPr>
      </w:pPr>
    </w:p>
    <w:p w14:paraId="5C724C8A" w14:textId="77777777" w:rsidR="00EF1045" w:rsidRDefault="00EF1045" w:rsidP="00EF1045">
      <w:pPr>
        <w:spacing w:line="360" w:lineRule="auto"/>
        <w:rPr>
          <w:rFonts w:ascii="Times New Roman" w:hAnsi="Times New Roman" w:cs="Times New Roman"/>
          <w:sz w:val="21"/>
          <w:szCs w:val="21"/>
        </w:rPr>
      </w:pPr>
    </w:p>
    <w:p w14:paraId="1C0D3B97" w14:textId="77777777" w:rsidR="00EF1045" w:rsidRDefault="00EF1045" w:rsidP="00EF1045">
      <w:pPr>
        <w:spacing w:line="360" w:lineRule="auto"/>
        <w:rPr>
          <w:rFonts w:ascii="Times New Roman" w:hAnsi="Times New Roman" w:cs="Times New Roman"/>
          <w:sz w:val="21"/>
          <w:szCs w:val="21"/>
        </w:rPr>
      </w:pPr>
    </w:p>
    <w:p w14:paraId="0584839D" w14:textId="77777777" w:rsidR="00EF1045" w:rsidRDefault="00EF1045" w:rsidP="00EF1045">
      <w:pPr>
        <w:spacing w:line="360" w:lineRule="auto"/>
        <w:rPr>
          <w:rFonts w:ascii="Times New Roman" w:hAnsi="Times New Roman" w:cs="Times New Roman"/>
          <w:sz w:val="21"/>
          <w:szCs w:val="21"/>
        </w:rPr>
      </w:pPr>
    </w:p>
    <w:p w14:paraId="40D2274D" w14:textId="77777777" w:rsidR="00EF1045" w:rsidRDefault="00EF1045" w:rsidP="00EF1045">
      <w:pPr>
        <w:spacing w:line="360" w:lineRule="auto"/>
        <w:rPr>
          <w:rFonts w:ascii="Times New Roman" w:hAnsi="Times New Roman" w:cs="Times New Roman"/>
          <w:sz w:val="21"/>
          <w:szCs w:val="21"/>
        </w:rPr>
      </w:pPr>
    </w:p>
    <w:p w14:paraId="37FE224B" w14:textId="77777777" w:rsidR="00EF1045" w:rsidRDefault="00EF1045" w:rsidP="00EF1045">
      <w:pPr>
        <w:spacing w:line="360" w:lineRule="auto"/>
        <w:rPr>
          <w:rFonts w:ascii="Times New Roman" w:hAnsi="Times New Roman" w:cs="Times New Roman"/>
          <w:sz w:val="21"/>
          <w:szCs w:val="21"/>
        </w:rPr>
      </w:pPr>
    </w:p>
    <w:p w14:paraId="79619039" w14:textId="77777777" w:rsidR="00EF1045" w:rsidRDefault="00EF1045" w:rsidP="00EF1045">
      <w:pPr>
        <w:spacing w:line="360" w:lineRule="auto"/>
        <w:rPr>
          <w:rFonts w:ascii="Times New Roman" w:hAnsi="Times New Roman" w:cs="Times New Roman"/>
          <w:sz w:val="21"/>
          <w:szCs w:val="21"/>
        </w:rPr>
      </w:pPr>
    </w:p>
    <w:p w14:paraId="67272875" w14:textId="77777777" w:rsidR="00EF1045" w:rsidRDefault="00EF1045" w:rsidP="00EF1045">
      <w:pPr>
        <w:spacing w:line="360" w:lineRule="auto"/>
        <w:rPr>
          <w:rFonts w:ascii="Times New Roman" w:hAnsi="Times New Roman" w:cs="Times New Roman"/>
          <w:sz w:val="21"/>
          <w:szCs w:val="21"/>
        </w:rPr>
      </w:pPr>
    </w:p>
    <w:p w14:paraId="76F7713D" w14:textId="2EE6CBDA"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lastRenderedPageBreak/>
        <w:t>Bibliography:</w:t>
      </w:r>
    </w:p>
    <w:p w14:paraId="0DC02753" w14:textId="77777777" w:rsidR="00EF1045" w:rsidRPr="00C0550C" w:rsidRDefault="00EF1045" w:rsidP="00EF1045">
      <w:pPr>
        <w:spacing w:line="360" w:lineRule="auto"/>
        <w:rPr>
          <w:rFonts w:ascii="Times New Roman" w:hAnsi="Times New Roman" w:cs="Times New Roman"/>
          <w:sz w:val="21"/>
          <w:szCs w:val="21"/>
        </w:rPr>
      </w:pPr>
    </w:p>
    <w:p w14:paraId="1FB15FDD"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Classical</w:t>
      </w:r>
    </w:p>
    <w:p w14:paraId="72B76A6A" w14:textId="77777777" w:rsidR="00EF1045" w:rsidRPr="00C0550C" w:rsidRDefault="00EF1045" w:rsidP="00EF1045">
      <w:pPr>
        <w:spacing w:line="360" w:lineRule="auto"/>
        <w:rPr>
          <w:rFonts w:ascii="Times New Roman" w:hAnsi="Times New Roman" w:cs="Times New Roman"/>
          <w:sz w:val="21"/>
          <w:szCs w:val="21"/>
        </w:rPr>
      </w:pPr>
    </w:p>
    <w:p w14:paraId="017A4924" w14:textId="77777777" w:rsidR="00EF1045" w:rsidRPr="00C0550C" w:rsidRDefault="00EF1045" w:rsidP="00EF1045">
      <w:pPr>
        <w:spacing w:line="360" w:lineRule="auto"/>
        <w:rPr>
          <w:rFonts w:ascii="Times New Roman" w:hAnsi="Times New Roman" w:cs="Times New Roman"/>
          <w:sz w:val="21"/>
          <w:szCs w:val="21"/>
        </w:rPr>
      </w:pPr>
      <w:proofErr w:type="spellStart"/>
      <w:r w:rsidRPr="00C0550C">
        <w:rPr>
          <w:rFonts w:ascii="Times New Roman" w:hAnsi="Times New Roman" w:cs="Times New Roman"/>
          <w:sz w:val="21"/>
          <w:szCs w:val="21"/>
        </w:rPr>
        <w:t>Andocides</w:t>
      </w:r>
      <w:proofErr w:type="spellEnd"/>
      <w:r w:rsidRPr="00C0550C">
        <w:rPr>
          <w:rFonts w:ascii="Times New Roman" w:hAnsi="Times New Roman" w:cs="Times New Roman"/>
          <w:sz w:val="21"/>
          <w:szCs w:val="21"/>
        </w:rPr>
        <w:t>, On the Mysteries. Maidment, K. J (trans.). 1968. London: Harvard University Press.</w:t>
      </w:r>
    </w:p>
    <w:p w14:paraId="4B549B75" w14:textId="77777777" w:rsidR="00EF1045" w:rsidRPr="00C0550C" w:rsidRDefault="00EF1045" w:rsidP="00EF1045">
      <w:pPr>
        <w:spacing w:line="360" w:lineRule="auto"/>
        <w:rPr>
          <w:rFonts w:ascii="Times New Roman" w:hAnsi="Times New Roman" w:cs="Times New Roman"/>
          <w:sz w:val="21"/>
          <w:szCs w:val="21"/>
        </w:rPr>
      </w:pPr>
    </w:p>
    <w:p w14:paraId="07DCA5E2" w14:textId="77777777" w:rsidR="00EF1045" w:rsidRPr="00C0550C" w:rsidRDefault="00EF1045" w:rsidP="00EF1045">
      <w:pPr>
        <w:spacing w:line="360" w:lineRule="auto"/>
        <w:rPr>
          <w:rFonts w:ascii="Times New Roman" w:hAnsi="Times New Roman" w:cs="Times New Roman"/>
          <w:sz w:val="21"/>
          <w:szCs w:val="21"/>
        </w:rPr>
      </w:pPr>
      <w:proofErr w:type="spellStart"/>
      <w:r w:rsidRPr="00C0550C">
        <w:rPr>
          <w:rFonts w:ascii="Times New Roman" w:hAnsi="Times New Roman" w:cs="Times New Roman"/>
          <w:sz w:val="21"/>
          <w:szCs w:val="21"/>
        </w:rPr>
        <w:t>Aritstotle</w:t>
      </w:r>
      <w:proofErr w:type="spellEnd"/>
      <w:r w:rsidRPr="00C0550C">
        <w:rPr>
          <w:rFonts w:ascii="Times New Roman" w:hAnsi="Times New Roman" w:cs="Times New Roman"/>
          <w:sz w:val="21"/>
          <w:szCs w:val="21"/>
        </w:rPr>
        <w:t>, Athenian Constitution. Rackham, H (trans.). 1952. London: Harvard University Press</w:t>
      </w:r>
    </w:p>
    <w:p w14:paraId="36D48DE4" w14:textId="77777777" w:rsidR="00EF1045" w:rsidRPr="00C0550C" w:rsidRDefault="00EF1045" w:rsidP="00EF1045">
      <w:pPr>
        <w:spacing w:line="360" w:lineRule="auto"/>
        <w:rPr>
          <w:rFonts w:ascii="Times New Roman" w:hAnsi="Times New Roman" w:cs="Times New Roman"/>
          <w:sz w:val="21"/>
          <w:szCs w:val="21"/>
        </w:rPr>
      </w:pPr>
    </w:p>
    <w:p w14:paraId="135445EA"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Demosthenes, </w:t>
      </w:r>
      <w:proofErr w:type="spellStart"/>
      <w:r w:rsidRPr="00C0550C">
        <w:rPr>
          <w:rFonts w:ascii="Times New Roman" w:hAnsi="Times New Roman" w:cs="Times New Roman"/>
          <w:sz w:val="21"/>
          <w:szCs w:val="21"/>
        </w:rPr>
        <w:t>Olynthiac</w:t>
      </w:r>
      <w:proofErr w:type="spellEnd"/>
      <w:r w:rsidRPr="00C0550C">
        <w:rPr>
          <w:rFonts w:ascii="Times New Roman" w:hAnsi="Times New Roman" w:cs="Times New Roman"/>
          <w:sz w:val="21"/>
          <w:szCs w:val="21"/>
        </w:rPr>
        <w:t xml:space="preserve"> 3. Vince, J. H (trans.). 1930. London: Harvard University Press</w:t>
      </w:r>
    </w:p>
    <w:p w14:paraId="230ACC92" w14:textId="77777777" w:rsidR="00EF1045" w:rsidRPr="00C0550C" w:rsidRDefault="00EF1045" w:rsidP="00EF1045">
      <w:pPr>
        <w:spacing w:line="360" w:lineRule="auto"/>
        <w:rPr>
          <w:rFonts w:ascii="Times New Roman" w:hAnsi="Times New Roman" w:cs="Times New Roman"/>
          <w:sz w:val="21"/>
          <w:szCs w:val="21"/>
        </w:rPr>
      </w:pPr>
    </w:p>
    <w:p w14:paraId="7056B71B"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Isocrates, </w:t>
      </w:r>
      <w:proofErr w:type="spellStart"/>
      <w:r w:rsidRPr="00C0550C">
        <w:rPr>
          <w:rFonts w:ascii="Times New Roman" w:hAnsi="Times New Roman" w:cs="Times New Roman"/>
          <w:sz w:val="21"/>
          <w:szCs w:val="21"/>
        </w:rPr>
        <w:t>Panegyricus</w:t>
      </w:r>
      <w:proofErr w:type="spellEnd"/>
      <w:r w:rsidRPr="00C0550C">
        <w:rPr>
          <w:rFonts w:ascii="Times New Roman" w:hAnsi="Times New Roman" w:cs="Times New Roman"/>
          <w:sz w:val="21"/>
          <w:szCs w:val="21"/>
        </w:rPr>
        <w:t xml:space="preserve">. </w:t>
      </w:r>
      <w:proofErr w:type="spellStart"/>
      <w:r w:rsidRPr="00C0550C">
        <w:rPr>
          <w:rFonts w:ascii="Times New Roman" w:hAnsi="Times New Roman" w:cs="Times New Roman"/>
          <w:sz w:val="21"/>
          <w:szCs w:val="21"/>
        </w:rPr>
        <w:t>Norlin</w:t>
      </w:r>
      <w:proofErr w:type="spellEnd"/>
      <w:r w:rsidRPr="00C0550C">
        <w:rPr>
          <w:rFonts w:ascii="Times New Roman" w:hAnsi="Times New Roman" w:cs="Times New Roman"/>
          <w:sz w:val="21"/>
          <w:szCs w:val="21"/>
        </w:rPr>
        <w:t>, G (trans.). 1980. London: Harvard University Press</w:t>
      </w:r>
    </w:p>
    <w:p w14:paraId="49BB7E3E" w14:textId="77777777" w:rsidR="00EF1045" w:rsidRPr="00C0550C" w:rsidRDefault="00EF1045" w:rsidP="00EF1045">
      <w:pPr>
        <w:spacing w:line="360" w:lineRule="auto"/>
        <w:rPr>
          <w:rFonts w:ascii="Times New Roman" w:hAnsi="Times New Roman" w:cs="Times New Roman"/>
          <w:sz w:val="21"/>
          <w:szCs w:val="21"/>
        </w:rPr>
      </w:pPr>
    </w:p>
    <w:p w14:paraId="38E6FF0B"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Herodotus, The Histories. Godley, A. D (trans.). 1920. Cambridge: Harvard University Press</w:t>
      </w:r>
    </w:p>
    <w:p w14:paraId="10D31FC4" w14:textId="77777777" w:rsidR="00EF1045" w:rsidRPr="00C0550C" w:rsidRDefault="00EF1045" w:rsidP="00EF1045">
      <w:pPr>
        <w:spacing w:line="360" w:lineRule="auto"/>
        <w:rPr>
          <w:rFonts w:ascii="Times New Roman" w:hAnsi="Times New Roman" w:cs="Times New Roman"/>
          <w:sz w:val="21"/>
          <w:szCs w:val="21"/>
        </w:rPr>
      </w:pPr>
    </w:p>
    <w:p w14:paraId="0E7662B8"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Hesiod. Theogony. West, M. L (trans.). 1988. Oxford: Oxford University Press</w:t>
      </w:r>
    </w:p>
    <w:p w14:paraId="6EB5EF61" w14:textId="77777777" w:rsidR="00EF1045" w:rsidRPr="00C0550C" w:rsidRDefault="00EF1045" w:rsidP="00EF1045">
      <w:pPr>
        <w:spacing w:line="360" w:lineRule="auto"/>
        <w:rPr>
          <w:rFonts w:ascii="Times New Roman" w:hAnsi="Times New Roman" w:cs="Times New Roman"/>
          <w:sz w:val="21"/>
          <w:szCs w:val="21"/>
        </w:rPr>
      </w:pPr>
    </w:p>
    <w:p w14:paraId="54AD4177"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Homeric Hymn to Demeter. </w:t>
      </w:r>
      <w:proofErr w:type="spellStart"/>
      <w:r w:rsidRPr="00C0550C">
        <w:rPr>
          <w:rFonts w:ascii="Times New Roman" w:hAnsi="Times New Roman" w:cs="Times New Roman"/>
          <w:sz w:val="21"/>
          <w:szCs w:val="21"/>
        </w:rPr>
        <w:t>Cashford</w:t>
      </w:r>
      <w:proofErr w:type="spellEnd"/>
      <w:r w:rsidRPr="00C0550C">
        <w:rPr>
          <w:rFonts w:ascii="Times New Roman" w:hAnsi="Times New Roman" w:cs="Times New Roman"/>
          <w:sz w:val="21"/>
          <w:szCs w:val="21"/>
        </w:rPr>
        <w:t>, J (trans.). 2003. London: Penguin Books</w:t>
      </w:r>
    </w:p>
    <w:p w14:paraId="15B55B5C" w14:textId="77777777" w:rsidR="00EF1045" w:rsidRPr="00C0550C" w:rsidRDefault="00EF1045" w:rsidP="00EF1045">
      <w:pPr>
        <w:spacing w:line="360" w:lineRule="auto"/>
        <w:rPr>
          <w:rFonts w:ascii="Times New Roman" w:hAnsi="Times New Roman" w:cs="Times New Roman"/>
          <w:sz w:val="21"/>
          <w:szCs w:val="21"/>
        </w:rPr>
      </w:pPr>
    </w:p>
    <w:p w14:paraId="697E85D4"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Pausanias. Description of Greece. Jones, W. H. S (trans.). 1918. London: Harvard University Press</w:t>
      </w:r>
    </w:p>
    <w:p w14:paraId="35E0F2B4" w14:textId="77777777" w:rsidR="00EF1045" w:rsidRPr="00C0550C" w:rsidRDefault="00EF1045" w:rsidP="00EF1045">
      <w:pPr>
        <w:spacing w:line="360" w:lineRule="auto"/>
        <w:rPr>
          <w:rFonts w:ascii="Times New Roman" w:hAnsi="Times New Roman" w:cs="Times New Roman"/>
          <w:sz w:val="21"/>
          <w:szCs w:val="21"/>
        </w:rPr>
      </w:pPr>
    </w:p>
    <w:p w14:paraId="11CBB152"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Scholarship</w:t>
      </w:r>
    </w:p>
    <w:p w14:paraId="4E5E46AB" w14:textId="77777777" w:rsidR="00EF1045" w:rsidRPr="00C0550C" w:rsidRDefault="00EF1045" w:rsidP="00EF1045">
      <w:pPr>
        <w:spacing w:line="360" w:lineRule="auto"/>
        <w:rPr>
          <w:rFonts w:ascii="Times New Roman" w:hAnsi="Times New Roman" w:cs="Times New Roman"/>
          <w:sz w:val="21"/>
          <w:szCs w:val="21"/>
        </w:rPr>
      </w:pPr>
    </w:p>
    <w:p w14:paraId="11C9EA96"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Beck, D. (2001) ‘Direct and Indirect Speech in the Homeric “Hymn to Demeter”’, </w:t>
      </w:r>
      <w:r w:rsidRPr="00C0550C">
        <w:rPr>
          <w:rFonts w:ascii="Times New Roman" w:hAnsi="Times New Roman" w:cs="Times New Roman"/>
          <w:i/>
          <w:iCs/>
          <w:sz w:val="21"/>
          <w:szCs w:val="21"/>
        </w:rPr>
        <w:t xml:space="preserve">Transactions of the American Philology Association. </w:t>
      </w:r>
      <w:r w:rsidRPr="00C0550C">
        <w:rPr>
          <w:rFonts w:ascii="Times New Roman" w:hAnsi="Times New Roman" w:cs="Times New Roman"/>
          <w:sz w:val="21"/>
          <w:szCs w:val="21"/>
        </w:rPr>
        <w:t>131 pp. 54-75. The John Hopkins University Press</w:t>
      </w:r>
    </w:p>
    <w:p w14:paraId="0A393584" w14:textId="77777777" w:rsidR="00EF1045" w:rsidRPr="00C0550C" w:rsidRDefault="00EF1045" w:rsidP="00EF1045">
      <w:pPr>
        <w:spacing w:line="360" w:lineRule="auto"/>
        <w:rPr>
          <w:rFonts w:ascii="Times New Roman" w:hAnsi="Times New Roman" w:cs="Times New Roman"/>
          <w:sz w:val="21"/>
          <w:szCs w:val="21"/>
        </w:rPr>
      </w:pPr>
    </w:p>
    <w:p w14:paraId="4FC6C532"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Cosmopoulos, M. B. (2015) </w:t>
      </w:r>
      <w:r w:rsidRPr="00C0550C">
        <w:rPr>
          <w:rFonts w:ascii="Times New Roman" w:hAnsi="Times New Roman" w:cs="Times New Roman"/>
          <w:i/>
          <w:iCs/>
          <w:sz w:val="21"/>
          <w:szCs w:val="21"/>
        </w:rPr>
        <w:t xml:space="preserve">Bronze Age Eleusis and the Origins of The Eleusinian Mysteries. </w:t>
      </w:r>
      <w:r w:rsidRPr="00C0550C">
        <w:rPr>
          <w:rFonts w:ascii="Times New Roman" w:hAnsi="Times New Roman" w:cs="Times New Roman"/>
          <w:sz w:val="21"/>
          <w:szCs w:val="21"/>
        </w:rPr>
        <w:t xml:space="preserve">New York: Cambridge University Press </w:t>
      </w:r>
    </w:p>
    <w:p w14:paraId="1787EA81" w14:textId="77777777" w:rsidR="00EF1045" w:rsidRPr="00C0550C" w:rsidRDefault="00EF1045" w:rsidP="00EF1045">
      <w:pPr>
        <w:spacing w:line="360" w:lineRule="auto"/>
        <w:rPr>
          <w:rFonts w:ascii="Times New Roman" w:hAnsi="Times New Roman" w:cs="Times New Roman"/>
          <w:sz w:val="21"/>
          <w:szCs w:val="21"/>
        </w:rPr>
      </w:pPr>
    </w:p>
    <w:p w14:paraId="543C1A73"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Evans. N. A. (2002) ‘Sanctuaries, Sacrifice and the Eleusinian Mysteries”, </w:t>
      </w:r>
      <w:r w:rsidRPr="00C0550C">
        <w:rPr>
          <w:rFonts w:ascii="Times New Roman" w:hAnsi="Times New Roman" w:cs="Times New Roman"/>
          <w:i/>
          <w:iCs/>
          <w:sz w:val="21"/>
          <w:szCs w:val="21"/>
        </w:rPr>
        <w:t xml:space="preserve">Numen. </w:t>
      </w:r>
      <w:r w:rsidRPr="00C0550C">
        <w:rPr>
          <w:rFonts w:ascii="Times New Roman" w:hAnsi="Times New Roman" w:cs="Times New Roman"/>
          <w:sz w:val="21"/>
          <w:szCs w:val="21"/>
        </w:rPr>
        <w:t>29(3) pp. 227-254. Brill Online</w:t>
      </w:r>
    </w:p>
    <w:p w14:paraId="20CF8179" w14:textId="77777777" w:rsidR="00EF1045" w:rsidRPr="00C0550C" w:rsidRDefault="00EF1045" w:rsidP="00EF1045">
      <w:pPr>
        <w:spacing w:line="360" w:lineRule="auto"/>
        <w:rPr>
          <w:rFonts w:ascii="Times New Roman" w:hAnsi="Times New Roman" w:cs="Times New Roman"/>
          <w:sz w:val="21"/>
          <w:szCs w:val="21"/>
        </w:rPr>
      </w:pPr>
    </w:p>
    <w:p w14:paraId="53A6D4AD"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Foley, H. P. (1994) </w:t>
      </w:r>
      <w:r w:rsidRPr="00C0550C">
        <w:rPr>
          <w:rFonts w:ascii="Times New Roman" w:hAnsi="Times New Roman" w:cs="Times New Roman"/>
          <w:i/>
          <w:iCs/>
          <w:sz w:val="21"/>
          <w:szCs w:val="21"/>
        </w:rPr>
        <w:t xml:space="preserve">The Homeric Hymn to Demeter: Translation, Commentary and Interpretive Essays. </w:t>
      </w:r>
      <w:r w:rsidRPr="00C0550C">
        <w:rPr>
          <w:rFonts w:ascii="Times New Roman" w:hAnsi="Times New Roman" w:cs="Times New Roman"/>
          <w:sz w:val="21"/>
          <w:szCs w:val="21"/>
        </w:rPr>
        <w:t>New Jersey: Princeton University Press</w:t>
      </w:r>
    </w:p>
    <w:p w14:paraId="4239C2E5" w14:textId="77777777" w:rsidR="00EF1045" w:rsidRPr="00C0550C" w:rsidRDefault="00EF1045" w:rsidP="00EF1045">
      <w:pPr>
        <w:spacing w:line="360" w:lineRule="auto"/>
        <w:rPr>
          <w:rFonts w:ascii="Times New Roman" w:hAnsi="Times New Roman" w:cs="Times New Roman"/>
          <w:sz w:val="21"/>
          <w:szCs w:val="21"/>
        </w:rPr>
      </w:pPr>
    </w:p>
    <w:p w14:paraId="3CF6A10F"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Johnston, S. I. (2013) ‘Demeter, Myths and The Polyvalence of Festivals’, </w:t>
      </w:r>
      <w:r w:rsidRPr="00C0550C">
        <w:rPr>
          <w:rFonts w:ascii="Times New Roman" w:hAnsi="Times New Roman" w:cs="Times New Roman"/>
          <w:i/>
          <w:iCs/>
          <w:sz w:val="21"/>
          <w:szCs w:val="21"/>
        </w:rPr>
        <w:t xml:space="preserve">History of Religions. </w:t>
      </w:r>
      <w:r w:rsidRPr="00C0550C">
        <w:rPr>
          <w:rFonts w:ascii="Times New Roman" w:hAnsi="Times New Roman" w:cs="Times New Roman"/>
          <w:sz w:val="21"/>
          <w:szCs w:val="21"/>
        </w:rPr>
        <w:t xml:space="preserve">52(4) pp. 370-401. The University of Chicago Press </w:t>
      </w:r>
    </w:p>
    <w:p w14:paraId="5C8D9C6E" w14:textId="77777777" w:rsidR="00EF1045" w:rsidRPr="00C0550C" w:rsidRDefault="00EF1045" w:rsidP="00EF1045">
      <w:pPr>
        <w:spacing w:line="360" w:lineRule="auto"/>
        <w:rPr>
          <w:rFonts w:ascii="Times New Roman" w:hAnsi="Times New Roman" w:cs="Times New Roman"/>
          <w:sz w:val="21"/>
          <w:szCs w:val="21"/>
        </w:rPr>
      </w:pPr>
    </w:p>
    <w:p w14:paraId="3FB71BF3"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lastRenderedPageBreak/>
        <w:t xml:space="preserve">Keller, M. L. (1988) ‘The Eleusinian Mysteries of Demeter and Persephone: Fertility, Sexuality and Rebirth’, </w:t>
      </w:r>
      <w:r w:rsidRPr="00C0550C">
        <w:rPr>
          <w:rFonts w:ascii="Times New Roman" w:hAnsi="Times New Roman" w:cs="Times New Roman"/>
          <w:i/>
          <w:iCs/>
          <w:sz w:val="21"/>
          <w:szCs w:val="21"/>
        </w:rPr>
        <w:t xml:space="preserve">Journal of Feminist Studies in Religion. </w:t>
      </w:r>
      <w:r w:rsidRPr="00C0550C">
        <w:rPr>
          <w:rFonts w:ascii="Times New Roman" w:hAnsi="Times New Roman" w:cs="Times New Roman"/>
          <w:sz w:val="21"/>
          <w:szCs w:val="21"/>
        </w:rPr>
        <w:t>4(1) pp. 27-54. Indiana University Press</w:t>
      </w:r>
    </w:p>
    <w:p w14:paraId="6EB81A02" w14:textId="77777777" w:rsidR="00EF1045" w:rsidRPr="00C0550C" w:rsidRDefault="00EF1045" w:rsidP="00EF1045">
      <w:pPr>
        <w:spacing w:line="360" w:lineRule="auto"/>
        <w:rPr>
          <w:rFonts w:ascii="Times New Roman" w:hAnsi="Times New Roman" w:cs="Times New Roman"/>
          <w:sz w:val="21"/>
          <w:szCs w:val="21"/>
        </w:rPr>
      </w:pPr>
    </w:p>
    <w:p w14:paraId="27CAABAD" w14:textId="77777777" w:rsidR="00EF1045" w:rsidRPr="00C0550C" w:rsidRDefault="00EF1045" w:rsidP="00EF1045">
      <w:pPr>
        <w:spacing w:line="360" w:lineRule="auto"/>
        <w:rPr>
          <w:rFonts w:ascii="Times New Roman" w:hAnsi="Times New Roman" w:cs="Times New Roman"/>
          <w:sz w:val="21"/>
          <w:szCs w:val="21"/>
        </w:rPr>
      </w:pPr>
      <w:proofErr w:type="spellStart"/>
      <w:r w:rsidRPr="00C0550C">
        <w:rPr>
          <w:rFonts w:ascii="Times New Roman" w:hAnsi="Times New Roman" w:cs="Times New Roman"/>
          <w:sz w:val="21"/>
          <w:szCs w:val="21"/>
        </w:rPr>
        <w:t>Stange</w:t>
      </w:r>
      <w:proofErr w:type="spellEnd"/>
      <w:r w:rsidRPr="00C0550C">
        <w:rPr>
          <w:rFonts w:ascii="Times New Roman" w:hAnsi="Times New Roman" w:cs="Times New Roman"/>
          <w:sz w:val="21"/>
          <w:szCs w:val="21"/>
        </w:rPr>
        <w:t xml:space="preserve">, G. R. (1954) ‘Tennyson’s Mythology A Study of Demeter and Persephone’, </w:t>
      </w:r>
      <w:r w:rsidRPr="00C0550C">
        <w:rPr>
          <w:rFonts w:ascii="Times New Roman" w:hAnsi="Times New Roman" w:cs="Times New Roman"/>
          <w:i/>
          <w:iCs/>
          <w:sz w:val="21"/>
          <w:szCs w:val="21"/>
        </w:rPr>
        <w:t>ELH.</w:t>
      </w:r>
      <w:r w:rsidRPr="00C0550C">
        <w:rPr>
          <w:rFonts w:ascii="Times New Roman" w:hAnsi="Times New Roman" w:cs="Times New Roman"/>
          <w:sz w:val="21"/>
          <w:szCs w:val="21"/>
        </w:rPr>
        <w:t xml:space="preserve"> 21(1) pp. 67-80. The John Hopkins University Press</w:t>
      </w:r>
    </w:p>
    <w:p w14:paraId="2528C385" w14:textId="77777777" w:rsidR="00EF1045" w:rsidRPr="00C0550C" w:rsidRDefault="00EF1045" w:rsidP="00EF1045">
      <w:pPr>
        <w:spacing w:line="360" w:lineRule="auto"/>
        <w:rPr>
          <w:rFonts w:ascii="Times New Roman" w:hAnsi="Times New Roman" w:cs="Times New Roman"/>
          <w:sz w:val="21"/>
          <w:szCs w:val="21"/>
        </w:rPr>
      </w:pPr>
    </w:p>
    <w:p w14:paraId="27E19D95" w14:textId="77777777" w:rsidR="00EF1045" w:rsidRPr="00C0550C" w:rsidRDefault="00EF1045" w:rsidP="00EF1045">
      <w:pPr>
        <w:spacing w:line="360" w:lineRule="auto"/>
        <w:rPr>
          <w:rFonts w:ascii="Times New Roman" w:hAnsi="Times New Roman" w:cs="Times New Roman"/>
          <w:sz w:val="21"/>
          <w:szCs w:val="21"/>
        </w:rPr>
      </w:pPr>
      <w:r w:rsidRPr="00C0550C">
        <w:rPr>
          <w:rFonts w:ascii="Times New Roman" w:hAnsi="Times New Roman" w:cs="Times New Roman"/>
          <w:sz w:val="21"/>
          <w:szCs w:val="21"/>
        </w:rPr>
        <w:t xml:space="preserve">Tennyson, A. (1889) </w:t>
      </w:r>
      <w:r w:rsidRPr="00C0550C">
        <w:rPr>
          <w:rFonts w:ascii="Times New Roman" w:hAnsi="Times New Roman" w:cs="Times New Roman"/>
          <w:i/>
          <w:iCs/>
          <w:sz w:val="21"/>
          <w:szCs w:val="21"/>
        </w:rPr>
        <w:t xml:space="preserve">Demeter and Persephone. </w:t>
      </w:r>
      <w:hyperlink r:id="rId8" w:history="1">
        <w:r w:rsidRPr="00C0550C">
          <w:rPr>
            <w:rStyle w:val="Hyperlink"/>
            <w:rFonts w:ascii="Times New Roman" w:hAnsi="Times New Roman" w:cs="Times New Roman"/>
            <w:i/>
            <w:iCs/>
            <w:sz w:val="21"/>
            <w:szCs w:val="21"/>
          </w:rPr>
          <w:t>https://mediterranees.net/mythes/ceres/index.html</w:t>
        </w:r>
      </w:hyperlink>
      <w:r w:rsidRPr="00C0550C">
        <w:rPr>
          <w:rFonts w:ascii="Times New Roman" w:hAnsi="Times New Roman" w:cs="Times New Roman"/>
          <w:i/>
          <w:iCs/>
          <w:sz w:val="21"/>
          <w:szCs w:val="21"/>
        </w:rPr>
        <w:t xml:space="preserve"> </w:t>
      </w:r>
    </w:p>
    <w:p w14:paraId="156735EC" w14:textId="77777777" w:rsidR="00EF1045" w:rsidRPr="00C0550C" w:rsidRDefault="00EF1045" w:rsidP="00EF1045">
      <w:pPr>
        <w:spacing w:line="360" w:lineRule="auto"/>
        <w:rPr>
          <w:rFonts w:ascii="Times New Roman" w:hAnsi="Times New Roman" w:cs="Times New Roman"/>
          <w:i/>
          <w:iCs/>
          <w:sz w:val="21"/>
          <w:szCs w:val="21"/>
        </w:rPr>
      </w:pPr>
    </w:p>
    <w:p w14:paraId="338C5B94" w14:textId="77777777" w:rsidR="00EF1045" w:rsidRPr="00C0550C" w:rsidRDefault="00EF1045" w:rsidP="00EF1045">
      <w:pPr>
        <w:spacing w:line="360" w:lineRule="auto"/>
        <w:rPr>
          <w:rFonts w:ascii="Times New Roman" w:hAnsi="Times New Roman" w:cs="Times New Roman"/>
          <w:i/>
          <w:iCs/>
          <w:sz w:val="21"/>
          <w:szCs w:val="21"/>
        </w:rPr>
      </w:pPr>
    </w:p>
    <w:p w14:paraId="20E0F220" w14:textId="3DA9DF3A" w:rsidR="00D53039" w:rsidRPr="00F35398" w:rsidRDefault="00D53039" w:rsidP="000D02A9">
      <w:pPr>
        <w:spacing w:line="360" w:lineRule="auto"/>
        <w:rPr>
          <w:rFonts w:ascii="Times New Roman" w:hAnsi="Times New Roman" w:cs="Times New Roman"/>
          <w:sz w:val="28"/>
          <w:szCs w:val="28"/>
        </w:rPr>
      </w:pPr>
    </w:p>
    <w:p w14:paraId="38E58E36" w14:textId="598D74CC" w:rsidR="00D53039" w:rsidRPr="00F35398" w:rsidRDefault="00D53039" w:rsidP="000D02A9">
      <w:pPr>
        <w:spacing w:line="360" w:lineRule="auto"/>
        <w:rPr>
          <w:rFonts w:ascii="Times New Roman" w:hAnsi="Times New Roman" w:cs="Times New Roman"/>
          <w:sz w:val="28"/>
          <w:szCs w:val="28"/>
        </w:rPr>
      </w:pPr>
    </w:p>
    <w:p w14:paraId="22C6A561" w14:textId="39C349F6" w:rsidR="00D53039" w:rsidRPr="00F35398" w:rsidRDefault="00D53039" w:rsidP="000D02A9">
      <w:pPr>
        <w:spacing w:line="360" w:lineRule="auto"/>
        <w:rPr>
          <w:rFonts w:ascii="Times New Roman" w:hAnsi="Times New Roman" w:cs="Times New Roman"/>
          <w:sz w:val="28"/>
          <w:szCs w:val="28"/>
        </w:rPr>
      </w:pPr>
    </w:p>
    <w:p w14:paraId="13F94666" w14:textId="5D0E7D56" w:rsidR="00D53039" w:rsidRPr="00F35398" w:rsidRDefault="00D53039" w:rsidP="000D02A9">
      <w:pPr>
        <w:spacing w:line="360" w:lineRule="auto"/>
        <w:rPr>
          <w:rFonts w:ascii="Times New Roman" w:hAnsi="Times New Roman" w:cs="Times New Roman"/>
          <w:sz w:val="28"/>
          <w:szCs w:val="28"/>
        </w:rPr>
      </w:pPr>
    </w:p>
    <w:p w14:paraId="0FEB349F" w14:textId="4D4E6C36" w:rsidR="00D53039" w:rsidRPr="00F35398" w:rsidRDefault="00D53039" w:rsidP="000D02A9">
      <w:pPr>
        <w:spacing w:line="360" w:lineRule="auto"/>
        <w:rPr>
          <w:rFonts w:ascii="Times New Roman" w:hAnsi="Times New Roman" w:cs="Times New Roman"/>
          <w:sz w:val="28"/>
          <w:szCs w:val="28"/>
        </w:rPr>
      </w:pPr>
    </w:p>
    <w:p w14:paraId="549A3326" w14:textId="3AA92959" w:rsidR="00D53039" w:rsidRPr="00F35398" w:rsidRDefault="00D53039" w:rsidP="000D02A9">
      <w:pPr>
        <w:spacing w:line="360" w:lineRule="auto"/>
        <w:rPr>
          <w:rFonts w:ascii="Times New Roman" w:hAnsi="Times New Roman" w:cs="Times New Roman"/>
          <w:sz w:val="28"/>
          <w:szCs w:val="28"/>
        </w:rPr>
      </w:pPr>
    </w:p>
    <w:p w14:paraId="06A40E6E" w14:textId="5ECA564B" w:rsidR="00D53039" w:rsidRPr="00F35398" w:rsidRDefault="00D53039" w:rsidP="000D02A9">
      <w:pPr>
        <w:spacing w:line="360" w:lineRule="auto"/>
        <w:rPr>
          <w:rFonts w:ascii="Times New Roman" w:hAnsi="Times New Roman" w:cs="Times New Roman"/>
          <w:sz w:val="28"/>
          <w:szCs w:val="28"/>
        </w:rPr>
      </w:pPr>
    </w:p>
    <w:p w14:paraId="3A5176F1" w14:textId="77777777" w:rsidR="00D53039" w:rsidRPr="00F35398" w:rsidRDefault="00D53039" w:rsidP="000D02A9">
      <w:pPr>
        <w:spacing w:line="360" w:lineRule="auto"/>
        <w:rPr>
          <w:rFonts w:ascii="Times New Roman" w:hAnsi="Times New Roman" w:cs="Times New Roman"/>
        </w:rPr>
      </w:pPr>
    </w:p>
    <w:p w14:paraId="62CEEA17" w14:textId="36F7511E" w:rsidR="00D53039" w:rsidRPr="00F35398" w:rsidRDefault="00D53039" w:rsidP="000D02A9">
      <w:pPr>
        <w:spacing w:line="360" w:lineRule="auto"/>
        <w:rPr>
          <w:rFonts w:ascii="Times New Roman" w:hAnsi="Times New Roman" w:cs="Times New Roman"/>
        </w:rPr>
      </w:pPr>
    </w:p>
    <w:p w14:paraId="48EFC0CB" w14:textId="77777777" w:rsidR="00D53039" w:rsidRPr="00F35398" w:rsidRDefault="00D53039" w:rsidP="000D02A9">
      <w:pPr>
        <w:spacing w:line="360" w:lineRule="auto"/>
        <w:rPr>
          <w:rFonts w:ascii="Times New Roman" w:hAnsi="Times New Roman" w:cs="Times New Roman"/>
        </w:rPr>
      </w:pPr>
    </w:p>
    <w:p w14:paraId="443E54D3" w14:textId="77777777" w:rsidR="00D53039" w:rsidRPr="00D53039" w:rsidRDefault="00D53039">
      <w:pPr>
        <w:rPr>
          <w:rFonts w:ascii="Times New Roman" w:hAnsi="Times New Roman" w:cs="Times New Roman"/>
        </w:rPr>
      </w:pPr>
    </w:p>
    <w:sectPr w:rsidR="00D53039" w:rsidRPr="00D53039" w:rsidSect="00C9430C">
      <w:headerReference w:type="even" r:id="rId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9AD5F" w14:textId="77777777" w:rsidR="004E4AB9" w:rsidRDefault="004E4AB9" w:rsidP="00D53039">
      <w:r>
        <w:separator/>
      </w:r>
    </w:p>
  </w:endnote>
  <w:endnote w:type="continuationSeparator" w:id="0">
    <w:p w14:paraId="782BF8E7" w14:textId="77777777" w:rsidR="004E4AB9" w:rsidRDefault="004E4AB9" w:rsidP="00D530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99F4F9" w14:textId="77777777" w:rsidR="004E4AB9" w:rsidRDefault="004E4AB9" w:rsidP="00D53039">
      <w:r>
        <w:separator/>
      </w:r>
    </w:p>
  </w:footnote>
  <w:footnote w:type="continuationSeparator" w:id="0">
    <w:p w14:paraId="2327848F" w14:textId="77777777" w:rsidR="004E4AB9" w:rsidRDefault="004E4AB9" w:rsidP="00D53039">
      <w:r>
        <w:continuationSeparator/>
      </w:r>
    </w:p>
  </w:footnote>
  <w:footnote w:id="1">
    <w:p w14:paraId="16EA702F"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Isoc</w:t>
      </w:r>
      <w:proofErr w:type="spellEnd"/>
      <w:r w:rsidRPr="00F35398">
        <w:rPr>
          <w:rFonts w:ascii="Times New Roman" w:hAnsi="Times New Roman" w:cs="Times New Roman"/>
          <w:sz w:val="18"/>
          <w:szCs w:val="18"/>
        </w:rPr>
        <w:t>. 4. 28; Cosmopoulos, 2015: 14</w:t>
      </w:r>
    </w:p>
  </w:footnote>
  <w:footnote w:id="2">
    <w:p w14:paraId="668FAE81" w14:textId="5355E579" w:rsidR="007F5733" w:rsidRPr="00F35398" w:rsidRDefault="007F5733">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Dem 3. 5</w:t>
      </w:r>
      <w:r w:rsidR="00F35398" w:rsidRPr="00F35398">
        <w:rPr>
          <w:rFonts w:ascii="Times New Roman" w:hAnsi="Times New Roman" w:cs="Times New Roman"/>
          <w:sz w:val="18"/>
          <w:szCs w:val="18"/>
        </w:rPr>
        <w:t xml:space="preserve">; </w:t>
      </w:r>
      <w:proofErr w:type="spellStart"/>
      <w:r w:rsidR="00F35398" w:rsidRPr="00F35398">
        <w:rPr>
          <w:rFonts w:ascii="Times New Roman" w:hAnsi="Times New Roman" w:cs="Times New Roman"/>
          <w:sz w:val="18"/>
          <w:szCs w:val="18"/>
        </w:rPr>
        <w:t>Hdt</w:t>
      </w:r>
      <w:proofErr w:type="spellEnd"/>
      <w:r w:rsidR="00F35398" w:rsidRPr="00F35398">
        <w:rPr>
          <w:rFonts w:ascii="Times New Roman" w:hAnsi="Times New Roman" w:cs="Times New Roman"/>
          <w:sz w:val="18"/>
          <w:szCs w:val="18"/>
        </w:rPr>
        <w:t xml:space="preserve"> 8. 65. 4</w:t>
      </w:r>
    </w:p>
  </w:footnote>
  <w:footnote w:id="3">
    <w:p w14:paraId="6C21B002"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Cosmopoulos, 2015: 7</w:t>
      </w:r>
    </w:p>
  </w:footnote>
  <w:footnote w:id="4">
    <w:p w14:paraId="636A24F3"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Cosmopoulos, 2015: 9</w:t>
      </w:r>
    </w:p>
  </w:footnote>
  <w:footnote w:id="5">
    <w:p w14:paraId="7A187197"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Foley, 1996: 153</w:t>
      </w:r>
    </w:p>
  </w:footnote>
  <w:footnote w:id="6">
    <w:p w14:paraId="25408736" w14:textId="77777777" w:rsidR="00F35398" w:rsidRPr="00F35398" w:rsidRDefault="00F35398" w:rsidP="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Foley, 1995: 29</w:t>
      </w:r>
    </w:p>
  </w:footnote>
  <w:footnote w:id="7">
    <w:p w14:paraId="378FEA2D"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w:t>
      </w:r>
    </w:p>
  </w:footnote>
  <w:footnote w:id="8">
    <w:p w14:paraId="1535A11C" w14:textId="3B412B20"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Hdt</w:t>
      </w:r>
      <w:proofErr w:type="spellEnd"/>
      <w:r w:rsidRPr="00F35398">
        <w:rPr>
          <w:rFonts w:ascii="Times New Roman" w:hAnsi="Times New Roman" w:cs="Times New Roman"/>
          <w:sz w:val="18"/>
          <w:szCs w:val="18"/>
        </w:rPr>
        <w:t xml:space="preserve"> 8. 65. 4; Keller, 1988: 50</w:t>
      </w:r>
    </w:p>
  </w:footnote>
  <w:footnote w:id="9">
    <w:p w14:paraId="7376802D" w14:textId="77777777" w:rsidR="007F5733" w:rsidRPr="00F35398" w:rsidRDefault="007F5733" w:rsidP="007F5733">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40-90</w:t>
      </w:r>
    </w:p>
  </w:footnote>
  <w:footnote w:id="10">
    <w:p w14:paraId="24203A5B" w14:textId="77777777" w:rsidR="007F5733" w:rsidRPr="00F35398" w:rsidRDefault="007F5733" w:rsidP="007F5733">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Dem. 3. 5</w:t>
      </w:r>
    </w:p>
  </w:footnote>
  <w:footnote w:id="11">
    <w:p w14:paraId="03DE3EF6" w14:textId="0C94FDAE" w:rsidR="00D53039" w:rsidRPr="00F35398" w:rsidRDefault="00D53039">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Hes</w:t>
      </w:r>
      <w:proofErr w:type="spellEnd"/>
      <w:r w:rsidRPr="00F35398">
        <w:rPr>
          <w:rFonts w:ascii="Times New Roman" w:hAnsi="Times New Roman" w:cs="Times New Roman"/>
          <w:sz w:val="18"/>
          <w:szCs w:val="18"/>
        </w:rPr>
        <w:t>. The. 913-914</w:t>
      </w:r>
    </w:p>
  </w:footnote>
  <w:footnote w:id="12">
    <w:p w14:paraId="7238AA6D" w14:textId="58DAFFC6" w:rsidR="000D02A9" w:rsidRPr="00F35398" w:rsidRDefault="000D02A9">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Cosmopo</w:t>
      </w:r>
      <w:r w:rsidR="007F5733" w:rsidRPr="00F35398">
        <w:rPr>
          <w:rFonts w:ascii="Times New Roman" w:hAnsi="Times New Roman" w:cs="Times New Roman"/>
          <w:sz w:val="18"/>
          <w:szCs w:val="18"/>
        </w:rPr>
        <w:t>u</w:t>
      </w:r>
      <w:r w:rsidRPr="00F35398">
        <w:rPr>
          <w:rFonts w:ascii="Times New Roman" w:hAnsi="Times New Roman" w:cs="Times New Roman"/>
          <w:sz w:val="18"/>
          <w:szCs w:val="18"/>
        </w:rPr>
        <w:t>los, 2015: 1</w:t>
      </w:r>
    </w:p>
  </w:footnote>
  <w:footnote w:id="13">
    <w:p w14:paraId="48958551"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482</w:t>
      </w:r>
    </w:p>
  </w:footnote>
  <w:footnote w:id="14">
    <w:p w14:paraId="2B285FBA" w14:textId="77777777" w:rsidR="00F35398" w:rsidRDefault="00F35398" w:rsidP="00F35398">
      <w:pPr>
        <w:pStyle w:val="FootnoteText"/>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w:t>
      </w:r>
    </w:p>
  </w:footnote>
  <w:footnote w:id="15">
    <w:p w14:paraId="46ED1A3E"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Keller, 1988: 50</w:t>
      </w:r>
    </w:p>
  </w:footnote>
  <w:footnote w:id="16">
    <w:p w14:paraId="6162AA4A" w14:textId="00AA368A" w:rsidR="00F35398" w:rsidRDefault="00F35398">
      <w:pPr>
        <w:pStyle w:val="FootnoteText"/>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Hdt</w:t>
      </w:r>
      <w:proofErr w:type="spellEnd"/>
      <w:r w:rsidRPr="00F35398">
        <w:rPr>
          <w:rFonts w:ascii="Times New Roman" w:hAnsi="Times New Roman" w:cs="Times New Roman"/>
          <w:sz w:val="18"/>
          <w:szCs w:val="18"/>
        </w:rPr>
        <w:t>. 8. 65. 4</w:t>
      </w:r>
    </w:p>
  </w:footnote>
  <w:footnote w:id="17">
    <w:p w14:paraId="111494CB"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Hdt</w:t>
      </w:r>
      <w:proofErr w:type="spellEnd"/>
      <w:r w:rsidRPr="00F35398">
        <w:rPr>
          <w:rFonts w:ascii="Times New Roman" w:hAnsi="Times New Roman" w:cs="Times New Roman"/>
          <w:sz w:val="18"/>
          <w:szCs w:val="18"/>
        </w:rPr>
        <w:t>. 8. 65. 2</w:t>
      </w:r>
    </w:p>
  </w:footnote>
  <w:footnote w:id="18">
    <w:p w14:paraId="392408DC" w14:textId="12A5CEB3"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300</w:t>
      </w:r>
    </w:p>
  </w:footnote>
  <w:footnote w:id="19">
    <w:p w14:paraId="395C7EA6" w14:textId="77777777" w:rsidR="00F35398" w:rsidRPr="00F35398" w:rsidRDefault="00F35398" w:rsidP="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Foley, 1994: 30</w:t>
      </w:r>
    </w:p>
  </w:footnote>
  <w:footnote w:id="20">
    <w:p w14:paraId="6CBA2720" w14:textId="20B4BB29"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475-480</w:t>
      </w:r>
    </w:p>
  </w:footnote>
  <w:footnote w:id="21">
    <w:p w14:paraId="52729D69" w14:textId="682078D7"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Parker, 1991: 9</w:t>
      </w:r>
    </w:p>
  </w:footnote>
  <w:footnote w:id="22">
    <w:p w14:paraId="7F59BA8E" w14:textId="17F3E52B"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1-3</w:t>
      </w:r>
    </w:p>
  </w:footnote>
  <w:footnote w:id="23">
    <w:p w14:paraId="41CD8985" w14:textId="5FCD6D29"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359</w:t>
      </w:r>
    </w:p>
  </w:footnote>
  <w:footnote w:id="24">
    <w:p w14:paraId="78388FCA" w14:textId="4AF0BEA1"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Isoc</w:t>
      </w:r>
      <w:proofErr w:type="spellEnd"/>
      <w:r w:rsidRPr="00F35398">
        <w:rPr>
          <w:rFonts w:ascii="Times New Roman" w:hAnsi="Times New Roman" w:cs="Times New Roman"/>
          <w:sz w:val="18"/>
          <w:szCs w:val="18"/>
        </w:rPr>
        <w:t>. 4. 28</w:t>
      </w:r>
    </w:p>
  </w:footnote>
  <w:footnote w:id="25">
    <w:p w14:paraId="72747B0A" w14:textId="0EA43FE8" w:rsidR="00F35398" w:rsidRPr="00F35398" w:rsidRDefault="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Cosmopoulos, 2015: 1</w:t>
      </w:r>
    </w:p>
  </w:footnote>
  <w:footnote w:id="26">
    <w:p w14:paraId="3C21087B" w14:textId="3CE4EDE1" w:rsidR="00F35398" w:rsidRPr="00F35398" w:rsidRDefault="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Johnston, 2013: 378</w:t>
      </w:r>
    </w:p>
  </w:footnote>
  <w:footnote w:id="27">
    <w:p w14:paraId="178BE22E" w14:textId="77777777" w:rsidR="00F35398" w:rsidRPr="00F35398" w:rsidRDefault="00F35398" w:rsidP="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240</w:t>
      </w:r>
    </w:p>
  </w:footnote>
  <w:footnote w:id="28">
    <w:p w14:paraId="6C70CA63" w14:textId="77777777" w:rsidR="00F35398" w:rsidRPr="00F35398" w:rsidRDefault="00F35398" w:rsidP="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Evans, 2002: 242</w:t>
      </w:r>
    </w:p>
  </w:footnote>
  <w:footnote w:id="29">
    <w:p w14:paraId="1F3F0B92" w14:textId="2EB057E7" w:rsidR="007F5733" w:rsidRPr="00F35398" w:rsidRDefault="007F5733">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Keller, 1988: 29</w:t>
      </w:r>
    </w:p>
  </w:footnote>
  <w:footnote w:id="30">
    <w:p w14:paraId="057233D1" w14:textId="713CDE39" w:rsidR="007F5733" w:rsidRPr="00F35398" w:rsidRDefault="007F5733">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Keller, 1988: 48</w:t>
      </w:r>
    </w:p>
  </w:footnote>
  <w:footnote w:id="31">
    <w:p w14:paraId="37187F34" w14:textId="64A32B0C"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157</w:t>
      </w:r>
    </w:p>
  </w:footnote>
  <w:footnote w:id="32">
    <w:p w14:paraId="75DF667F" w14:textId="436E2C1E" w:rsidR="00F35398" w:rsidRPr="00F35398" w:rsidRDefault="00F35398">
      <w:pPr>
        <w:pStyle w:val="FootnoteText"/>
        <w:rPr>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200</w:t>
      </w:r>
    </w:p>
  </w:footnote>
  <w:footnote w:id="33">
    <w:p w14:paraId="70B63185" w14:textId="666ADB05"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w:t>
      </w:r>
      <w:r w:rsidRPr="00F35398">
        <w:rPr>
          <w:rFonts w:ascii="Times New Roman" w:hAnsi="Times New Roman" w:cs="Times New Roman"/>
          <w:color w:val="000007"/>
          <w:sz w:val="18"/>
          <w:szCs w:val="18"/>
        </w:rPr>
        <w:t>Johnston, 2013: 381</w:t>
      </w:r>
    </w:p>
  </w:footnote>
  <w:footnote w:id="34">
    <w:p w14:paraId="5B339F3A" w14:textId="0C354576"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Johnston, 2013: 378</w:t>
      </w:r>
    </w:p>
  </w:footnote>
  <w:footnote w:id="35">
    <w:p w14:paraId="23F2C594" w14:textId="5C0E5F6B" w:rsidR="00F35398" w:rsidRPr="00F35398" w:rsidRDefault="00F35398">
      <w:pPr>
        <w:pStyle w:val="FootnoteText"/>
        <w:rPr>
          <w:rFonts w:ascii="Times New Roman" w:hAnsi="Times New Roman" w:cs="Times New Roman"/>
          <w:sz w:val="18"/>
          <w:szCs w:val="18"/>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HH 2. 210</w:t>
      </w:r>
    </w:p>
  </w:footnote>
  <w:footnote w:id="36">
    <w:p w14:paraId="2CBB9622" w14:textId="51629CD5" w:rsidR="00F35398" w:rsidRPr="00F35398" w:rsidRDefault="00F35398">
      <w:pPr>
        <w:pStyle w:val="FootnoteText"/>
        <w:rPr>
          <w:rFonts w:ascii="Times New Roman" w:hAnsi="Times New Roman" w:cs="Times New Roman"/>
        </w:rPr>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Parker, 1991: 8</w:t>
      </w:r>
    </w:p>
  </w:footnote>
  <w:footnote w:id="37">
    <w:p w14:paraId="41DCF864" w14:textId="0D33027E" w:rsidR="00F35398" w:rsidRPr="00F35398" w:rsidRDefault="00F35398">
      <w:pPr>
        <w:pStyle w:val="FootnoteText"/>
      </w:pPr>
      <w:r w:rsidRPr="00F35398">
        <w:rPr>
          <w:rStyle w:val="FootnoteReference"/>
          <w:rFonts w:ascii="Times New Roman" w:hAnsi="Times New Roman" w:cs="Times New Roman"/>
          <w:sz w:val="18"/>
          <w:szCs w:val="18"/>
        </w:rPr>
        <w:footnoteRef/>
      </w:r>
      <w:r w:rsidRPr="00F35398">
        <w:rPr>
          <w:rFonts w:ascii="Times New Roman" w:hAnsi="Times New Roman" w:cs="Times New Roman"/>
          <w:sz w:val="18"/>
          <w:szCs w:val="18"/>
        </w:rPr>
        <w:t xml:space="preserve"> Tennyson, </w:t>
      </w:r>
      <w:r w:rsidRPr="00F35398">
        <w:rPr>
          <w:rFonts w:ascii="Times New Roman" w:hAnsi="Times New Roman" w:cs="Times New Roman"/>
          <w:i/>
          <w:iCs/>
          <w:sz w:val="18"/>
          <w:szCs w:val="18"/>
        </w:rPr>
        <w:t>Demeter and Persephone</w:t>
      </w:r>
      <w:r w:rsidRPr="00F35398">
        <w:rPr>
          <w:rFonts w:ascii="Times New Roman" w:hAnsi="Times New Roman" w:cs="Times New Roman"/>
          <w:sz w:val="18"/>
          <w:szCs w:val="18"/>
        </w:rPr>
        <w:t xml:space="preserve">; </w:t>
      </w:r>
      <w:proofErr w:type="spellStart"/>
      <w:r w:rsidRPr="00F35398">
        <w:rPr>
          <w:rFonts w:ascii="Times New Roman" w:hAnsi="Times New Roman" w:cs="Times New Roman"/>
          <w:sz w:val="18"/>
          <w:szCs w:val="18"/>
        </w:rPr>
        <w:t>Stange</w:t>
      </w:r>
      <w:proofErr w:type="spellEnd"/>
      <w:r w:rsidRPr="00F35398">
        <w:rPr>
          <w:rFonts w:ascii="Times New Roman" w:hAnsi="Times New Roman" w:cs="Times New Roman"/>
          <w:sz w:val="18"/>
          <w:szCs w:val="18"/>
        </w:rPr>
        <w:t>, 1954:69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018272"/>
      <w:docPartObj>
        <w:docPartGallery w:val="Page Numbers (Top of Page)"/>
        <w:docPartUnique/>
      </w:docPartObj>
    </w:sdtPr>
    <w:sdtEndPr>
      <w:rPr>
        <w:rStyle w:val="PageNumber"/>
      </w:rPr>
    </w:sdtEndPr>
    <w:sdtContent>
      <w:p w14:paraId="78F843C3" w14:textId="7F97E3CE" w:rsidR="00D53039" w:rsidRDefault="00D53039" w:rsidP="004B389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E966E8" w14:textId="77777777" w:rsidR="00D53039" w:rsidRDefault="00D53039" w:rsidP="00D5303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imes New Roman" w:hAnsi="Times New Roman" w:cs="Times New Roman"/>
      </w:rPr>
      <w:id w:val="-345409546"/>
      <w:docPartObj>
        <w:docPartGallery w:val="Page Numbers (Top of Page)"/>
        <w:docPartUnique/>
      </w:docPartObj>
    </w:sdtPr>
    <w:sdtEndPr>
      <w:rPr>
        <w:rStyle w:val="PageNumber"/>
      </w:rPr>
    </w:sdtEndPr>
    <w:sdtContent>
      <w:p w14:paraId="26C2C944" w14:textId="51AE1869" w:rsidR="00D53039" w:rsidRPr="00D53039" w:rsidRDefault="00D53039" w:rsidP="004B3898">
        <w:pPr>
          <w:pStyle w:val="Header"/>
          <w:framePr w:wrap="none" w:vAnchor="text" w:hAnchor="margin" w:xAlign="right" w:y="1"/>
          <w:rPr>
            <w:rStyle w:val="PageNumber"/>
            <w:rFonts w:ascii="Times New Roman" w:hAnsi="Times New Roman" w:cs="Times New Roman"/>
          </w:rPr>
        </w:pPr>
        <w:r w:rsidRPr="00D53039">
          <w:rPr>
            <w:rStyle w:val="PageNumber"/>
            <w:rFonts w:ascii="Times New Roman" w:hAnsi="Times New Roman" w:cs="Times New Roman"/>
          </w:rPr>
          <w:fldChar w:fldCharType="begin"/>
        </w:r>
        <w:r w:rsidRPr="00D53039">
          <w:rPr>
            <w:rStyle w:val="PageNumber"/>
            <w:rFonts w:ascii="Times New Roman" w:hAnsi="Times New Roman" w:cs="Times New Roman"/>
          </w:rPr>
          <w:instrText xml:space="preserve"> PAGE </w:instrText>
        </w:r>
        <w:r w:rsidRPr="00D53039">
          <w:rPr>
            <w:rStyle w:val="PageNumber"/>
            <w:rFonts w:ascii="Times New Roman" w:hAnsi="Times New Roman" w:cs="Times New Roman"/>
          </w:rPr>
          <w:fldChar w:fldCharType="separate"/>
        </w:r>
        <w:r w:rsidRPr="00D53039">
          <w:rPr>
            <w:rStyle w:val="PageNumber"/>
            <w:rFonts w:ascii="Times New Roman" w:hAnsi="Times New Roman" w:cs="Times New Roman"/>
            <w:noProof/>
          </w:rPr>
          <w:t>1</w:t>
        </w:r>
        <w:r w:rsidRPr="00D53039">
          <w:rPr>
            <w:rStyle w:val="PageNumber"/>
            <w:rFonts w:ascii="Times New Roman" w:hAnsi="Times New Roman" w:cs="Times New Roman"/>
          </w:rPr>
          <w:fldChar w:fldCharType="end"/>
        </w:r>
      </w:p>
    </w:sdtContent>
  </w:sdt>
  <w:p w14:paraId="132DE34E" w14:textId="789A50DD" w:rsidR="00D53039" w:rsidRDefault="00D53039" w:rsidP="00D53039">
    <w:pPr>
      <w:pStyle w:val="Header"/>
      <w:ind w:right="360"/>
      <w:rPr>
        <w:rFonts w:ascii="Times New Roman" w:hAnsi="Times New Roman" w:cs="Times New Roman"/>
      </w:rPr>
    </w:pPr>
    <w:r w:rsidRPr="00D53039">
      <w:rPr>
        <w:rFonts w:ascii="Times New Roman" w:hAnsi="Times New Roman" w:cs="Times New Roman"/>
      </w:rPr>
      <w:t>Feryn Walmsley 1901540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0B6108"/>
    <w:multiLevelType w:val="multilevel"/>
    <w:tmpl w:val="5B58B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477"/>
    <w:rsid w:val="000D02A9"/>
    <w:rsid w:val="000E6D7B"/>
    <w:rsid w:val="002C51A8"/>
    <w:rsid w:val="004E4AB9"/>
    <w:rsid w:val="00607444"/>
    <w:rsid w:val="006A2477"/>
    <w:rsid w:val="007F5733"/>
    <w:rsid w:val="008F17CE"/>
    <w:rsid w:val="00B84EEB"/>
    <w:rsid w:val="00C52AEA"/>
    <w:rsid w:val="00C9430C"/>
    <w:rsid w:val="00D53039"/>
    <w:rsid w:val="00EF1045"/>
    <w:rsid w:val="00F35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F68193"/>
  <w15:chartTrackingRefBased/>
  <w15:docId w15:val="{AD07763C-6DC7-9249-8B4B-6FF6226BC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2477"/>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53039"/>
    <w:pPr>
      <w:tabs>
        <w:tab w:val="center" w:pos="4513"/>
        <w:tab w:val="right" w:pos="9026"/>
      </w:tabs>
    </w:pPr>
  </w:style>
  <w:style w:type="character" w:customStyle="1" w:styleId="HeaderChar">
    <w:name w:val="Header Char"/>
    <w:basedOn w:val="DefaultParagraphFont"/>
    <w:link w:val="Header"/>
    <w:uiPriority w:val="99"/>
    <w:rsid w:val="00D53039"/>
  </w:style>
  <w:style w:type="paragraph" w:styleId="Footer">
    <w:name w:val="footer"/>
    <w:basedOn w:val="Normal"/>
    <w:link w:val="FooterChar"/>
    <w:uiPriority w:val="99"/>
    <w:unhideWhenUsed/>
    <w:rsid w:val="00D53039"/>
    <w:pPr>
      <w:tabs>
        <w:tab w:val="center" w:pos="4513"/>
        <w:tab w:val="right" w:pos="9026"/>
      </w:tabs>
    </w:pPr>
  </w:style>
  <w:style w:type="character" w:customStyle="1" w:styleId="FooterChar">
    <w:name w:val="Footer Char"/>
    <w:basedOn w:val="DefaultParagraphFont"/>
    <w:link w:val="Footer"/>
    <w:uiPriority w:val="99"/>
    <w:rsid w:val="00D53039"/>
  </w:style>
  <w:style w:type="character" w:styleId="PageNumber">
    <w:name w:val="page number"/>
    <w:basedOn w:val="DefaultParagraphFont"/>
    <w:uiPriority w:val="99"/>
    <w:semiHidden/>
    <w:unhideWhenUsed/>
    <w:rsid w:val="00D53039"/>
  </w:style>
  <w:style w:type="character" w:styleId="Hyperlink">
    <w:name w:val="Hyperlink"/>
    <w:basedOn w:val="DefaultParagraphFont"/>
    <w:uiPriority w:val="99"/>
    <w:unhideWhenUsed/>
    <w:rsid w:val="00D53039"/>
    <w:rPr>
      <w:color w:val="0000FF"/>
      <w:u w:val="single"/>
    </w:rPr>
  </w:style>
  <w:style w:type="character" w:styleId="UnresolvedMention">
    <w:name w:val="Unresolved Mention"/>
    <w:basedOn w:val="DefaultParagraphFont"/>
    <w:uiPriority w:val="99"/>
    <w:semiHidden/>
    <w:unhideWhenUsed/>
    <w:rsid w:val="00D53039"/>
    <w:rPr>
      <w:color w:val="605E5C"/>
      <w:shd w:val="clear" w:color="auto" w:fill="E1DFDD"/>
    </w:rPr>
  </w:style>
  <w:style w:type="paragraph" w:styleId="FootnoteText">
    <w:name w:val="footnote text"/>
    <w:basedOn w:val="Normal"/>
    <w:link w:val="FootnoteTextChar"/>
    <w:uiPriority w:val="99"/>
    <w:semiHidden/>
    <w:unhideWhenUsed/>
    <w:rsid w:val="00D53039"/>
    <w:rPr>
      <w:sz w:val="20"/>
      <w:szCs w:val="20"/>
    </w:rPr>
  </w:style>
  <w:style w:type="character" w:customStyle="1" w:styleId="FootnoteTextChar">
    <w:name w:val="Footnote Text Char"/>
    <w:basedOn w:val="DefaultParagraphFont"/>
    <w:link w:val="FootnoteText"/>
    <w:uiPriority w:val="99"/>
    <w:semiHidden/>
    <w:rsid w:val="00D53039"/>
    <w:rPr>
      <w:sz w:val="20"/>
      <w:szCs w:val="20"/>
    </w:rPr>
  </w:style>
  <w:style w:type="character" w:styleId="FootnoteReference">
    <w:name w:val="footnote reference"/>
    <w:basedOn w:val="DefaultParagraphFont"/>
    <w:uiPriority w:val="99"/>
    <w:semiHidden/>
    <w:unhideWhenUsed/>
    <w:rsid w:val="00D53039"/>
    <w:rPr>
      <w:vertAlign w:val="superscript"/>
    </w:rPr>
  </w:style>
  <w:style w:type="paragraph" w:styleId="EndnoteText">
    <w:name w:val="endnote text"/>
    <w:basedOn w:val="Normal"/>
    <w:link w:val="EndnoteTextChar"/>
    <w:uiPriority w:val="99"/>
    <w:semiHidden/>
    <w:unhideWhenUsed/>
    <w:rsid w:val="000D02A9"/>
    <w:rPr>
      <w:sz w:val="20"/>
      <w:szCs w:val="20"/>
    </w:rPr>
  </w:style>
  <w:style w:type="character" w:customStyle="1" w:styleId="EndnoteTextChar">
    <w:name w:val="Endnote Text Char"/>
    <w:basedOn w:val="DefaultParagraphFont"/>
    <w:link w:val="EndnoteText"/>
    <w:uiPriority w:val="99"/>
    <w:semiHidden/>
    <w:rsid w:val="000D02A9"/>
    <w:rPr>
      <w:sz w:val="20"/>
      <w:szCs w:val="20"/>
    </w:rPr>
  </w:style>
  <w:style w:type="character" w:styleId="EndnoteReference">
    <w:name w:val="endnote reference"/>
    <w:basedOn w:val="DefaultParagraphFont"/>
    <w:uiPriority w:val="99"/>
    <w:semiHidden/>
    <w:unhideWhenUsed/>
    <w:rsid w:val="000D02A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3891676">
      <w:bodyDiv w:val="1"/>
      <w:marLeft w:val="0"/>
      <w:marRight w:val="0"/>
      <w:marTop w:val="0"/>
      <w:marBottom w:val="0"/>
      <w:divBdr>
        <w:top w:val="none" w:sz="0" w:space="0" w:color="auto"/>
        <w:left w:val="none" w:sz="0" w:space="0" w:color="auto"/>
        <w:bottom w:val="none" w:sz="0" w:space="0" w:color="auto"/>
        <w:right w:val="none" w:sz="0" w:space="0" w:color="auto"/>
      </w:divBdr>
    </w:div>
    <w:div w:id="516620977">
      <w:bodyDiv w:val="1"/>
      <w:marLeft w:val="0"/>
      <w:marRight w:val="0"/>
      <w:marTop w:val="0"/>
      <w:marBottom w:val="0"/>
      <w:divBdr>
        <w:top w:val="none" w:sz="0" w:space="0" w:color="auto"/>
        <w:left w:val="none" w:sz="0" w:space="0" w:color="auto"/>
        <w:bottom w:val="none" w:sz="0" w:space="0" w:color="auto"/>
        <w:right w:val="none" w:sz="0" w:space="0" w:color="auto"/>
      </w:divBdr>
      <w:divsChild>
        <w:div w:id="1798331993">
          <w:marLeft w:val="0"/>
          <w:marRight w:val="0"/>
          <w:marTop w:val="0"/>
          <w:marBottom w:val="0"/>
          <w:divBdr>
            <w:top w:val="none" w:sz="0" w:space="0" w:color="auto"/>
            <w:left w:val="none" w:sz="0" w:space="0" w:color="auto"/>
            <w:bottom w:val="none" w:sz="0" w:space="0" w:color="auto"/>
            <w:right w:val="none" w:sz="0" w:space="0" w:color="auto"/>
          </w:divBdr>
          <w:divsChild>
            <w:div w:id="687412475">
              <w:marLeft w:val="0"/>
              <w:marRight w:val="0"/>
              <w:marTop w:val="0"/>
              <w:marBottom w:val="0"/>
              <w:divBdr>
                <w:top w:val="none" w:sz="0" w:space="0" w:color="auto"/>
                <w:left w:val="none" w:sz="0" w:space="0" w:color="auto"/>
                <w:bottom w:val="none" w:sz="0" w:space="0" w:color="auto"/>
                <w:right w:val="none" w:sz="0" w:space="0" w:color="auto"/>
              </w:divBdr>
              <w:divsChild>
                <w:div w:id="109231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138090">
      <w:bodyDiv w:val="1"/>
      <w:marLeft w:val="0"/>
      <w:marRight w:val="0"/>
      <w:marTop w:val="0"/>
      <w:marBottom w:val="0"/>
      <w:divBdr>
        <w:top w:val="none" w:sz="0" w:space="0" w:color="auto"/>
        <w:left w:val="none" w:sz="0" w:space="0" w:color="auto"/>
        <w:bottom w:val="none" w:sz="0" w:space="0" w:color="auto"/>
        <w:right w:val="none" w:sz="0" w:space="0" w:color="auto"/>
      </w:divBdr>
      <w:divsChild>
        <w:div w:id="1441877322">
          <w:marLeft w:val="0"/>
          <w:marRight w:val="0"/>
          <w:marTop w:val="0"/>
          <w:marBottom w:val="0"/>
          <w:divBdr>
            <w:top w:val="none" w:sz="0" w:space="0" w:color="auto"/>
            <w:left w:val="none" w:sz="0" w:space="0" w:color="auto"/>
            <w:bottom w:val="none" w:sz="0" w:space="0" w:color="auto"/>
            <w:right w:val="none" w:sz="0" w:space="0" w:color="auto"/>
          </w:divBdr>
          <w:divsChild>
            <w:div w:id="926770439">
              <w:marLeft w:val="0"/>
              <w:marRight w:val="0"/>
              <w:marTop w:val="0"/>
              <w:marBottom w:val="0"/>
              <w:divBdr>
                <w:top w:val="none" w:sz="0" w:space="0" w:color="auto"/>
                <w:left w:val="none" w:sz="0" w:space="0" w:color="auto"/>
                <w:bottom w:val="none" w:sz="0" w:space="0" w:color="auto"/>
                <w:right w:val="none" w:sz="0" w:space="0" w:color="auto"/>
              </w:divBdr>
              <w:divsChild>
                <w:div w:id="134443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141239">
      <w:bodyDiv w:val="1"/>
      <w:marLeft w:val="0"/>
      <w:marRight w:val="0"/>
      <w:marTop w:val="0"/>
      <w:marBottom w:val="0"/>
      <w:divBdr>
        <w:top w:val="none" w:sz="0" w:space="0" w:color="auto"/>
        <w:left w:val="none" w:sz="0" w:space="0" w:color="auto"/>
        <w:bottom w:val="none" w:sz="0" w:space="0" w:color="auto"/>
        <w:right w:val="none" w:sz="0" w:space="0" w:color="auto"/>
      </w:divBdr>
    </w:div>
    <w:div w:id="1906257648">
      <w:bodyDiv w:val="1"/>
      <w:marLeft w:val="0"/>
      <w:marRight w:val="0"/>
      <w:marTop w:val="0"/>
      <w:marBottom w:val="0"/>
      <w:divBdr>
        <w:top w:val="none" w:sz="0" w:space="0" w:color="auto"/>
        <w:left w:val="none" w:sz="0" w:space="0" w:color="auto"/>
        <w:bottom w:val="none" w:sz="0" w:space="0" w:color="auto"/>
        <w:right w:val="none" w:sz="0" w:space="0" w:color="auto"/>
      </w:divBdr>
      <w:divsChild>
        <w:div w:id="495805340">
          <w:marLeft w:val="0"/>
          <w:marRight w:val="0"/>
          <w:marTop w:val="0"/>
          <w:marBottom w:val="0"/>
          <w:divBdr>
            <w:top w:val="none" w:sz="0" w:space="0" w:color="auto"/>
            <w:left w:val="none" w:sz="0" w:space="0" w:color="auto"/>
            <w:bottom w:val="none" w:sz="0" w:space="0" w:color="auto"/>
            <w:right w:val="none" w:sz="0" w:space="0" w:color="auto"/>
          </w:divBdr>
          <w:divsChild>
            <w:div w:id="314837901">
              <w:marLeft w:val="0"/>
              <w:marRight w:val="0"/>
              <w:marTop w:val="0"/>
              <w:marBottom w:val="0"/>
              <w:divBdr>
                <w:top w:val="none" w:sz="0" w:space="0" w:color="auto"/>
                <w:left w:val="none" w:sz="0" w:space="0" w:color="auto"/>
                <w:bottom w:val="none" w:sz="0" w:space="0" w:color="auto"/>
                <w:right w:val="none" w:sz="0" w:space="0" w:color="auto"/>
              </w:divBdr>
              <w:divsChild>
                <w:div w:id="12401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terranees.net/mythes/ceres/index.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A0D6C9-5796-5D49-B945-E17E5F052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2944</Words>
  <Characters>13928</Characters>
  <Application>Microsoft Office Word</Application>
  <DocSecurity>0</DocSecurity>
  <Lines>207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2</cp:revision>
  <dcterms:created xsi:type="dcterms:W3CDTF">2021-01-31T18:42:00Z</dcterms:created>
  <dcterms:modified xsi:type="dcterms:W3CDTF">2021-01-31T18:42:00Z</dcterms:modified>
</cp:coreProperties>
</file>