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E4EC6D" w14:textId="77777777" w:rsidR="00456378" w:rsidRDefault="00456378" w:rsidP="00456378">
      <w:pPr>
        <w:jc w:val="center"/>
        <w:rPr>
          <w:rFonts w:ascii="Arial" w:hAnsi="Arial" w:cs="Arial"/>
          <w:sz w:val="22"/>
          <w:szCs w:val="22"/>
        </w:rPr>
      </w:pPr>
    </w:p>
    <w:p w14:paraId="5B7381B3" w14:textId="77777777" w:rsidR="00456378" w:rsidRDefault="00456378" w:rsidP="00456378">
      <w:pPr>
        <w:jc w:val="center"/>
        <w:rPr>
          <w:rFonts w:ascii="Arial" w:hAnsi="Arial" w:cs="Arial"/>
          <w:sz w:val="22"/>
          <w:szCs w:val="22"/>
        </w:rPr>
      </w:pPr>
    </w:p>
    <w:p w14:paraId="331D6C81" w14:textId="77777777" w:rsidR="00456378" w:rsidRDefault="00456378" w:rsidP="00456378">
      <w:pPr>
        <w:jc w:val="center"/>
        <w:rPr>
          <w:rFonts w:ascii="Arial" w:hAnsi="Arial" w:cs="Arial"/>
          <w:sz w:val="22"/>
          <w:szCs w:val="22"/>
        </w:rPr>
      </w:pPr>
    </w:p>
    <w:p w14:paraId="714E44EF" w14:textId="1D69D59C" w:rsidR="00C56DF7" w:rsidRDefault="00456378" w:rsidP="00456378">
      <w:pPr>
        <w:jc w:val="center"/>
        <w:rPr>
          <w:rFonts w:ascii="Arial" w:hAnsi="Arial" w:cs="Arial"/>
          <w:sz w:val="22"/>
          <w:szCs w:val="22"/>
        </w:rPr>
      </w:pPr>
      <w:r>
        <w:rPr>
          <w:rFonts w:ascii="Arial" w:hAnsi="Arial" w:cs="Arial"/>
          <w:sz w:val="22"/>
          <w:szCs w:val="22"/>
        </w:rPr>
        <w:t>Jade Bennett</w:t>
      </w:r>
      <w:r w:rsidR="00EC50D1">
        <w:rPr>
          <w:rFonts w:ascii="Arial" w:hAnsi="Arial" w:cs="Arial"/>
          <w:sz w:val="22"/>
          <w:szCs w:val="22"/>
        </w:rPr>
        <w:t>.</w:t>
      </w:r>
    </w:p>
    <w:p w14:paraId="68A3DD3A" w14:textId="05B8CBA9" w:rsidR="00456378" w:rsidRDefault="00456378" w:rsidP="00456378">
      <w:pPr>
        <w:jc w:val="center"/>
        <w:rPr>
          <w:rFonts w:ascii="Arial" w:hAnsi="Arial" w:cs="Arial"/>
          <w:sz w:val="22"/>
          <w:szCs w:val="22"/>
        </w:rPr>
      </w:pPr>
      <w:r>
        <w:rPr>
          <w:rFonts w:ascii="Arial" w:hAnsi="Arial" w:cs="Arial"/>
          <w:sz w:val="22"/>
          <w:szCs w:val="22"/>
        </w:rPr>
        <w:t>Student Number: 2432523</w:t>
      </w:r>
      <w:r w:rsidR="00EC50D1">
        <w:rPr>
          <w:rFonts w:ascii="Arial" w:hAnsi="Arial" w:cs="Arial"/>
          <w:sz w:val="22"/>
          <w:szCs w:val="22"/>
        </w:rPr>
        <w:t>.</w:t>
      </w:r>
    </w:p>
    <w:p w14:paraId="0E177575" w14:textId="501DC8E3" w:rsidR="00422B0E" w:rsidRDefault="006701D1" w:rsidP="00456378">
      <w:pPr>
        <w:jc w:val="center"/>
        <w:rPr>
          <w:rFonts w:ascii="Arial" w:hAnsi="Arial" w:cs="Arial"/>
          <w:sz w:val="22"/>
          <w:szCs w:val="22"/>
        </w:rPr>
      </w:pPr>
      <w:r>
        <w:rPr>
          <w:rFonts w:ascii="Arial" w:hAnsi="Arial" w:cs="Arial"/>
          <w:sz w:val="22"/>
          <w:szCs w:val="22"/>
        </w:rPr>
        <w:t>Psychology in health and social care.</w:t>
      </w:r>
    </w:p>
    <w:p w14:paraId="09D06DE4" w14:textId="234413D0" w:rsidR="006701D1" w:rsidRDefault="006701D1" w:rsidP="006701D1">
      <w:pPr>
        <w:jc w:val="center"/>
        <w:rPr>
          <w:rFonts w:ascii="Arial" w:hAnsi="Arial" w:cs="Arial"/>
          <w:sz w:val="22"/>
          <w:szCs w:val="22"/>
        </w:rPr>
      </w:pPr>
      <w:r>
        <w:rPr>
          <w:rFonts w:ascii="Arial" w:hAnsi="Arial" w:cs="Arial"/>
          <w:sz w:val="22"/>
          <w:szCs w:val="22"/>
        </w:rPr>
        <w:t>Module code: LCHS40</w:t>
      </w:r>
      <w:r w:rsidR="008B1690">
        <w:rPr>
          <w:rFonts w:ascii="Arial" w:hAnsi="Arial" w:cs="Arial"/>
          <w:sz w:val="22"/>
          <w:szCs w:val="22"/>
        </w:rPr>
        <w:t>10</w:t>
      </w:r>
      <w:r w:rsidR="00EC50D1">
        <w:rPr>
          <w:rFonts w:ascii="Arial" w:hAnsi="Arial" w:cs="Arial"/>
          <w:sz w:val="22"/>
          <w:szCs w:val="22"/>
        </w:rPr>
        <w:t>.</w:t>
      </w:r>
    </w:p>
    <w:p w14:paraId="0AC45D1F" w14:textId="2B02BE1C" w:rsidR="008B1690" w:rsidRDefault="008B1690" w:rsidP="006701D1">
      <w:pPr>
        <w:jc w:val="center"/>
        <w:rPr>
          <w:rFonts w:ascii="Arial" w:hAnsi="Arial" w:cs="Arial"/>
          <w:sz w:val="22"/>
          <w:szCs w:val="22"/>
        </w:rPr>
      </w:pPr>
      <w:r>
        <w:rPr>
          <w:rFonts w:ascii="Arial" w:hAnsi="Arial" w:cs="Arial"/>
          <w:sz w:val="22"/>
          <w:szCs w:val="22"/>
        </w:rPr>
        <w:t>Lecturer name: Helen Parsons</w:t>
      </w:r>
      <w:r w:rsidR="00EC50D1">
        <w:rPr>
          <w:rFonts w:ascii="Arial" w:hAnsi="Arial" w:cs="Arial"/>
          <w:sz w:val="22"/>
          <w:szCs w:val="22"/>
        </w:rPr>
        <w:t>.</w:t>
      </w:r>
    </w:p>
    <w:p w14:paraId="771A6900" w14:textId="250B3C21" w:rsidR="00EC50D1" w:rsidRDefault="00EC50D1" w:rsidP="006701D1">
      <w:pPr>
        <w:jc w:val="center"/>
        <w:rPr>
          <w:rFonts w:ascii="Arial" w:hAnsi="Arial" w:cs="Arial"/>
          <w:sz w:val="22"/>
          <w:szCs w:val="22"/>
        </w:rPr>
      </w:pPr>
      <w:r>
        <w:rPr>
          <w:rFonts w:ascii="Arial" w:hAnsi="Arial" w:cs="Arial"/>
          <w:sz w:val="22"/>
          <w:szCs w:val="22"/>
        </w:rPr>
        <w:t xml:space="preserve">Assessment 2 bibliography </w:t>
      </w:r>
      <w:r w:rsidR="009656BF">
        <w:rPr>
          <w:rFonts w:ascii="Arial" w:hAnsi="Arial" w:cs="Arial"/>
          <w:sz w:val="22"/>
          <w:szCs w:val="22"/>
        </w:rPr>
        <w:t>&amp; report.</w:t>
      </w:r>
    </w:p>
    <w:p w14:paraId="38AA1FC9" w14:textId="77777777" w:rsidR="009656BF" w:rsidRDefault="009656BF" w:rsidP="006701D1">
      <w:pPr>
        <w:jc w:val="center"/>
        <w:rPr>
          <w:rFonts w:ascii="Arial" w:hAnsi="Arial" w:cs="Arial"/>
          <w:sz w:val="22"/>
          <w:szCs w:val="22"/>
        </w:rPr>
      </w:pPr>
    </w:p>
    <w:p w14:paraId="7CAE0AD0" w14:textId="77777777" w:rsidR="00456378" w:rsidRDefault="00456378" w:rsidP="00456378">
      <w:pPr>
        <w:jc w:val="center"/>
        <w:rPr>
          <w:rFonts w:ascii="Arial" w:hAnsi="Arial" w:cs="Arial"/>
          <w:sz w:val="22"/>
          <w:szCs w:val="22"/>
        </w:rPr>
      </w:pPr>
    </w:p>
    <w:p w14:paraId="61F5C606" w14:textId="77777777" w:rsidR="00456378" w:rsidRDefault="00456378" w:rsidP="00456378">
      <w:pPr>
        <w:jc w:val="center"/>
        <w:rPr>
          <w:rFonts w:ascii="Arial" w:hAnsi="Arial" w:cs="Arial"/>
          <w:sz w:val="22"/>
          <w:szCs w:val="22"/>
        </w:rPr>
      </w:pPr>
    </w:p>
    <w:p w14:paraId="11B85BB9" w14:textId="77777777" w:rsidR="00456378" w:rsidRDefault="00456378" w:rsidP="00456378">
      <w:pPr>
        <w:jc w:val="center"/>
        <w:rPr>
          <w:rFonts w:ascii="Arial" w:hAnsi="Arial" w:cs="Arial"/>
          <w:sz w:val="22"/>
          <w:szCs w:val="22"/>
        </w:rPr>
      </w:pPr>
    </w:p>
    <w:p w14:paraId="64060C26" w14:textId="77777777" w:rsidR="00456378" w:rsidRDefault="00456378" w:rsidP="00456378">
      <w:pPr>
        <w:jc w:val="center"/>
        <w:rPr>
          <w:rFonts w:ascii="Arial" w:hAnsi="Arial" w:cs="Arial"/>
          <w:sz w:val="22"/>
          <w:szCs w:val="22"/>
        </w:rPr>
      </w:pPr>
    </w:p>
    <w:p w14:paraId="26BA841F" w14:textId="77777777" w:rsidR="00456378" w:rsidRDefault="00456378" w:rsidP="00456378">
      <w:pPr>
        <w:jc w:val="center"/>
        <w:rPr>
          <w:rFonts w:ascii="Arial" w:hAnsi="Arial" w:cs="Arial"/>
          <w:sz w:val="22"/>
          <w:szCs w:val="22"/>
        </w:rPr>
      </w:pPr>
    </w:p>
    <w:p w14:paraId="1F0676D2" w14:textId="77777777" w:rsidR="00456378" w:rsidRDefault="00456378" w:rsidP="00456378">
      <w:pPr>
        <w:jc w:val="center"/>
        <w:rPr>
          <w:rFonts w:ascii="Arial" w:hAnsi="Arial" w:cs="Arial"/>
          <w:sz w:val="22"/>
          <w:szCs w:val="22"/>
        </w:rPr>
      </w:pPr>
    </w:p>
    <w:p w14:paraId="36B0F461" w14:textId="77777777" w:rsidR="00456378" w:rsidRDefault="00456378" w:rsidP="00456378">
      <w:pPr>
        <w:jc w:val="center"/>
        <w:rPr>
          <w:rFonts w:ascii="Arial" w:hAnsi="Arial" w:cs="Arial"/>
          <w:sz w:val="22"/>
          <w:szCs w:val="22"/>
        </w:rPr>
      </w:pPr>
    </w:p>
    <w:p w14:paraId="26BCB0F2" w14:textId="77777777" w:rsidR="00456378" w:rsidRDefault="00456378" w:rsidP="00456378">
      <w:pPr>
        <w:jc w:val="center"/>
        <w:rPr>
          <w:rFonts w:ascii="Arial" w:hAnsi="Arial" w:cs="Arial"/>
          <w:sz w:val="22"/>
          <w:szCs w:val="22"/>
        </w:rPr>
      </w:pPr>
    </w:p>
    <w:p w14:paraId="4D93A03A" w14:textId="77777777" w:rsidR="00456378" w:rsidRDefault="00456378" w:rsidP="00456378">
      <w:pPr>
        <w:jc w:val="center"/>
        <w:rPr>
          <w:rFonts w:ascii="Arial" w:hAnsi="Arial" w:cs="Arial"/>
          <w:sz w:val="22"/>
          <w:szCs w:val="22"/>
        </w:rPr>
      </w:pPr>
    </w:p>
    <w:p w14:paraId="698D6991" w14:textId="77777777" w:rsidR="00456378" w:rsidRDefault="00456378" w:rsidP="00456378">
      <w:pPr>
        <w:jc w:val="center"/>
        <w:rPr>
          <w:rFonts w:ascii="Arial" w:hAnsi="Arial" w:cs="Arial"/>
          <w:sz w:val="22"/>
          <w:szCs w:val="22"/>
        </w:rPr>
      </w:pPr>
    </w:p>
    <w:p w14:paraId="38205883" w14:textId="77777777" w:rsidR="00456378" w:rsidRDefault="00456378" w:rsidP="00456378">
      <w:pPr>
        <w:jc w:val="center"/>
        <w:rPr>
          <w:rFonts w:ascii="Arial" w:hAnsi="Arial" w:cs="Arial"/>
          <w:sz w:val="22"/>
          <w:szCs w:val="22"/>
        </w:rPr>
      </w:pPr>
    </w:p>
    <w:p w14:paraId="605B6DB8" w14:textId="77777777" w:rsidR="00456378" w:rsidRDefault="00456378" w:rsidP="00456378">
      <w:pPr>
        <w:jc w:val="center"/>
        <w:rPr>
          <w:rFonts w:ascii="Arial" w:hAnsi="Arial" w:cs="Arial"/>
          <w:sz w:val="22"/>
          <w:szCs w:val="22"/>
        </w:rPr>
      </w:pPr>
    </w:p>
    <w:p w14:paraId="77E2A569" w14:textId="77777777" w:rsidR="00456378" w:rsidRDefault="00456378" w:rsidP="00456378">
      <w:pPr>
        <w:jc w:val="center"/>
        <w:rPr>
          <w:rFonts w:ascii="Arial" w:hAnsi="Arial" w:cs="Arial"/>
          <w:sz w:val="22"/>
          <w:szCs w:val="22"/>
        </w:rPr>
      </w:pPr>
    </w:p>
    <w:p w14:paraId="4500E611" w14:textId="77777777" w:rsidR="00456378" w:rsidRDefault="00456378" w:rsidP="00456378">
      <w:pPr>
        <w:jc w:val="center"/>
        <w:rPr>
          <w:rFonts w:ascii="Arial" w:hAnsi="Arial" w:cs="Arial"/>
          <w:sz w:val="22"/>
          <w:szCs w:val="22"/>
        </w:rPr>
      </w:pPr>
    </w:p>
    <w:p w14:paraId="29ADF63D" w14:textId="77777777" w:rsidR="00456378" w:rsidRDefault="00456378" w:rsidP="00456378">
      <w:pPr>
        <w:jc w:val="center"/>
        <w:rPr>
          <w:rFonts w:ascii="Arial" w:hAnsi="Arial" w:cs="Arial"/>
          <w:sz w:val="22"/>
          <w:szCs w:val="22"/>
        </w:rPr>
      </w:pPr>
    </w:p>
    <w:p w14:paraId="6759E486" w14:textId="77777777" w:rsidR="00456378" w:rsidRDefault="00456378" w:rsidP="00456378">
      <w:pPr>
        <w:jc w:val="center"/>
        <w:rPr>
          <w:rFonts w:ascii="Arial" w:hAnsi="Arial" w:cs="Arial"/>
          <w:sz w:val="22"/>
          <w:szCs w:val="22"/>
        </w:rPr>
      </w:pPr>
    </w:p>
    <w:p w14:paraId="7C3E6CDA" w14:textId="77777777" w:rsidR="00456378" w:rsidRDefault="00456378" w:rsidP="00456378">
      <w:pPr>
        <w:jc w:val="center"/>
        <w:rPr>
          <w:rFonts w:ascii="Arial" w:hAnsi="Arial" w:cs="Arial"/>
          <w:sz w:val="22"/>
          <w:szCs w:val="22"/>
        </w:rPr>
      </w:pPr>
    </w:p>
    <w:p w14:paraId="75F426E8" w14:textId="77777777" w:rsidR="00456378" w:rsidRDefault="00456378" w:rsidP="00456378">
      <w:pPr>
        <w:jc w:val="center"/>
        <w:rPr>
          <w:rFonts w:ascii="Arial" w:hAnsi="Arial" w:cs="Arial"/>
          <w:sz w:val="22"/>
          <w:szCs w:val="22"/>
        </w:rPr>
      </w:pPr>
    </w:p>
    <w:p w14:paraId="476BBDA7" w14:textId="77777777" w:rsidR="00456378" w:rsidRDefault="00456378" w:rsidP="00456378">
      <w:pPr>
        <w:jc w:val="center"/>
        <w:rPr>
          <w:rFonts w:ascii="Arial" w:hAnsi="Arial" w:cs="Arial"/>
          <w:sz w:val="22"/>
          <w:szCs w:val="22"/>
        </w:rPr>
      </w:pPr>
    </w:p>
    <w:p w14:paraId="38C46C14" w14:textId="77777777" w:rsidR="00456378" w:rsidRDefault="00456378" w:rsidP="00456378">
      <w:pPr>
        <w:jc w:val="center"/>
        <w:rPr>
          <w:rFonts w:ascii="Arial" w:hAnsi="Arial" w:cs="Arial"/>
          <w:sz w:val="22"/>
          <w:szCs w:val="22"/>
        </w:rPr>
      </w:pPr>
    </w:p>
    <w:p w14:paraId="74E09443" w14:textId="77777777" w:rsidR="00456378" w:rsidRDefault="00456378" w:rsidP="00456378">
      <w:pPr>
        <w:jc w:val="center"/>
        <w:rPr>
          <w:rFonts w:ascii="Arial" w:hAnsi="Arial" w:cs="Arial"/>
          <w:sz w:val="22"/>
          <w:szCs w:val="22"/>
        </w:rPr>
      </w:pPr>
    </w:p>
    <w:p w14:paraId="58B77D25" w14:textId="77777777" w:rsidR="00456378" w:rsidRDefault="00456378" w:rsidP="00456378">
      <w:pPr>
        <w:jc w:val="center"/>
        <w:rPr>
          <w:rFonts w:ascii="Arial" w:hAnsi="Arial" w:cs="Arial"/>
          <w:sz w:val="22"/>
          <w:szCs w:val="22"/>
        </w:rPr>
      </w:pPr>
    </w:p>
    <w:p w14:paraId="104EF89D" w14:textId="77777777" w:rsidR="00456378" w:rsidRDefault="00456378" w:rsidP="00456378">
      <w:pPr>
        <w:jc w:val="center"/>
        <w:rPr>
          <w:rFonts w:ascii="Arial" w:hAnsi="Arial" w:cs="Arial"/>
          <w:sz w:val="22"/>
          <w:szCs w:val="22"/>
        </w:rPr>
      </w:pPr>
    </w:p>
    <w:p w14:paraId="7B3A9A8B" w14:textId="77777777" w:rsidR="00456378" w:rsidRDefault="00456378" w:rsidP="00456378">
      <w:pPr>
        <w:jc w:val="center"/>
        <w:rPr>
          <w:rFonts w:ascii="Arial" w:hAnsi="Arial" w:cs="Arial"/>
          <w:sz w:val="22"/>
          <w:szCs w:val="22"/>
        </w:rPr>
      </w:pPr>
    </w:p>
    <w:p w14:paraId="117634E0" w14:textId="421C68D7" w:rsidR="00456378" w:rsidRDefault="00456378" w:rsidP="00456378">
      <w:pPr>
        <w:rPr>
          <w:rFonts w:ascii="Arial" w:hAnsi="Arial" w:cs="Arial"/>
          <w:sz w:val="22"/>
          <w:szCs w:val="22"/>
        </w:rPr>
      </w:pPr>
    </w:p>
    <w:p w14:paraId="225A3F8A" w14:textId="77777777" w:rsidR="00456378" w:rsidRDefault="00456378" w:rsidP="00456378">
      <w:pPr>
        <w:rPr>
          <w:rFonts w:ascii="Arial" w:hAnsi="Arial" w:cs="Arial"/>
          <w:sz w:val="22"/>
          <w:szCs w:val="22"/>
        </w:rPr>
      </w:pPr>
    </w:p>
    <w:p w14:paraId="0747CC7B" w14:textId="4B199A85" w:rsidR="00456378" w:rsidRDefault="00456378" w:rsidP="00456378">
      <w:pPr>
        <w:spacing w:line="360" w:lineRule="auto"/>
        <w:rPr>
          <w:rFonts w:ascii="Arial" w:hAnsi="Arial" w:cs="Arial"/>
          <w:sz w:val="22"/>
          <w:szCs w:val="22"/>
          <w:u w:val="single"/>
        </w:rPr>
      </w:pPr>
      <w:r w:rsidRPr="00456378">
        <w:rPr>
          <w:rFonts w:ascii="Arial" w:hAnsi="Arial" w:cs="Arial"/>
          <w:sz w:val="22"/>
          <w:szCs w:val="22"/>
          <w:u w:val="single"/>
        </w:rPr>
        <w:t>Introduction</w:t>
      </w:r>
      <w:r>
        <w:rPr>
          <w:rFonts w:ascii="Arial" w:hAnsi="Arial" w:cs="Arial"/>
          <w:sz w:val="22"/>
          <w:szCs w:val="22"/>
          <w:u w:val="single"/>
        </w:rPr>
        <w:t>.</w:t>
      </w:r>
    </w:p>
    <w:p w14:paraId="152C334C" w14:textId="1AA7C328" w:rsidR="00456378" w:rsidRDefault="00456378" w:rsidP="00456378">
      <w:pPr>
        <w:spacing w:line="360" w:lineRule="auto"/>
        <w:rPr>
          <w:rFonts w:ascii="Arial" w:hAnsi="Arial" w:cs="Arial"/>
          <w:sz w:val="22"/>
          <w:szCs w:val="22"/>
        </w:rPr>
      </w:pPr>
      <w:r>
        <w:rPr>
          <w:rFonts w:ascii="Arial" w:hAnsi="Arial" w:cs="Arial"/>
          <w:sz w:val="22"/>
          <w:szCs w:val="22"/>
        </w:rPr>
        <w:t>Psychological theories of adult development help explain how individuals experience ageing and maintain well-being. In health and social care, theses theories support practitioners in understanding older adults emotional, social and psychological needs. This annotated bibliography examines key theory, Bowlby’s attachment theory, and positive psychology, and considers their relevance to supporting older adults in care settings.</w:t>
      </w:r>
    </w:p>
    <w:p w14:paraId="7CF0125A" w14:textId="27E303E8" w:rsidR="00456378" w:rsidRDefault="00456378" w:rsidP="00456378">
      <w:pPr>
        <w:spacing w:line="360" w:lineRule="auto"/>
        <w:rPr>
          <w:rFonts w:ascii="Arial" w:hAnsi="Arial" w:cs="Arial"/>
          <w:sz w:val="22"/>
          <w:szCs w:val="22"/>
          <w:u w:val="single"/>
        </w:rPr>
      </w:pPr>
      <w:r>
        <w:rPr>
          <w:rFonts w:ascii="Arial" w:hAnsi="Arial" w:cs="Arial"/>
          <w:sz w:val="22"/>
          <w:szCs w:val="22"/>
          <w:u w:val="single"/>
        </w:rPr>
        <w:t>Annotated Bibliography.</w:t>
      </w:r>
    </w:p>
    <w:p w14:paraId="1937CE08" w14:textId="5F733AED" w:rsidR="00456378" w:rsidRPr="00BD39FA" w:rsidRDefault="00BD39FA" w:rsidP="00456378">
      <w:pPr>
        <w:spacing w:line="360" w:lineRule="auto"/>
        <w:rPr>
          <w:rFonts w:ascii="Arial" w:hAnsi="Arial" w:cs="Arial"/>
          <w:sz w:val="22"/>
          <w:szCs w:val="22"/>
          <w:u w:val="single"/>
        </w:rPr>
      </w:pPr>
      <w:r w:rsidRPr="00BD39FA">
        <w:rPr>
          <w:rFonts w:ascii="Arial" w:hAnsi="Arial" w:cs="Arial"/>
          <w:sz w:val="22"/>
          <w:szCs w:val="22"/>
          <w:u w:val="single"/>
        </w:rPr>
        <w:t>Source 1</w:t>
      </w:r>
    </w:p>
    <w:p w14:paraId="76D78DF2" w14:textId="1E7270E7" w:rsidR="00BD39FA" w:rsidRPr="00BD39FA" w:rsidRDefault="00BD39FA" w:rsidP="00456378">
      <w:pPr>
        <w:spacing w:line="360" w:lineRule="auto"/>
        <w:rPr>
          <w:rFonts w:ascii="Arial" w:hAnsi="Arial" w:cs="Arial"/>
          <w:sz w:val="22"/>
          <w:szCs w:val="22"/>
        </w:rPr>
      </w:pPr>
      <w:r w:rsidRPr="00BD39FA">
        <w:rPr>
          <w:rFonts w:ascii="Arial" w:hAnsi="Arial" w:cs="Arial"/>
          <w:sz w:val="22"/>
          <w:szCs w:val="22"/>
        </w:rPr>
        <w:t>Malone, J.C et al. (2016) – Erikson’s Psychosocial Theory.</w:t>
      </w:r>
    </w:p>
    <w:p w14:paraId="75CDF202" w14:textId="6989C000" w:rsidR="00BD39FA" w:rsidRDefault="00BD39FA" w:rsidP="00456378">
      <w:pPr>
        <w:spacing w:line="360" w:lineRule="auto"/>
        <w:rPr>
          <w:rFonts w:ascii="Arial" w:hAnsi="Arial" w:cs="Arial"/>
          <w:sz w:val="22"/>
          <w:szCs w:val="22"/>
        </w:rPr>
      </w:pPr>
      <w:r w:rsidRPr="00BD39FA">
        <w:rPr>
          <w:rFonts w:ascii="Arial" w:hAnsi="Arial" w:cs="Arial"/>
          <w:sz w:val="22"/>
          <w:szCs w:val="22"/>
        </w:rPr>
        <w:t xml:space="preserve">Malone, J.C., Liu, S.R., Vaillant, G.E., Rentz, D.M. and Waldinger, R.J. (2016) ‘Midlife </w:t>
      </w:r>
      <w:proofErr w:type="spellStart"/>
      <w:r w:rsidRPr="00BD39FA">
        <w:rPr>
          <w:rFonts w:ascii="Arial" w:hAnsi="Arial" w:cs="Arial"/>
          <w:sz w:val="22"/>
          <w:szCs w:val="22"/>
        </w:rPr>
        <w:t>Eriksonian</w:t>
      </w:r>
      <w:proofErr w:type="spellEnd"/>
      <w:r w:rsidRPr="00BD39FA">
        <w:rPr>
          <w:rFonts w:ascii="Arial" w:hAnsi="Arial" w:cs="Arial"/>
          <w:sz w:val="22"/>
          <w:szCs w:val="22"/>
        </w:rPr>
        <w:t xml:space="preserve"> psychosocial development: Setting the stage for cognitive and emotional health in late life; Developmental psychology, 52(3), pp.496-508.</w:t>
      </w:r>
    </w:p>
    <w:p w14:paraId="78DCE8C1" w14:textId="7035F4F9" w:rsidR="00BD39FA" w:rsidRDefault="00BD39FA" w:rsidP="00456378">
      <w:pPr>
        <w:spacing w:line="360" w:lineRule="auto"/>
        <w:rPr>
          <w:rFonts w:ascii="Arial" w:hAnsi="Arial" w:cs="Arial"/>
          <w:sz w:val="22"/>
          <w:szCs w:val="22"/>
          <w:u w:val="single"/>
        </w:rPr>
      </w:pPr>
      <w:r w:rsidRPr="00BD39FA">
        <w:rPr>
          <w:rFonts w:ascii="Arial" w:hAnsi="Arial" w:cs="Arial"/>
          <w:sz w:val="22"/>
          <w:szCs w:val="22"/>
          <w:u w:val="single"/>
        </w:rPr>
        <w:t>Summary:</w:t>
      </w:r>
    </w:p>
    <w:p w14:paraId="6E3E3B0A" w14:textId="21BA1DFF" w:rsidR="00BD39FA" w:rsidRDefault="00BD39FA" w:rsidP="00456378">
      <w:pPr>
        <w:spacing w:line="360" w:lineRule="auto"/>
        <w:rPr>
          <w:rFonts w:ascii="Arial" w:hAnsi="Arial" w:cs="Arial"/>
          <w:sz w:val="22"/>
          <w:szCs w:val="22"/>
        </w:rPr>
      </w:pPr>
      <w:r>
        <w:rPr>
          <w:rFonts w:ascii="Arial" w:hAnsi="Arial" w:cs="Arial"/>
          <w:sz w:val="22"/>
          <w:szCs w:val="22"/>
        </w:rPr>
        <w:t xml:space="preserve">This longitudinal study explores Erik Erikson’s psychosocial stages, particularly how midlife development influences later life well-being. The findings suggest that successful psychosocial </w:t>
      </w:r>
      <w:r w:rsidR="001837CC">
        <w:rPr>
          <w:rFonts w:ascii="Arial" w:hAnsi="Arial" w:cs="Arial"/>
          <w:sz w:val="22"/>
          <w:szCs w:val="22"/>
        </w:rPr>
        <w:t>development is associated with better emotional health and lower risk of depression in older age. The study also highlights that unresolved psychosocial conflicts increase vulnerability to cognitive decline and poorer mental health outcomes.</w:t>
      </w:r>
    </w:p>
    <w:p w14:paraId="11A20807" w14:textId="228FA45E" w:rsidR="001837CC" w:rsidRDefault="001837CC" w:rsidP="00456378">
      <w:pPr>
        <w:spacing w:line="360" w:lineRule="auto"/>
        <w:rPr>
          <w:rFonts w:ascii="Arial" w:hAnsi="Arial" w:cs="Arial"/>
          <w:sz w:val="22"/>
          <w:szCs w:val="22"/>
          <w:u w:val="single"/>
        </w:rPr>
      </w:pPr>
      <w:r w:rsidRPr="001837CC">
        <w:rPr>
          <w:rFonts w:ascii="Arial" w:hAnsi="Arial" w:cs="Arial"/>
          <w:sz w:val="22"/>
          <w:szCs w:val="22"/>
          <w:u w:val="single"/>
        </w:rPr>
        <w:t>Critical comment:</w:t>
      </w:r>
    </w:p>
    <w:p w14:paraId="7D659D2F" w14:textId="639F433D" w:rsidR="001837CC" w:rsidRDefault="001837CC" w:rsidP="00456378">
      <w:pPr>
        <w:spacing w:line="360" w:lineRule="auto"/>
        <w:rPr>
          <w:rFonts w:ascii="Arial" w:hAnsi="Arial" w:cs="Arial"/>
          <w:sz w:val="22"/>
          <w:szCs w:val="22"/>
        </w:rPr>
      </w:pPr>
      <w:r>
        <w:rPr>
          <w:rFonts w:ascii="Arial" w:hAnsi="Arial" w:cs="Arial"/>
          <w:sz w:val="22"/>
          <w:szCs w:val="22"/>
        </w:rPr>
        <w:t>This source is highly relevant to health and social care because it emphasises the long-term impact of life-course development on ageing. It supports person-centred care approaches by recognising older adults’ life histories and psychological needs. However, its focus on midlife predictors may limit direct already experiencing decline, meaning practitioners must adapt insights rather than apply them directly.</w:t>
      </w:r>
    </w:p>
    <w:p w14:paraId="14ACAD7D" w14:textId="77777777" w:rsidR="00344A3B" w:rsidRDefault="00344A3B" w:rsidP="00456378">
      <w:pPr>
        <w:spacing w:line="360" w:lineRule="auto"/>
        <w:rPr>
          <w:rFonts w:ascii="Arial" w:hAnsi="Arial" w:cs="Arial"/>
          <w:sz w:val="22"/>
          <w:szCs w:val="22"/>
          <w:u w:val="single"/>
        </w:rPr>
      </w:pPr>
    </w:p>
    <w:p w14:paraId="6C90863C" w14:textId="77777777" w:rsidR="00344A3B" w:rsidRDefault="00344A3B" w:rsidP="00456378">
      <w:pPr>
        <w:spacing w:line="360" w:lineRule="auto"/>
        <w:rPr>
          <w:rFonts w:ascii="Arial" w:hAnsi="Arial" w:cs="Arial"/>
          <w:sz w:val="22"/>
          <w:szCs w:val="22"/>
          <w:u w:val="single"/>
        </w:rPr>
      </w:pPr>
    </w:p>
    <w:p w14:paraId="032905AC" w14:textId="3F885779" w:rsidR="001837CC" w:rsidRDefault="001837CC" w:rsidP="00456378">
      <w:pPr>
        <w:spacing w:line="360" w:lineRule="auto"/>
        <w:rPr>
          <w:rFonts w:ascii="Arial" w:hAnsi="Arial" w:cs="Arial"/>
          <w:sz w:val="22"/>
          <w:szCs w:val="22"/>
          <w:u w:val="single"/>
        </w:rPr>
      </w:pPr>
      <w:r w:rsidRPr="001837CC">
        <w:rPr>
          <w:rFonts w:ascii="Arial" w:hAnsi="Arial" w:cs="Arial"/>
          <w:sz w:val="22"/>
          <w:szCs w:val="22"/>
          <w:u w:val="single"/>
        </w:rPr>
        <w:lastRenderedPageBreak/>
        <w:t>Source 2</w:t>
      </w:r>
    </w:p>
    <w:p w14:paraId="18C677A1" w14:textId="5A39CCD9" w:rsidR="001837CC" w:rsidRDefault="001837CC" w:rsidP="00456378">
      <w:pPr>
        <w:spacing w:line="360" w:lineRule="auto"/>
        <w:rPr>
          <w:rFonts w:ascii="Arial" w:hAnsi="Arial" w:cs="Arial"/>
          <w:sz w:val="22"/>
          <w:szCs w:val="22"/>
        </w:rPr>
      </w:pPr>
      <w:r>
        <w:rPr>
          <w:rFonts w:ascii="Arial" w:hAnsi="Arial" w:cs="Arial"/>
          <w:sz w:val="22"/>
          <w:szCs w:val="22"/>
        </w:rPr>
        <w:t>Havighurst, R.J. (1961) – Activity Theory of Aging.</w:t>
      </w:r>
    </w:p>
    <w:p w14:paraId="6FAC71F8" w14:textId="02BCAD0D" w:rsidR="001837CC" w:rsidRDefault="001837CC" w:rsidP="00456378">
      <w:pPr>
        <w:spacing w:line="360" w:lineRule="auto"/>
        <w:rPr>
          <w:rFonts w:ascii="Arial" w:hAnsi="Arial" w:cs="Arial"/>
          <w:sz w:val="22"/>
          <w:szCs w:val="22"/>
        </w:rPr>
      </w:pPr>
      <w:r>
        <w:rPr>
          <w:rFonts w:ascii="Arial" w:hAnsi="Arial" w:cs="Arial"/>
          <w:sz w:val="22"/>
          <w:szCs w:val="22"/>
        </w:rPr>
        <w:t>Havighurst, R.J. (1961) ‘Successful aging: In Processes of aging: Social and psychological perspectives. New York: Atherton press.</w:t>
      </w:r>
    </w:p>
    <w:p w14:paraId="22D602F6" w14:textId="7037A73E" w:rsidR="001837CC" w:rsidRDefault="001837CC" w:rsidP="00456378">
      <w:pPr>
        <w:spacing w:line="360" w:lineRule="auto"/>
        <w:rPr>
          <w:rFonts w:ascii="Arial" w:hAnsi="Arial" w:cs="Arial"/>
          <w:sz w:val="22"/>
          <w:szCs w:val="22"/>
          <w:u w:val="single"/>
        </w:rPr>
      </w:pPr>
      <w:r w:rsidRPr="001837CC">
        <w:rPr>
          <w:rFonts w:ascii="Arial" w:hAnsi="Arial" w:cs="Arial"/>
          <w:sz w:val="22"/>
          <w:szCs w:val="22"/>
          <w:u w:val="single"/>
        </w:rPr>
        <w:t>Summary:</w:t>
      </w:r>
    </w:p>
    <w:p w14:paraId="079A679A" w14:textId="5A9C0985" w:rsidR="001837CC" w:rsidRDefault="00344A3B" w:rsidP="00456378">
      <w:pPr>
        <w:spacing w:line="360" w:lineRule="auto"/>
        <w:rPr>
          <w:rFonts w:ascii="Arial" w:hAnsi="Arial" w:cs="Arial"/>
          <w:sz w:val="22"/>
          <w:szCs w:val="22"/>
        </w:rPr>
      </w:pPr>
      <w:r>
        <w:rPr>
          <w:rFonts w:ascii="Arial" w:hAnsi="Arial" w:cs="Arial"/>
          <w:sz w:val="22"/>
          <w:szCs w:val="22"/>
        </w:rPr>
        <w:t xml:space="preserve">Robert Havighurst’s activity theory proposes that successful ageing occurs when older adults remain socially, physically, and mentally active. Research shows that continued engagement in meaningful activities – such as volunteering or social interaction – is strongly linked to higher life satisfaction, improved health, and reduced mortality risks. </w:t>
      </w:r>
    </w:p>
    <w:p w14:paraId="63015B9F" w14:textId="1E0E3855" w:rsidR="00344A3B" w:rsidRDefault="00344A3B" w:rsidP="00456378">
      <w:pPr>
        <w:spacing w:line="360" w:lineRule="auto"/>
        <w:rPr>
          <w:rFonts w:ascii="Arial" w:hAnsi="Arial" w:cs="Arial"/>
          <w:sz w:val="22"/>
          <w:szCs w:val="22"/>
        </w:rPr>
      </w:pPr>
      <w:r>
        <w:rPr>
          <w:rFonts w:ascii="Arial" w:hAnsi="Arial" w:cs="Arial"/>
          <w:sz w:val="22"/>
          <w:szCs w:val="22"/>
          <w:u w:val="single"/>
        </w:rPr>
        <w:t>Critical comment:</w:t>
      </w:r>
    </w:p>
    <w:p w14:paraId="518F3584" w14:textId="36EF8ECA" w:rsidR="00344A3B" w:rsidRDefault="00344A3B" w:rsidP="00456378">
      <w:pPr>
        <w:spacing w:line="360" w:lineRule="auto"/>
        <w:rPr>
          <w:rFonts w:ascii="Arial" w:hAnsi="Arial" w:cs="Arial"/>
          <w:sz w:val="22"/>
          <w:szCs w:val="22"/>
        </w:rPr>
      </w:pPr>
      <w:r>
        <w:rPr>
          <w:rFonts w:ascii="Arial" w:hAnsi="Arial" w:cs="Arial"/>
          <w:sz w:val="22"/>
          <w:szCs w:val="22"/>
        </w:rPr>
        <w:t>This theory is widely applied in health and social care, particularly in promoting independence and wellbeing through actives and community engagement. It underpins interventions such as day centres and social prescribing. However, it has been criticised for assuming all older adults can remain active; it may overlook those with disabilities or chronic illness, potentially leading to unrealistic expectations in care planning.</w:t>
      </w:r>
    </w:p>
    <w:p w14:paraId="4FDBC22A" w14:textId="6D632B0B" w:rsidR="00344A3B" w:rsidRDefault="00344A3B" w:rsidP="00456378">
      <w:pPr>
        <w:spacing w:line="360" w:lineRule="auto"/>
        <w:rPr>
          <w:rFonts w:ascii="Arial" w:hAnsi="Arial" w:cs="Arial"/>
          <w:sz w:val="22"/>
          <w:szCs w:val="22"/>
          <w:u w:val="single"/>
        </w:rPr>
      </w:pPr>
      <w:r>
        <w:rPr>
          <w:rFonts w:ascii="Arial" w:hAnsi="Arial" w:cs="Arial"/>
          <w:sz w:val="22"/>
          <w:szCs w:val="22"/>
          <w:u w:val="single"/>
        </w:rPr>
        <w:t>Source 3.</w:t>
      </w:r>
    </w:p>
    <w:p w14:paraId="49BAD1E1" w14:textId="7B0C203E" w:rsidR="00344A3B" w:rsidRDefault="00344A3B" w:rsidP="00456378">
      <w:pPr>
        <w:spacing w:line="360" w:lineRule="auto"/>
        <w:rPr>
          <w:rFonts w:ascii="Arial" w:hAnsi="Arial" w:cs="Arial"/>
          <w:sz w:val="22"/>
          <w:szCs w:val="22"/>
        </w:rPr>
      </w:pPr>
      <w:r>
        <w:rPr>
          <w:rFonts w:ascii="Arial" w:hAnsi="Arial" w:cs="Arial"/>
          <w:sz w:val="22"/>
          <w:szCs w:val="22"/>
        </w:rPr>
        <w:t>Bowlby, J. (1988) A secure Base: Parent-Child Attachment and Healthy Human Development. New York: Basic Books.</w:t>
      </w:r>
    </w:p>
    <w:p w14:paraId="6689751D" w14:textId="425EB59F" w:rsidR="00344A3B" w:rsidRDefault="00344A3B" w:rsidP="00456378">
      <w:pPr>
        <w:spacing w:line="360" w:lineRule="auto"/>
        <w:rPr>
          <w:rFonts w:ascii="Arial" w:hAnsi="Arial" w:cs="Arial"/>
          <w:sz w:val="22"/>
          <w:szCs w:val="22"/>
          <w:u w:val="single"/>
        </w:rPr>
      </w:pPr>
      <w:r>
        <w:rPr>
          <w:rFonts w:ascii="Arial" w:hAnsi="Arial" w:cs="Arial"/>
          <w:sz w:val="22"/>
          <w:szCs w:val="22"/>
          <w:u w:val="single"/>
        </w:rPr>
        <w:t>Summary:</w:t>
      </w:r>
    </w:p>
    <w:p w14:paraId="7D7DABF7" w14:textId="59296678" w:rsidR="00344A3B" w:rsidRDefault="00344A3B" w:rsidP="00456378">
      <w:pPr>
        <w:spacing w:line="360" w:lineRule="auto"/>
        <w:rPr>
          <w:rFonts w:ascii="Arial" w:hAnsi="Arial" w:cs="Arial"/>
          <w:sz w:val="22"/>
          <w:szCs w:val="22"/>
        </w:rPr>
      </w:pPr>
      <w:r>
        <w:rPr>
          <w:rFonts w:ascii="Arial" w:hAnsi="Arial" w:cs="Arial"/>
          <w:sz w:val="22"/>
          <w:szCs w:val="22"/>
        </w:rPr>
        <w:t>John Bowlby’s attachment theory argues that early relationships with caregivers shape emotional bonds and coping mechanisms across the lifespan. In adulthood and older age, att</w:t>
      </w:r>
      <w:r w:rsidR="006C580B">
        <w:rPr>
          <w:rFonts w:ascii="Arial" w:hAnsi="Arial" w:cs="Arial"/>
          <w:sz w:val="22"/>
          <w:szCs w:val="22"/>
        </w:rPr>
        <w:t>achment styles influence how individuals respond to stress, loss and dependency. Secure attachment is linked to better emotional regulation and resilience, while insecure attachment can lead to anxiety, loneliness and difficulty forming supportive relationships.</w:t>
      </w:r>
    </w:p>
    <w:p w14:paraId="36C91376" w14:textId="09CAFB1E" w:rsidR="006C580B" w:rsidRDefault="006C580B" w:rsidP="00456378">
      <w:pPr>
        <w:spacing w:line="360" w:lineRule="auto"/>
        <w:rPr>
          <w:rFonts w:ascii="Arial" w:hAnsi="Arial" w:cs="Arial"/>
          <w:sz w:val="22"/>
          <w:szCs w:val="22"/>
          <w:u w:val="single"/>
        </w:rPr>
      </w:pPr>
      <w:r>
        <w:rPr>
          <w:rFonts w:ascii="Arial" w:hAnsi="Arial" w:cs="Arial"/>
          <w:sz w:val="22"/>
          <w:szCs w:val="22"/>
          <w:u w:val="single"/>
        </w:rPr>
        <w:t>Critical comments:</w:t>
      </w:r>
    </w:p>
    <w:p w14:paraId="4DE797E2" w14:textId="6D08E38F" w:rsidR="006C580B" w:rsidRDefault="006C580B" w:rsidP="00456378">
      <w:pPr>
        <w:spacing w:line="360" w:lineRule="auto"/>
        <w:rPr>
          <w:rFonts w:ascii="Arial" w:hAnsi="Arial" w:cs="Arial"/>
          <w:sz w:val="22"/>
          <w:szCs w:val="22"/>
        </w:rPr>
      </w:pPr>
      <w:r>
        <w:rPr>
          <w:rFonts w:ascii="Arial" w:hAnsi="Arial" w:cs="Arial"/>
          <w:sz w:val="22"/>
          <w:szCs w:val="22"/>
        </w:rPr>
        <w:t>Attachment theory is highly relevant in health and social care, particularly in understanding behaviours such as resistance to care or distress in residential settings. It supports the development of trusting relationships caregivers and older adults. However, its strong emphasis on early life experiences may underplay the potential for change and adaptation in later life, which is important in promoting resilience among older adults.</w:t>
      </w:r>
    </w:p>
    <w:p w14:paraId="1B689BB1" w14:textId="2125580E" w:rsidR="006C580B" w:rsidRDefault="006C580B" w:rsidP="00456378">
      <w:pPr>
        <w:spacing w:line="360" w:lineRule="auto"/>
        <w:rPr>
          <w:rFonts w:ascii="Arial" w:hAnsi="Arial" w:cs="Arial"/>
          <w:sz w:val="22"/>
          <w:szCs w:val="22"/>
        </w:rPr>
      </w:pPr>
      <w:r>
        <w:rPr>
          <w:rFonts w:ascii="Arial" w:hAnsi="Arial" w:cs="Arial"/>
          <w:sz w:val="22"/>
          <w:szCs w:val="22"/>
          <w:u w:val="single"/>
        </w:rPr>
        <w:t>Source 4.</w:t>
      </w:r>
    </w:p>
    <w:p w14:paraId="62C11239" w14:textId="1CCAB4F6" w:rsidR="006C580B" w:rsidRDefault="006C580B" w:rsidP="00456378">
      <w:pPr>
        <w:spacing w:line="360" w:lineRule="auto"/>
        <w:rPr>
          <w:rFonts w:ascii="Arial" w:hAnsi="Arial" w:cs="Arial"/>
          <w:sz w:val="22"/>
          <w:szCs w:val="22"/>
        </w:rPr>
      </w:pPr>
      <w:proofErr w:type="spellStart"/>
      <w:r>
        <w:rPr>
          <w:rFonts w:ascii="Arial" w:hAnsi="Arial" w:cs="Arial"/>
          <w:sz w:val="22"/>
          <w:szCs w:val="22"/>
        </w:rPr>
        <w:lastRenderedPageBreak/>
        <w:t>Jeste</w:t>
      </w:r>
      <w:proofErr w:type="spellEnd"/>
      <w:r>
        <w:rPr>
          <w:rFonts w:ascii="Arial" w:hAnsi="Arial" w:cs="Arial"/>
          <w:sz w:val="22"/>
          <w:szCs w:val="22"/>
        </w:rPr>
        <w:t>, D.V. et al. (2010) – Positive psychological and aging.</w:t>
      </w:r>
    </w:p>
    <w:p w14:paraId="65ED3063" w14:textId="1E51A905" w:rsidR="006C580B" w:rsidRDefault="006C580B" w:rsidP="00456378">
      <w:pPr>
        <w:spacing w:line="360" w:lineRule="auto"/>
        <w:rPr>
          <w:rFonts w:ascii="Arial" w:hAnsi="Arial" w:cs="Arial"/>
          <w:sz w:val="22"/>
          <w:szCs w:val="22"/>
        </w:rPr>
      </w:pPr>
      <w:proofErr w:type="spellStart"/>
      <w:r>
        <w:rPr>
          <w:rFonts w:ascii="Arial" w:hAnsi="Arial" w:cs="Arial"/>
          <w:sz w:val="22"/>
          <w:szCs w:val="22"/>
        </w:rPr>
        <w:t>Jeste</w:t>
      </w:r>
      <w:proofErr w:type="spellEnd"/>
      <w:r>
        <w:rPr>
          <w:rFonts w:ascii="Arial" w:hAnsi="Arial" w:cs="Arial"/>
          <w:sz w:val="22"/>
          <w:szCs w:val="22"/>
        </w:rPr>
        <w:t xml:space="preserve">, D.V., Depp, C.A. and </w:t>
      </w:r>
      <w:proofErr w:type="spellStart"/>
      <w:r>
        <w:rPr>
          <w:rFonts w:ascii="Arial" w:hAnsi="Arial" w:cs="Arial"/>
          <w:sz w:val="22"/>
          <w:szCs w:val="22"/>
        </w:rPr>
        <w:t>Vahia</w:t>
      </w:r>
      <w:proofErr w:type="spellEnd"/>
      <w:r>
        <w:rPr>
          <w:rFonts w:ascii="Arial" w:hAnsi="Arial" w:cs="Arial"/>
          <w:sz w:val="22"/>
          <w:szCs w:val="22"/>
        </w:rPr>
        <w:t>, I.V. (2010) ‘successful cognitive and emotional ageing; World psychiatry, 9(2), pp. 78-84.</w:t>
      </w:r>
    </w:p>
    <w:p w14:paraId="1535FB4B" w14:textId="77777777" w:rsidR="008D21A6" w:rsidRDefault="008D21A6" w:rsidP="00456378">
      <w:pPr>
        <w:spacing w:line="360" w:lineRule="auto"/>
        <w:rPr>
          <w:rFonts w:ascii="Arial" w:hAnsi="Arial" w:cs="Arial"/>
          <w:sz w:val="22"/>
          <w:szCs w:val="22"/>
          <w:u w:val="single"/>
        </w:rPr>
      </w:pPr>
    </w:p>
    <w:p w14:paraId="21817249" w14:textId="0215B10D" w:rsidR="006C580B" w:rsidRDefault="006C580B" w:rsidP="00456378">
      <w:pPr>
        <w:spacing w:line="360" w:lineRule="auto"/>
        <w:rPr>
          <w:rFonts w:ascii="Arial" w:hAnsi="Arial" w:cs="Arial"/>
          <w:sz w:val="22"/>
          <w:szCs w:val="22"/>
        </w:rPr>
      </w:pPr>
      <w:r>
        <w:rPr>
          <w:rFonts w:ascii="Arial" w:hAnsi="Arial" w:cs="Arial"/>
          <w:sz w:val="22"/>
          <w:szCs w:val="22"/>
          <w:u w:val="single"/>
        </w:rPr>
        <w:t>Summary:</w:t>
      </w:r>
    </w:p>
    <w:p w14:paraId="07791E77" w14:textId="4EF031F2" w:rsidR="006C580B" w:rsidRDefault="006C580B" w:rsidP="00456378">
      <w:pPr>
        <w:spacing w:line="360" w:lineRule="auto"/>
        <w:rPr>
          <w:rFonts w:ascii="Arial" w:hAnsi="Arial" w:cs="Arial"/>
          <w:sz w:val="22"/>
          <w:szCs w:val="22"/>
        </w:rPr>
      </w:pPr>
      <w:r>
        <w:rPr>
          <w:rFonts w:ascii="Arial" w:hAnsi="Arial" w:cs="Arial"/>
          <w:sz w:val="22"/>
          <w:szCs w:val="22"/>
        </w:rPr>
        <w:t>This article applies positive psychology to ageing, focusing on strengths such as resilience, optimism, and wisdom. It argues that wellbeing in later life is not solely dependent on physical health but also on ps</w:t>
      </w:r>
      <w:r w:rsidR="00DC1F6E">
        <w:rPr>
          <w:rFonts w:ascii="Arial" w:hAnsi="Arial" w:cs="Arial"/>
          <w:sz w:val="22"/>
          <w:szCs w:val="22"/>
        </w:rPr>
        <w:t xml:space="preserve">ychological resources and social engagement. The authors highlight that many older adults maintain or even improve emotional wellbeing despite physical decline, challenging deficit-based models of aging. </w:t>
      </w:r>
    </w:p>
    <w:p w14:paraId="229470FD" w14:textId="34F4C028" w:rsidR="00DC1F6E" w:rsidRDefault="00DC1F6E" w:rsidP="00456378">
      <w:pPr>
        <w:spacing w:line="360" w:lineRule="auto"/>
        <w:rPr>
          <w:rFonts w:ascii="Arial" w:hAnsi="Arial" w:cs="Arial"/>
          <w:sz w:val="22"/>
          <w:szCs w:val="22"/>
        </w:rPr>
      </w:pPr>
      <w:r>
        <w:rPr>
          <w:rFonts w:ascii="Arial" w:hAnsi="Arial" w:cs="Arial"/>
          <w:sz w:val="22"/>
          <w:szCs w:val="22"/>
          <w:u w:val="single"/>
        </w:rPr>
        <w:t>Critical comment:</w:t>
      </w:r>
    </w:p>
    <w:p w14:paraId="17900527" w14:textId="5F3BE820" w:rsidR="00DC1F6E" w:rsidRDefault="00DC1F6E" w:rsidP="00456378">
      <w:pPr>
        <w:spacing w:line="360" w:lineRule="auto"/>
        <w:rPr>
          <w:rFonts w:ascii="Arial" w:hAnsi="Arial" w:cs="Arial"/>
          <w:sz w:val="22"/>
          <w:szCs w:val="22"/>
        </w:rPr>
      </w:pPr>
      <w:r>
        <w:rPr>
          <w:rFonts w:ascii="Arial" w:hAnsi="Arial" w:cs="Arial"/>
          <w:sz w:val="22"/>
          <w:szCs w:val="22"/>
        </w:rPr>
        <w:t>This approach is highly valuable in health and social care as it promotes as strengths – based perspective, encouraging practitioners to focus on capabilities rather than limitations. It supports interventions that enhance wellbeing, such as mindfulness and social connection. However, critics argue it may overlook structural inequalities for example poverty or poor health, which can limit individuals’ ability to achieve ‘’successful ageing.’’</w:t>
      </w:r>
    </w:p>
    <w:p w14:paraId="2A957A87" w14:textId="236EEE5B" w:rsidR="00DC1F6E" w:rsidRDefault="00DC1F6E" w:rsidP="00456378">
      <w:pPr>
        <w:spacing w:line="360" w:lineRule="auto"/>
        <w:rPr>
          <w:rFonts w:ascii="Arial" w:hAnsi="Arial" w:cs="Arial"/>
          <w:sz w:val="22"/>
          <w:szCs w:val="22"/>
          <w:u w:val="single"/>
        </w:rPr>
      </w:pPr>
      <w:r>
        <w:rPr>
          <w:rFonts w:ascii="Arial" w:hAnsi="Arial" w:cs="Arial"/>
          <w:sz w:val="22"/>
          <w:szCs w:val="22"/>
          <w:u w:val="single"/>
        </w:rPr>
        <w:t>Conclusion.</w:t>
      </w:r>
    </w:p>
    <w:p w14:paraId="2975D0B7" w14:textId="4E3F6FE1" w:rsidR="00DC1F6E" w:rsidRDefault="00DC1F6E" w:rsidP="00456378">
      <w:pPr>
        <w:spacing w:line="360" w:lineRule="auto"/>
        <w:rPr>
          <w:rFonts w:ascii="Arial" w:hAnsi="Arial" w:cs="Arial"/>
          <w:sz w:val="22"/>
          <w:szCs w:val="22"/>
        </w:rPr>
      </w:pPr>
      <w:r>
        <w:rPr>
          <w:rFonts w:ascii="Arial" w:hAnsi="Arial" w:cs="Arial"/>
          <w:sz w:val="22"/>
          <w:szCs w:val="22"/>
        </w:rPr>
        <w:t>Together, these sources provide a comprehensive understanding of psychological theories relevant to adult development and ageing. Erikson’s theory highlights lifelong development, Havighurst emphasises active engagement, Bowlby focu</w:t>
      </w:r>
      <w:r w:rsidR="008D21A6">
        <w:rPr>
          <w:rFonts w:ascii="Arial" w:hAnsi="Arial" w:cs="Arial"/>
          <w:sz w:val="22"/>
          <w:szCs w:val="22"/>
        </w:rPr>
        <w:t>ses on relational patterns, and positive psychology promotes strengths and resilience. In health and social care, integrating these perspectives supports holistic, person-centred approaches to improving older adults’ wellbeing, while recognising the need to adapt theories to diverse individual circumstances.</w:t>
      </w:r>
    </w:p>
    <w:p w14:paraId="741AA4DC" w14:textId="77777777" w:rsidR="00E760E4" w:rsidRDefault="00E760E4" w:rsidP="00456378">
      <w:pPr>
        <w:spacing w:line="360" w:lineRule="auto"/>
        <w:rPr>
          <w:rFonts w:ascii="Arial" w:hAnsi="Arial" w:cs="Arial"/>
          <w:sz w:val="22"/>
          <w:szCs w:val="22"/>
        </w:rPr>
      </w:pPr>
    </w:p>
    <w:p w14:paraId="79AB2660" w14:textId="7D4C8AC0" w:rsidR="00E760E4" w:rsidRDefault="00E760E4" w:rsidP="00456378">
      <w:pPr>
        <w:spacing w:line="360" w:lineRule="auto"/>
        <w:rPr>
          <w:rFonts w:ascii="Arial" w:hAnsi="Arial" w:cs="Arial"/>
          <w:sz w:val="22"/>
          <w:szCs w:val="22"/>
          <w:u w:val="single"/>
        </w:rPr>
      </w:pPr>
      <w:r>
        <w:rPr>
          <w:rFonts w:ascii="Arial" w:hAnsi="Arial" w:cs="Arial"/>
          <w:sz w:val="22"/>
          <w:szCs w:val="22"/>
          <w:u w:val="single"/>
        </w:rPr>
        <w:t>Introduction.</w:t>
      </w:r>
    </w:p>
    <w:p w14:paraId="1C993E7E" w14:textId="10525663" w:rsidR="00314934" w:rsidRDefault="001958C6" w:rsidP="00456378">
      <w:pPr>
        <w:spacing w:line="360" w:lineRule="auto"/>
        <w:rPr>
          <w:rFonts w:ascii="Arial" w:hAnsi="Arial" w:cs="Arial"/>
          <w:sz w:val="22"/>
          <w:szCs w:val="22"/>
        </w:rPr>
      </w:pPr>
      <w:r>
        <w:rPr>
          <w:rFonts w:ascii="Arial" w:hAnsi="Arial" w:cs="Arial"/>
          <w:sz w:val="22"/>
          <w:szCs w:val="22"/>
        </w:rPr>
        <w:t>Promoting psychological wellbeing in older adults living in residential care is key priority for health and social care professionals</w:t>
      </w:r>
      <w:r w:rsidR="008531B7">
        <w:rPr>
          <w:rFonts w:ascii="Arial" w:hAnsi="Arial" w:cs="Arial"/>
          <w:sz w:val="22"/>
          <w:szCs w:val="22"/>
        </w:rPr>
        <w:t>. Ageing is often associated with changes such as retirement, loss of social roles, declining health, and reduced independence, all of which can negativ</w:t>
      </w:r>
      <w:r w:rsidR="00314934">
        <w:rPr>
          <w:rFonts w:ascii="Arial" w:hAnsi="Arial" w:cs="Arial"/>
          <w:sz w:val="22"/>
          <w:szCs w:val="22"/>
        </w:rPr>
        <w:t>ely affect mental health. One useful framework for addressing these challenges is Hav</w:t>
      </w:r>
      <w:r w:rsidR="008C3E1B">
        <w:rPr>
          <w:rFonts w:ascii="Arial" w:hAnsi="Arial" w:cs="Arial"/>
          <w:sz w:val="22"/>
          <w:szCs w:val="22"/>
        </w:rPr>
        <w:t>ighurst’s activity theory, which suggests that maintaining engagement</w:t>
      </w:r>
      <w:r w:rsidR="00AE2E90">
        <w:rPr>
          <w:rFonts w:ascii="Arial" w:hAnsi="Arial" w:cs="Arial"/>
          <w:sz w:val="22"/>
          <w:szCs w:val="22"/>
        </w:rPr>
        <w:t xml:space="preserve"> is meaningful activities is essential for wellbeing in later life. This report </w:t>
      </w:r>
      <w:r w:rsidR="00F354A2">
        <w:rPr>
          <w:rFonts w:ascii="Arial" w:hAnsi="Arial" w:cs="Arial"/>
          <w:sz w:val="22"/>
          <w:szCs w:val="22"/>
        </w:rPr>
        <w:t xml:space="preserve">explains how activity theory can be </w:t>
      </w:r>
      <w:r w:rsidR="007E5A00">
        <w:rPr>
          <w:rFonts w:ascii="Arial" w:hAnsi="Arial" w:cs="Arial"/>
          <w:sz w:val="22"/>
          <w:szCs w:val="22"/>
        </w:rPr>
        <w:lastRenderedPageBreak/>
        <w:t xml:space="preserve">applied in a care home </w:t>
      </w:r>
      <w:r w:rsidR="00AA2581">
        <w:rPr>
          <w:rFonts w:ascii="Arial" w:hAnsi="Arial" w:cs="Arial"/>
          <w:sz w:val="22"/>
          <w:szCs w:val="22"/>
        </w:rPr>
        <w:t>setting, provides a practical example, and discusses a potential challenge with</w:t>
      </w:r>
      <w:r w:rsidR="0040311E">
        <w:rPr>
          <w:rFonts w:ascii="Arial" w:hAnsi="Arial" w:cs="Arial"/>
          <w:sz w:val="22"/>
          <w:szCs w:val="22"/>
        </w:rPr>
        <w:t xml:space="preserve"> a strategy to overcome it.</w:t>
      </w:r>
    </w:p>
    <w:p w14:paraId="51DC8617" w14:textId="67F54A9B" w:rsidR="0040311E" w:rsidRDefault="004C47AC" w:rsidP="00456378">
      <w:pPr>
        <w:spacing w:line="360" w:lineRule="auto"/>
        <w:rPr>
          <w:rFonts w:ascii="Arial" w:hAnsi="Arial" w:cs="Arial"/>
          <w:sz w:val="22"/>
          <w:szCs w:val="22"/>
          <w:u w:val="single"/>
        </w:rPr>
      </w:pPr>
      <w:r>
        <w:rPr>
          <w:rFonts w:ascii="Arial" w:hAnsi="Arial" w:cs="Arial"/>
          <w:sz w:val="22"/>
          <w:szCs w:val="22"/>
          <w:u w:val="single"/>
        </w:rPr>
        <w:t xml:space="preserve">Overview of activity theory </w:t>
      </w:r>
    </w:p>
    <w:p w14:paraId="3FDD5BC9" w14:textId="513D56CE" w:rsidR="004C47AC" w:rsidRDefault="004C47AC" w:rsidP="00456378">
      <w:pPr>
        <w:spacing w:line="360" w:lineRule="auto"/>
        <w:rPr>
          <w:rFonts w:ascii="Arial" w:hAnsi="Arial" w:cs="Arial"/>
          <w:sz w:val="22"/>
          <w:szCs w:val="22"/>
        </w:rPr>
      </w:pPr>
      <w:r>
        <w:rPr>
          <w:rFonts w:ascii="Arial" w:hAnsi="Arial" w:cs="Arial"/>
          <w:sz w:val="22"/>
          <w:szCs w:val="22"/>
        </w:rPr>
        <w:t xml:space="preserve">Activity theory proposes that successful ageing occurs </w:t>
      </w:r>
      <w:r w:rsidR="00F35B7B">
        <w:rPr>
          <w:rFonts w:ascii="Arial" w:hAnsi="Arial" w:cs="Arial"/>
          <w:sz w:val="22"/>
          <w:szCs w:val="22"/>
        </w:rPr>
        <w:t>when older adults remain socially, physically, and mentally active. Rather than withdrawing from society,</w:t>
      </w:r>
      <w:r w:rsidR="005B5213">
        <w:rPr>
          <w:rFonts w:ascii="Arial" w:hAnsi="Arial" w:cs="Arial"/>
          <w:sz w:val="22"/>
          <w:szCs w:val="22"/>
        </w:rPr>
        <w:t xml:space="preserve"> individuals who continue to p</w:t>
      </w:r>
      <w:r w:rsidR="00835EC3">
        <w:rPr>
          <w:rFonts w:ascii="Arial" w:hAnsi="Arial" w:cs="Arial"/>
          <w:sz w:val="22"/>
          <w:szCs w:val="22"/>
        </w:rPr>
        <w:t>articipate in meaningful roles and activities are more likely to</w:t>
      </w:r>
      <w:r w:rsidR="002F3BDB">
        <w:rPr>
          <w:rFonts w:ascii="Arial" w:hAnsi="Arial" w:cs="Arial"/>
          <w:sz w:val="22"/>
          <w:szCs w:val="22"/>
        </w:rPr>
        <w:t xml:space="preserve"> experience higher life satisfaction, a stronger sense of identity, and improved emotional </w:t>
      </w:r>
      <w:r w:rsidR="00B90D7D">
        <w:rPr>
          <w:rFonts w:ascii="Arial" w:hAnsi="Arial" w:cs="Arial"/>
          <w:sz w:val="22"/>
          <w:szCs w:val="22"/>
        </w:rPr>
        <w:t xml:space="preserve">wellbeing. The theory emphasises the importance of replacing lost roles such as employment or parenting </w:t>
      </w:r>
      <w:r w:rsidR="00054886">
        <w:rPr>
          <w:rFonts w:ascii="Arial" w:hAnsi="Arial" w:cs="Arial"/>
          <w:sz w:val="22"/>
          <w:szCs w:val="22"/>
        </w:rPr>
        <w:t>responsibilities with new, fulfilling activities.</w:t>
      </w:r>
    </w:p>
    <w:p w14:paraId="104CA4DD" w14:textId="208ACBD7" w:rsidR="008C6675" w:rsidRDefault="00077001" w:rsidP="00456378">
      <w:pPr>
        <w:spacing w:line="360" w:lineRule="auto"/>
        <w:rPr>
          <w:rFonts w:ascii="Arial" w:hAnsi="Arial" w:cs="Arial"/>
          <w:sz w:val="22"/>
          <w:szCs w:val="22"/>
        </w:rPr>
      </w:pPr>
      <w:r>
        <w:rPr>
          <w:rFonts w:ascii="Arial" w:hAnsi="Arial" w:cs="Arial"/>
          <w:sz w:val="22"/>
          <w:szCs w:val="22"/>
        </w:rPr>
        <w:t xml:space="preserve">In residential care settings, this theory highlights the need to move beyond basic physical </w:t>
      </w:r>
      <w:r w:rsidR="001346D4">
        <w:rPr>
          <w:rFonts w:ascii="Arial" w:hAnsi="Arial" w:cs="Arial"/>
          <w:sz w:val="22"/>
          <w:szCs w:val="22"/>
        </w:rPr>
        <w:t>care and actively support residents’ social engagement, autonomy, and sense of purpose.</w:t>
      </w:r>
    </w:p>
    <w:p w14:paraId="670D6A73" w14:textId="2361FFBC" w:rsidR="000027C9" w:rsidRDefault="006A7634" w:rsidP="00456378">
      <w:pPr>
        <w:spacing w:line="360" w:lineRule="auto"/>
        <w:rPr>
          <w:rFonts w:ascii="Arial" w:hAnsi="Arial" w:cs="Arial"/>
          <w:sz w:val="22"/>
          <w:szCs w:val="22"/>
          <w:u w:val="single"/>
        </w:rPr>
      </w:pPr>
      <w:r>
        <w:rPr>
          <w:rFonts w:ascii="Arial" w:hAnsi="Arial" w:cs="Arial"/>
          <w:sz w:val="22"/>
          <w:szCs w:val="22"/>
          <w:u w:val="single"/>
        </w:rPr>
        <w:t>Applying theory in residential care.</w:t>
      </w:r>
    </w:p>
    <w:p w14:paraId="345E9F37" w14:textId="25D25D7F" w:rsidR="00444CA7" w:rsidRDefault="00C8142C" w:rsidP="00456378">
      <w:pPr>
        <w:spacing w:line="360" w:lineRule="auto"/>
        <w:rPr>
          <w:rFonts w:ascii="Arial" w:hAnsi="Arial" w:cs="Arial"/>
          <w:sz w:val="22"/>
          <w:szCs w:val="22"/>
        </w:rPr>
      </w:pPr>
      <w:r>
        <w:rPr>
          <w:rFonts w:ascii="Arial" w:hAnsi="Arial" w:cs="Arial"/>
          <w:sz w:val="22"/>
          <w:szCs w:val="22"/>
        </w:rPr>
        <w:t>Health and social care professionals can apply activity theory in several practical ways to improve psy</w:t>
      </w:r>
      <w:r w:rsidR="00444CA7">
        <w:rPr>
          <w:rFonts w:ascii="Arial" w:hAnsi="Arial" w:cs="Arial"/>
          <w:sz w:val="22"/>
          <w:szCs w:val="22"/>
        </w:rPr>
        <w:t>chological wellbeing.</w:t>
      </w:r>
    </w:p>
    <w:p w14:paraId="14BEED78" w14:textId="1BAB45E0" w:rsidR="00444CA7" w:rsidRDefault="006970EC" w:rsidP="00444CA7">
      <w:pPr>
        <w:pStyle w:val="ListParagraph"/>
        <w:numPr>
          <w:ilvl w:val="0"/>
          <w:numId w:val="1"/>
        </w:numPr>
        <w:spacing w:line="360" w:lineRule="auto"/>
        <w:rPr>
          <w:rFonts w:ascii="Arial" w:hAnsi="Arial" w:cs="Arial"/>
          <w:sz w:val="22"/>
          <w:szCs w:val="22"/>
        </w:rPr>
      </w:pPr>
      <w:r>
        <w:rPr>
          <w:rFonts w:ascii="Arial" w:hAnsi="Arial" w:cs="Arial"/>
          <w:sz w:val="22"/>
          <w:szCs w:val="22"/>
        </w:rPr>
        <w:t xml:space="preserve">Promoting meaningful </w:t>
      </w:r>
      <w:r w:rsidR="00BC48E1">
        <w:rPr>
          <w:rFonts w:ascii="Arial" w:hAnsi="Arial" w:cs="Arial"/>
          <w:sz w:val="22"/>
          <w:szCs w:val="22"/>
        </w:rPr>
        <w:t xml:space="preserve">activities. </w:t>
      </w:r>
      <w:r w:rsidR="00BC48E1">
        <w:rPr>
          <w:rFonts w:ascii="Arial" w:hAnsi="Arial" w:cs="Arial"/>
          <w:sz w:val="22"/>
          <w:szCs w:val="22"/>
        </w:rPr>
        <w:br/>
        <w:t xml:space="preserve">Care home can provide </w:t>
      </w:r>
      <w:r w:rsidR="00511C08">
        <w:rPr>
          <w:rFonts w:ascii="Arial" w:hAnsi="Arial" w:cs="Arial"/>
          <w:sz w:val="22"/>
          <w:szCs w:val="22"/>
        </w:rPr>
        <w:t xml:space="preserve">a wide range of activities tailored to </w:t>
      </w:r>
      <w:r w:rsidR="005E57BC">
        <w:rPr>
          <w:rFonts w:ascii="Arial" w:hAnsi="Arial" w:cs="Arial"/>
          <w:sz w:val="22"/>
          <w:szCs w:val="22"/>
        </w:rPr>
        <w:t>residents’</w:t>
      </w:r>
      <w:r w:rsidR="00511C08">
        <w:rPr>
          <w:rFonts w:ascii="Arial" w:hAnsi="Arial" w:cs="Arial"/>
          <w:sz w:val="22"/>
          <w:szCs w:val="22"/>
        </w:rPr>
        <w:t xml:space="preserve"> </w:t>
      </w:r>
      <w:r w:rsidR="005D32DB">
        <w:rPr>
          <w:rFonts w:ascii="Arial" w:hAnsi="Arial" w:cs="Arial"/>
          <w:sz w:val="22"/>
          <w:szCs w:val="22"/>
        </w:rPr>
        <w:t>interests, such as arts and crafts, music sessions</w:t>
      </w:r>
      <w:r w:rsidR="005E57BC">
        <w:rPr>
          <w:rFonts w:ascii="Arial" w:hAnsi="Arial" w:cs="Arial"/>
          <w:sz w:val="22"/>
          <w:szCs w:val="22"/>
        </w:rPr>
        <w:t xml:space="preserve">, gardening, or light exercise classes. Activities </w:t>
      </w:r>
      <w:r w:rsidR="009A4DE5">
        <w:rPr>
          <w:rFonts w:ascii="Arial" w:hAnsi="Arial" w:cs="Arial"/>
          <w:sz w:val="22"/>
          <w:szCs w:val="22"/>
        </w:rPr>
        <w:t xml:space="preserve">should be personalised to reflect individuals past hobbies and </w:t>
      </w:r>
      <w:r w:rsidR="00014244">
        <w:rPr>
          <w:rFonts w:ascii="Arial" w:hAnsi="Arial" w:cs="Arial"/>
          <w:sz w:val="22"/>
          <w:szCs w:val="22"/>
        </w:rPr>
        <w:t>preferences,</w:t>
      </w:r>
      <w:r w:rsidR="00970E20">
        <w:rPr>
          <w:rFonts w:ascii="Arial" w:hAnsi="Arial" w:cs="Arial"/>
          <w:sz w:val="22"/>
          <w:szCs w:val="22"/>
        </w:rPr>
        <w:t xml:space="preserve"> helping maintain a sense of identity and continuity. </w:t>
      </w:r>
    </w:p>
    <w:p w14:paraId="543083B3" w14:textId="1232BC57" w:rsidR="00014244" w:rsidRDefault="00970E20" w:rsidP="00014244">
      <w:pPr>
        <w:pStyle w:val="ListParagraph"/>
        <w:numPr>
          <w:ilvl w:val="0"/>
          <w:numId w:val="1"/>
        </w:numPr>
        <w:spacing w:line="360" w:lineRule="auto"/>
        <w:rPr>
          <w:rFonts w:ascii="Arial" w:hAnsi="Arial" w:cs="Arial"/>
          <w:sz w:val="22"/>
          <w:szCs w:val="22"/>
        </w:rPr>
      </w:pPr>
      <w:r>
        <w:rPr>
          <w:rFonts w:ascii="Arial" w:hAnsi="Arial" w:cs="Arial"/>
          <w:sz w:val="22"/>
          <w:szCs w:val="22"/>
        </w:rPr>
        <w:t>Encour</w:t>
      </w:r>
      <w:r w:rsidR="00014244">
        <w:rPr>
          <w:rFonts w:ascii="Arial" w:hAnsi="Arial" w:cs="Arial"/>
          <w:sz w:val="22"/>
          <w:szCs w:val="22"/>
        </w:rPr>
        <w:t>aging social interaction.</w:t>
      </w:r>
      <w:r w:rsidR="00014244">
        <w:rPr>
          <w:rFonts w:ascii="Arial" w:hAnsi="Arial" w:cs="Arial"/>
          <w:sz w:val="22"/>
          <w:szCs w:val="22"/>
        </w:rPr>
        <w:br/>
        <w:t>Loneliness and isolation are common in residential care. Group activities</w:t>
      </w:r>
      <w:r w:rsidR="00D47E6F">
        <w:rPr>
          <w:rFonts w:ascii="Arial" w:hAnsi="Arial" w:cs="Arial"/>
          <w:sz w:val="22"/>
          <w:szCs w:val="22"/>
        </w:rPr>
        <w:t>, communal dining, and peer support groups can foster social connections. Encouraging relationships between residents helps build a sense of community and belonging.</w:t>
      </w:r>
    </w:p>
    <w:p w14:paraId="3BBCC6B5" w14:textId="7A50043D" w:rsidR="00077D35" w:rsidRDefault="00077D35" w:rsidP="00014244">
      <w:pPr>
        <w:pStyle w:val="ListParagraph"/>
        <w:numPr>
          <w:ilvl w:val="0"/>
          <w:numId w:val="1"/>
        </w:numPr>
        <w:spacing w:line="360" w:lineRule="auto"/>
        <w:rPr>
          <w:rFonts w:ascii="Arial" w:hAnsi="Arial" w:cs="Arial"/>
          <w:sz w:val="22"/>
          <w:szCs w:val="22"/>
        </w:rPr>
      </w:pPr>
      <w:r>
        <w:rPr>
          <w:rFonts w:ascii="Arial" w:hAnsi="Arial" w:cs="Arial"/>
          <w:sz w:val="22"/>
          <w:szCs w:val="22"/>
        </w:rPr>
        <w:t>Supporting independence and choice.</w:t>
      </w:r>
      <w:r>
        <w:rPr>
          <w:rFonts w:ascii="Arial" w:hAnsi="Arial" w:cs="Arial"/>
          <w:sz w:val="22"/>
          <w:szCs w:val="22"/>
        </w:rPr>
        <w:br/>
        <w:t>Allowing residents to make choices about their daily routines, such as when to wake up or which activities to join, support auto</w:t>
      </w:r>
      <w:r w:rsidR="008040C1">
        <w:rPr>
          <w:rFonts w:ascii="Arial" w:hAnsi="Arial" w:cs="Arial"/>
          <w:sz w:val="22"/>
          <w:szCs w:val="22"/>
        </w:rPr>
        <w:t>nomy. This aligns with activity theory by e</w:t>
      </w:r>
      <w:r w:rsidR="0035619F">
        <w:rPr>
          <w:rFonts w:ascii="Arial" w:hAnsi="Arial" w:cs="Arial"/>
          <w:sz w:val="22"/>
          <w:szCs w:val="22"/>
        </w:rPr>
        <w:t>nabling individuals to remain active participants in their own lives.</w:t>
      </w:r>
    </w:p>
    <w:p w14:paraId="20ECAB3A" w14:textId="210B9B4C" w:rsidR="009A4DE6" w:rsidRDefault="0035619F" w:rsidP="009A4DE6">
      <w:pPr>
        <w:pStyle w:val="ListParagraph"/>
        <w:numPr>
          <w:ilvl w:val="0"/>
          <w:numId w:val="1"/>
        </w:numPr>
        <w:spacing w:line="360" w:lineRule="auto"/>
        <w:rPr>
          <w:rFonts w:ascii="Arial" w:hAnsi="Arial" w:cs="Arial"/>
          <w:sz w:val="22"/>
          <w:szCs w:val="22"/>
        </w:rPr>
      </w:pPr>
      <w:r>
        <w:rPr>
          <w:rFonts w:ascii="Arial" w:hAnsi="Arial" w:cs="Arial"/>
          <w:sz w:val="22"/>
          <w:szCs w:val="22"/>
        </w:rPr>
        <w:t>Facilitating roles and responsibilities.</w:t>
      </w:r>
      <w:r>
        <w:rPr>
          <w:rFonts w:ascii="Arial" w:hAnsi="Arial" w:cs="Arial"/>
          <w:sz w:val="22"/>
          <w:szCs w:val="22"/>
        </w:rPr>
        <w:br/>
        <w:t>Residents can be given small roles within the care home, such as helping set tables</w:t>
      </w:r>
      <w:r w:rsidR="00591AC8">
        <w:rPr>
          <w:rFonts w:ascii="Arial" w:hAnsi="Arial" w:cs="Arial"/>
          <w:sz w:val="22"/>
          <w:szCs w:val="22"/>
        </w:rPr>
        <w:t>, welcoming new residents, or assisting with activities. These roles can enhance self-worth and provide a sense of purpose</w:t>
      </w:r>
      <w:r w:rsidR="009A4DE6">
        <w:rPr>
          <w:rFonts w:ascii="Arial" w:hAnsi="Arial" w:cs="Arial"/>
          <w:sz w:val="22"/>
          <w:szCs w:val="22"/>
        </w:rPr>
        <w:t>.</w:t>
      </w:r>
    </w:p>
    <w:p w14:paraId="33131A22" w14:textId="38C1F237" w:rsidR="009A4DE6" w:rsidRDefault="002F3951" w:rsidP="009A4DE6">
      <w:pPr>
        <w:spacing w:line="360" w:lineRule="auto"/>
        <w:rPr>
          <w:rFonts w:ascii="Arial" w:hAnsi="Arial" w:cs="Arial"/>
          <w:sz w:val="22"/>
          <w:szCs w:val="22"/>
          <w:u w:val="single"/>
        </w:rPr>
      </w:pPr>
      <w:r>
        <w:rPr>
          <w:rFonts w:ascii="Arial" w:hAnsi="Arial" w:cs="Arial"/>
          <w:sz w:val="22"/>
          <w:szCs w:val="22"/>
          <w:u w:val="single"/>
        </w:rPr>
        <w:t>Case scenario</w:t>
      </w:r>
    </w:p>
    <w:p w14:paraId="6047D16F" w14:textId="06B15A06" w:rsidR="002F3951" w:rsidRDefault="0057111B" w:rsidP="009A4DE6">
      <w:pPr>
        <w:spacing w:line="360" w:lineRule="auto"/>
        <w:rPr>
          <w:rFonts w:ascii="Arial" w:hAnsi="Arial" w:cs="Arial"/>
          <w:sz w:val="22"/>
          <w:szCs w:val="22"/>
        </w:rPr>
      </w:pPr>
      <w:r>
        <w:rPr>
          <w:rFonts w:ascii="Arial" w:hAnsi="Arial" w:cs="Arial"/>
          <w:sz w:val="22"/>
          <w:szCs w:val="22"/>
        </w:rPr>
        <w:lastRenderedPageBreak/>
        <w:t>N</w:t>
      </w:r>
      <w:r w:rsidR="00A01A35">
        <w:rPr>
          <w:rFonts w:ascii="Arial" w:hAnsi="Arial" w:cs="Arial"/>
          <w:sz w:val="22"/>
          <w:szCs w:val="22"/>
        </w:rPr>
        <w:t xml:space="preserve">ame has been changed for </w:t>
      </w:r>
      <w:r w:rsidR="00FB35B2">
        <w:rPr>
          <w:rFonts w:ascii="Arial" w:hAnsi="Arial" w:cs="Arial"/>
          <w:sz w:val="22"/>
          <w:szCs w:val="22"/>
        </w:rPr>
        <w:t xml:space="preserve">confidentiality </w:t>
      </w:r>
      <w:r w:rsidR="00A01A35">
        <w:rPr>
          <w:rFonts w:ascii="Arial" w:hAnsi="Arial" w:cs="Arial"/>
          <w:sz w:val="22"/>
          <w:szCs w:val="22"/>
        </w:rPr>
        <w:t>reasons</w:t>
      </w:r>
      <w:r w:rsidR="00FB35B2">
        <w:rPr>
          <w:rFonts w:ascii="Arial" w:hAnsi="Arial" w:cs="Arial"/>
          <w:sz w:val="22"/>
          <w:szCs w:val="22"/>
        </w:rPr>
        <w:t>.</w:t>
      </w:r>
      <w:r>
        <w:rPr>
          <w:rFonts w:ascii="Arial" w:hAnsi="Arial" w:cs="Arial"/>
          <w:sz w:val="22"/>
          <w:szCs w:val="22"/>
        </w:rPr>
        <w:t xml:space="preserve"> Mrs Greenwood</w:t>
      </w:r>
      <w:r w:rsidR="003A0814">
        <w:rPr>
          <w:rFonts w:ascii="Arial" w:hAnsi="Arial" w:cs="Arial"/>
          <w:sz w:val="22"/>
          <w:szCs w:val="22"/>
        </w:rPr>
        <w:t xml:space="preserve"> is an 82-year-old resident who recently moved into care home following a fall. Before entering care</w:t>
      </w:r>
      <w:r w:rsidR="001773C2">
        <w:rPr>
          <w:rFonts w:ascii="Arial" w:hAnsi="Arial" w:cs="Arial"/>
          <w:sz w:val="22"/>
          <w:szCs w:val="22"/>
        </w:rPr>
        <w:t xml:space="preserve">, she was actively involved in her community and enjoyed cooking and gardening. After admission, staff noticed that she </w:t>
      </w:r>
      <w:r w:rsidR="00B223FA">
        <w:rPr>
          <w:rFonts w:ascii="Arial" w:hAnsi="Arial" w:cs="Arial"/>
          <w:sz w:val="22"/>
          <w:szCs w:val="22"/>
        </w:rPr>
        <w:t>becomes</w:t>
      </w:r>
      <w:r w:rsidR="001773C2">
        <w:rPr>
          <w:rFonts w:ascii="Arial" w:hAnsi="Arial" w:cs="Arial"/>
          <w:sz w:val="22"/>
          <w:szCs w:val="22"/>
        </w:rPr>
        <w:t xml:space="preserve"> withdrawn</w:t>
      </w:r>
      <w:r w:rsidR="00B223FA">
        <w:rPr>
          <w:rFonts w:ascii="Arial" w:hAnsi="Arial" w:cs="Arial"/>
          <w:sz w:val="22"/>
          <w:szCs w:val="22"/>
        </w:rPr>
        <w:t>, spent most of her time alone, and showed signs of low mood.</w:t>
      </w:r>
    </w:p>
    <w:p w14:paraId="05722C2B" w14:textId="63FED3CB" w:rsidR="00B223FA" w:rsidRDefault="00B223FA" w:rsidP="009A4DE6">
      <w:pPr>
        <w:spacing w:line="360" w:lineRule="auto"/>
        <w:rPr>
          <w:rFonts w:ascii="Arial" w:hAnsi="Arial" w:cs="Arial"/>
          <w:sz w:val="22"/>
          <w:szCs w:val="22"/>
        </w:rPr>
      </w:pPr>
      <w:r>
        <w:rPr>
          <w:rFonts w:ascii="Arial" w:hAnsi="Arial" w:cs="Arial"/>
          <w:sz w:val="22"/>
          <w:szCs w:val="22"/>
        </w:rPr>
        <w:t>Using activity theory</w:t>
      </w:r>
      <w:r w:rsidR="001164E5">
        <w:rPr>
          <w:rFonts w:ascii="Arial" w:hAnsi="Arial" w:cs="Arial"/>
          <w:sz w:val="22"/>
          <w:szCs w:val="22"/>
        </w:rPr>
        <w:t>, staff developed a personalised care plan focused on re engagement</w:t>
      </w:r>
      <w:r w:rsidR="00AE0570">
        <w:rPr>
          <w:rFonts w:ascii="Arial" w:hAnsi="Arial" w:cs="Arial"/>
          <w:sz w:val="22"/>
          <w:szCs w:val="22"/>
        </w:rPr>
        <w:t xml:space="preserve">. Mrs greenwood was encouraged to participate in a weekly gardening group and was invited </w:t>
      </w:r>
      <w:r w:rsidR="00406733">
        <w:rPr>
          <w:rFonts w:ascii="Arial" w:hAnsi="Arial" w:cs="Arial"/>
          <w:sz w:val="22"/>
          <w:szCs w:val="22"/>
        </w:rPr>
        <w:t>to help plan simple meals with the kitchen staff. She was also introduced to another resident with similar interests.</w:t>
      </w:r>
    </w:p>
    <w:p w14:paraId="78DFBD8E" w14:textId="179BC5D1" w:rsidR="00406733" w:rsidRDefault="00406733" w:rsidP="009A4DE6">
      <w:pPr>
        <w:spacing w:line="360" w:lineRule="auto"/>
        <w:rPr>
          <w:rFonts w:ascii="Arial" w:hAnsi="Arial" w:cs="Arial"/>
          <w:sz w:val="22"/>
          <w:szCs w:val="22"/>
        </w:rPr>
      </w:pPr>
      <w:r>
        <w:rPr>
          <w:rFonts w:ascii="Arial" w:hAnsi="Arial" w:cs="Arial"/>
          <w:sz w:val="22"/>
          <w:szCs w:val="22"/>
        </w:rPr>
        <w:t>Over time</w:t>
      </w:r>
      <w:r w:rsidR="008772D8">
        <w:rPr>
          <w:rFonts w:ascii="Arial" w:hAnsi="Arial" w:cs="Arial"/>
          <w:sz w:val="22"/>
          <w:szCs w:val="22"/>
        </w:rPr>
        <w:t xml:space="preserve">, Mrs Greenwood become more socially engaged, began attending group activities regularly, and reported </w:t>
      </w:r>
      <w:r w:rsidR="003B1C05">
        <w:rPr>
          <w:rFonts w:ascii="Arial" w:hAnsi="Arial" w:cs="Arial"/>
          <w:sz w:val="22"/>
          <w:szCs w:val="22"/>
        </w:rPr>
        <w:t xml:space="preserve">feeling happier and more like herself. Her mood </w:t>
      </w:r>
      <w:r w:rsidR="00A1123E">
        <w:rPr>
          <w:rFonts w:ascii="Arial" w:hAnsi="Arial" w:cs="Arial"/>
          <w:sz w:val="22"/>
          <w:szCs w:val="22"/>
        </w:rPr>
        <w:t>improved and</w:t>
      </w:r>
      <w:r w:rsidR="003B1C05">
        <w:rPr>
          <w:rFonts w:ascii="Arial" w:hAnsi="Arial" w:cs="Arial"/>
          <w:sz w:val="22"/>
          <w:szCs w:val="22"/>
        </w:rPr>
        <w:t xml:space="preserve"> developed friendships within the home</w:t>
      </w:r>
      <w:r w:rsidR="00A1123E">
        <w:rPr>
          <w:rFonts w:ascii="Arial" w:hAnsi="Arial" w:cs="Arial"/>
          <w:sz w:val="22"/>
          <w:szCs w:val="22"/>
        </w:rPr>
        <w:t>. This example illustrates how maintaining meaningful activity and social roles can sign</w:t>
      </w:r>
      <w:r w:rsidR="005C6735">
        <w:rPr>
          <w:rFonts w:ascii="Arial" w:hAnsi="Arial" w:cs="Arial"/>
          <w:sz w:val="22"/>
          <w:szCs w:val="22"/>
        </w:rPr>
        <w:t>ificantly enhance psychological wellbeing.</w:t>
      </w:r>
    </w:p>
    <w:p w14:paraId="07D31C61" w14:textId="2F15E5CA" w:rsidR="005C6735" w:rsidRDefault="005C6735" w:rsidP="009A4DE6">
      <w:pPr>
        <w:spacing w:line="360" w:lineRule="auto"/>
        <w:rPr>
          <w:rFonts w:ascii="Arial" w:hAnsi="Arial" w:cs="Arial"/>
          <w:sz w:val="22"/>
          <w:szCs w:val="22"/>
          <w:u w:val="single"/>
        </w:rPr>
      </w:pPr>
      <w:r>
        <w:rPr>
          <w:rFonts w:ascii="Arial" w:hAnsi="Arial" w:cs="Arial"/>
          <w:sz w:val="22"/>
          <w:szCs w:val="22"/>
          <w:u w:val="single"/>
        </w:rPr>
        <w:t>Challenges in applying activity theory.</w:t>
      </w:r>
    </w:p>
    <w:p w14:paraId="07C17D4C" w14:textId="6AE2A3A7" w:rsidR="001346D4" w:rsidRDefault="002E740D" w:rsidP="00456378">
      <w:pPr>
        <w:spacing w:line="360" w:lineRule="auto"/>
        <w:rPr>
          <w:rFonts w:ascii="Arial" w:hAnsi="Arial" w:cs="Arial"/>
          <w:sz w:val="22"/>
          <w:szCs w:val="22"/>
        </w:rPr>
      </w:pPr>
      <w:r>
        <w:rPr>
          <w:rFonts w:ascii="Arial" w:hAnsi="Arial" w:cs="Arial"/>
          <w:sz w:val="22"/>
          <w:szCs w:val="22"/>
        </w:rPr>
        <w:t xml:space="preserve">One key challenge in applying activity theory is that not all residents are physically or cognitively </w:t>
      </w:r>
      <w:r w:rsidR="00C108E6">
        <w:rPr>
          <w:rFonts w:ascii="Arial" w:hAnsi="Arial" w:cs="Arial"/>
          <w:sz w:val="22"/>
          <w:szCs w:val="22"/>
        </w:rPr>
        <w:t xml:space="preserve">able to participate in activities. Conditions such as dementia, mobility </w:t>
      </w:r>
      <w:r w:rsidR="004D35B8">
        <w:rPr>
          <w:rFonts w:ascii="Arial" w:hAnsi="Arial" w:cs="Arial"/>
          <w:sz w:val="22"/>
          <w:szCs w:val="22"/>
        </w:rPr>
        <w:t>limitations, or chronic illness can restrict engagement</w:t>
      </w:r>
      <w:r w:rsidR="00D61CA9">
        <w:rPr>
          <w:rFonts w:ascii="Arial" w:hAnsi="Arial" w:cs="Arial"/>
          <w:sz w:val="22"/>
          <w:szCs w:val="22"/>
        </w:rPr>
        <w:t>, making it difficult to apply a ‘’ one-size-fits-all ‘’</w:t>
      </w:r>
      <w:r w:rsidR="009A66DF">
        <w:rPr>
          <w:rFonts w:ascii="Arial" w:hAnsi="Arial" w:cs="Arial"/>
          <w:sz w:val="22"/>
          <w:szCs w:val="22"/>
        </w:rPr>
        <w:t xml:space="preserve"> approach. Some residents may also lack motivation or feel anxious about joining activities</w:t>
      </w:r>
      <w:r w:rsidR="007A7DE7">
        <w:rPr>
          <w:rFonts w:ascii="Arial" w:hAnsi="Arial" w:cs="Arial"/>
          <w:sz w:val="22"/>
          <w:szCs w:val="22"/>
        </w:rPr>
        <w:t>, particularly if they are newly admitted.</w:t>
      </w:r>
    </w:p>
    <w:p w14:paraId="772011DC" w14:textId="45B3D3AB" w:rsidR="007A7DE7" w:rsidRDefault="006737F7" w:rsidP="00456378">
      <w:pPr>
        <w:spacing w:line="360" w:lineRule="auto"/>
        <w:rPr>
          <w:rFonts w:ascii="Arial" w:hAnsi="Arial" w:cs="Arial"/>
          <w:sz w:val="22"/>
          <w:szCs w:val="22"/>
          <w:u w:val="single"/>
        </w:rPr>
      </w:pPr>
      <w:r>
        <w:rPr>
          <w:rFonts w:ascii="Arial" w:hAnsi="Arial" w:cs="Arial"/>
          <w:sz w:val="22"/>
          <w:szCs w:val="22"/>
          <w:u w:val="single"/>
        </w:rPr>
        <w:t>Strategy to overcome the challenges.</w:t>
      </w:r>
    </w:p>
    <w:p w14:paraId="1AD98F5B" w14:textId="2377BD4E" w:rsidR="006737F7" w:rsidRDefault="00B40EDA" w:rsidP="00456378">
      <w:pPr>
        <w:spacing w:line="360" w:lineRule="auto"/>
        <w:rPr>
          <w:rFonts w:ascii="Arial" w:hAnsi="Arial" w:cs="Arial"/>
          <w:sz w:val="22"/>
          <w:szCs w:val="22"/>
        </w:rPr>
      </w:pPr>
      <w:r>
        <w:rPr>
          <w:rFonts w:ascii="Arial" w:hAnsi="Arial" w:cs="Arial"/>
          <w:sz w:val="22"/>
          <w:szCs w:val="22"/>
        </w:rPr>
        <w:t>To address this challenge, professionals should adopt a person</w:t>
      </w:r>
      <w:r w:rsidR="0051626B">
        <w:rPr>
          <w:rFonts w:ascii="Arial" w:hAnsi="Arial" w:cs="Arial"/>
          <w:sz w:val="22"/>
          <w:szCs w:val="22"/>
        </w:rPr>
        <w:t xml:space="preserve">-centred </w:t>
      </w:r>
      <w:r w:rsidR="00414388">
        <w:rPr>
          <w:rFonts w:ascii="Arial" w:hAnsi="Arial" w:cs="Arial"/>
          <w:sz w:val="22"/>
          <w:szCs w:val="22"/>
        </w:rPr>
        <w:t>and flexible approach. Activities should be adapted to meet individual abilities and needs rather than expecting residents to fit into standard</w:t>
      </w:r>
      <w:r w:rsidR="004B465F">
        <w:rPr>
          <w:rFonts w:ascii="Arial" w:hAnsi="Arial" w:cs="Arial"/>
          <w:sz w:val="22"/>
          <w:szCs w:val="22"/>
        </w:rPr>
        <w:t xml:space="preserve"> programmes for example:</w:t>
      </w:r>
    </w:p>
    <w:p w14:paraId="555A4CD1" w14:textId="33C48A8B" w:rsidR="004B465F" w:rsidRDefault="004B465F" w:rsidP="004B465F">
      <w:pPr>
        <w:pStyle w:val="ListParagraph"/>
        <w:numPr>
          <w:ilvl w:val="0"/>
          <w:numId w:val="2"/>
        </w:numPr>
        <w:spacing w:line="360" w:lineRule="auto"/>
        <w:rPr>
          <w:rFonts w:ascii="Arial" w:hAnsi="Arial" w:cs="Arial"/>
          <w:sz w:val="22"/>
          <w:szCs w:val="22"/>
        </w:rPr>
      </w:pPr>
      <w:r>
        <w:rPr>
          <w:rFonts w:ascii="Arial" w:hAnsi="Arial" w:cs="Arial"/>
          <w:sz w:val="22"/>
          <w:szCs w:val="22"/>
        </w:rPr>
        <w:t xml:space="preserve">For residents with limited mobility, activities can be modified </w:t>
      </w:r>
      <w:r w:rsidR="007409C1">
        <w:rPr>
          <w:rFonts w:ascii="Arial" w:hAnsi="Arial" w:cs="Arial"/>
          <w:sz w:val="22"/>
          <w:szCs w:val="22"/>
        </w:rPr>
        <w:t>for example seated exercise or tabletop gardening.</w:t>
      </w:r>
    </w:p>
    <w:p w14:paraId="2C171C82" w14:textId="436F555E" w:rsidR="007409C1" w:rsidRDefault="007409C1" w:rsidP="004B465F">
      <w:pPr>
        <w:pStyle w:val="ListParagraph"/>
        <w:numPr>
          <w:ilvl w:val="0"/>
          <w:numId w:val="2"/>
        </w:numPr>
        <w:spacing w:line="360" w:lineRule="auto"/>
        <w:rPr>
          <w:rFonts w:ascii="Arial" w:hAnsi="Arial" w:cs="Arial"/>
          <w:sz w:val="22"/>
          <w:szCs w:val="22"/>
        </w:rPr>
      </w:pPr>
      <w:r>
        <w:rPr>
          <w:rFonts w:ascii="Arial" w:hAnsi="Arial" w:cs="Arial"/>
          <w:sz w:val="22"/>
          <w:szCs w:val="22"/>
        </w:rPr>
        <w:t>For individuals with dementia, sensory</w:t>
      </w:r>
      <w:r w:rsidR="00EE331C">
        <w:rPr>
          <w:rFonts w:ascii="Arial" w:hAnsi="Arial" w:cs="Arial"/>
          <w:sz w:val="22"/>
          <w:szCs w:val="22"/>
        </w:rPr>
        <w:t xml:space="preserve"> based activities such as music therapy or reminiscence sessions can be more appropriate</w:t>
      </w:r>
      <w:r w:rsidR="00013851">
        <w:rPr>
          <w:rFonts w:ascii="Arial" w:hAnsi="Arial" w:cs="Arial"/>
          <w:sz w:val="22"/>
          <w:szCs w:val="22"/>
        </w:rPr>
        <w:t>.</w:t>
      </w:r>
    </w:p>
    <w:p w14:paraId="1632330D" w14:textId="253C15A8" w:rsidR="00013851" w:rsidRDefault="00013851" w:rsidP="00013851">
      <w:pPr>
        <w:pStyle w:val="ListParagraph"/>
        <w:numPr>
          <w:ilvl w:val="0"/>
          <w:numId w:val="2"/>
        </w:numPr>
        <w:spacing w:line="360" w:lineRule="auto"/>
        <w:rPr>
          <w:rFonts w:ascii="Arial" w:hAnsi="Arial" w:cs="Arial"/>
          <w:sz w:val="22"/>
          <w:szCs w:val="22"/>
        </w:rPr>
      </w:pPr>
      <w:r>
        <w:rPr>
          <w:rFonts w:ascii="Arial" w:hAnsi="Arial" w:cs="Arial"/>
          <w:sz w:val="22"/>
          <w:szCs w:val="22"/>
        </w:rPr>
        <w:t>One to one engagement may be used for those who feel overwhelmed by group settings.</w:t>
      </w:r>
    </w:p>
    <w:p w14:paraId="5DEC3A90" w14:textId="4897FDC4" w:rsidR="00F22D68" w:rsidRDefault="00F22D68" w:rsidP="00F22D68">
      <w:pPr>
        <w:spacing w:line="360" w:lineRule="auto"/>
        <w:rPr>
          <w:rFonts w:ascii="Arial" w:hAnsi="Arial" w:cs="Arial"/>
          <w:sz w:val="22"/>
          <w:szCs w:val="22"/>
        </w:rPr>
      </w:pPr>
      <w:r>
        <w:rPr>
          <w:rFonts w:ascii="Arial" w:hAnsi="Arial" w:cs="Arial"/>
          <w:sz w:val="22"/>
          <w:szCs w:val="22"/>
        </w:rPr>
        <w:t xml:space="preserve">Additionally, building trusting relationships is essential. Staff should take time to understand each </w:t>
      </w:r>
      <w:r w:rsidR="00631881">
        <w:rPr>
          <w:rFonts w:ascii="Arial" w:hAnsi="Arial" w:cs="Arial"/>
          <w:sz w:val="22"/>
          <w:szCs w:val="22"/>
        </w:rPr>
        <w:t>resident’s</w:t>
      </w:r>
      <w:r>
        <w:rPr>
          <w:rFonts w:ascii="Arial" w:hAnsi="Arial" w:cs="Arial"/>
          <w:sz w:val="22"/>
          <w:szCs w:val="22"/>
        </w:rPr>
        <w:t xml:space="preserve"> life history, preferences, and abilities</w:t>
      </w:r>
      <w:r w:rsidR="00166AB2">
        <w:rPr>
          <w:rFonts w:ascii="Arial" w:hAnsi="Arial" w:cs="Arial"/>
          <w:sz w:val="22"/>
          <w:szCs w:val="22"/>
        </w:rPr>
        <w:t xml:space="preserve">, gradually encouraging participation rather than </w:t>
      </w:r>
      <w:r w:rsidR="00631881">
        <w:rPr>
          <w:rFonts w:ascii="Arial" w:hAnsi="Arial" w:cs="Arial"/>
          <w:sz w:val="22"/>
          <w:szCs w:val="22"/>
        </w:rPr>
        <w:t>forcing it. Small successes can build confidence and increase willingness to engage over time.</w:t>
      </w:r>
    </w:p>
    <w:p w14:paraId="446E0C33" w14:textId="393A8E21" w:rsidR="00A410A2" w:rsidRDefault="00A410A2" w:rsidP="00F22D68">
      <w:pPr>
        <w:spacing w:line="360" w:lineRule="auto"/>
        <w:rPr>
          <w:rFonts w:ascii="Arial" w:hAnsi="Arial" w:cs="Arial"/>
          <w:sz w:val="22"/>
          <w:szCs w:val="22"/>
          <w:u w:val="single"/>
        </w:rPr>
      </w:pPr>
      <w:r>
        <w:rPr>
          <w:rFonts w:ascii="Arial" w:hAnsi="Arial" w:cs="Arial"/>
          <w:sz w:val="22"/>
          <w:szCs w:val="22"/>
          <w:u w:val="single"/>
        </w:rPr>
        <w:lastRenderedPageBreak/>
        <w:t>Conclusion.</w:t>
      </w:r>
    </w:p>
    <w:p w14:paraId="1ADCA1EF" w14:textId="767F5E4E" w:rsidR="002746C7" w:rsidRDefault="002746C7" w:rsidP="00F22D68">
      <w:pPr>
        <w:spacing w:line="360" w:lineRule="auto"/>
        <w:rPr>
          <w:rFonts w:ascii="Arial" w:hAnsi="Arial" w:cs="Arial"/>
          <w:sz w:val="22"/>
          <w:szCs w:val="22"/>
        </w:rPr>
      </w:pPr>
      <w:r>
        <w:rPr>
          <w:rFonts w:ascii="Arial" w:hAnsi="Arial" w:cs="Arial"/>
          <w:sz w:val="22"/>
          <w:szCs w:val="22"/>
        </w:rPr>
        <w:t>Havighurst’s activity theory provides a valuable framework for improving psychological wellbeing in older adults living in residential care. By promoting meaningful activity</w:t>
      </w:r>
      <w:r w:rsidR="003C765C">
        <w:rPr>
          <w:rFonts w:ascii="Arial" w:hAnsi="Arial" w:cs="Arial"/>
          <w:sz w:val="22"/>
          <w:szCs w:val="22"/>
        </w:rPr>
        <w:t>, social interaction, and a sense of purpose, health and social care professionals can</w:t>
      </w:r>
      <w:r w:rsidR="00A8076F">
        <w:rPr>
          <w:rFonts w:ascii="Arial" w:hAnsi="Arial" w:cs="Arial"/>
          <w:sz w:val="22"/>
          <w:szCs w:val="22"/>
        </w:rPr>
        <w:t xml:space="preserve"> help residents maintain identity and enhance quality of life. While challenging such as </w:t>
      </w:r>
      <w:r w:rsidR="00E15925">
        <w:rPr>
          <w:rFonts w:ascii="Arial" w:hAnsi="Arial" w:cs="Arial"/>
          <w:sz w:val="22"/>
          <w:szCs w:val="22"/>
        </w:rPr>
        <w:t xml:space="preserve">physical or cognitive limitations exist, these can be addressed </w:t>
      </w:r>
      <w:r w:rsidR="00E344CB">
        <w:rPr>
          <w:rFonts w:ascii="Arial" w:hAnsi="Arial" w:cs="Arial"/>
          <w:sz w:val="22"/>
          <w:szCs w:val="22"/>
        </w:rPr>
        <w:t xml:space="preserve">through personalised and adaptable approaches. Ultimately, applying activity theory supports a more holistic, person-centred model of care that recognises </w:t>
      </w:r>
      <w:r w:rsidR="009A68E4">
        <w:rPr>
          <w:rFonts w:ascii="Arial" w:hAnsi="Arial" w:cs="Arial"/>
          <w:sz w:val="22"/>
          <w:szCs w:val="22"/>
        </w:rPr>
        <w:t>the importance of active engagement in later life.</w:t>
      </w:r>
    </w:p>
    <w:p w14:paraId="4E6D02D0" w14:textId="77777777" w:rsidR="009A68E4" w:rsidRPr="00A410A2" w:rsidRDefault="009A68E4" w:rsidP="00F22D68">
      <w:pPr>
        <w:spacing w:line="360" w:lineRule="auto"/>
        <w:rPr>
          <w:rFonts w:ascii="Arial" w:hAnsi="Arial" w:cs="Arial"/>
          <w:sz w:val="22"/>
          <w:szCs w:val="22"/>
        </w:rPr>
      </w:pPr>
    </w:p>
    <w:p w14:paraId="20DBAA8A" w14:textId="77777777" w:rsidR="00A410A2" w:rsidRPr="00A410A2" w:rsidRDefault="00A410A2" w:rsidP="00F22D68">
      <w:pPr>
        <w:spacing w:line="360" w:lineRule="auto"/>
        <w:rPr>
          <w:rFonts w:ascii="Arial" w:hAnsi="Arial" w:cs="Arial"/>
          <w:sz w:val="22"/>
          <w:szCs w:val="22"/>
        </w:rPr>
      </w:pPr>
    </w:p>
    <w:p w14:paraId="423FAF08" w14:textId="77777777" w:rsidR="00E760E4" w:rsidRPr="00E760E4" w:rsidRDefault="00E760E4" w:rsidP="00456378">
      <w:pPr>
        <w:spacing w:line="360" w:lineRule="auto"/>
        <w:rPr>
          <w:rFonts w:ascii="Arial" w:hAnsi="Arial" w:cs="Arial"/>
          <w:sz w:val="22"/>
          <w:szCs w:val="22"/>
          <w:u w:val="single"/>
        </w:rPr>
      </w:pPr>
    </w:p>
    <w:p w14:paraId="2643159E" w14:textId="77777777" w:rsidR="00011E8B" w:rsidRDefault="00011E8B" w:rsidP="00456378">
      <w:pPr>
        <w:spacing w:line="360" w:lineRule="auto"/>
        <w:rPr>
          <w:rFonts w:ascii="Arial" w:hAnsi="Arial" w:cs="Arial"/>
          <w:sz w:val="22"/>
          <w:szCs w:val="22"/>
        </w:rPr>
      </w:pPr>
    </w:p>
    <w:p w14:paraId="24E2EC72" w14:textId="77777777" w:rsidR="00E760E4" w:rsidRDefault="00E760E4" w:rsidP="00456378">
      <w:pPr>
        <w:spacing w:line="360" w:lineRule="auto"/>
        <w:rPr>
          <w:rFonts w:ascii="Arial" w:hAnsi="Arial" w:cs="Arial"/>
          <w:sz w:val="22"/>
          <w:szCs w:val="22"/>
        </w:rPr>
      </w:pPr>
    </w:p>
    <w:p w14:paraId="7849AAF9" w14:textId="77777777" w:rsidR="001F72D5" w:rsidRDefault="001F72D5" w:rsidP="00456378">
      <w:pPr>
        <w:spacing w:line="360" w:lineRule="auto"/>
        <w:rPr>
          <w:rFonts w:ascii="Arial" w:hAnsi="Arial" w:cs="Arial"/>
          <w:sz w:val="22"/>
          <w:szCs w:val="22"/>
        </w:rPr>
      </w:pPr>
    </w:p>
    <w:p w14:paraId="1BFF4DAA" w14:textId="77777777" w:rsidR="001F72D5" w:rsidRDefault="001F72D5" w:rsidP="00456378">
      <w:pPr>
        <w:spacing w:line="360" w:lineRule="auto"/>
        <w:rPr>
          <w:rFonts w:ascii="Arial" w:hAnsi="Arial" w:cs="Arial"/>
          <w:sz w:val="22"/>
          <w:szCs w:val="22"/>
        </w:rPr>
      </w:pPr>
    </w:p>
    <w:p w14:paraId="6060F14B" w14:textId="77777777" w:rsidR="008D21A6" w:rsidRPr="00DC1F6E" w:rsidRDefault="008D21A6" w:rsidP="00456378">
      <w:pPr>
        <w:spacing w:line="360" w:lineRule="auto"/>
        <w:rPr>
          <w:rFonts w:ascii="Arial" w:hAnsi="Arial" w:cs="Arial"/>
          <w:sz w:val="22"/>
          <w:szCs w:val="22"/>
        </w:rPr>
      </w:pPr>
    </w:p>
    <w:p w14:paraId="441378FE" w14:textId="7116ED06" w:rsidR="00DC1F6E" w:rsidRPr="00DC1F6E" w:rsidRDefault="00DC1F6E" w:rsidP="00456378">
      <w:pPr>
        <w:spacing w:line="360" w:lineRule="auto"/>
        <w:rPr>
          <w:rFonts w:ascii="Arial" w:hAnsi="Arial" w:cs="Arial"/>
          <w:sz w:val="22"/>
          <w:szCs w:val="22"/>
        </w:rPr>
      </w:pPr>
      <w:r>
        <w:rPr>
          <w:rFonts w:ascii="Arial" w:hAnsi="Arial" w:cs="Arial"/>
          <w:sz w:val="22"/>
          <w:szCs w:val="22"/>
        </w:rPr>
        <w:br/>
      </w:r>
    </w:p>
    <w:p w14:paraId="1E7F2E6F" w14:textId="06A05FFE" w:rsidR="00344A3B" w:rsidRPr="00344A3B" w:rsidRDefault="00344A3B" w:rsidP="00456378">
      <w:pPr>
        <w:spacing w:line="360" w:lineRule="auto"/>
        <w:rPr>
          <w:rFonts w:ascii="Arial" w:hAnsi="Arial" w:cs="Arial"/>
          <w:sz w:val="22"/>
          <w:szCs w:val="22"/>
        </w:rPr>
      </w:pPr>
      <w:r>
        <w:rPr>
          <w:rFonts w:ascii="Arial" w:hAnsi="Arial" w:cs="Arial"/>
          <w:sz w:val="22"/>
          <w:szCs w:val="22"/>
        </w:rPr>
        <w:t xml:space="preserve"> </w:t>
      </w:r>
    </w:p>
    <w:p w14:paraId="2B11AF72" w14:textId="77777777" w:rsidR="00BD39FA" w:rsidRPr="00BD39FA" w:rsidRDefault="00BD39FA" w:rsidP="00456378">
      <w:pPr>
        <w:spacing w:line="360" w:lineRule="auto"/>
        <w:rPr>
          <w:rFonts w:ascii="Arial" w:hAnsi="Arial" w:cs="Arial"/>
          <w:sz w:val="22"/>
          <w:szCs w:val="22"/>
        </w:rPr>
      </w:pPr>
    </w:p>
    <w:p w14:paraId="0042DD40" w14:textId="77777777" w:rsidR="00456378" w:rsidRPr="00456378" w:rsidRDefault="00456378" w:rsidP="00456378">
      <w:pPr>
        <w:rPr>
          <w:rFonts w:ascii="Arial" w:hAnsi="Arial" w:cs="Arial"/>
          <w:sz w:val="22"/>
          <w:szCs w:val="22"/>
        </w:rPr>
      </w:pPr>
    </w:p>
    <w:sectPr w:rsidR="00456378" w:rsidRPr="00456378" w:rsidSect="00456378">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13FFC" w14:textId="77777777" w:rsidR="00024F64" w:rsidRDefault="00024F64" w:rsidP="00456378">
      <w:pPr>
        <w:spacing w:after="0" w:line="240" w:lineRule="auto"/>
      </w:pPr>
      <w:r>
        <w:separator/>
      </w:r>
    </w:p>
  </w:endnote>
  <w:endnote w:type="continuationSeparator" w:id="0">
    <w:p w14:paraId="710DA4FE" w14:textId="77777777" w:rsidR="00024F64" w:rsidRDefault="00024F64" w:rsidP="004563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78556A" w14:textId="77777777" w:rsidR="008D21A6" w:rsidRDefault="008D21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5996069"/>
      <w:docPartObj>
        <w:docPartGallery w:val="Page Numbers (Bottom of Page)"/>
        <w:docPartUnique/>
      </w:docPartObj>
    </w:sdtPr>
    <w:sdtEndPr>
      <w:rPr>
        <w:noProof/>
      </w:rPr>
    </w:sdtEndPr>
    <w:sdtContent>
      <w:p w14:paraId="57C7F9C7" w14:textId="2730CD29" w:rsidR="008D21A6" w:rsidRDefault="008D21A6">
        <w:pPr>
          <w:pStyle w:val="Footer"/>
        </w:pPr>
        <w:r>
          <w:fldChar w:fldCharType="begin"/>
        </w:r>
        <w:r>
          <w:instrText xml:space="preserve"> PAGE   \* MERGEFORMAT </w:instrText>
        </w:r>
        <w:r>
          <w:fldChar w:fldCharType="separate"/>
        </w:r>
        <w:r>
          <w:rPr>
            <w:noProof/>
          </w:rPr>
          <w:t>2</w:t>
        </w:r>
        <w:r>
          <w:rPr>
            <w:noProof/>
          </w:rPr>
          <w:fldChar w:fldCharType="end"/>
        </w:r>
      </w:p>
    </w:sdtContent>
  </w:sdt>
  <w:p w14:paraId="461A3FB7" w14:textId="77777777" w:rsidR="00456378" w:rsidRDefault="004563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5C0983" w14:textId="77777777" w:rsidR="008D21A6" w:rsidRDefault="008D21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88F7AA" w14:textId="77777777" w:rsidR="00024F64" w:rsidRDefault="00024F64" w:rsidP="00456378">
      <w:pPr>
        <w:spacing w:after="0" w:line="240" w:lineRule="auto"/>
      </w:pPr>
      <w:r>
        <w:separator/>
      </w:r>
    </w:p>
  </w:footnote>
  <w:footnote w:type="continuationSeparator" w:id="0">
    <w:p w14:paraId="03040A31" w14:textId="77777777" w:rsidR="00024F64" w:rsidRDefault="00024F64" w:rsidP="004563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FC84F8" w14:textId="77777777" w:rsidR="008D21A6" w:rsidRDefault="008D21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6AD0C5" w14:textId="77777777" w:rsidR="008D21A6" w:rsidRDefault="008D21A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6608A" w14:textId="77777777" w:rsidR="008D21A6" w:rsidRDefault="008D21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9D246C"/>
    <w:multiLevelType w:val="hybridMultilevel"/>
    <w:tmpl w:val="9FBC5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A95EBA"/>
    <w:multiLevelType w:val="hybridMultilevel"/>
    <w:tmpl w:val="8782F9CE"/>
    <w:lvl w:ilvl="0" w:tplc="F8DCAD08">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81190928">
    <w:abstractNumId w:val="0"/>
  </w:num>
  <w:num w:numId="2" w16cid:durableId="13324152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378"/>
    <w:rsid w:val="000027C9"/>
    <w:rsid w:val="00011E8B"/>
    <w:rsid w:val="00013851"/>
    <w:rsid w:val="00014244"/>
    <w:rsid w:val="00024F64"/>
    <w:rsid w:val="00054886"/>
    <w:rsid w:val="00077001"/>
    <w:rsid w:val="00077D35"/>
    <w:rsid w:val="001164E5"/>
    <w:rsid w:val="001346D4"/>
    <w:rsid w:val="00166AB2"/>
    <w:rsid w:val="001773C2"/>
    <w:rsid w:val="001837CC"/>
    <w:rsid w:val="001958C6"/>
    <w:rsid w:val="001F72D5"/>
    <w:rsid w:val="002746C7"/>
    <w:rsid w:val="002A273B"/>
    <w:rsid w:val="002E740D"/>
    <w:rsid w:val="002F3951"/>
    <w:rsid w:val="002F3BDB"/>
    <w:rsid w:val="00314934"/>
    <w:rsid w:val="00344A3B"/>
    <w:rsid w:val="0035619F"/>
    <w:rsid w:val="003A0814"/>
    <w:rsid w:val="003B1C05"/>
    <w:rsid w:val="003C765C"/>
    <w:rsid w:val="0040311E"/>
    <w:rsid w:val="00406733"/>
    <w:rsid w:val="00414388"/>
    <w:rsid w:val="00422B0E"/>
    <w:rsid w:val="00430439"/>
    <w:rsid w:val="00444CA7"/>
    <w:rsid w:val="00456378"/>
    <w:rsid w:val="004B465F"/>
    <w:rsid w:val="004C47AC"/>
    <w:rsid w:val="004D35B8"/>
    <w:rsid w:val="00511C08"/>
    <w:rsid w:val="0051626B"/>
    <w:rsid w:val="0057111B"/>
    <w:rsid w:val="00591AC8"/>
    <w:rsid w:val="005B5213"/>
    <w:rsid w:val="005C6735"/>
    <w:rsid w:val="005D32DB"/>
    <w:rsid w:val="005E57BC"/>
    <w:rsid w:val="00631881"/>
    <w:rsid w:val="006701D1"/>
    <w:rsid w:val="006737F7"/>
    <w:rsid w:val="006970EC"/>
    <w:rsid w:val="006A7634"/>
    <w:rsid w:val="006C580B"/>
    <w:rsid w:val="007409C1"/>
    <w:rsid w:val="007A7DE7"/>
    <w:rsid w:val="007E5A00"/>
    <w:rsid w:val="008040C1"/>
    <w:rsid w:val="00835EC3"/>
    <w:rsid w:val="008531B7"/>
    <w:rsid w:val="008772D8"/>
    <w:rsid w:val="008B1690"/>
    <w:rsid w:val="008B27E2"/>
    <w:rsid w:val="008C3E1B"/>
    <w:rsid w:val="008C6675"/>
    <w:rsid w:val="008D21A6"/>
    <w:rsid w:val="00946037"/>
    <w:rsid w:val="009656BF"/>
    <w:rsid w:val="00970E20"/>
    <w:rsid w:val="009A4DE5"/>
    <w:rsid w:val="009A4DE6"/>
    <w:rsid w:val="009A66DF"/>
    <w:rsid w:val="009A68E4"/>
    <w:rsid w:val="00A01A35"/>
    <w:rsid w:val="00A1123E"/>
    <w:rsid w:val="00A410A2"/>
    <w:rsid w:val="00A8076F"/>
    <w:rsid w:val="00AA2581"/>
    <w:rsid w:val="00AE0570"/>
    <w:rsid w:val="00AE2E90"/>
    <w:rsid w:val="00B223FA"/>
    <w:rsid w:val="00B40EDA"/>
    <w:rsid w:val="00B90D7D"/>
    <w:rsid w:val="00BC48E1"/>
    <w:rsid w:val="00BD39FA"/>
    <w:rsid w:val="00C108E6"/>
    <w:rsid w:val="00C56DF7"/>
    <w:rsid w:val="00C8142C"/>
    <w:rsid w:val="00D47E6F"/>
    <w:rsid w:val="00D61CA9"/>
    <w:rsid w:val="00DC1F6E"/>
    <w:rsid w:val="00E15925"/>
    <w:rsid w:val="00E344CB"/>
    <w:rsid w:val="00E760E4"/>
    <w:rsid w:val="00E8112D"/>
    <w:rsid w:val="00EC50D1"/>
    <w:rsid w:val="00EE331C"/>
    <w:rsid w:val="00F22D68"/>
    <w:rsid w:val="00F354A2"/>
    <w:rsid w:val="00F35B7B"/>
    <w:rsid w:val="00FB35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CE8CE"/>
  <w15:chartTrackingRefBased/>
  <w15:docId w15:val="{CBEA0BD6-88E2-41E8-BC2C-CCEA7AC32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3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63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63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63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63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63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3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3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3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3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63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63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63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63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63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3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3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378"/>
    <w:rPr>
      <w:rFonts w:eastAsiaTheme="majorEastAsia" w:cstheme="majorBidi"/>
      <w:color w:val="272727" w:themeColor="text1" w:themeTint="D8"/>
    </w:rPr>
  </w:style>
  <w:style w:type="paragraph" w:styleId="Title">
    <w:name w:val="Title"/>
    <w:basedOn w:val="Normal"/>
    <w:next w:val="Normal"/>
    <w:link w:val="TitleChar"/>
    <w:uiPriority w:val="10"/>
    <w:qFormat/>
    <w:rsid w:val="004563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3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3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3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378"/>
    <w:pPr>
      <w:spacing w:before="160"/>
      <w:jc w:val="center"/>
    </w:pPr>
    <w:rPr>
      <w:i/>
      <w:iCs/>
      <w:color w:val="404040" w:themeColor="text1" w:themeTint="BF"/>
    </w:rPr>
  </w:style>
  <w:style w:type="character" w:customStyle="1" w:styleId="QuoteChar">
    <w:name w:val="Quote Char"/>
    <w:basedOn w:val="DefaultParagraphFont"/>
    <w:link w:val="Quote"/>
    <w:uiPriority w:val="29"/>
    <w:rsid w:val="00456378"/>
    <w:rPr>
      <w:i/>
      <w:iCs/>
      <w:color w:val="404040" w:themeColor="text1" w:themeTint="BF"/>
    </w:rPr>
  </w:style>
  <w:style w:type="paragraph" w:styleId="ListParagraph">
    <w:name w:val="List Paragraph"/>
    <w:basedOn w:val="Normal"/>
    <w:uiPriority w:val="34"/>
    <w:qFormat/>
    <w:rsid w:val="00456378"/>
    <w:pPr>
      <w:ind w:left="720"/>
      <w:contextualSpacing/>
    </w:pPr>
  </w:style>
  <w:style w:type="character" w:styleId="IntenseEmphasis">
    <w:name w:val="Intense Emphasis"/>
    <w:basedOn w:val="DefaultParagraphFont"/>
    <w:uiPriority w:val="21"/>
    <w:qFormat/>
    <w:rsid w:val="00456378"/>
    <w:rPr>
      <w:i/>
      <w:iCs/>
      <w:color w:val="0F4761" w:themeColor="accent1" w:themeShade="BF"/>
    </w:rPr>
  </w:style>
  <w:style w:type="paragraph" w:styleId="IntenseQuote">
    <w:name w:val="Intense Quote"/>
    <w:basedOn w:val="Normal"/>
    <w:next w:val="Normal"/>
    <w:link w:val="IntenseQuoteChar"/>
    <w:uiPriority w:val="30"/>
    <w:qFormat/>
    <w:rsid w:val="004563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6378"/>
    <w:rPr>
      <w:i/>
      <w:iCs/>
      <w:color w:val="0F4761" w:themeColor="accent1" w:themeShade="BF"/>
    </w:rPr>
  </w:style>
  <w:style w:type="character" w:styleId="IntenseReference">
    <w:name w:val="Intense Reference"/>
    <w:basedOn w:val="DefaultParagraphFont"/>
    <w:uiPriority w:val="32"/>
    <w:qFormat/>
    <w:rsid w:val="00456378"/>
    <w:rPr>
      <w:b/>
      <w:bCs/>
      <w:smallCaps/>
      <w:color w:val="0F4761" w:themeColor="accent1" w:themeShade="BF"/>
      <w:spacing w:val="5"/>
    </w:rPr>
  </w:style>
  <w:style w:type="paragraph" w:styleId="Header">
    <w:name w:val="header"/>
    <w:basedOn w:val="Normal"/>
    <w:link w:val="HeaderChar"/>
    <w:uiPriority w:val="99"/>
    <w:unhideWhenUsed/>
    <w:rsid w:val="004563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378"/>
  </w:style>
  <w:style w:type="paragraph" w:styleId="Footer">
    <w:name w:val="footer"/>
    <w:basedOn w:val="Normal"/>
    <w:link w:val="FooterChar"/>
    <w:uiPriority w:val="99"/>
    <w:unhideWhenUsed/>
    <w:rsid w:val="004563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3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TotalTime>
  <Pages>7</Pages>
  <Words>1677</Words>
  <Characters>9561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underhill</dc:creator>
  <cp:keywords/>
  <dc:description/>
  <cp:lastModifiedBy>jade underhill</cp:lastModifiedBy>
  <cp:revision>85</cp:revision>
  <dcterms:created xsi:type="dcterms:W3CDTF">2026-03-25T21:31:00Z</dcterms:created>
  <dcterms:modified xsi:type="dcterms:W3CDTF">2026-03-25T23:49:00Z</dcterms:modified>
</cp:coreProperties>
</file>