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12933DB" w:rsidP="419CB688" w:rsidRDefault="212933DB" w14:paraId="5B3B0471" w14:textId="7BDDB718">
      <w:pPr>
        <w:pStyle w:val="Normal"/>
        <w:shd w:val="clear" w:color="auto" w:fill="FFFFFF" w:themeFill="background1"/>
        <w:spacing w:before="0" w:beforeAutospacing="off" w:after="195" w:afterAutospacing="off"/>
        <w:jc w:val="left"/>
        <w:rPr>
          <w:u w:val="none"/>
        </w:rPr>
      </w:pPr>
      <w:r w:rsidR="212933DB">
        <w:rPr>
          <w:u w:val="none"/>
        </w:rPr>
        <w:t>Lilly Mainwaring</w:t>
      </w:r>
    </w:p>
    <w:p w:rsidR="212933DB" w:rsidP="419CB688" w:rsidRDefault="212933DB" w14:paraId="4B108BF6" w14:textId="5D29D7FE">
      <w:pPr>
        <w:pStyle w:val="Normal"/>
        <w:shd w:val="clear" w:color="auto" w:fill="FFFFFF" w:themeFill="background1"/>
        <w:spacing w:before="0" w:beforeAutospacing="off" w:after="195" w:afterAutospacing="off"/>
        <w:jc w:val="left"/>
        <w:rPr>
          <w:u w:val="none"/>
        </w:rPr>
      </w:pPr>
      <w:r w:rsidR="212933DB">
        <w:rPr>
          <w:u w:val="none"/>
        </w:rPr>
        <w:t>Student Number- 2416930</w:t>
      </w:r>
    </w:p>
    <w:p w:rsidR="212933DB" w:rsidP="419CB688" w:rsidRDefault="212933DB" w14:paraId="55300581" w14:textId="51AE2E00">
      <w:pPr>
        <w:pStyle w:val="Normal"/>
        <w:shd w:val="clear" w:color="auto" w:fill="FFFFFF" w:themeFill="background1"/>
        <w:spacing w:before="0" w:beforeAutospacing="off" w:after="195" w:afterAutospacing="off"/>
        <w:jc w:val="left"/>
        <w:rPr>
          <w:u w:val="none"/>
        </w:rPr>
      </w:pPr>
      <w:r w:rsidR="212933DB">
        <w:rPr>
          <w:u w:val="none"/>
        </w:rPr>
        <w:t>Module Code- BMLW4014</w:t>
      </w:r>
    </w:p>
    <w:p w:rsidR="419CB688" w:rsidP="419CB688" w:rsidRDefault="419CB688" w14:paraId="34DC4667" w14:textId="5627F1DA">
      <w:pPr>
        <w:pStyle w:val="Normal"/>
        <w:shd w:val="clear" w:color="auto" w:fill="FFFFFF" w:themeFill="background1"/>
        <w:spacing w:before="0" w:beforeAutospacing="off" w:after="195" w:afterAutospacing="off"/>
        <w:jc w:val="left"/>
        <w:rPr>
          <w:u w:val="none"/>
        </w:rPr>
      </w:pPr>
    </w:p>
    <w:p w:rsidR="4C135B00" w:rsidP="419CB688" w:rsidRDefault="4C135B00" w14:paraId="588ACD22" w14:textId="0E640F19">
      <w:pPr>
        <w:pStyle w:val="Normal"/>
        <w:shd w:val="clear" w:color="auto" w:fill="FFFFFF" w:themeFill="background1"/>
        <w:spacing w:before="0" w:beforeAutospacing="off" w:after="195" w:afterAutospacing="off"/>
        <w:jc w:val="center"/>
        <w:rPr>
          <w:u w:val="single"/>
        </w:rPr>
      </w:pPr>
      <w:r w:rsidRPr="419CB688" w:rsidR="4C135B00">
        <w:rPr>
          <w:u w:val="single"/>
        </w:rPr>
        <w:t>Evaluate the need for the Defamation Act 2013</w:t>
      </w:r>
    </w:p>
    <w:p w:rsidR="419CB688" w:rsidP="419CB688" w:rsidRDefault="419CB688" w14:paraId="3469B8C7" w14:textId="457F05FC">
      <w:pPr>
        <w:pStyle w:val="Normal"/>
        <w:shd w:val="clear" w:color="auto" w:fill="FFFFFF" w:themeFill="background1"/>
        <w:spacing w:before="0" w:beforeAutospacing="off" w:after="195" w:afterAutospacing="off"/>
      </w:pPr>
    </w:p>
    <w:p xmlns:wp14="http://schemas.microsoft.com/office/word/2010/wordml" w:rsidP="419CB688" wp14:paraId="389BC9FC" wp14:textId="2A596BD8">
      <w:pPr>
        <w:pStyle w:val="Normal"/>
        <w:shd w:val="clear" w:color="auto" w:fill="FFFFFF" w:themeFill="background1"/>
        <w:spacing w:before="0" w:beforeAutospacing="off" w:after="195"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64B80CF7">
        <w:rPr/>
        <w:t xml:space="preserve">What is defamation? According to </w:t>
      </w:r>
      <w:r w:rsidR="7523A6F3">
        <w:rPr/>
        <w:t xml:space="preserve">Bullock, Jennings and Timbrell (2019), defamation is </w:t>
      </w:r>
      <w:r w:rsidR="0BF3849E">
        <w:rPr/>
        <w:t>defined as, “</w:t>
      </w:r>
      <w:r w:rsidRPr="419CB688" w:rsidR="0BF3849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If a false statement or allegation about a person or their business is published which ruins their reputation, then the publisher of the work can be accused of defamation. All those involved in a publication, from author, through editor, to publisher, are liable for defamatory statements included in it. A statement of opinion is not defamation, but a court of law will have the final say in the matter. Libel is defamation in published form, while slander is defamation in spoken form”</w:t>
      </w:r>
      <w:r w:rsidRPr="419CB688" w:rsidR="59C2017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p>
    <w:p xmlns:wp14="http://schemas.microsoft.com/office/word/2010/wordml" w:rsidP="419CB688" wp14:paraId="3E13B017" wp14:textId="1FF74C80">
      <w:pPr>
        <w:pStyle w:val="Normal"/>
        <w:shd w:val="clear" w:color="auto" w:fill="FFFFFF" w:themeFill="background1"/>
        <w:spacing w:before="0" w:beforeAutospacing="off" w:after="195" w:afterAutospacing="of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419CB688" w:rsidR="59C2017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419CB688" w:rsidR="65CBAFC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The Defamation Act 1996 </w:t>
      </w:r>
      <w:r w:rsidRPr="419CB688" w:rsidR="38DCCCA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is an act to amend the law of </w:t>
      </w:r>
      <w:r w:rsidRPr="419CB688" w:rsidR="14DF27E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defamation</w:t>
      </w:r>
      <w:r w:rsidRPr="419CB688" w:rsidR="38DCCCA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and to </w:t>
      </w:r>
      <w:r w:rsidRPr="419CB688" w:rsidR="4B3C48D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amend</w:t>
      </w:r>
      <w:r w:rsidRPr="419CB688" w:rsidR="38DCCCA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the law of limitation with respect to actions for defamation or </w:t>
      </w:r>
      <w:r w:rsidRPr="419CB688" w:rsidR="4F21152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malicious</w:t>
      </w:r>
      <w:r w:rsidRPr="419CB688" w:rsidR="38DCCCA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falsehood</w:t>
      </w:r>
      <w:r w:rsidRPr="419CB688" w:rsidR="5F4BB98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(Legislation Government Website, </w:t>
      </w:r>
      <w:r w:rsidRPr="419CB688" w:rsidR="725465E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1996). </w:t>
      </w:r>
      <w:r w:rsidRPr="419CB688" w:rsidR="6169AEA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It was introduced in 1996 so people could bring forward cases </w:t>
      </w:r>
      <w:r w:rsidRPr="419CB688" w:rsidR="6670C01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of defamation for either libel or slander in the High Court. Th</w:t>
      </w:r>
      <w:r w:rsidRPr="419CB688" w:rsidR="3994793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e HM Courts and Tribunals Service </w:t>
      </w:r>
      <w:r w:rsidRPr="419CB688" w:rsidR="7B2B337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(2016) state </w:t>
      </w:r>
      <w:r w:rsidRPr="419CB688" w:rsidR="2217505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that</w:t>
      </w:r>
      <w:r w:rsidRPr="419CB688" w:rsidR="7B2B337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there may be a jury if a case </w:t>
      </w:r>
      <w:r w:rsidRPr="419CB688" w:rsidR="3FF46EB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involves</w:t>
      </w:r>
      <w:r w:rsidRPr="419CB688" w:rsidR="35BCD03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libel, defamation of slander. </w:t>
      </w:r>
      <w:r w:rsidRPr="419CB688" w:rsidR="177C630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This can be seen in the case of ‘Sim v Stretch (1936)’. This case </w:t>
      </w:r>
      <w:r w:rsidRPr="419CB688" w:rsidR="3A33717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involves libel and slander, and the House of Lords entered the judgement in </w:t>
      </w:r>
      <w:r w:rsidRPr="419CB688" w:rsidR="059A16E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favour</w:t>
      </w:r>
      <w:r w:rsidRPr="419CB688" w:rsidR="3A33717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419CB688" w:rsidR="3C09271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of the defendant, holding that a telegram sent to the claimant </w:t>
      </w:r>
      <w:r w:rsidRPr="419CB688" w:rsidR="3C09271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containing</w:t>
      </w:r>
      <w:r w:rsidRPr="419CB688" w:rsidR="3C09271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the words ‘Edi</w:t>
      </w:r>
      <w:r w:rsidRPr="419CB688" w:rsidR="057624B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th has resumed her service with us today</w:t>
      </w:r>
      <w:r w:rsidRPr="419CB688" w:rsidR="6BA70D5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Please send her possessions and the money you borrowed, also her wages to Old Barton</w:t>
      </w:r>
      <w:r w:rsidRPr="419CB688" w:rsidR="6BA70D5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r w:rsidRPr="419CB688" w:rsidR="6BA70D5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Sim </w:t>
      </w:r>
      <w:r w:rsidRPr="419CB688" w:rsidR="05D51AF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had not </w:t>
      </w:r>
      <w:r w:rsidRPr="419CB688" w:rsidR="05D51AF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reasonably been</w:t>
      </w:r>
      <w:r w:rsidRPr="419CB688" w:rsidR="05D51AF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capable of a defamatory meaning. </w:t>
      </w:r>
    </w:p>
    <w:p xmlns:wp14="http://schemas.microsoft.com/office/word/2010/wordml" w:rsidP="419CB688" wp14:paraId="5B5BCBE5" wp14:textId="5BCBDED4">
      <w:pPr>
        <w:pStyle w:val="Normal"/>
        <w:shd w:val="clear" w:color="auto" w:fill="FFFFFF" w:themeFill="background1"/>
        <w:spacing w:before="0" w:beforeAutospacing="off" w:after="195" w:afterAutospacing="off"/>
        <w:rPr>
          <w:rFonts w:ascii="Aptos" w:hAnsi="Aptos" w:eastAsia="Aptos" w:cs="Aptos" w:asciiTheme="minorAscii" w:hAnsiTheme="minorAscii" w:eastAsiaTheme="minorAscii" w:cstheme="minorAscii"/>
          <w:b w:val="0"/>
          <w:bCs w:val="0"/>
          <w:i w:val="0"/>
          <w:iCs w:val="0"/>
          <w:caps w:val="0"/>
          <w:smallCaps w:val="0"/>
          <w:color w:val="auto"/>
          <w:sz w:val="24"/>
          <w:szCs w:val="24"/>
        </w:rPr>
      </w:pPr>
      <w:r w:rsidRPr="419CB688" w:rsidR="13F1223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419CB688" w:rsidR="095696D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An advantage</w:t>
      </w:r>
      <w:r w:rsidRPr="419CB688" w:rsidR="13F1223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with the Defamation Act 1996 </w:t>
      </w:r>
      <w:r w:rsidRPr="419CB688" w:rsidR="1999D55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is the</w:t>
      </w:r>
      <w:r w:rsidRPr="419CB688" w:rsidR="67AF8FB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limitation period rule.</w:t>
      </w:r>
      <w:r w:rsidRPr="419CB688" w:rsidR="1999D55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419CB688" w:rsidR="740E659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A</w:t>
      </w:r>
      <w:r w:rsidRPr="419CB688" w:rsidR="1999D55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case cannot be brought by an individual republishing the same article as the one that they have released after a 1-year limitation period. </w:t>
      </w:r>
      <w:r w:rsidRPr="419CB688" w:rsidR="4484F2D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Th</w:t>
      </w:r>
      <w:r w:rsidRPr="419CB688" w:rsidR="5E92C6A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is is seen as an advantage because if a person or company continues to</w:t>
      </w:r>
      <w:r w:rsidRPr="419CB688" w:rsidR="003E0FA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republish defamatory statements or stories about an </w:t>
      </w:r>
      <w:r w:rsidRPr="419CB688" w:rsidR="6EFBFB6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individual then it </w:t>
      </w:r>
      <w:r w:rsidRPr="419CB688" w:rsidR="02B39AB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allows</w:t>
      </w:r>
      <w:r w:rsidRPr="419CB688" w:rsidR="6EFBFB6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them to have another year to bring the case to court</w:t>
      </w:r>
      <w:r w:rsidRPr="419CB688" w:rsidR="5E92C6A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419CB688" w:rsidR="4484F2D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as it could </w:t>
      </w:r>
      <w:r w:rsidRPr="419CB688" w:rsidR="2058304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continue to harm </w:t>
      </w:r>
      <w:r w:rsidRPr="419CB688" w:rsidR="3CAFCDA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the </w:t>
      </w:r>
      <w:r w:rsidRPr="419CB688" w:rsidR="53156DB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recipient's</w:t>
      </w:r>
      <w:r w:rsidRPr="419CB688" w:rsidR="3CAFCDA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reputation. </w:t>
      </w:r>
      <w:r w:rsidRPr="419CB688" w:rsidR="1E0A554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A defamatory statement</w:t>
      </w:r>
      <w:r w:rsidRPr="419CB688" w:rsidR="1E0A554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419CB688" w:rsidR="1E0A554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that has been brought to court can still damage a person’s reputation long after it was either published </w:t>
      </w:r>
      <w:r w:rsidRPr="419CB688" w:rsidR="3759B65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in </w:t>
      </w:r>
      <w:r w:rsidRPr="419CB688" w:rsidR="35658DF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the tabloids, e.g. Newspapers, </w:t>
      </w:r>
      <w:r w:rsidRPr="419CB688" w:rsidR="2FA2FEE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social media, television broadcast etc, or the actual court itself. </w:t>
      </w:r>
      <w:r w:rsidRPr="419CB688" w:rsidR="47C1F6C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This is because, social media platforms like Facebook would not be held for defamation because they simply provide </w:t>
      </w:r>
      <w:r w:rsidRPr="419CB688" w:rsidR="4B74C67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the platform. Due to this, a written notice can take aw</w:t>
      </w:r>
      <w:r w:rsidRPr="419CB688" w:rsidR="64FCC45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ay liability. </w:t>
      </w:r>
      <w:r w:rsidRPr="419CB688" w:rsidR="05352EE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A case that this can be seen is </w:t>
      </w:r>
      <w:r w:rsidRPr="419CB688" w:rsidR="5B6FD6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r w:rsidRPr="419CB688" w:rsidR="5B6FD6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Loutchansky</w:t>
      </w:r>
      <w:r w:rsidRPr="419CB688" w:rsidR="5B6FD6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v. </w:t>
      </w:r>
      <w:r w:rsidRPr="419CB688" w:rsidR="06B552E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Times Newspaper Ltd (2002)’. The fact of this case is the claimant Arcadi </w:t>
      </w:r>
      <w:r w:rsidRPr="419CB688" w:rsidR="06B552E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Loutchansky</w:t>
      </w:r>
      <w:r w:rsidRPr="419CB688" w:rsidR="06B552E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419CB688" w:rsidR="6F125F5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brought a defamation claim against the Times Newspaper for articles that had been published between 1998 and 2000. </w:t>
      </w:r>
      <w:r w:rsidRPr="419CB688" w:rsidR="68CC69E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The articles accused </w:t>
      </w:r>
      <w:r w:rsidRPr="419CB688" w:rsidR="68CC69E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Loutchansky</w:t>
      </w:r>
      <w:r w:rsidRPr="419CB688" w:rsidR="68CC69E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of being involved in criminal activates related to money laundering and organised crimes</w:t>
      </w:r>
      <w:r w:rsidRPr="419CB688" w:rsidR="7754DB7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(Oxbridge Notes, 2020)</w:t>
      </w:r>
      <w:r w:rsidRPr="419CB688" w:rsidR="68CC69E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r w:rsidRPr="419CB688" w:rsidR="1D27011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419CB688" w:rsidR="2F053EF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The articles had been republished multiple times in different formats which complicated matters as</w:t>
      </w:r>
      <w:r w:rsidRPr="419CB688" w:rsidR="036F4FC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technically the limitation period restarts as the articles had been republished within the years of 1998 and 2000. The court </w:t>
      </w:r>
      <w:r w:rsidRPr="419CB688" w:rsidR="7CCAF7E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decided</w:t>
      </w:r>
      <w:r w:rsidRPr="419CB688" w:rsidR="036F4FC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that the limitation period should app</w:t>
      </w:r>
      <w:r w:rsidRPr="419CB688" w:rsidR="065E5D6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ly to each new publication of defamatory</w:t>
      </w:r>
      <w:r w:rsidRPr="419CB688" w:rsidR="065E5D6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material, rather than the </w:t>
      </w:r>
      <w:r w:rsidRPr="419CB688" w:rsidR="604B151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original</w:t>
      </w:r>
      <w:r w:rsidRPr="419CB688" w:rsidR="065E5D6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publication. Due to this, the claimant could have another year to bring the cas</w:t>
      </w:r>
      <w:r w:rsidRPr="419CB688" w:rsidR="71A37F2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e</w:t>
      </w:r>
      <w:r w:rsidRPr="419CB688" w:rsidR="71A37F2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419CB688" w:rsidR="5D4D19D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419CB688" w:rsidR="5D4D19D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An </w:t>
      </w:r>
      <w:r w:rsidRPr="419CB688" w:rsidR="23E2247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issue </w:t>
      </w:r>
      <w:r w:rsidRPr="419CB688" w:rsidR="5D4D19D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with the </w:t>
      </w:r>
      <w:r w:rsidRPr="419CB688" w:rsidR="0655199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Defamation</w:t>
      </w:r>
      <w:r w:rsidRPr="419CB688" w:rsidR="5D4D19D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Act 1996 is </w:t>
      </w:r>
      <w:r w:rsidRPr="419CB688" w:rsidR="0F0D5B4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absolute privilege. </w:t>
      </w:r>
      <w:r w:rsidRPr="419CB688" w:rsidR="2856456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Absolute Privilege applies to the government, </w:t>
      </w:r>
      <w:r w:rsidRPr="419CB688" w:rsidR="2856456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Parliament</w:t>
      </w:r>
      <w:r w:rsidRPr="419CB688" w:rsidR="2856456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and the Judiciary. Parli</w:t>
      </w:r>
      <w:r w:rsidRPr="419CB688" w:rsidR="6ADA1F3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ament </w:t>
      </w:r>
      <w:r w:rsidRPr="419CB688" w:rsidR="1C15517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enforced</w:t>
      </w:r>
      <w:r w:rsidRPr="419CB688" w:rsidR="6ADA1F3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this </w:t>
      </w:r>
      <w:r w:rsidRPr="419CB688" w:rsidR="47571AA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by having a member</w:t>
      </w:r>
      <w:r w:rsidRPr="419CB688" w:rsidR="6ADA1F3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of parliament in the house</w:t>
      </w:r>
      <w:r w:rsidRPr="419CB688" w:rsidR="1638F0B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s, they are entitled to freedom of speech and under Article 9 of the Bill of Rights 1688 and no </w:t>
      </w:r>
      <w:r w:rsidRPr="419CB688" w:rsidR="6F93EB3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claim</w:t>
      </w:r>
      <w:r w:rsidRPr="419CB688" w:rsidR="1638F0B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of defamation can be brought against them. Article 9 of the Bill of R</w:t>
      </w:r>
      <w:r w:rsidRPr="419CB688" w:rsidR="2C7D73A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ights 1688</w:t>
      </w:r>
      <w:r w:rsidRPr="419CB688" w:rsidR="55A2BDE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is </w:t>
      </w:r>
      <w:r w:rsidRPr="419CB688" w:rsidR="55A2BDE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stated</w:t>
      </w:r>
      <w:r w:rsidRPr="419CB688" w:rsidR="55A2BDE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on the UK Parliament Website (1999) as, ‘</w:t>
      </w:r>
      <w:r w:rsidRPr="419CB688" w:rsidR="6E43ADBF">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That the freedom of speech and debates or proceedings in Parliament ought not to be impeached or questioned in any court or place out of Parliament. </w:t>
      </w:r>
      <w:r w:rsidRPr="419CB688" w:rsidR="16E9661E">
        <w:rPr>
          <w:rFonts w:ascii="Aptos" w:hAnsi="Aptos" w:eastAsia="Aptos" w:cs="Aptos" w:asciiTheme="minorAscii" w:hAnsiTheme="minorAscii" w:eastAsiaTheme="minorAscii" w:cstheme="minorAscii"/>
          <w:b w:val="0"/>
          <w:bCs w:val="0"/>
          <w:i w:val="0"/>
          <w:iCs w:val="0"/>
          <w:caps w:val="0"/>
          <w:smallCaps w:val="0"/>
          <w:color w:val="auto"/>
          <w:sz w:val="24"/>
          <w:szCs w:val="24"/>
        </w:rPr>
        <w:t>‘Under Section 13 of the Defamation Act 1996- can waver this if want to bring proceedings.</w:t>
      </w:r>
      <w:r w:rsidRPr="419CB688" w:rsidR="57EB2AFE">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According to </w:t>
      </w:r>
      <w:r w:rsidRPr="419CB688" w:rsidR="66739D3E">
        <w:rPr>
          <w:rFonts w:ascii="Aptos" w:hAnsi="Aptos" w:eastAsia="Aptos" w:cs="Aptos" w:asciiTheme="minorAscii" w:hAnsiTheme="minorAscii" w:eastAsiaTheme="minorAscii" w:cstheme="minorAscii"/>
          <w:b w:val="0"/>
          <w:bCs w:val="0"/>
          <w:i w:val="0"/>
          <w:iCs w:val="0"/>
          <w:caps w:val="0"/>
          <w:smallCaps w:val="0"/>
          <w:color w:val="auto"/>
          <w:sz w:val="24"/>
          <w:szCs w:val="24"/>
        </w:rPr>
        <w:t>UK Parliament Website (2014),” Section</w:t>
      </w:r>
      <w:r w:rsidRPr="419CB688" w:rsidR="18A51C2F">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13 of the Defamation Act 1996 was intended to remedy the </w:t>
      </w:r>
      <w:r w:rsidRPr="419CB688" w:rsidR="5187AC36">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injustice perceived to exist in this type of case. </w:t>
      </w:r>
      <w:r w:rsidRPr="419CB688" w:rsidR="48A9AC72">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It enabled a person, who may be a </w:t>
      </w:r>
      <w:r w:rsidRPr="419CB688" w:rsidR="4297E4C7">
        <w:rPr>
          <w:rFonts w:ascii="Aptos" w:hAnsi="Aptos" w:eastAsia="Aptos" w:cs="Aptos" w:asciiTheme="minorAscii" w:hAnsiTheme="minorAscii" w:eastAsiaTheme="minorAscii" w:cstheme="minorAscii"/>
          <w:b w:val="0"/>
          <w:bCs w:val="0"/>
          <w:i w:val="0"/>
          <w:iCs w:val="0"/>
          <w:caps w:val="0"/>
          <w:smallCaps w:val="0"/>
          <w:color w:val="auto"/>
          <w:sz w:val="24"/>
          <w:szCs w:val="24"/>
        </w:rPr>
        <w:t>member</w:t>
      </w:r>
      <w:r w:rsidRPr="419CB688" w:rsidR="48A9AC72">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of either House of neither House, to waive parliamentary privilege </w:t>
      </w:r>
      <w:r w:rsidRPr="419CB688" w:rsidR="0C732879">
        <w:rPr>
          <w:rFonts w:ascii="Aptos" w:hAnsi="Aptos" w:eastAsia="Aptos" w:cs="Aptos" w:asciiTheme="minorAscii" w:hAnsiTheme="minorAscii" w:eastAsiaTheme="minorAscii" w:cstheme="minorAscii"/>
          <w:b w:val="0"/>
          <w:bCs w:val="0"/>
          <w:i w:val="0"/>
          <w:iCs w:val="0"/>
          <w:caps w:val="0"/>
          <w:smallCaps w:val="0"/>
          <w:color w:val="auto"/>
          <w:sz w:val="24"/>
          <w:szCs w:val="24"/>
        </w:rPr>
        <w:t>so far as</w:t>
      </w:r>
      <w:r w:rsidRPr="419CB688" w:rsidR="0C732879">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he or she is concerned, for the purposes of defamation proceedings.” </w:t>
      </w:r>
      <w:r w:rsidRPr="419CB688" w:rsidR="624EA1E1">
        <w:rPr>
          <w:rFonts w:ascii="Aptos" w:hAnsi="Aptos" w:eastAsia="Aptos" w:cs="Aptos" w:asciiTheme="minorAscii" w:hAnsiTheme="minorAscii" w:eastAsiaTheme="minorAscii" w:cstheme="minorAscii"/>
          <w:b w:val="0"/>
          <w:bCs w:val="0"/>
          <w:i w:val="0"/>
          <w:iCs w:val="0"/>
          <w:caps w:val="0"/>
          <w:smallCaps w:val="0"/>
          <w:color w:val="auto"/>
          <w:sz w:val="24"/>
          <w:szCs w:val="24"/>
        </w:rPr>
        <w:t>A reason why</w:t>
      </w:r>
      <w:r w:rsidRPr="419CB688" w:rsidR="624EA1E1">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absolute privilege is an issue is </w:t>
      </w:r>
      <w:r w:rsidRPr="419CB688" w:rsidR="1C4AAB42">
        <w:rPr>
          <w:rFonts w:ascii="Aptos" w:hAnsi="Aptos" w:eastAsia="Aptos" w:cs="Aptos" w:asciiTheme="minorAscii" w:hAnsiTheme="minorAscii" w:eastAsiaTheme="minorAscii" w:cstheme="minorAscii"/>
          <w:b w:val="0"/>
          <w:bCs w:val="0"/>
          <w:i w:val="0"/>
          <w:iCs w:val="0"/>
          <w:caps w:val="0"/>
          <w:smallCaps w:val="0"/>
          <w:color w:val="auto"/>
          <w:sz w:val="24"/>
          <w:szCs w:val="24"/>
        </w:rPr>
        <w:t>because it</w:t>
      </w:r>
      <w:r w:rsidRPr="419CB688" w:rsidR="11E01BDA">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gives the potential for abuse of powers. Absolute </w:t>
      </w:r>
      <w:r w:rsidRPr="419CB688" w:rsidR="52487BC9">
        <w:rPr>
          <w:rFonts w:ascii="Aptos" w:hAnsi="Aptos" w:eastAsia="Aptos" w:cs="Aptos" w:asciiTheme="minorAscii" w:hAnsiTheme="minorAscii" w:eastAsiaTheme="minorAscii" w:cstheme="minorAscii"/>
          <w:b w:val="0"/>
          <w:bCs w:val="0"/>
          <w:i w:val="0"/>
          <w:iCs w:val="0"/>
          <w:caps w:val="0"/>
          <w:smallCaps w:val="0"/>
          <w:color w:val="auto"/>
          <w:sz w:val="24"/>
          <w:szCs w:val="24"/>
        </w:rPr>
        <w:t>privilege</w:t>
      </w:r>
      <w:r w:rsidRPr="419CB688" w:rsidR="11E01BDA">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can allow </w:t>
      </w:r>
      <w:r w:rsidRPr="419CB688" w:rsidR="7F85A526">
        <w:rPr>
          <w:rFonts w:ascii="Aptos" w:hAnsi="Aptos" w:eastAsia="Aptos" w:cs="Aptos" w:asciiTheme="minorAscii" w:hAnsiTheme="minorAscii" w:eastAsiaTheme="minorAscii" w:cstheme="minorAscii"/>
          <w:b w:val="0"/>
          <w:bCs w:val="0"/>
          <w:i w:val="0"/>
          <w:iCs w:val="0"/>
          <w:caps w:val="0"/>
          <w:smallCaps w:val="0"/>
          <w:color w:val="auto"/>
          <w:sz w:val="24"/>
          <w:szCs w:val="24"/>
        </w:rPr>
        <w:t>certain</w:t>
      </w:r>
      <w:r w:rsidRPr="419CB688" w:rsidR="11E01BDA">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ind</w:t>
      </w:r>
      <w:r w:rsidRPr="419CB688" w:rsidR="469747A8">
        <w:rPr>
          <w:rFonts w:ascii="Aptos" w:hAnsi="Aptos" w:eastAsia="Aptos" w:cs="Aptos" w:asciiTheme="minorAscii" w:hAnsiTheme="minorAscii" w:eastAsiaTheme="minorAscii" w:cstheme="minorAscii"/>
          <w:b w:val="0"/>
          <w:bCs w:val="0"/>
          <w:i w:val="0"/>
          <w:iCs w:val="0"/>
          <w:caps w:val="0"/>
          <w:smallCaps w:val="0"/>
          <w:color w:val="auto"/>
          <w:sz w:val="24"/>
          <w:szCs w:val="24"/>
        </w:rPr>
        <w:t>ividuals to make statements without fear of legal consequences, even if those statements are false or defamatory. This can be misu</w:t>
      </w:r>
      <w:r w:rsidRPr="419CB688" w:rsidR="3BACE522">
        <w:rPr>
          <w:rFonts w:ascii="Aptos" w:hAnsi="Aptos" w:eastAsia="Aptos" w:cs="Aptos" w:asciiTheme="minorAscii" w:hAnsiTheme="minorAscii" w:eastAsiaTheme="minorAscii" w:cstheme="minorAscii"/>
          <w:b w:val="0"/>
          <w:bCs w:val="0"/>
          <w:i w:val="0"/>
          <w:iCs w:val="0"/>
          <w:caps w:val="0"/>
          <w:smallCaps w:val="0"/>
          <w:color w:val="auto"/>
          <w:sz w:val="24"/>
          <w:szCs w:val="24"/>
        </w:rPr>
        <w:t>sed</w:t>
      </w:r>
      <w:r w:rsidRPr="419CB688" w:rsidR="469747A8">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to </w:t>
      </w:r>
      <w:r w:rsidRPr="419CB688" w:rsidR="0ED948DE">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spread harmful misinformation or make </w:t>
      </w:r>
      <w:r w:rsidRPr="419CB688" w:rsidR="77FB868C">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unjust attacks without having to take accountability. </w:t>
      </w:r>
    </w:p>
    <w:p xmlns:wp14="http://schemas.microsoft.com/office/word/2010/wordml" w:rsidP="419CB688" wp14:paraId="4FCF35F9" wp14:textId="3A2A6BBB">
      <w:pPr>
        <w:pStyle w:val="Normal"/>
        <w:shd w:val="clear" w:color="auto" w:fill="FFFFFF" w:themeFill="background1"/>
        <w:spacing w:before="0" w:beforeAutospacing="off" w:after="195" w:afterAutospacing="off"/>
        <w:rPr>
          <w:rFonts w:ascii="Aptos" w:hAnsi="Aptos" w:eastAsia="Aptos" w:cs="Aptos" w:asciiTheme="minorAscii" w:hAnsiTheme="minorAscii" w:eastAsiaTheme="minorAscii" w:cstheme="minorAscii"/>
          <w:b w:val="0"/>
          <w:bCs w:val="0"/>
          <w:i w:val="0"/>
          <w:iCs w:val="0"/>
          <w:caps w:val="0"/>
          <w:smallCaps w:val="0"/>
          <w:color w:val="auto"/>
          <w:sz w:val="24"/>
          <w:szCs w:val="24"/>
        </w:rPr>
      </w:pPr>
      <w:r w:rsidRPr="419CB688" w:rsidR="4EBE8010">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w:t>
      </w:r>
      <w:r w:rsidRPr="419CB688" w:rsidR="53FD9A63">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The </w:t>
      </w:r>
      <w:r w:rsidRPr="419CB688" w:rsidR="72A91595">
        <w:rPr>
          <w:rFonts w:ascii="Aptos" w:hAnsi="Aptos" w:eastAsia="Aptos" w:cs="Aptos" w:asciiTheme="minorAscii" w:hAnsiTheme="minorAscii" w:eastAsiaTheme="minorAscii" w:cstheme="minorAscii"/>
          <w:b w:val="0"/>
          <w:bCs w:val="0"/>
          <w:i w:val="0"/>
          <w:iCs w:val="0"/>
          <w:caps w:val="0"/>
          <w:smallCaps w:val="0"/>
          <w:color w:val="auto"/>
          <w:sz w:val="24"/>
          <w:szCs w:val="24"/>
        </w:rPr>
        <w:t>Defamation Act 2013 was introduced into full force on 1</w:t>
      </w:r>
      <w:r w:rsidRPr="419CB688" w:rsidR="72A91595">
        <w:rPr>
          <w:rFonts w:ascii="Aptos" w:hAnsi="Aptos" w:eastAsia="Aptos" w:cs="Aptos" w:asciiTheme="minorAscii" w:hAnsiTheme="minorAscii" w:eastAsiaTheme="minorAscii" w:cstheme="minorAscii"/>
          <w:b w:val="0"/>
          <w:bCs w:val="0"/>
          <w:i w:val="0"/>
          <w:iCs w:val="0"/>
          <w:caps w:val="0"/>
          <w:smallCaps w:val="0"/>
          <w:color w:val="auto"/>
          <w:sz w:val="24"/>
          <w:szCs w:val="24"/>
          <w:vertAlign w:val="superscript"/>
        </w:rPr>
        <w:t>st</w:t>
      </w:r>
      <w:r w:rsidRPr="419CB688" w:rsidR="72A91595">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January 2014</w:t>
      </w:r>
      <w:r w:rsidRPr="419CB688" w:rsidR="4CF4574D">
        <w:rPr>
          <w:rFonts w:ascii="Aptos" w:hAnsi="Aptos" w:eastAsia="Aptos" w:cs="Aptos" w:asciiTheme="minorAscii" w:hAnsiTheme="minorAscii" w:eastAsiaTheme="minorAscii" w:cstheme="minorAscii"/>
          <w:b w:val="0"/>
          <w:bCs w:val="0"/>
          <w:i w:val="0"/>
          <w:iCs w:val="0"/>
          <w:caps w:val="0"/>
          <w:smallCaps w:val="0"/>
          <w:color w:val="auto"/>
          <w:sz w:val="24"/>
          <w:szCs w:val="24"/>
        </w:rPr>
        <w:t>. The Act reformed defamation law in England and Wales and was designed to strike a balance between the protection o</w:t>
      </w:r>
      <w:r w:rsidRPr="419CB688" w:rsidR="0D361117">
        <w:rPr>
          <w:rFonts w:ascii="Aptos" w:hAnsi="Aptos" w:eastAsia="Aptos" w:cs="Aptos" w:asciiTheme="minorAscii" w:hAnsiTheme="minorAscii" w:eastAsiaTheme="minorAscii" w:cstheme="minorAscii"/>
          <w:b w:val="0"/>
          <w:bCs w:val="0"/>
          <w:i w:val="0"/>
          <w:iCs w:val="0"/>
          <w:caps w:val="0"/>
          <w:smallCaps w:val="0"/>
          <w:color w:val="auto"/>
          <w:sz w:val="24"/>
          <w:szCs w:val="24"/>
        </w:rPr>
        <w:t>f reputation and freedom of expression (</w:t>
      </w:r>
      <w:r w:rsidRPr="419CB688" w:rsidR="71D4121A">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w:t>
      </w:r>
      <w:r w:rsidRPr="419CB688" w:rsidR="71D4121A">
        <w:rPr>
          <w:rFonts w:ascii="Aptos" w:hAnsi="Aptos" w:eastAsia="Aptos" w:cs="Aptos" w:asciiTheme="minorAscii" w:hAnsiTheme="minorAscii" w:eastAsiaTheme="minorAscii" w:cstheme="minorAscii"/>
          <w:b w:val="0"/>
          <w:bCs w:val="0"/>
          <w:i w:val="0"/>
          <w:iCs w:val="0"/>
          <w:caps w:val="0"/>
          <w:smallCaps w:val="0"/>
          <w:color w:val="auto"/>
          <w:sz w:val="24"/>
          <w:szCs w:val="24"/>
        </w:rPr>
        <w:t>Hamlins</w:t>
      </w:r>
      <w:r w:rsidRPr="419CB688" w:rsidR="71D4121A">
        <w:rPr>
          <w:rFonts w:ascii="Aptos" w:hAnsi="Aptos" w:eastAsia="Aptos" w:cs="Aptos" w:asciiTheme="minorAscii" w:hAnsiTheme="minorAscii" w:eastAsiaTheme="minorAscii" w:cstheme="minorAscii"/>
          <w:b w:val="0"/>
          <w:bCs w:val="0"/>
          <w:i w:val="0"/>
          <w:iCs w:val="0"/>
          <w:caps w:val="0"/>
          <w:smallCaps w:val="0"/>
          <w:color w:val="auto"/>
          <w:sz w:val="24"/>
          <w:szCs w:val="24"/>
        </w:rPr>
        <w:t>, 2024).</w:t>
      </w:r>
      <w:r w:rsidRPr="419CB688" w:rsidR="15D548F4">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An </w:t>
      </w:r>
      <w:r w:rsidRPr="419CB688" w:rsidR="3DD01955">
        <w:rPr>
          <w:rFonts w:ascii="Aptos" w:hAnsi="Aptos" w:eastAsia="Aptos" w:cs="Aptos" w:asciiTheme="minorAscii" w:hAnsiTheme="minorAscii" w:eastAsiaTheme="minorAscii" w:cstheme="minorAscii"/>
          <w:b w:val="0"/>
          <w:bCs w:val="0"/>
          <w:i w:val="0"/>
          <w:iCs w:val="0"/>
          <w:caps w:val="0"/>
          <w:smallCaps w:val="0"/>
          <w:color w:val="auto"/>
          <w:sz w:val="24"/>
          <w:szCs w:val="24"/>
        </w:rPr>
        <w:t>advantage</w:t>
      </w:r>
      <w:r w:rsidRPr="419CB688" w:rsidR="15D548F4">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with the Defamation Act 2013 is </w:t>
      </w:r>
      <w:r w:rsidRPr="419CB688" w:rsidR="6CF6C735">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the defence of truth. The defence of truth falls under Section 2 of the Defamation Act 2013. </w:t>
      </w:r>
      <w:r w:rsidRPr="419CB688" w:rsidR="00BBEBFC">
        <w:rPr>
          <w:rFonts w:ascii="Aptos" w:hAnsi="Aptos" w:eastAsia="Aptos" w:cs="Aptos" w:asciiTheme="minorAscii" w:hAnsiTheme="minorAscii" w:eastAsiaTheme="minorAscii" w:cstheme="minorAscii"/>
          <w:b w:val="0"/>
          <w:bCs w:val="0"/>
          <w:i w:val="0"/>
          <w:iCs w:val="0"/>
          <w:caps w:val="0"/>
          <w:smallCaps w:val="0"/>
          <w:color w:val="auto"/>
          <w:sz w:val="24"/>
          <w:szCs w:val="24"/>
        </w:rPr>
        <w:t>Section 2 of the Defamation Act 2013 is, “</w:t>
      </w:r>
      <w:r w:rsidRPr="419CB688" w:rsidR="3E7514C5">
        <w:rPr>
          <w:rFonts w:ascii="Aptos" w:hAnsi="Aptos" w:eastAsia="Aptos" w:cs="Aptos" w:asciiTheme="minorAscii" w:hAnsiTheme="minorAscii" w:eastAsiaTheme="minorAscii" w:cstheme="minorAscii"/>
          <w:b w:val="0"/>
          <w:bCs w:val="0"/>
          <w:i w:val="0"/>
          <w:iCs w:val="0"/>
          <w:caps w:val="0"/>
          <w:smallCaps w:val="0"/>
          <w:color w:val="auto"/>
          <w:sz w:val="24"/>
          <w:szCs w:val="24"/>
        </w:rPr>
        <w:t>(1)</w:t>
      </w:r>
      <w:r w:rsidRPr="419CB688" w:rsidR="00BBEBFC">
        <w:rPr>
          <w:rFonts w:ascii="Aptos" w:hAnsi="Aptos" w:eastAsia="Aptos" w:cs="Aptos" w:asciiTheme="minorAscii" w:hAnsiTheme="minorAscii" w:eastAsiaTheme="minorAscii" w:cstheme="minorAscii"/>
          <w:b w:val="0"/>
          <w:bCs w:val="0"/>
          <w:i w:val="0"/>
          <w:iCs w:val="0"/>
          <w:caps w:val="0"/>
          <w:smallCaps w:val="0"/>
          <w:color w:val="auto"/>
          <w:sz w:val="24"/>
          <w:szCs w:val="24"/>
        </w:rPr>
        <w:t>A de</w:t>
      </w:r>
      <w:r w:rsidRPr="419CB688" w:rsidR="7200BC06">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fence to an action for defamation for the defendant to show that the imputation conveyed by the statement complained of is </w:t>
      </w:r>
      <w:r w:rsidRPr="419CB688" w:rsidR="7200BC06">
        <w:rPr>
          <w:rFonts w:ascii="Aptos" w:hAnsi="Aptos" w:eastAsia="Aptos" w:cs="Aptos" w:asciiTheme="minorAscii" w:hAnsiTheme="minorAscii" w:eastAsiaTheme="minorAscii" w:cstheme="minorAscii"/>
          <w:b w:val="0"/>
          <w:bCs w:val="0"/>
          <w:i w:val="0"/>
          <w:iCs w:val="0"/>
          <w:caps w:val="0"/>
          <w:smallCaps w:val="0"/>
          <w:color w:val="auto"/>
          <w:sz w:val="24"/>
          <w:szCs w:val="24"/>
        </w:rPr>
        <w:t>substantially true</w:t>
      </w:r>
      <w:r w:rsidRPr="419CB688" w:rsidR="7200BC06">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w:t>
      </w:r>
      <w:r w:rsidRPr="419CB688" w:rsidR="17105E22">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(3) Applies in an action for defamation if the statement complained about conveys two or more distinct imputations” </w:t>
      </w:r>
      <w:r w:rsidRPr="419CB688" w:rsidR="505CE5B5">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(Legislation Government Uk Website, 2013). </w:t>
      </w:r>
      <w:r w:rsidRPr="419CB688" w:rsidR="2FCCA39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One of the changes made to the Defamation Act is Section 2. The 1996 Act is ‘Offers to make amends’, whereas the 2013 Act is making sure that something is ‘substantially true’. This is a possibility for confusion to happen with people who are not aware with the change in the sections to the different Acts.</w:t>
      </w:r>
      <w:r w:rsidRPr="419CB688" w:rsidR="2FCCA393">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w:t>
      </w:r>
      <w:r w:rsidRPr="419CB688" w:rsidR="55400C36">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The defence of truth also involves was what the individual was saying or has said the truth, if so, there will be a defence to the offence of defamation. </w:t>
      </w:r>
      <w:r w:rsidRPr="419CB688" w:rsidR="28E59D55">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A case that we can see this in is ‘Depp v The Sun Newspaper (2020)’. The case involves </w:t>
      </w:r>
      <w:r w:rsidRPr="419CB688" w:rsidR="4C37D606">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Depp </w:t>
      </w:r>
      <w:r w:rsidRPr="419CB688" w:rsidR="23CD4F82">
        <w:rPr>
          <w:rFonts w:ascii="Aptos" w:hAnsi="Aptos" w:eastAsia="Aptos" w:cs="Aptos" w:asciiTheme="minorAscii" w:hAnsiTheme="minorAscii" w:eastAsiaTheme="minorAscii" w:cstheme="minorAscii"/>
          <w:b w:val="0"/>
          <w:bCs w:val="0"/>
          <w:i w:val="0"/>
          <w:iCs w:val="0"/>
          <w:caps w:val="0"/>
          <w:smallCaps w:val="0"/>
          <w:color w:val="auto"/>
          <w:sz w:val="24"/>
          <w:szCs w:val="24"/>
        </w:rPr>
        <w:t>suing</w:t>
      </w:r>
      <w:r w:rsidRPr="419CB688" w:rsidR="4C37D606">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The Sun Newspaper and their executive editor, Dan Wootton </w:t>
      </w:r>
      <w:r w:rsidRPr="419CB688" w:rsidR="0F13C4CA">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for defamation over an article published in 2018 based on allegations made by his ex-wife. </w:t>
      </w:r>
      <w:r w:rsidRPr="419CB688" w:rsidR="48F55384">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The article was based on him being a “wife beater” which Depp denied and claimed the </w:t>
      </w:r>
      <w:r w:rsidRPr="419CB688" w:rsidR="59E6276B">
        <w:rPr>
          <w:rFonts w:ascii="Aptos" w:hAnsi="Aptos" w:eastAsia="Aptos" w:cs="Aptos" w:asciiTheme="minorAscii" w:hAnsiTheme="minorAscii" w:eastAsiaTheme="minorAscii" w:cstheme="minorAscii"/>
          <w:b w:val="0"/>
          <w:bCs w:val="0"/>
          <w:i w:val="0"/>
          <w:iCs w:val="0"/>
          <w:caps w:val="0"/>
          <w:smallCaps w:val="0"/>
          <w:color w:val="auto"/>
          <w:sz w:val="24"/>
          <w:szCs w:val="24"/>
        </w:rPr>
        <w:t>article</w:t>
      </w:r>
      <w:r w:rsidRPr="419CB688" w:rsidR="48F55384">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was false and damaged his reputation. The Sun defended the article, claimi</w:t>
      </w:r>
      <w:r w:rsidRPr="419CB688" w:rsidR="05413E59">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ng it was </w:t>
      </w:r>
      <w:r w:rsidRPr="419CB688" w:rsidR="0726526A">
        <w:rPr>
          <w:rFonts w:ascii="Aptos" w:hAnsi="Aptos" w:eastAsia="Aptos" w:cs="Aptos" w:asciiTheme="minorAscii" w:hAnsiTheme="minorAscii" w:eastAsiaTheme="minorAscii" w:cstheme="minorAscii"/>
          <w:b w:val="0"/>
          <w:bCs w:val="0"/>
          <w:i w:val="0"/>
          <w:iCs w:val="0"/>
          <w:caps w:val="0"/>
          <w:smallCaps w:val="0"/>
          <w:color w:val="auto"/>
          <w:sz w:val="24"/>
          <w:szCs w:val="24"/>
        </w:rPr>
        <w:t>true</w:t>
      </w:r>
      <w:r w:rsidRPr="419CB688" w:rsidR="05413E59">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and based on credible </w:t>
      </w:r>
      <w:r w:rsidRPr="419CB688" w:rsidR="186415DA">
        <w:rPr>
          <w:rFonts w:ascii="Aptos" w:hAnsi="Aptos" w:eastAsia="Aptos" w:cs="Aptos" w:asciiTheme="minorAscii" w:hAnsiTheme="minorAscii" w:eastAsiaTheme="minorAscii" w:cstheme="minorAscii"/>
          <w:b w:val="0"/>
          <w:bCs w:val="0"/>
          <w:i w:val="0"/>
          <w:iCs w:val="0"/>
          <w:caps w:val="0"/>
          <w:smallCaps w:val="0"/>
          <w:color w:val="auto"/>
          <w:sz w:val="24"/>
          <w:szCs w:val="24"/>
        </w:rPr>
        <w:t>evidence</w:t>
      </w:r>
      <w:r w:rsidRPr="419CB688" w:rsidR="05413E59">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including his </w:t>
      </w:r>
      <w:r w:rsidRPr="419CB688" w:rsidR="4FEE823F">
        <w:rPr>
          <w:rFonts w:ascii="Aptos" w:hAnsi="Aptos" w:eastAsia="Aptos" w:cs="Aptos" w:asciiTheme="minorAscii" w:hAnsiTheme="minorAscii" w:eastAsiaTheme="minorAscii" w:cstheme="minorAscii"/>
          <w:b w:val="0"/>
          <w:bCs w:val="0"/>
          <w:i w:val="0"/>
          <w:iCs w:val="0"/>
          <w:caps w:val="0"/>
          <w:smallCaps w:val="0"/>
          <w:color w:val="auto"/>
          <w:sz w:val="24"/>
          <w:szCs w:val="24"/>
        </w:rPr>
        <w:t>ex-wife's</w:t>
      </w:r>
      <w:r w:rsidRPr="419CB688" w:rsidR="05413E59">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w:t>
      </w:r>
      <w:r w:rsidRPr="419CB688" w:rsidR="1FBF006F">
        <w:rPr>
          <w:rFonts w:ascii="Aptos" w:hAnsi="Aptos" w:eastAsia="Aptos" w:cs="Aptos" w:asciiTheme="minorAscii" w:hAnsiTheme="minorAscii" w:eastAsiaTheme="minorAscii" w:cstheme="minorAscii"/>
          <w:b w:val="0"/>
          <w:bCs w:val="0"/>
          <w:i w:val="0"/>
          <w:iCs w:val="0"/>
          <w:caps w:val="0"/>
          <w:smallCaps w:val="0"/>
          <w:color w:val="auto"/>
          <w:sz w:val="24"/>
          <w:szCs w:val="24"/>
        </w:rPr>
        <w:t>testimony</w:t>
      </w:r>
      <w:r w:rsidRPr="419CB688" w:rsidR="05413E59">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After the trail, the High court ruled in </w:t>
      </w:r>
      <w:r w:rsidRPr="419CB688" w:rsidR="01893620">
        <w:rPr>
          <w:rFonts w:ascii="Aptos" w:hAnsi="Aptos" w:eastAsia="Aptos" w:cs="Aptos" w:asciiTheme="minorAscii" w:hAnsiTheme="minorAscii" w:eastAsiaTheme="minorAscii" w:cstheme="minorAscii"/>
          <w:b w:val="0"/>
          <w:bCs w:val="0"/>
          <w:i w:val="0"/>
          <w:iCs w:val="0"/>
          <w:caps w:val="0"/>
          <w:smallCaps w:val="0"/>
          <w:color w:val="auto"/>
          <w:sz w:val="24"/>
          <w:szCs w:val="24"/>
        </w:rPr>
        <w:t>favour</w:t>
      </w:r>
      <w:r w:rsidRPr="419CB688" w:rsidR="05413E59">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of The Sun and found the allegations of abuse were “substan</w:t>
      </w:r>
      <w:r w:rsidRPr="419CB688" w:rsidR="015D43E5">
        <w:rPr>
          <w:rFonts w:ascii="Aptos" w:hAnsi="Aptos" w:eastAsia="Aptos" w:cs="Aptos" w:asciiTheme="minorAscii" w:hAnsiTheme="minorAscii" w:eastAsiaTheme="minorAscii" w:cstheme="minorAscii"/>
          <w:b w:val="0"/>
          <w:bCs w:val="0"/>
          <w:i w:val="0"/>
          <w:iCs w:val="0"/>
          <w:caps w:val="0"/>
          <w:smallCaps w:val="0"/>
          <w:color w:val="auto"/>
          <w:sz w:val="24"/>
          <w:szCs w:val="24"/>
        </w:rPr>
        <w:t>tially true”</w:t>
      </w:r>
      <w:r w:rsidRPr="419CB688" w:rsidR="3A65CA34">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(BBC News, 2020)</w:t>
      </w:r>
      <w:r w:rsidRPr="419CB688" w:rsidR="015D43E5">
        <w:rPr>
          <w:rFonts w:ascii="Aptos" w:hAnsi="Aptos" w:eastAsia="Aptos" w:cs="Aptos" w:asciiTheme="minorAscii" w:hAnsiTheme="minorAscii" w:eastAsiaTheme="minorAscii" w:cstheme="minorAscii"/>
          <w:b w:val="0"/>
          <w:bCs w:val="0"/>
          <w:i w:val="0"/>
          <w:iCs w:val="0"/>
          <w:caps w:val="0"/>
          <w:smallCaps w:val="0"/>
          <w:color w:val="auto"/>
          <w:sz w:val="24"/>
          <w:szCs w:val="24"/>
        </w:rPr>
        <w:t>.</w:t>
      </w:r>
      <w:r w:rsidRPr="419CB688" w:rsidR="015D43E5">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As a result, Depp’s libel case was dismissed and caused signi</w:t>
      </w:r>
      <w:r w:rsidRPr="419CB688" w:rsidR="7BD23EC4">
        <w:rPr>
          <w:rFonts w:ascii="Aptos" w:hAnsi="Aptos" w:eastAsia="Aptos" w:cs="Aptos" w:asciiTheme="minorAscii" w:hAnsiTheme="minorAscii" w:eastAsiaTheme="minorAscii" w:cstheme="minorAscii"/>
          <w:b w:val="0"/>
          <w:bCs w:val="0"/>
          <w:i w:val="0"/>
          <w:iCs w:val="0"/>
          <w:caps w:val="0"/>
          <w:smallCaps w:val="0"/>
          <w:color w:val="auto"/>
          <w:sz w:val="24"/>
          <w:szCs w:val="24"/>
        </w:rPr>
        <w:t>fican</w:t>
      </w:r>
      <w:r w:rsidRPr="419CB688" w:rsidR="015D43E5">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t harm to his </w:t>
      </w:r>
      <w:r w:rsidRPr="419CB688" w:rsidR="1547E0F2">
        <w:rPr>
          <w:rFonts w:ascii="Aptos" w:hAnsi="Aptos" w:eastAsia="Aptos" w:cs="Aptos" w:asciiTheme="minorAscii" w:hAnsiTheme="minorAscii" w:eastAsiaTheme="minorAscii" w:cstheme="minorAscii"/>
          <w:b w:val="0"/>
          <w:bCs w:val="0"/>
          <w:i w:val="0"/>
          <w:iCs w:val="0"/>
          <w:caps w:val="0"/>
          <w:smallCaps w:val="0"/>
          <w:color w:val="auto"/>
          <w:sz w:val="24"/>
          <w:szCs w:val="24"/>
        </w:rPr>
        <w:t>reputation</w:t>
      </w:r>
      <w:r w:rsidRPr="419CB688" w:rsidR="015D43E5">
        <w:rPr>
          <w:rFonts w:ascii="Aptos" w:hAnsi="Aptos" w:eastAsia="Aptos" w:cs="Aptos" w:asciiTheme="minorAscii" w:hAnsiTheme="minorAscii" w:eastAsiaTheme="minorAscii" w:cstheme="minorAscii"/>
          <w:b w:val="0"/>
          <w:bCs w:val="0"/>
          <w:i w:val="0"/>
          <w:iCs w:val="0"/>
          <w:caps w:val="0"/>
          <w:smallCaps w:val="0"/>
          <w:color w:val="auto"/>
          <w:sz w:val="24"/>
          <w:szCs w:val="24"/>
        </w:rPr>
        <w:t>. Depp’s ap</w:t>
      </w:r>
      <w:r w:rsidRPr="419CB688" w:rsidR="6652B372">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peal </w:t>
      </w:r>
      <w:r w:rsidRPr="419CB688" w:rsidR="11C8ED34">
        <w:rPr>
          <w:rFonts w:ascii="Aptos" w:hAnsi="Aptos" w:eastAsia="Aptos" w:cs="Aptos" w:asciiTheme="minorAscii" w:hAnsiTheme="minorAscii" w:eastAsiaTheme="minorAscii" w:cstheme="minorAscii"/>
          <w:b w:val="0"/>
          <w:bCs w:val="0"/>
          <w:i w:val="0"/>
          <w:iCs w:val="0"/>
          <w:caps w:val="0"/>
          <w:smallCaps w:val="0"/>
          <w:color w:val="auto"/>
          <w:sz w:val="24"/>
          <w:szCs w:val="24"/>
        </w:rPr>
        <w:t>against</w:t>
      </w:r>
      <w:r w:rsidRPr="419CB688" w:rsidR="6652B372">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the decision was late </w:t>
      </w:r>
      <w:r w:rsidRPr="419CB688" w:rsidR="6A200C9C">
        <w:rPr>
          <w:rFonts w:ascii="Aptos" w:hAnsi="Aptos" w:eastAsia="Aptos" w:cs="Aptos" w:asciiTheme="minorAscii" w:hAnsiTheme="minorAscii" w:eastAsiaTheme="minorAscii" w:cstheme="minorAscii"/>
          <w:b w:val="0"/>
          <w:bCs w:val="0"/>
          <w:i w:val="0"/>
          <w:iCs w:val="0"/>
          <w:caps w:val="0"/>
          <w:smallCaps w:val="0"/>
          <w:color w:val="auto"/>
          <w:sz w:val="24"/>
          <w:szCs w:val="24"/>
        </w:rPr>
        <w:t>rejected</w:t>
      </w:r>
      <w:r w:rsidRPr="419CB688" w:rsidR="6652B372">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w:t>
      </w:r>
      <w:r w:rsidRPr="419CB688" w:rsidR="5FD917DE">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This </w:t>
      </w:r>
      <w:r w:rsidRPr="419CB688" w:rsidR="60910871">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is an advantage as is allows the defendant to avoid liability for defamation if they can prove their statement is </w:t>
      </w:r>
      <w:r w:rsidRPr="419CB688" w:rsidR="79A31551">
        <w:rPr>
          <w:rFonts w:ascii="Aptos" w:hAnsi="Aptos" w:eastAsia="Aptos" w:cs="Aptos" w:asciiTheme="minorAscii" w:hAnsiTheme="minorAscii" w:eastAsiaTheme="minorAscii" w:cstheme="minorAscii"/>
          <w:b w:val="0"/>
          <w:bCs w:val="0"/>
          <w:i w:val="0"/>
          <w:iCs w:val="0"/>
          <w:caps w:val="0"/>
          <w:smallCaps w:val="0"/>
          <w:color w:val="auto"/>
          <w:sz w:val="24"/>
          <w:szCs w:val="24"/>
        </w:rPr>
        <w:t>substantially</w:t>
      </w:r>
      <w:r w:rsidRPr="419CB688" w:rsidR="60910871">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true</w:t>
      </w:r>
      <w:r w:rsidRPr="419CB688" w:rsidR="60910871">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which in this case, because of his ex-</w:t>
      </w:r>
      <w:r w:rsidRPr="419CB688" w:rsidR="24E0D85E">
        <w:rPr>
          <w:rFonts w:ascii="Aptos" w:hAnsi="Aptos" w:eastAsia="Aptos" w:cs="Aptos" w:asciiTheme="minorAscii" w:hAnsiTheme="minorAscii" w:eastAsiaTheme="minorAscii" w:cstheme="minorAscii"/>
          <w:b w:val="0"/>
          <w:bCs w:val="0"/>
          <w:i w:val="0"/>
          <w:iCs w:val="0"/>
          <w:caps w:val="0"/>
          <w:smallCaps w:val="0"/>
          <w:color w:val="auto"/>
          <w:sz w:val="24"/>
          <w:szCs w:val="24"/>
        </w:rPr>
        <w:t>wife's</w:t>
      </w:r>
      <w:r w:rsidRPr="419CB688" w:rsidR="60910871">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w:t>
      </w:r>
      <w:r w:rsidRPr="419CB688" w:rsidR="1F481FED">
        <w:rPr>
          <w:rFonts w:ascii="Aptos" w:hAnsi="Aptos" w:eastAsia="Aptos" w:cs="Aptos" w:asciiTheme="minorAscii" w:hAnsiTheme="minorAscii" w:eastAsiaTheme="minorAscii" w:cstheme="minorAscii"/>
          <w:b w:val="0"/>
          <w:bCs w:val="0"/>
          <w:i w:val="0"/>
          <w:iCs w:val="0"/>
          <w:caps w:val="0"/>
          <w:smallCaps w:val="0"/>
          <w:color w:val="auto"/>
          <w:sz w:val="24"/>
          <w:szCs w:val="24"/>
        </w:rPr>
        <w:t>testimony</w:t>
      </w:r>
      <w:r w:rsidRPr="419CB688" w:rsidR="60910871">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w:t>
      </w:r>
      <w:r w:rsidRPr="419CB688" w:rsidR="212A5416">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they could prove it was </w:t>
      </w:r>
      <w:r w:rsidRPr="419CB688" w:rsidR="7543E8C2">
        <w:rPr>
          <w:rFonts w:ascii="Aptos" w:hAnsi="Aptos" w:eastAsia="Aptos" w:cs="Aptos" w:asciiTheme="minorAscii" w:hAnsiTheme="minorAscii" w:eastAsiaTheme="minorAscii" w:cstheme="minorAscii"/>
          <w:b w:val="0"/>
          <w:bCs w:val="0"/>
          <w:i w:val="0"/>
          <w:iCs w:val="0"/>
          <w:caps w:val="0"/>
          <w:smallCaps w:val="0"/>
          <w:color w:val="auto"/>
          <w:sz w:val="24"/>
          <w:szCs w:val="24"/>
        </w:rPr>
        <w:t>substantially</w:t>
      </w:r>
      <w:r w:rsidRPr="419CB688" w:rsidR="212A5416">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true</w:t>
      </w:r>
      <w:r w:rsidRPr="419CB688" w:rsidR="212A5416">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w:t>
      </w:r>
      <w:r w:rsidRPr="419CB688" w:rsidR="28545023">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An issue with the Defamation Act 2013 </w:t>
      </w:r>
      <w:r w:rsidRPr="419CB688" w:rsidR="77C1E7E5">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is innuendos. If an article does not name you or someone, </w:t>
      </w:r>
      <w:r w:rsidRPr="419CB688" w:rsidR="79FA3CFC">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there cannot be any assumptions, this is because you must have facts before </w:t>
      </w:r>
      <w:r w:rsidRPr="419CB688" w:rsidR="492E275D">
        <w:rPr>
          <w:rFonts w:ascii="Aptos" w:hAnsi="Aptos" w:eastAsia="Aptos" w:cs="Aptos" w:asciiTheme="minorAscii" w:hAnsiTheme="minorAscii" w:eastAsiaTheme="minorAscii" w:cstheme="minorAscii"/>
          <w:b w:val="0"/>
          <w:bCs w:val="0"/>
          <w:i w:val="0"/>
          <w:iCs w:val="0"/>
          <w:caps w:val="0"/>
          <w:smallCaps w:val="0"/>
          <w:color w:val="auto"/>
          <w:sz w:val="24"/>
          <w:szCs w:val="24"/>
        </w:rPr>
        <w:t>bringing</w:t>
      </w:r>
      <w:r w:rsidRPr="419CB688" w:rsidR="79FA3CFC">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a claim </w:t>
      </w:r>
      <w:r w:rsidRPr="419CB688" w:rsidR="174DFC77">
        <w:rPr>
          <w:rFonts w:ascii="Aptos" w:hAnsi="Aptos" w:eastAsia="Aptos" w:cs="Aptos" w:asciiTheme="minorAscii" w:hAnsiTheme="minorAscii" w:eastAsiaTheme="minorAscii" w:cstheme="minorAscii"/>
          <w:b w:val="0"/>
          <w:bCs w:val="0"/>
          <w:i w:val="0"/>
          <w:iCs w:val="0"/>
          <w:caps w:val="0"/>
          <w:smallCaps w:val="0"/>
          <w:color w:val="auto"/>
          <w:sz w:val="24"/>
          <w:szCs w:val="24"/>
        </w:rPr>
        <w:t>forward</w:t>
      </w:r>
      <w:r w:rsidRPr="419CB688" w:rsidR="79FA3CFC">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for defamation. </w:t>
      </w:r>
      <w:r w:rsidRPr="419CB688" w:rsidR="0DEFFD46">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A case that shows this is Tolley v Fry (1931) Ac 333. </w:t>
      </w:r>
      <w:r w:rsidRPr="419CB688" w:rsidR="009634F9">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The case is about </w:t>
      </w:r>
      <w:r w:rsidRPr="419CB688" w:rsidR="0E4B0C99">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“The defendant firm of chocolate manufacturers used a caricature of the plaintiff amateur golfer for its advertisement. The plaintiff sued the defendant for libel. The House of Lords held that, in the circumstances in which the publication had taken place, the caricature could bear the meaning alleged, namely that the plaintiff had prostituted his reputation as an amateur golfer for advertising purposes. </w:t>
      </w:r>
      <w:r w:rsidRPr="419CB688" w:rsidR="0E4B0C99">
        <w:rPr>
          <w:rFonts w:ascii="Aptos" w:hAnsi="Aptos" w:eastAsia="Aptos" w:cs="Aptos" w:asciiTheme="minorAscii" w:hAnsiTheme="minorAscii" w:eastAsiaTheme="minorAscii" w:cstheme="minorAscii"/>
          <w:b w:val="0"/>
          <w:bCs w:val="0"/>
          <w:i w:val="0"/>
          <w:iCs w:val="0"/>
          <w:caps w:val="0"/>
          <w:smallCaps w:val="0"/>
          <w:color w:val="auto"/>
          <w:sz w:val="24"/>
          <w:szCs w:val="24"/>
        </w:rPr>
        <w:t>Accordingly</w:t>
      </w:r>
      <w:r w:rsidRPr="419CB688" w:rsidR="0E4B0C99">
        <w:rPr>
          <w:rFonts w:ascii="Aptos" w:hAnsi="Aptos" w:eastAsia="Aptos" w:cs="Aptos" w:asciiTheme="minorAscii" w:hAnsiTheme="minorAscii" w:eastAsiaTheme="minorAscii" w:cstheme="minorAscii"/>
          <w:b w:val="0"/>
          <w:bCs w:val="0"/>
          <w:i w:val="0"/>
          <w:iCs w:val="0"/>
          <w:caps w:val="0"/>
          <w:smallCaps w:val="0"/>
          <w:color w:val="auto"/>
          <w:sz w:val="24"/>
          <w:szCs w:val="24"/>
        </w:rPr>
        <w:t xml:space="preserve">, the judge had been right in not withholding the case from the jury and a new trial would be held to assess the damages.” </w:t>
      </w:r>
    </w:p>
    <w:p xmlns:wp14="http://schemas.microsoft.com/office/word/2010/wordml" w:rsidP="419CB688" wp14:paraId="33FB8455" wp14:textId="5B15FD3F">
      <w:pPr>
        <w:pStyle w:val="Normal"/>
        <w:shd w:val="clear" w:color="auto" w:fill="FFFFFF" w:themeFill="background1"/>
        <w:spacing w:before="0" w:beforeAutospacing="off" w:after="195" w:afterAutospacing="of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419CB688" w:rsidR="5D4D19D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419CB688" w:rsidR="73343AB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419CB688" w:rsidR="61CD24A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The </w:t>
      </w:r>
      <w:r w:rsidRPr="419CB688" w:rsidR="404C90B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D</w:t>
      </w:r>
      <w:r w:rsidRPr="419CB688" w:rsidR="61CD24A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efamation Act 2013 has been a significant change to defamation law in England and Wales. Its aim is to balance protecting reputations with </w:t>
      </w:r>
      <w:r w:rsidRPr="419CB688" w:rsidR="1F4883D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safeguarding the </w:t>
      </w:r>
      <w:r w:rsidRPr="419CB688" w:rsidR="104212D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publics</w:t>
      </w:r>
      <w:r w:rsidRPr="419CB688" w:rsidR="1F4883D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freedom of speech. However, there are some areas where the law could improve. </w:t>
      </w:r>
      <w:r w:rsidRPr="419CB688" w:rsidR="1BFA04F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A</w:t>
      </w:r>
      <w:r w:rsidRPr="419CB688" w:rsidR="1F4883D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419CB688" w:rsidR="202B472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reform suggestion</w:t>
      </w:r>
      <w:r w:rsidRPr="419CB688" w:rsidR="1F4883D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to the Def</w:t>
      </w:r>
      <w:r w:rsidRPr="419CB688" w:rsidR="26E298A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amation Act 2013 </w:t>
      </w:r>
      <w:r w:rsidRPr="419CB688" w:rsidR="0C27B9D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is</w:t>
      </w:r>
      <w:r w:rsidRPr="419CB688" w:rsidR="6C9C78F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the serious harm test. </w:t>
      </w:r>
      <w:r w:rsidRPr="419CB688" w:rsidR="667CAAD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The Defamation Act 2013 introduced a requirement that claimants must prove </w:t>
      </w:r>
      <w:r w:rsidRPr="419CB688" w:rsidR="4B9EB66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that the defamatory statement has caused, or is likely to cause, serious harm to their reputation. However, the interpretation of “serious harm” has been </w:t>
      </w:r>
      <w:r w:rsidRPr="419CB688" w:rsidR="4B9EB66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somewhat ambiguous</w:t>
      </w:r>
      <w:r w:rsidRPr="419CB688" w:rsidR="4B9EB66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419CB688" w:rsidR="6A069F4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The reform suggestion to this would be to make more of a clear guideline or case law on what constitutes “serious harm”</w:t>
      </w:r>
      <w:r w:rsidRPr="419CB688" w:rsidR="4C27E26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would help claimants and defendants understand how the threshold operates. </w:t>
      </w:r>
    </w:p>
    <w:p xmlns:wp14="http://schemas.microsoft.com/office/word/2010/wordml" w:rsidP="419CB688" wp14:paraId="394610D1" wp14:textId="00496789">
      <w:pPr>
        <w:pStyle w:val="Normal"/>
        <w:shd w:val="clear" w:color="auto" w:fill="FFFFFF" w:themeFill="background1"/>
        <w:spacing w:before="0" w:beforeAutospacing="off" w:after="195" w:afterAutospacing="of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single"/>
        </w:rPr>
      </w:pPr>
    </w:p>
    <w:p xmlns:wp14="http://schemas.microsoft.com/office/word/2010/wordml" w:rsidP="419CB688" wp14:paraId="3123D3C7" wp14:textId="7CAA1988">
      <w:pPr>
        <w:pStyle w:val="Normal"/>
        <w:shd w:val="clear" w:color="auto" w:fill="FFFFFF" w:themeFill="background1"/>
        <w:spacing w:before="0" w:beforeAutospacing="off" w:after="195"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US"/>
        </w:rPr>
      </w:pPr>
      <w:r w:rsidRPr="419CB688" w:rsidR="2A612B1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single"/>
        </w:rPr>
        <w:t>Reference List</w:t>
      </w:r>
    </w:p>
    <w:p xmlns:wp14="http://schemas.microsoft.com/office/word/2010/wordml" w:rsidP="419CB688" wp14:paraId="0048701F" wp14:textId="536251CF">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419CB688" w:rsidR="3942595F">
        <w:rPr>
          <w:rFonts w:ascii="Aptos" w:hAnsi="Aptos" w:eastAsia="Aptos" w:cs="Aptos"/>
          <w:noProof w:val="0"/>
          <w:sz w:val="24"/>
          <w:szCs w:val="24"/>
          <w:lang w:val="en-GB"/>
        </w:rPr>
        <w:t xml:space="preserve">BBC News (2020) Johnny Depp loses libel case over Sun ‘wife beater’ claim. Available at: </w:t>
      </w:r>
      <w:hyperlink r:id="R15eb7d7480774a58">
        <w:r w:rsidRPr="419CB688" w:rsidR="3942595F">
          <w:rPr>
            <w:rStyle w:val="Hyperlink"/>
            <w:rFonts w:ascii="Aptos" w:hAnsi="Aptos" w:eastAsia="Aptos" w:cs="Aptos"/>
            <w:noProof w:val="0"/>
            <w:sz w:val="24"/>
            <w:szCs w:val="24"/>
            <w:lang w:val="en-GB"/>
          </w:rPr>
          <w:t>https://www.bbc.co.uk/news/uk-54779430</w:t>
        </w:r>
      </w:hyperlink>
      <w:r w:rsidRPr="419CB688" w:rsidR="3942595F">
        <w:rPr>
          <w:rFonts w:ascii="Aptos" w:hAnsi="Aptos" w:eastAsia="Aptos" w:cs="Aptos"/>
          <w:noProof w:val="0"/>
          <w:sz w:val="24"/>
          <w:szCs w:val="24"/>
          <w:lang w:val="en-GB"/>
        </w:rPr>
        <w:t xml:space="preserve"> (Accessed: 7 January 2025)</w:t>
      </w:r>
    </w:p>
    <w:p xmlns:wp14="http://schemas.microsoft.com/office/word/2010/wordml" w:rsidP="419CB688" wp14:paraId="626C2A89" wp14:textId="4C9389AB">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419CB688" w:rsidR="3942595F">
        <w:rPr>
          <w:rFonts w:ascii="Aptos" w:hAnsi="Aptos" w:eastAsia="Aptos" w:cs="Aptos"/>
          <w:noProof w:val="0"/>
          <w:sz w:val="24"/>
          <w:szCs w:val="24"/>
          <w:lang w:val="en-GB"/>
        </w:rPr>
        <w:t>Bullock, A., Jennings, C. and Timbrell, N., (2019) A Dictionary of Publishing. Oxford: Oxford University Press</w:t>
      </w:r>
    </w:p>
    <w:p xmlns:wp14="http://schemas.microsoft.com/office/word/2010/wordml" w:rsidP="419CB688" wp14:paraId="692DA6D9" wp14:textId="57ADE3C7">
      <w:pPr>
        <w:pStyle w:val="ListParagraph"/>
        <w:numPr>
          <w:ilvl w:val="0"/>
          <w:numId w:val="6"/>
        </w:numPr>
        <w:spacing w:before="240" w:beforeAutospacing="off" w:after="240" w:afterAutospacing="off"/>
        <w:rPr>
          <w:rFonts w:ascii="Aptos" w:hAnsi="Aptos" w:eastAsia="Aptos" w:cs="Aptos"/>
          <w:noProof w:val="0"/>
          <w:sz w:val="24"/>
          <w:szCs w:val="24"/>
          <w:lang w:val="en-GB"/>
        </w:rPr>
      </w:pPr>
      <w:r w:rsidRPr="419CB688" w:rsidR="3942595F">
        <w:rPr>
          <w:rFonts w:ascii="Aptos" w:hAnsi="Aptos" w:eastAsia="Aptos" w:cs="Aptos"/>
          <w:noProof w:val="0"/>
          <w:sz w:val="24"/>
          <w:szCs w:val="24"/>
          <w:lang w:val="en-GB"/>
        </w:rPr>
        <w:t>Depp v The Sun Newspaper (2020) EWHC 2911 (QB)</w:t>
      </w:r>
    </w:p>
    <w:p xmlns:wp14="http://schemas.microsoft.com/office/word/2010/wordml" w:rsidP="419CB688" wp14:paraId="3056851C" wp14:textId="4DD49396">
      <w:pPr>
        <w:pStyle w:val="ListParagraph"/>
        <w:numPr>
          <w:ilvl w:val="0"/>
          <w:numId w:val="7"/>
        </w:numPr>
        <w:spacing w:before="240" w:beforeAutospacing="off" w:after="240" w:afterAutospacing="off"/>
        <w:rPr>
          <w:rFonts w:ascii="Aptos" w:hAnsi="Aptos" w:eastAsia="Aptos" w:cs="Aptos"/>
          <w:noProof w:val="0"/>
          <w:sz w:val="24"/>
          <w:szCs w:val="24"/>
          <w:lang w:val="en-GB"/>
        </w:rPr>
      </w:pPr>
      <w:r w:rsidRPr="419CB688" w:rsidR="3942595F">
        <w:rPr>
          <w:rFonts w:ascii="Aptos" w:hAnsi="Aptos" w:eastAsia="Aptos" w:cs="Aptos"/>
          <w:noProof w:val="0"/>
          <w:sz w:val="24"/>
          <w:szCs w:val="24"/>
          <w:lang w:val="en-GB"/>
        </w:rPr>
        <w:t xml:space="preserve">Hamlins (2024) A decade of the Defamation Act 2013. Available at </w:t>
      </w:r>
      <w:hyperlink w:anchor=":~:text=The%20Defamation%20Act%202013%20came,reputation%20and%20freedom%20of%20expression" r:id="R574db40aad714a33">
        <w:r w:rsidRPr="419CB688" w:rsidR="3942595F">
          <w:rPr>
            <w:rStyle w:val="Hyperlink"/>
            <w:rFonts w:ascii="Aptos" w:hAnsi="Aptos" w:eastAsia="Aptos" w:cs="Aptos"/>
            <w:noProof w:val="0"/>
            <w:sz w:val="24"/>
            <w:szCs w:val="24"/>
            <w:lang w:val="en-GB"/>
          </w:rPr>
          <w:t>https://hamlins.com/insight/a-decade-of-the-defamation-act-2013/#:~:text=The%20Defamation%20Act%202013%20came,reputation%20and%20freedom%20of%20expression</w:t>
        </w:r>
      </w:hyperlink>
      <w:r w:rsidRPr="419CB688" w:rsidR="3942595F">
        <w:rPr>
          <w:rFonts w:ascii="Aptos" w:hAnsi="Aptos" w:eastAsia="Aptos" w:cs="Aptos"/>
          <w:noProof w:val="0"/>
          <w:sz w:val="24"/>
          <w:szCs w:val="24"/>
          <w:lang w:val="en-GB"/>
        </w:rPr>
        <w:t>. (Accessed: 7 January 2025)</w:t>
      </w:r>
    </w:p>
    <w:p xmlns:wp14="http://schemas.microsoft.com/office/word/2010/wordml" w:rsidP="419CB688" wp14:paraId="6B9C8F05" wp14:textId="5913E6C0">
      <w:pPr>
        <w:pStyle w:val="ListParagraph"/>
        <w:numPr>
          <w:ilvl w:val="0"/>
          <w:numId w:val="8"/>
        </w:numPr>
        <w:spacing w:before="240" w:beforeAutospacing="off" w:after="240" w:afterAutospacing="off"/>
        <w:rPr>
          <w:rFonts w:ascii="Aptos" w:hAnsi="Aptos" w:eastAsia="Aptos" w:cs="Aptos"/>
          <w:noProof w:val="0"/>
          <w:sz w:val="24"/>
          <w:szCs w:val="24"/>
          <w:lang w:val="en-GB"/>
        </w:rPr>
      </w:pPr>
      <w:r w:rsidRPr="419CB688" w:rsidR="3942595F">
        <w:rPr>
          <w:rFonts w:ascii="Aptos" w:hAnsi="Aptos" w:eastAsia="Aptos" w:cs="Aptos"/>
          <w:noProof w:val="0"/>
          <w:sz w:val="24"/>
          <w:szCs w:val="24"/>
          <w:lang w:val="en-GB"/>
        </w:rPr>
        <w:t xml:space="preserve">HM Courts and Tribunals Service (2016) King’s Bench Division: bring a case to the court. Available at: </w:t>
      </w:r>
      <w:hyperlink w:anchor=":~:text=Cases%20are%20usually%20heard%20by,involves%20libel%2C%20defamation%20or%20slander" r:id="R7418b0b09f904bda">
        <w:r w:rsidRPr="419CB688" w:rsidR="3942595F">
          <w:rPr>
            <w:rStyle w:val="Hyperlink"/>
            <w:rFonts w:ascii="Aptos" w:hAnsi="Aptos" w:eastAsia="Aptos" w:cs="Aptos"/>
            <w:noProof w:val="0"/>
            <w:sz w:val="24"/>
            <w:szCs w:val="24"/>
            <w:lang w:val="en-GB"/>
          </w:rPr>
          <w:t>https://www.gov.uk/guidance/kings-bench-division-bring-a-case-to-the-court#:~:text=Cases%20are%20usually%20heard%20by,involves%20libel%2C%20defamation%20or%20slander</w:t>
        </w:r>
      </w:hyperlink>
      <w:r w:rsidRPr="419CB688" w:rsidR="3942595F">
        <w:rPr>
          <w:rFonts w:ascii="Aptos" w:hAnsi="Aptos" w:eastAsia="Aptos" w:cs="Aptos"/>
          <w:noProof w:val="0"/>
          <w:sz w:val="24"/>
          <w:szCs w:val="24"/>
          <w:lang w:val="en-GB"/>
        </w:rPr>
        <w:t>. (Accessed: 6 January 2025)</w:t>
      </w:r>
    </w:p>
    <w:p xmlns:wp14="http://schemas.microsoft.com/office/word/2010/wordml" w:rsidP="419CB688" wp14:paraId="6A01331E" wp14:textId="2DFD28A2">
      <w:pPr>
        <w:pStyle w:val="ListParagraph"/>
        <w:numPr>
          <w:ilvl w:val="0"/>
          <w:numId w:val="9"/>
        </w:numPr>
        <w:spacing w:before="240" w:beforeAutospacing="off" w:after="240" w:afterAutospacing="off"/>
        <w:rPr>
          <w:rFonts w:ascii="Aptos" w:hAnsi="Aptos" w:eastAsia="Aptos" w:cs="Aptos"/>
          <w:noProof w:val="0"/>
          <w:sz w:val="24"/>
          <w:szCs w:val="24"/>
          <w:lang w:val="en-GB"/>
        </w:rPr>
      </w:pPr>
      <w:r w:rsidRPr="419CB688" w:rsidR="3942595F">
        <w:rPr>
          <w:rFonts w:ascii="Aptos" w:hAnsi="Aptos" w:eastAsia="Aptos" w:cs="Aptos"/>
          <w:noProof w:val="0"/>
          <w:sz w:val="24"/>
          <w:szCs w:val="24"/>
          <w:lang w:val="en-GB"/>
        </w:rPr>
        <w:t xml:space="preserve">Legislation Government Uk Website (2013), Defamation Act 2013, Section 2. Available at: </w:t>
      </w:r>
      <w:hyperlink w:anchor=":~:text=2Truth&amp;text=(1)It%20is%20a%20defence,two%20or%20more%20distinct%20imputations" r:id="R927a140b476e4c06">
        <w:r w:rsidRPr="419CB688" w:rsidR="3942595F">
          <w:rPr>
            <w:rStyle w:val="Hyperlink"/>
            <w:rFonts w:ascii="Aptos" w:hAnsi="Aptos" w:eastAsia="Aptos" w:cs="Aptos"/>
            <w:noProof w:val="0"/>
            <w:sz w:val="24"/>
            <w:szCs w:val="24"/>
            <w:lang w:val="en-GB"/>
          </w:rPr>
          <w:t>https://www.legislation.gov.uk/ukpga/2013/26/section/2#:~:text=2Truth&amp;text=(1)It%20is%20a%20defence,two%20or%20more%20distinct%20imputations</w:t>
        </w:r>
      </w:hyperlink>
      <w:r w:rsidRPr="419CB688" w:rsidR="3942595F">
        <w:rPr>
          <w:rFonts w:ascii="Aptos" w:hAnsi="Aptos" w:eastAsia="Aptos" w:cs="Aptos"/>
          <w:noProof w:val="0"/>
          <w:sz w:val="24"/>
          <w:szCs w:val="24"/>
          <w:lang w:val="en-GB"/>
        </w:rPr>
        <w:t>. (Accessed: 7 January 2025)</w:t>
      </w:r>
    </w:p>
    <w:p xmlns:wp14="http://schemas.microsoft.com/office/word/2010/wordml" w:rsidP="419CB688" wp14:paraId="5D021D0E" wp14:textId="0C7B6099">
      <w:pPr>
        <w:pStyle w:val="ListParagraph"/>
        <w:numPr>
          <w:ilvl w:val="0"/>
          <w:numId w:val="10"/>
        </w:numPr>
        <w:spacing w:before="240" w:beforeAutospacing="off" w:after="240" w:afterAutospacing="off"/>
        <w:rPr>
          <w:rFonts w:ascii="Aptos" w:hAnsi="Aptos" w:eastAsia="Aptos" w:cs="Aptos"/>
          <w:noProof w:val="0"/>
          <w:sz w:val="24"/>
          <w:szCs w:val="24"/>
          <w:lang w:val="en-GB"/>
        </w:rPr>
      </w:pPr>
      <w:r w:rsidRPr="419CB688" w:rsidR="3942595F">
        <w:rPr>
          <w:rFonts w:ascii="Aptos" w:hAnsi="Aptos" w:eastAsia="Aptos" w:cs="Aptos"/>
          <w:noProof w:val="0"/>
          <w:sz w:val="24"/>
          <w:szCs w:val="24"/>
          <w:lang w:val="en-GB"/>
        </w:rPr>
        <w:t xml:space="preserve">Legislation Government Website (1996) Defamation Act 1996. Available at: </w:t>
      </w:r>
      <w:hyperlink r:id="R23876df01f77468d">
        <w:r w:rsidRPr="419CB688" w:rsidR="3942595F">
          <w:rPr>
            <w:rStyle w:val="Hyperlink"/>
            <w:rFonts w:ascii="Aptos" w:hAnsi="Aptos" w:eastAsia="Aptos" w:cs="Aptos"/>
            <w:noProof w:val="0"/>
            <w:sz w:val="24"/>
            <w:szCs w:val="24"/>
            <w:lang w:val="en-GB"/>
          </w:rPr>
          <w:t>https://www.legislation.gov.uk/ukpga/1996/31/introduction</w:t>
        </w:r>
      </w:hyperlink>
      <w:r w:rsidRPr="419CB688" w:rsidR="3942595F">
        <w:rPr>
          <w:rFonts w:ascii="Aptos" w:hAnsi="Aptos" w:eastAsia="Aptos" w:cs="Aptos"/>
          <w:noProof w:val="0"/>
          <w:sz w:val="24"/>
          <w:szCs w:val="24"/>
          <w:lang w:val="en-GB"/>
        </w:rPr>
        <w:t xml:space="preserve"> (Accessed: 6 January 2025)</w:t>
      </w:r>
    </w:p>
    <w:p xmlns:wp14="http://schemas.microsoft.com/office/word/2010/wordml" w:rsidP="419CB688" wp14:paraId="50D2BC3D" wp14:textId="3FB41F73">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419CB688" w:rsidR="3942595F">
        <w:rPr>
          <w:rFonts w:ascii="Aptos" w:hAnsi="Aptos" w:eastAsia="Aptos" w:cs="Aptos"/>
          <w:noProof w:val="0"/>
          <w:sz w:val="24"/>
          <w:szCs w:val="24"/>
          <w:lang w:val="en-GB"/>
        </w:rPr>
        <w:t xml:space="preserve">Loutchansky v Times Newspapers Ltd [2001] EWCA </w:t>
      </w:r>
      <w:r w:rsidRPr="419CB688" w:rsidR="3942595F">
        <w:rPr>
          <w:rFonts w:ascii="Aptos" w:hAnsi="Aptos" w:eastAsia="Aptos" w:cs="Aptos"/>
          <w:noProof w:val="0"/>
          <w:sz w:val="24"/>
          <w:szCs w:val="24"/>
          <w:lang w:val="en-GB"/>
        </w:rPr>
        <w:t>Civ</w:t>
      </w:r>
      <w:r w:rsidRPr="419CB688" w:rsidR="3942595F">
        <w:rPr>
          <w:rFonts w:ascii="Aptos" w:hAnsi="Aptos" w:eastAsia="Aptos" w:cs="Aptos"/>
          <w:noProof w:val="0"/>
          <w:sz w:val="24"/>
          <w:szCs w:val="24"/>
          <w:lang w:val="en-GB"/>
        </w:rPr>
        <w:t xml:space="preserve"> 1805, [2002] QB 783, [2002] 1 All ER 652, [2002] 2 WLR 640, (2001) Times, 7 December, [2001] All ER (D) 44 (Dec)</w:t>
      </w:r>
    </w:p>
    <w:p xmlns:wp14="http://schemas.microsoft.com/office/word/2010/wordml" w:rsidP="419CB688" wp14:paraId="327ED2FE" wp14:textId="3BDECD5A">
      <w:pPr>
        <w:pStyle w:val="ListParagraph"/>
        <w:numPr>
          <w:ilvl w:val="0"/>
          <w:numId w:val="12"/>
        </w:numPr>
        <w:spacing w:before="240" w:beforeAutospacing="off" w:after="240" w:afterAutospacing="off"/>
        <w:rPr>
          <w:rFonts w:ascii="Aptos" w:hAnsi="Aptos" w:eastAsia="Aptos" w:cs="Aptos"/>
          <w:noProof w:val="0"/>
          <w:sz w:val="24"/>
          <w:szCs w:val="24"/>
          <w:lang w:val="en-GB"/>
        </w:rPr>
      </w:pPr>
      <w:r w:rsidRPr="419CB688" w:rsidR="3942595F">
        <w:rPr>
          <w:rFonts w:ascii="Aptos" w:hAnsi="Aptos" w:eastAsia="Aptos" w:cs="Aptos"/>
          <w:noProof w:val="0"/>
          <w:sz w:val="24"/>
          <w:szCs w:val="24"/>
          <w:lang w:val="en-GB"/>
        </w:rPr>
        <w:t xml:space="preserve">Oxbridge Notes (2020) </w:t>
      </w:r>
      <w:r w:rsidRPr="419CB688" w:rsidR="3942595F">
        <w:rPr>
          <w:rFonts w:ascii="Aptos" w:hAnsi="Aptos" w:eastAsia="Aptos" w:cs="Aptos"/>
          <w:noProof w:val="0"/>
          <w:sz w:val="24"/>
          <w:szCs w:val="24"/>
          <w:lang w:val="en-GB"/>
        </w:rPr>
        <w:t>Loutchansky</w:t>
      </w:r>
      <w:r w:rsidRPr="419CB688" w:rsidR="3942595F">
        <w:rPr>
          <w:rFonts w:ascii="Aptos" w:hAnsi="Aptos" w:eastAsia="Aptos" w:cs="Aptos"/>
          <w:noProof w:val="0"/>
          <w:sz w:val="24"/>
          <w:szCs w:val="24"/>
          <w:lang w:val="en-GB"/>
        </w:rPr>
        <w:t xml:space="preserve"> v Times Newspapers Ltd (No 2) [2002] QB 783. Available at: </w:t>
      </w:r>
      <w:hyperlink r:id="Raaa61febcedc445a">
        <w:r w:rsidRPr="419CB688" w:rsidR="3942595F">
          <w:rPr>
            <w:rStyle w:val="Hyperlink"/>
            <w:rFonts w:ascii="Aptos" w:hAnsi="Aptos" w:eastAsia="Aptos" w:cs="Aptos"/>
            <w:noProof w:val="0"/>
            <w:sz w:val="24"/>
            <w:szCs w:val="24"/>
            <w:lang w:val="en-GB"/>
          </w:rPr>
          <w:t>https://www.oxbridgenotes.co.uk/law_cases/loutchansky-v-times-newspapers-ltd-no-2</w:t>
        </w:r>
      </w:hyperlink>
      <w:r w:rsidRPr="419CB688" w:rsidR="3942595F">
        <w:rPr>
          <w:rFonts w:ascii="Aptos" w:hAnsi="Aptos" w:eastAsia="Aptos" w:cs="Aptos"/>
          <w:noProof w:val="0"/>
          <w:sz w:val="24"/>
          <w:szCs w:val="24"/>
          <w:lang w:val="en-GB"/>
        </w:rPr>
        <w:t xml:space="preserve"> (Accessed: 7 January 2025)</w:t>
      </w:r>
    </w:p>
    <w:p xmlns:wp14="http://schemas.microsoft.com/office/word/2010/wordml" w:rsidP="419CB688" wp14:paraId="18AF18D0" wp14:textId="4264C1A7">
      <w:pPr>
        <w:pStyle w:val="ListParagraph"/>
        <w:numPr>
          <w:ilvl w:val="0"/>
          <w:numId w:val="13"/>
        </w:numPr>
        <w:spacing w:before="240" w:beforeAutospacing="off" w:after="240" w:afterAutospacing="off"/>
        <w:rPr>
          <w:rFonts w:ascii="Aptos" w:hAnsi="Aptos" w:eastAsia="Aptos" w:cs="Aptos"/>
          <w:noProof w:val="0"/>
          <w:sz w:val="24"/>
          <w:szCs w:val="24"/>
          <w:lang w:val="en-GB"/>
        </w:rPr>
      </w:pPr>
      <w:r w:rsidRPr="419CB688" w:rsidR="3942595F">
        <w:rPr>
          <w:rFonts w:ascii="Aptos" w:hAnsi="Aptos" w:eastAsia="Aptos" w:cs="Aptos"/>
          <w:noProof w:val="0"/>
          <w:sz w:val="24"/>
          <w:szCs w:val="24"/>
          <w:lang w:val="en-GB"/>
        </w:rPr>
        <w:t>Sim v Stretch [1936] 2 All ER 1237, 80 Sol Jo 703, 52 TLR 669</w:t>
      </w:r>
    </w:p>
    <w:p xmlns:wp14="http://schemas.microsoft.com/office/word/2010/wordml" w:rsidP="419CB688" wp14:paraId="7EAE0E15" wp14:textId="120FE9C5">
      <w:pPr>
        <w:pStyle w:val="ListParagraph"/>
        <w:numPr>
          <w:ilvl w:val="0"/>
          <w:numId w:val="14"/>
        </w:numPr>
        <w:spacing w:before="240" w:beforeAutospacing="off" w:after="240" w:afterAutospacing="off"/>
        <w:rPr>
          <w:rFonts w:ascii="Aptos" w:hAnsi="Aptos" w:eastAsia="Aptos" w:cs="Aptos"/>
          <w:noProof w:val="0"/>
          <w:sz w:val="24"/>
          <w:szCs w:val="24"/>
          <w:lang w:val="en-GB"/>
        </w:rPr>
      </w:pPr>
      <w:r w:rsidRPr="419CB688" w:rsidR="3942595F">
        <w:rPr>
          <w:rFonts w:ascii="Aptos" w:hAnsi="Aptos" w:eastAsia="Aptos" w:cs="Aptos"/>
          <w:noProof w:val="0"/>
          <w:sz w:val="24"/>
          <w:szCs w:val="24"/>
          <w:lang w:val="en-GB"/>
        </w:rPr>
        <w:t>Tolley v JS Fry &amp; Sons Ltd [1931] AC 333, 100 LJKB 328, [1931] All ER Rep 131, 75 Sol Jo 220, 145 LT 1, 47 TLR 351</w:t>
      </w:r>
    </w:p>
    <w:p xmlns:wp14="http://schemas.microsoft.com/office/word/2010/wordml" w:rsidP="419CB688" wp14:paraId="4106042D" wp14:textId="5C4636DC">
      <w:pPr>
        <w:pStyle w:val="ListParagraph"/>
        <w:numPr>
          <w:ilvl w:val="0"/>
          <w:numId w:val="15"/>
        </w:numPr>
        <w:spacing w:before="240" w:beforeAutospacing="off" w:after="240" w:afterAutospacing="off"/>
        <w:rPr>
          <w:rFonts w:ascii="Aptos" w:hAnsi="Aptos" w:eastAsia="Aptos" w:cs="Aptos"/>
          <w:noProof w:val="0"/>
          <w:sz w:val="24"/>
          <w:szCs w:val="24"/>
          <w:lang w:val="en-GB"/>
        </w:rPr>
      </w:pPr>
      <w:r w:rsidRPr="419CB688" w:rsidR="3942595F">
        <w:rPr>
          <w:rFonts w:ascii="Aptos" w:hAnsi="Aptos" w:eastAsia="Aptos" w:cs="Aptos"/>
          <w:noProof w:val="0"/>
          <w:sz w:val="24"/>
          <w:szCs w:val="24"/>
          <w:lang w:val="en-GB"/>
        </w:rPr>
        <w:t xml:space="preserve">UK Parliament Website (1999) Freedom of Speech and Article 9 of the Bill of Rights- Article 9 of the Bill of Rights 1689. Available at: </w:t>
      </w:r>
      <w:hyperlink w:anchor=":~:text=These%20freedoms%2C%20the%20single%20most" r:id="R3f634662fa7a4382">
        <w:r w:rsidRPr="419CB688" w:rsidR="3942595F">
          <w:rPr>
            <w:rStyle w:val="Hyperlink"/>
            <w:rFonts w:ascii="Aptos" w:hAnsi="Aptos" w:eastAsia="Aptos" w:cs="Aptos"/>
            <w:noProof w:val="0"/>
            <w:sz w:val="24"/>
            <w:szCs w:val="24"/>
            <w:lang w:val="en-GB"/>
          </w:rPr>
          <w:t>https://publications.parliament.uk/pa/jt199899/jtselect/jtpriv/43/4306.htm#:~:text=These%20freedoms%2C%20the%20single%20most</w:t>
        </w:r>
      </w:hyperlink>
      <w:r w:rsidRPr="419CB688" w:rsidR="3942595F">
        <w:rPr>
          <w:rFonts w:ascii="Aptos" w:hAnsi="Aptos" w:eastAsia="Aptos" w:cs="Aptos"/>
          <w:noProof w:val="0"/>
          <w:sz w:val="24"/>
          <w:szCs w:val="24"/>
          <w:lang w:val="en-GB"/>
        </w:rPr>
        <w:t>,' (Accessed: 7 January 2025)</w:t>
      </w:r>
    </w:p>
    <w:p xmlns:wp14="http://schemas.microsoft.com/office/word/2010/wordml" w:rsidP="419CB688" wp14:paraId="5A637E2D" wp14:textId="09AF8FFE">
      <w:pPr>
        <w:pStyle w:val="ListParagraph"/>
        <w:numPr>
          <w:ilvl w:val="0"/>
          <w:numId w:val="16"/>
        </w:numPr>
        <w:spacing w:before="240" w:beforeAutospacing="off" w:after="240" w:afterAutospacing="off"/>
        <w:rPr>
          <w:rFonts w:ascii="Aptos" w:hAnsi="Aptos" w:eastAsia="Aptos" w:cs="Aptos"/>
          <w:noProof w:val="0"/>
          <w:sz w:val="24"/>
          <w:szCs w:val="24"/>
          <w:lang w:val="en-GB"/>
        </w:rPr>
      </w:pPr>
      <w:r w:rsidRPr="419CB688" w:rsidR="3942595F">
        <w:rPr>
          <w:rFonts w:ascii="Aptos" w:hAnsi="Aptos" w:eastAsia="Aptos" w:cs="Aptos"/>
          <w:noProof w:val="0"/>
          <w:sz w:val="24"/>
          <w:szCs w:val="24"/>
          <w:lang w:val="en-GB"/>
        </w:rPr>
        <w:t xml:space="preserve">UK Parliament Website (2014) Ending the Hamilton Affair? Available at: </w:t>
      </w:r>
      <w:hyperlink w:anchor=":~:text=Section%2013%20of%20the%20Defamation,the%20purposes%20of%20defamation%20proceedings" r:id="R627be6f81587425d">
        <w:r w:rsidRPr="419CB688" w:rsidR="3942595F">
          <w:rPr>
            <w:rStyle w:val="Hyperlink"/>
            <w:rFonts w:ascii="Aptos" w:hAnsi="Aptos" w:eastAsia="Aptos" w:cs="Aptos"/>
            <w:noProof w:val="0"/>
            <w:sz w:val="24"/>
            <w:szCs w:val="24"/>
            <w:lang w:val="en-GB"/>
          </w:rPr>
          <w:t>https://commonslibrary.parliament.uk/ending-the-hamilton-affair/#:~:text=Section%2013%20of%20the%20Defamation,the%20purposes%20of%20defamation%20proceedings</w:t>
        </w:r>
      </w:hyperlink>
      <w:r w:rsidRPr="419CB688" w:rsidR="3942595F">
        <w:rPr>
          <w:rFonts w:ascii="Aptos" w:hAnsi="Aptos" w:eastAsia="Aptos" w:cs="Aptos"/>
          <w:noProof w:val="0"/>
          <w:sz w:val="24"/>
          <w:szCs w:val="24"/>
          <w:lang w:val="en-GB"/>
        </w:rPr>
        <w:t>. (Accessed: 7 January 2025)</w:t>
      </w:r>
    </w:p>
    <w:p xmlns:wp14="http://schemas.microsoft.com/office/word/2010/wordml" w:rsidP="419CB688" wp14:paraId="5B80F3CC" wp14:textId="7F45EFD1">
      <w:pPr>
        <w:spacing w:before="240" w:beforeAutospacing="off" w:after="240" w:afterAutospacing="off"/>
        <w:rPr>
          <w:rFonts w:ascii="Aptos" w:hAnsi="Aptos" w:eastAsia="Aptos" w:cs="Aptos"/>
          <w:noProof w:val="0"/>
          <w:sz w:val="24"/>
          <w:szCs w:val="24"/>
          <w:lang w:val="en-GB"/>
        </w:rPr>
      </w:pPr>
    </w:p>
    <w:p xmlns:wp14="http://schemas.microsoft.com/office/word/2010/wordml" w:rsidP="419CB688" wp14:paraId="4A0F1AC0" wp14:textId="20CCB2B6">
      <w:pPr>
        <w:pStyle w:val="Normal"/>
        <w:shd w:val="clear" w:color="auto" w:fill="FFFFFF" w:themeFill="background1"/>
        <w:spacing w:before="0" w:beforeAutospacing="off" w:after="195" w:afterAutospacing="off"/>
        <w:ind w:left="0"/>
        <w:rPr>
          <w:noProof w:val="0"/>
          <w:lang w:val="en-GB"/>
        </w:rPr>
      </w:pPr>
    </w:p>
    <w:p xmlns:wp14="http://schemas.microsoft.com/office/word/2010/wordml" wp14:paraId="2C078E63" wp14:textId="431525EE"/>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RLedFy52o1Ir/N" int2:id="IRQcC7MW">
      <int2:state int2:type="AugLoop_Text_Critique" int2:value="Rejected"/>
    </int2:textHash>
    <int2:textHash int2:hashCode="Z5EmxsJzLpp9ky" int2:id="hMw4BEI0">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6">
    <w:nsid w:val="69a694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9ba17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c56b0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765f0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48bf3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dc7f0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33f11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326ae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e758a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e8dd6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79a96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dca64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f0fb6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244d3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eae15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d4b6c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63B65B"/>
    <w:rsid w:val="003E0FA6"/>
    <w:rsid w:val="009634F9"/>
    <w:rsid w:val="00BB5BAD"/>
    <w:rsid w:val="00BBEBFC"/>
    <w:rsid w:val="013ECCD4"/>
    <w:rsid w:val="015D43E5"/>
    <w:rsid w:val="01893620"/>
    <w:rsid w:val="01C989DA"/>
    <w:rsid w:val="02B39AB5"/>
    <w:rsid w:val="0313C7BC"/>
    <w:rsid w:val="03633F81"/>
    <w:rsid w:val="036F4FCB"/>
    <w:rsid w:val="0439F84E"/>
    <w:rsid w:val="0470C9CD"/>
    <w:rsid w:val="04EFFDEA"/>
    <w:rsid w:val="05352EE0"/>
    <w:rsid w:val="05413E59"/>
    <w:rsid w:val="056E1674"/>
    <w:rsid w:val="0574F030"/>
    <w:rsid w:val="057624BC"/>
    <w:rsid w:val="059A16E8"/>
    <w:rsid w:val="05D51AF1"/>
    <w:rsid w:val="05D67366"/>
    <w:rsid w:val="06213804"/>
    <w:rsid w:val="0655199D"/>
    <w:rsid w:val="065E5D64"/>
    <w:rsid w:val="0667ADEF"/>
    <w:rsid w:val="06B552E8"/>
    <w:rsid w:val="06BF6A60"/>
    <w:rsid w:val="06D351F3"/>
    <w:rsid w:val="07167506"/>
    <w:rsid w:val="0726526A"/>
    <w:rsid w:val="072D10AE"/>
    <w:rsid w:val="0732B1CB"/>
    <w:rsid w:val="0928885B"/>
    <w:rsid w:val="095696DF"/>
    <w:rsid w:val="09D1FAA8"/>
    <w:rsid w:val="0A39DE0B"/>
    <w:rsid w:val="0B184A95"/>
    <w:rsid w:val="0BA48DEE"/>
    <w:rsid w:val="0BF3849E"/>
    <w:rsid w:val="0C126420"/>
    <w:rsid w:val="0C27B9D3"/>
    <w:rsid w:val="0C732879"/>
    <w:rsid w:val="0CB0B5DC"/>
    <w:rsid w:val="0CE8A7E4"/>
    <w:rsid w:val="0CFBA779"/>
    <w:rsid w:val="0D17F622"/>
    <w:rsid w:val="0D25298F"/>
    <w:rsid w:val="0D361117"/>
    <w:rsid w:val="0D49D352"/>
    <w:rsid w:val="0DEFFD46"/>
    <w:rsid w:val="0E4B0C99"/>
    <w:rsid w:val="0E864CCB"/>
    <w:rsid w:val="0ECBCA36"/>
    <w:rsid w:val="0ED948DE"/>
    <w:rsid w:val="0F0D5B4E"/>
    <w:rsid w:val="0F121616"/>
    <w:rsid w:val="0F13C4CA"/>
    <w:rsid w:val="0FC57A77"/>
    <w:rsid w:val="0FE725CF"/>
    <w:rsid w:val="1021F43B"/>
    <w:rsid w:val="104212DF"/>
    <w:rsid w:val="1096E898"/>
    <w:rsid w:val="10997CE5"/>
    <w:rsid w:val="112CCE46"/>
    <w:rsid w:val="114D87DC"/>
    <w:rsid w:val="11B8D8A5"/>
    <w:rsid w:val="11C8ED34"/>
    <w:rsid w:val="11E01BDA"/>
    <w:rsid w:val="126372FA"/>
    <w:rsid w:val="1336E83D"/>
    <w:rsid w:val="13AD0F2F"/>
    <w:rsid w:val="13F12230"/>
    <w:rsid w:val="14380C36"/>
    <w:rsid w:val="148D97DF"/>
    <w:rsid w:val="14DF27E3"/>
    <w:rsid w:val="153DFA14"/>
    <w:rsid w:val="1547E0F2"/>
    <w:rsid w:val="154C0AE3"/>
    <w:rsid w:val="15D548F4"/>
    <w:rsid w:val="1630C61C"/>
    <w:rsid w:val="1638F0B3"/>
    <w:rsid w:val="16DEE74F"/>
    <w:rsid w:val="16E9661E"/>
    <w:rsid w:val="17105E22"/>
    <w:rsid w:val="174DFC77"/>
    <w:rsid w:val="177C6300"/>
    <w:rsid w:val="17C1BECF"/>
    <w:rsid w:val="186415DA"/>
    <w:rsid w:val="18A51C2F"/>
    <w:rsid w:val="18DB4FB0"/>
    <w:rsid w:val="1999D55C"/>
    <w:rsid w:val="19DFCF9D"/>
    <w:rsid w:val="1A097DFD"/>
    <w:rsid w:val="1AC13B56"/>
    <w:rsid w:val="1B30EF33"/>
    <w:rsid w:val="1BFA04F5"/>
    <w:rsid w:val="1C15517B"/>
    <w:rsid w:val="1C4AAB42"/>
    <w:rsid w:val="1CE3189B"/>
    <w:rsid w:val="1D0457E4"/>
    <w:rsid w:val="1D15C1E0"/>
    <w:rsid w:val="1D179809"/>
    <w:rsid w:val="1D270116"/>
    <w:rsid w:val="1E0A5547"/>
    <w:rsid w:val="1F238988"/>
    <w:rsid w:val="1F481FED"/>
    <w:rsid w:val="1F4883D3"/>
    <w:rsid w:val="1FBF006F"/>
    <w:rsid w:val="1FEC9DBF"/>
    <w:rsid w:val="202B472E"/>
    <w:rsid w:val="20583043"/>
    <w:rsid w:val="209F3508"/>
    <w:rsid w:val="212933DB"/>
    <w:rsid w:val="212A5416"/>
    <w:rsid w:val="22175058"/>
    <w:rsid w:val="2257D095"/>
    <w:rsid w:val="232F1547"/>
    <w:rsid w:val="23353AF4"/>
    <w:rsid w:val="2394B2CB"/>
    <w:rsid w:val="23ACC180"/>
    <w:rsid w:val="23BA3DD6"/>
    <w:rsid w:val="23CD4F82"/>
    <w:rsid w:val="23E22470"/>
    <w:rsid w:val="240CBA96"/>
    <w:rsid w:val="241C070E"/>
    <w:rsid w:val="243D4165"/>
    <w:rsid w:val="246537C1"/>
    <w:rsid w:val="24881A5A"/>
    <w:rsid w:val="24E0D85E"/>
    <w:rsid w:val="25AE3800"/>
    <w:rsid w:val="2603DDBF"/>
    <w:rsid w:val="26701948"/>
    <w:rsid w:val="26DD7E59"/>
    <w:rsid w:val="26E298AC"/>
    <w:rsid w:val="272EE42B"/>
    <w:rsid w:val="273CA48F"/>
    <w:rsid w:val="273DE32B"/>
    <w:rsid w:val="2742BBCB"/>
    <w:rsid w:val="2797B1E8"/>
    <w:rsid w:val="28486588"/>
    <w:rsid w:val="28545023"/>
    <w:rsid w:val="2856456E"/>
    <w:rsid w:val="288DD3B5"/>
    <w:rsid w:val="28BBD4FE"/>
    <w:rsid w:val="28E59D55"/>
    <w:rsid w:val="29542972"/>
    <w:rsid w:val="29E855C6"/>
    <w:rsid w:val="2A2FDA2D"/>
    <w:rsid w:val="2A612B12"/>
    <w:rsid w:val="2A790B03"/>
    <w:rsid w:val="2A7F35F1"/>
    <w:rsid w:val="2BC33BDA"/>
    <w:rsid w:val="2C54F8EF"/>
    <w:rsid w:val="2C7D73A3"/>
    <w:rsid w:val="2D48262E"/>
    <w:rsid w:val="2DE671E9"/>
    <w:rsid w:val="2F053EFF"/>
    <w:rsid w:val="2F83CFAA"/>
    <w:rsid w:val="2FA2FEE3"/>
    <w:rsid w:val="2FCCA393"/>
    <w:rsid w:val="2FF7DF94"/>
    <w:rsid w:val="307B8071"/>
    <w:rsid w:val="30AC4677"/>
    <w:rsid w:val="30DCF4DE"/>
    <w:rsid w:val="30E09A9E"/>
    <w:rsid w:val="312E1ADF"/>
    <w:rsid w:val="314B62A3"/>
    <w:rsid w:val="3300512C"/>
    <w:rsid w:val="3337D146"/>
    <w:rsid w:val="33392A0F"/>
    <w:rsid w:val="334C8D5D"/>
    <w:rsid w:val="33F6889D"/>
    <w:rsid w:val="3471FB14"/>
    <w:rsid w:val="34D89428"/>
    <w:rsid w:val="34DA3563"/>
    <w:rsid w:val="34E114C9"/>
    <w:rsid w:val="350BFCAF"/>
    <w:rsid w:val="35658DFF"/>
    <w:rsid w:val="3577353B"/>
    <w:rsid w:val="35A01DA1"/>
    <w:rsid w:val="35BCD035"/>
    <w:rsid w:val="3611813B"/>
    <w:rsid w:val="3650FD6D"/>
    <w:rsid w:val="36DE5728"/>
    <w:rsid w:val="3759B658"/>
    <w:rsid w:val="380C34EC"/>
    <w:rsid w:val="38715748"/>
    <w:rsid w:val="38AF5B9C"/>
    <w:rsid w:val="38CF4768"/>
    <w:rsid w:val="38DCCCAF"/>
    <w:rsid w:val="38E0D3FA"/>
    <w:rsid w:val="38E5A7F9"/>
    <w:rsid w:val="393EB930"/>
    <w:rsid w:val="3942595F"/>
    <w:rsid w:val="396A0846"/>
    <w:rsid w:val="3994793A"/>
    <w:rsid w:val="39C77471"/>
    <w:rsid w:val="3A33717A"/>
    <w:rsid w:val="3A5C1F5B"/>
    <w:rsid w:val="3A65CA34"/>
    <w:rsid w:val="3B3ECA5A"/>
    <w:rsid w:val="3B551AFB"/>
    <w:rsid w:val="3BACE522"/>
    <w:rsid w:val="3BE75855"/>
    <w:rsid w:val="3C09271A"/>
    <w:rsid w:val="3CAFCDAE"/>
    <w:rsid w:val="3CE52972"/>
    <w:rsid w:val="3D2D7965"/>
    <w:rsid w:val="3D4F95D6"/>
    <w:rsid w:val="3D57F84B"/>
    <w:rsid w:val="3D86CBDF"/>
    <w:rsid w:val="3DD01955"/>
    <w:rsid w:val="3DE53624"/>
    <w:rsid w:val="3E541FF8"/>
    <w:rsid w:val="3E7514C5"/>
    <w:rsid w:val="3FF46EB5"/>
    <w:rsid w:val="404C90BA"/>
    <w:rsid w:val="41097CF1"/>
    <w:rsid w:val="419CB688"/>
    <w:rsid w:val="41BFB62C"/>
    <w:rsid w:val="41C9DF2B"/>
    <w:rsid w:val="41F44159"/>
    <w:rsid w:val="4297E4C7"/>
    <w:rsid w:val="42DBF5D5"/>
    <w:rsid w:val="42F4D3B7"/>
    <w:rsid w:val="4300E3AE"/>
    <w:rsid w:val="4330522A"/>
    <w:rsid w:val="437B447A"/>
    <w:rsid w:val="4484F2DC"/>
    <w:rsid w:val="455E88F5"/>
    <w:rsid w:val="46413E08"/>
    <w:rsid w:val="469072B0"/>
    <w:rsid w:val="469747A8"/>
    <w:rsid w:val="46F6B6B4"/>
    <w:rsid w:val="4752B2FC"/>
    <w:rsid w:val="47571AA4"/>
    <w:rsid w:val="47C1586C"/>
    <w:rsid w:val="47C1F6C3"/>
    <w:rsid w:val="48239005"/>
    <w:rsid w:val="4872F1A9"/>
    <w:rsid w:val="48816433"/>
    <w:rsid w:val="489F0DB1"/>
    <w:rsid w:val="48A9AC72"/>
    <w:rsid w:val="48F55384"/>
    <w:rsid w:val="492E275D"/>
    <w:rsid w:val="495C9378"/>
    <w:rsid w:val="49757CA4"/>
    <w:rsid w:val="4980C928"/>
    <w:rsid w:val="4992D8F3"/>
    <w:rsid w:val="49A077E6"/>
    <w:rsid w:val="49EC68CF"/>
    <w:rsid w:val="4A5FA008"/>
    <w:rsid w:val="4ABB8F4D"/>
    <w:rsid w:val="4AFD6448"/>
    <w:rsid w:val="4B3C48DF"/>
    <w:rsid w:val="4B74C67D"/>
    <w:rsid w:val="4B7A9606"/>
    <w:rsid w:val="4B848244"/>
    <w:rsid w:val="4B876B0F"/>
    <w:rsid w:val="4B9EB660"/>
    <w:rsid w:val="4BEA1392"/>
    <w:rsid w:val="4C135B00"/>
    <w:rsid w:val="4C27E264"/>
    <w:rsid w:val="4C37D606"/>
    <w:rsid w:val="4C9CFE93"/>
    <w:rsid w:val="4CB80C4A"/>
    <w:rsid w:val="4CBD73B9"/>
    <w:rsid w:val="4CF4574D"/>
    <w:rsid w:val="4D29E357"/>
    <w:rsid w:val="4D3040D9"/>
    <w:rsid w:val="4E0E1D6E"/>
    <w:rsid w:val="4E5FF5D4"/>
    <w:rsid w:val="4E61F8A8"/>
    <w:rsid w:val="4EBE8010"/>
    <w:rsid w:val="4EEFE4DF"/>
    <w:rsid w:val="4EFFAB49"/>
    <w:rsid w:val="4F21152B"/>
    <w:rsid w:val="4FEE823F"/>
    <w:rsid w:val="503B7D66"/>
    <w:rsid w:val="505CE5B5"/>
    <w:rsid w:val="51154CD4"/>
    <w:rsid w:val="5164E246"/>
    <w:rsid w:val="5187AC36"/>
    <w:rsid w:val="520CCF4F"/>
    <w:rsid w:val="52274676"/>
    <w:rsid w:val="52487BC9"/>
    <w:rsid w:val="52FB9A26"/>
    <w:rsid w:val="53156DBA"/>
    <w:rsid w:val="53FD9A63"/>
    <w:rsid w:val="5401AA6C"/>
    <w:rsid w:val="55400C36"/>
    <w:rsid w:val="5562B7A6"/>
    <w:rsid w:val="55A2BDE7"/>
    <w:rsid w:val="56B70A88"/>
    <w:rsid w:val="56CAD0E1"/>
    <w:rsid w:val="57BA57A3"/>
    <w:rsid w:val="57BCD103"/>
    <w:rsid w:val="57D375E6"/>
    <w:rsid w:val="57EB2AFE"/>
    <w:rsid w:val="57FA7932"/>
    <w:rsid w:val="581F754F"/>
    <w:rsid w:val="5851878E"/>
    <w:rsid w:val="5854F29A"/>
    <w:rsid w:val="59B3CE39"/>
    <w:rsid w:val="59C20171"/>
    <w:rsid w:val="59E6276B"/>
    <w:rsid w:val="59F35C6E"/>
    <w:rsid w:val="5A4810CD"/>
    <w:rsid w:val="5A621840"/>
    <w:rsid w:val="5A71F8CF"/>
    <w:rsid w:val="5B6FD6AB"/>
    <w:rsid w:val="5B8EAFC9"/>
    <w:rsid w:val="5C2ABF4A"/>
    <w:rsid w:val="5C8391ED"/>
    <w:rsid w:val="5D207AF9"/>
    <w:rsid w:val="5D4D19DE"/>
    <w:rsid w:val="5E92C6AF"/>
    <w:rsid w:val="5F4BB982"/>
    <w:rsid w:val="5F664AB9"/>
    <w:rsid w:val="5FD06505"/>
    <w:rsid w:val="5FD917DE"/>
    <w:rsid w:val="604B151D"/>
    <w:rsid w:val="60910871"/>
    <w:rsid w:val="60EA20F6"/>
    <w:rsid w:val="6169AEAE"/>
    <w:rsid w:val="61CD24A0"/>
    <w:rsid w:val="624EA1E1"/>
    <w:rsid w:val="637D64A0"/>
    <w:rsid w:val="63DF4134"/>
    <w:rsid w:val="6470A440"/>
    <w:rsid w:val="64AA9582"/>
    <w:rsid w:val="64B80CF7"/>
    <w:rsid w:val="64FCC456"/>
    <w:rsid w:val="650DBE40"/>
    <w:rsid w:val="65B3A56B"/>
    <w:rsid w:val="65CBAFCF"/>
    <w:rsid w:val="65CE1A54"/>
    <w:rsid w:val="6652B372"/>
    <w:rsid w:val="6670C01D"/>
    <w:rsid w:val="66739D3E"/>
    <w:rsid w:val="667CAADB"/>
    <w:rsid w:val="67361E4C"/>
    <w:rsid w:val="678DA84A"/>
    <w:rsid w:val="67A103FD"/>
    <w:rsid w:val="67AF8FBB"/>
    <w:rsid w:val="682F8905"/>
    <w:rsid w:val="68688E55"/>
    <w:rsid w:val="6872F671"/>
    <w:rsid w:val="68CC69E5"/>
    <w:rsid w:val="68F559B7"/>
    <w:rsid w:val="692F5278"/>
    <w:rsid w:val="6935BE9F"/>
    <w:rsid w:val="69497AC2"/>
    <w:rsid w:val="6993D56A"/>
    <w:rsid w:val="69D97CB1"/>
    <w:rsid w:val="6A069F46"/>
    <w:rsid w:val="6A200C9C"/>
    <w:rsid w:val="6ADA1F36"/>
    <w:rsid w:val="6B241349"/>
    <w:rsid w:val="6B3213B9"/>
    <w:rsid w:val="6BA70D57"/>
    <w:rsid w:val="6BDB6D3B"/>
    <w:rsid w:val="6BDDA90E"/>
    <w:rsid w:val="6C466BE2"/>
    <w:rsid w:val="6C9C78FD"/>
    <w:rsid w:val="6CB49C62"/>
    <w:rsid w:val="6CF6C735"/>
    <w:rsid w:val="6E12AF14"/>
    <w:rsid w:val="6E43ADBF"/>
    <w:rsid w:val="6EC57831"/>
    <w:rsid w:val="6EF19B63"/>
    <w:rsid w:val="6EFBFB64"/>
    <w:rsid w:val="6F0E772D"/>
    <w:rsid w:val="6F125F52"/>
    <w:rsid w:val="6F93EB30"/>
    <w:rsid w:val="6FC071DA"/>
    <w:rsid w:val="70489591"/>
    <w:rsid w:val="713F2F4C"/>
    <w:rsid w:val="714337FC"/>
    <w:rsid w:val="71A37F2A"/>
    <w:rsid w:val="71D4121A"/>
    <w:rsid w:val="7200BC06"/>
    <w:rsid w:val="725465EC"/>
    <w:rsid w:val="72A91595"/>
    <w:rsid w:val="72D03AA3"/>
    <w:rsid w:val="73343AB3"/>
    <w:rsid w:val="73617869"/>
    <w:rsid w:val="73A3819A"/>
    <w:rsid w:val="73C0DCF4"/>
    <w:rsid w:val="73EBA2B5"/>
    <w:rsid w:val="740E659F"/>
    <w:rsid w:val="741D6BBE"/>
    <w:rsid w:val="746907DB"/>
    <w:rsid w:val="74775374"/>
    <w:rsid w:val="74F79DF4"/>
    <w:rsid w:val="7523A6F3"/>
    <w:rsid w:val="7543E8C2"/>
    <w:rsid w:val="7582161E"/>
    <w:rsid w:val="7615BD83"/>
    <w:rsid w:val="7663B65B"/>
    <w:rsid w:val="766CBC1C"/>
    <w:rsid w:val="76A6C49B"/>
    <w:rsid w:val="7754DB72"/>
    <w:rsid w:val="77C1E7E5"/>
    <w:rsid w:val="77F88D3E"/>
    <w:rsid w:val="77FB868C"/>
    <w:rsid w:val="78FA3487"/>
    <w:rsid w:val="79A31551"/>
    <w:rsid w:val="79FA3CFC"/>
    <w:rsid w:val="7AD6C5E6"/>
    <w:rsid w:val="7B0E79FD"/>
    <w:rsid w:val="7B2B3378"/>
    <w:rsid w:val="7B7C291B"/>
    <w:rsid w:val="7B8C71E2"/>
    <w:rsid w:val="7BB3C071"/>
    <w:rsid w:val="7BD23EC4"/>
    <w:rsid w:val="7C98884A"/>
    <w:rsid w:val="7CCAF7E8"/>
    <w:rsid w:val="7EB950B8"/>
    <w:rsid w:val="7F070808"/>
    <w:rsid w:val="7F59EAD2"/>
    <w:rsid w:val="7F85A526"/>
    <w:rsid w:val="7F9BEA7B"/>
    <w:rsid w:val="7FEE1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3B65B"/>
  <w15:chartTrackingRefBased/>
  <w15:docId w15:val="{37C984CF-3FA3-4B3E-A19C-20C33CA719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19CB68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19CB68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19CB68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19CB68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19CB688"/>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19CB688"/>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19CB688"/>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19CB688"/>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19CB688"/>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19CB688"/>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19CB688"/>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19CB688"/>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19CB688"/>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19CB688"/>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19CB688"/>
    <w:pPr>
      <w:spacing/>
      <w:ind w:left="720"/>
      <w:contextualSpacing/>
    </w:pPr>
  </w:style>
  <w:style w:type="paragraph" w:styleId="TOC1">
    <w:uiPriority w:val="39"/>
    <w:name w:val="toc 1"/>
    <w:basedOn w:val="Normal"/>
    <w:next w:val="Normal"/>
    <w:unhideWhenUsed/>
    <w:rsid w:val="419CB688"/>
    <w:pPr>
      <w:spacing w:after="100"/>
    </w:pPr>
  </w:style>
  <w:style w:type="paragraph" w:styleId="TOC2">
    <w:uiPriority w:val="39"/>
    <w:name w:val="toc 2"/>
    <w:basedOn w:val="Normal"/>
    <w:next w:val="Normal"/>
    <w:unhideWhenUsed/>
    <w:rsid w:val="419CB688"/>
    <w:pPr>
      <w:spacing w:after="100"/>
      <w:ind w:left="220"/>
    </w:pPr>
  </w:style>
  <w:style w:type="paragraph" w:styleId="TOC3">
    <w:uiPriority w:val="39"/>
    <w:name w:val="toc 3"/>
    <w:basedOn w:val="Normal"/>
    <w:next w:val="Normal"/>
    <w:unhideWhenUsed/>
    <w:rsid w:val="419CB688"/>
    <w:pPr>
      <w:spacing w:after="100"/>
      <w:ind w:left="440"/>
    </w:pPr>
  </w:style>
  <w:style w:type="paragraph" w:styleId="TOC4">
    <w:uiPriority w:val="39"/>
    <w:name w:val="toc 4"/>
    <w:basedOn w:val="Normal"/>
    <w:next w:val="Normal"/>
    <w:unhideWhenUsed/>
    <w:rsid w:val="419CB688"/>
    <w:pPr>
      <w:spacing w:after="100"/>
      <w:ind w:left="660"/>
    </w:pPr>
  </w:style>
  <w:style w:type="paragraph" w:styleId="TOC5">
    <w:uiPriority w:val="39"/>
    <w:name w:val="toc 5"/>
    <w:basedOn w:val="Normal"/>
    <w:next w:val="Normal"/>
    <w:unhideWhenUsed/>
    <w:rsid w:val="419CB688"/>
    <w:pPr>
      <w:spacing w:after="100"/>
      <w:ind w:left="880"/>
    </w:pPr>
  </w:style>
  <w:style w:type="paragraph" w:styleId="TOC6">
    <w:uiPriority w:val="39"/>
    <w:name w:val="toc 6"/>
    <w:basedOn w:val="Normal"/>
    <w:next w:val="Normal"/>
    <w:unhideWhenUsed/>
    <w:rsid w:val="419CB688"/>
    <w:pPr>
      <w:spacing w:after="100"/>
      <w:ind w:left="1100"/>
    </w:pPr>
  </w:style>
  <w:style w:type="paragraph" w:styleId="TOC7">
    <w:uiPriority w:val="39"/>
    <w:name w:val="toc 7"/>
    <w:basedOn w:val="Normal"/>
    <w:next w:val="Normal"/>
    <w:unhideWhenUsed/>
    <w:rsid w:val="419CB688"/>
    <w:pPr>
      <w:spacing w:after="100"/>
      <w:ind w:left="1320"/>
    </w:pPr>
  </w:style>
  <w:style w:type="paragraph" w:styleId="TOC8">
    <w:uiPriority w:val="39"/>
    <w:name w:val="toc 8"/>
    <w:basedOn w:val="Normal"/>
    <w:next w:val="Normal"/>
    <w:unhideWhenUsed/>
    <w:rsid w:val="419CB688"/>
    <w:pPr>
      <w:spacing w:after="100"/>
      <w:ind w:left="1540"/>
    </w:pPr>
  </w:style>
  <w:style w:type="paragraph" w:styleId="TOC9">
    <w:uiPriority w:val="39"/>
    <w:name w:val="toc 9"/>
    <w:basedOn w:val="Normal"/>
    <w:next w:val="Normal"/>
    <w:unhideWhenUsed/>
    <w:rsid w:val="419CB688"/>
    <w:pPr>
      <w:spacing w:after="100"/>
      <w:ind w:left="1760"/>
    </w:pPr>
  </w:style>
  <w:style w:type="paragraph" w:styleId="EndnoteText">
    <w:uiPriority w:val="99"/>
    <w:name w:val="endnote text"/>
    <w:basedOn w:val="Normal"/>
    <w:semiHidden/>
    <w:unhideWhenUsed/>
    <w:link w:val="EndnoteTextChar"/>
    <w:rsid w:val="419CB688"/>
    <w:rPr>
      <w:sz w:val="20"/>
      <w:szCs w:val="20"/>
    </w:rPr>
    <w:pPr>
      <w:spacing w:after="0" w:line="240" w:lineRule="auto"/>
    </w:pPr>
  </w:style>
  <w:style w:type="paragraph" w:styleId="Footer">
    <w:uiPriority w:val="99"/>
    <w:name w:val="footer"/>
    <w:basedOn w:val="Normal"/>
    <w:unhideWhenUsed/>
    <w:link w:val="FooterChar"/>
    <w:rsid w:val="419CB688"/>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419CB688"/>
    <w:rPr>
      <w:sz w:val="20"/>
      <w:szCs w:val="20"/>
    </w:rPr>
    <w:pPr>
      <w:spacing w:after="0" w:line="240" w:lineRule="auto"/>
    </w:pPr>
  </w:style>
  <w:style w:type="paragraph" w:styleId="Header">
    <w:uiPriority w:val="99"/>
    <w:name w:val="header"/>
    <w:basedOn w:val="Normal"/>
    <w:unhideWhenUsed/>
    <w:link w:val="HeaderChar"/>
    <w:rsid w:val="419CB688"/>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bc.co.uk/news/uk-54779430" TargetMode="External" Id="R15eb7d7480774a58" /><Relationship Type="http://schemas.openxmlformats.org/officeDocument/2006/relationships/hyperlink" Target="https://hamlins.com/insight/a-decade-of-the-defamation-act-2013/" TargetMode="External" Id="R574db40aad714a33" /><Relationship Type="http://schemas.openxmlformats.org/officeDocument/2006/relationships/hyperlink" Target="https://www.gov.uk/guidance/kings-bench-division-bring-a-case-to-the-court" TargetMode="External" Id="R7418b0b09f904bda" /><Relationship Type="http://schemas.openxmlformats.org/officeDocument/2006/relationships/hyperlink" Target="https://www.legislation.gov.uk/ukpga/2013/26/section/2" TargetMode="External" Id="R927a140b476e4c06" /><Relationship Type="http://schemas.openxmlformats.org/officeDocument/2006/relationships/hyperlink" Target="https://www.legislation.gov.uk/ukpga/1996/31/introduction" TargetMode="External" Id="R23876df01f77468d" /><Relationship Type="http://schemas.openxmlformats.org/officeDocument/2006/relationships/hyperlink" Target="https://www.oxbridgenotes.co.uk/law_cases/loutchansky-v-times-newspapers-ltd-no-2" TargetMode="External" Id="Raaa61febcedc445a" /><Relationship Type="http://schemas.openxmlformats.org/officeDocument/2006/relationships/hyperlink" Target="https://publications.parliament.uk/pa/jt199899/jtselect/jtpriv/43/4306.htm" TargetMode="External" Id="R3f634662fa7a4382" /><Relationship Type="http://schemas.openxmlformats.org/officeDocument/2006/relationships/hyperlink" Target="https://commonslibrary.parliament.uk/ending-the-hamilton-affair/" TargetMode="External" Id="R627be6f81587425d" /><Relationship Type="http://schemas.microsoft.com/office/2020/10/relationships/intelligence" Target="intelligence2.xml" Id="R3e10dc04fff14791" /><Relationship Type="http://schemas.openxmlformats.org/officeDocument/2006/relationships/numbering" Target="numbering.xml" Id="R567c3021508c4b8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2025-01-05T20:25:24.7579172Z</dcterms:created>
  <dcterms:modified xsi:type="dcterms:W3CDTF">2025-01-10T01:19:41.0843075Z</dcterms:modified>
  <dc:creator>Lilly Mainwaring (2416930)</dc:creator>
  <lastModifiedBy>Lilly Mainwaring (2416930)</lastModifiedBy>
</coreProperties>
</file>