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6191F" w14:textId="1856891A" w:rsidR="00FB7705" w:rsidRPr="000145AA" w:rsidRDefault="5EB7A980" w:rsidP="193FC360">
      <w:pPr>
        <w:spacing w:line="360" w:lineRule="auto"/>
        <w:jc w:val="center"/>
        <w:rPr>
          <w:color w:val="000000" w:themeColor="text1"/>
          <w:sz w:val="22"/>
          <w:szCs w:val="22"/>
        </w:rPr>
      </w:pPr>
      <w:r w:rsidRPr="000145AA">
        <w:rPr>
          <w:b/>
          <w:bCs/>
          <w:color w:val="000000" w:themeColor="text1"/>
          <w:sz w:val="22"/>
          <w:szCs w:val="22"/>
        </w:rPr>
        <w:t>BMHP5019_BIRM – Introduction to Independent Research Skills</w:t>
      </w:r>
    </w:p>
    <w:p w14:paraId="44FAF46F" w14:textId="5564052E" w:rsidR="00FB7705" w:rsidRPr="000145AA" w:rsidRDefault="07C14D88" w:rsidP="193FC360">
      <w:pPr>
        <w:spacing w:line="360" w:lineRule="auto"/>
        <w:jc w:val="center"/>
      </w:pPr>
      <w:r w:rsidRPr="000145AA">
        <w:rPr>
          <w:b/>
          <w:bCs/>
          <w:color w:val="000000" w:themeColor="text1"/>
          <w:sz w:val="22"/>
          <w:szCs w:val="22"/>
        </w:rPr>
        <w:t>Research Report (Component 2)</w:t>
      </w:r>
    </w:p>
    <w:p w14:paraId="642E7ED5" w14:textId="06DE0092" w:rsidR="00FB7705" w:rsidRPr="000145AA" w:rsidRDefault="00FB7705" w:rsidP="193FC360">
      <w:pPr>
        <w:spacing w:line="360" w:lineRule="auto"/>
        <w:jc w:val="center"/>
        <w:rPr>
          <w:color w:val="000000" w:themeColor="text1"/>
          <w:sz w:val="22"/>
          <w:szCs w:val="22"/>
        </w:rPr>
      </w:pPr>
    </w:p>
    <w:p w14:paraId="7486A1CE" w14:textId="66C534AE" w:rsidR="00FB7705" w:rsidRPr="000145AA" w:rsidRDefault="49DC5963" w:rsidP="193FC360">
      <w:pPr>
        <w:spacing w:line="360" w:lineRule="auto"/>
        <w:jc w:val="center"/>
        <w:rPr>
          <w:color w:val="000000" w:themeColor="text1"/>
          <w:sz w:val="22"/>
          <w:szCs w:val="22"/>
        </w:rPr>
      </w:pPr>
      <w:r w:rsidRPr="000145AA">
        <w:rPr>
          <w:b/>
          <w:bCs/>
          <w:color w:val="000000" w:themeColor="text1"/>
          <w:sz w:val="22"/>
          <w:szCs w:val="22"/>
        </w:rPr>
        <w:t xml:space="preserve">Student Name: </w:t>
      </w:r>
      <w:r w:rsidRPr="000145AA">
        <w:rPr>
          <w:color w:val="000000" w:themeColor="text1"/>
          <w:sz w:val="22"/>
          <w:szCs w:val="22"/>
        </w:rPr>
        <w:t>Marcia Miller</w:t>
      </w:r>
    </w:p>
    <w:p w14:paraId="50698276" w14:textId="1331C6FF" w:rsidR="00FB7705" w:rsidRPr="000145AA" w:rsidRDefault="49DC5963" w:rsidP="193FC360">
      <w:pPr>
        <w:spacing w:line="360" w:lineRule="auto"/>
        <w:jc w:val="center"/>
        <w:rPr>
          <w:color w:val="000000" w:themeColor="text1"/>
          <w:sz w:val="22"/>
          <w:szCs w:val="22"/>
        </w:rPr>
      </w:pPr>
      <w:r w:rsidRPr="000145AA">
        <w:rPr>
          <w:b/>
          <w:bCs/>
          <w:color w:val="000000" w:themeColor="text1"/>
          <w:sz w:val="22"/>
          <w:szCs w:val="22"/>
        </w:rPr>
        <w:t xml:space="preserve">Student Number: </w:t>
      </w:r>
      <w:r w:rsidR="3384B713" w:rsidRPr="000145AA">
        <w:rPr>
          <w:color w:val="000000" w:themeColor="text1"/>
          <w:sz w:val="22"/>
          <w:szCs w:val="22"/>
        </w:rPr>
        <w:t>2</w:t>
      </w:r>
      <w:r w:rsidR="1F570D49" w:rsidRPr="000145AA">
        <w:rPr>
          <w:color w:val="000000" w:themeColor="text1"/>
          <w:sz w:val="22"/>
          <w:szCs w:val="22"/>
        </w:rPr>
        <w:t>406690</w:t>
      </w:r>
    </w:p>
    <w:p w14:paraId="2F024006" w14:textId="56AB2F38" w:rsidR="00FB7705" w:rsidRPr="000145AA" w:rsidRDefault="5EB7A980" w:rsidP="08B903B1">
      <w:pPr>
        <w:spacing w:line="360" w:lineRule="auto"/>
        <w:jc w:val="center"/>
        <w:rPr>
          <w:color w:val="000000" w:themeColor="text1"/>
          <w:sz w:val="22"/>
          <w:szCs w:val="22"/>
        </w:rPr>
      </w:pPr>
      <w:r w:rsidRPr="000145AA">
        <w:rPr>
          <w:b/>
          <w:bCs/>
          <w:color w:val="000000" w:themeColor="text1"/>
          <w:sz w:val="22"/>
          <w:szCs w:val="22"/>
        </w:rPr>
        <w:t xml:space="preserve">Lecturer: </w:t>
      </w:r>
      <w:r w:rsidRPr="000145AA">
        <w:rPr>
          <w:color w:val="000000" w:themeColor="text1"/>
          <w:sz w:val="22"/>
          <w:szCs w:val="22"/>
        </w:rPr>
        <w:t>Zakiyyah Ahmed</w:t>
      </w:r>
    </w:p>
    <w:p w14:paraId="4BF0FDE9" w14:textId="1173F2B1" w:rsidR="00FB7705" w:rsidRPr="000145AA" w:rsidRDefault="00FB7705" w:rsidP="193FC360">
      <w:pPr>
        <w:spacing w:line="360" w:lineRule="auto"/>
        <w:jc w:val="center"/>
        <w:rPr>
          <w:color w:val="000000" w:themeColor="text1"/>
          <w:sz w:val="22"/>
          <w:szCs w:val="22"/>
        </w:rPr>
      </w:pPr>
    </w:p>
    <w:p w14:paraId="5BBA6C4D" w14:textId="5719FB00" w:rsidR="00FB7705" w:rsidRPr="000145AA" w:rsidRDefault="00FB7705" w:rsidP="193FC360">
      <w:pPr>
        <w:spacing w:line="360" w:lineRule="auto"/>
        <w:jc w:val="center"/>
        <w:rPr>
          <w:color w:val="000000" w:themeColor="text1"/>
          <w:sz w:val="22"/>
          <w:szCs w:val="22"/>
        </w:rPr>
      </w:pPr>
    </w:p>
    <w:p w14:paraId="610D0644" w14:textId="65D6F01F" w:rsidR="5EB7A980" w:rsidRPr="000145AA" w:rsidRDefault="5EB7A980" w:rsidP="08B903B1">
      <w:pPr>
        <w:spacing w:line="360" w:lineRule="auto"/>
        <w:jc w:val="center"/>
      </w:pPr>
      <w:r w:rsidRPr="000145AA">
        <w:rPr>
          <w:b/>
          <w:bCs/>
          <w:color w:val="000000" w:themeColor="text1"/>
          <w:sz w:val="22"/>
          <w:szCs w:val="22"/>
          <w:u w:val="single"/>
        </w:rPr>
        <w:t>Title</w:t>
      </w:r>
    </w:p>
    <w:p w14:paraId="2DFE17FA" w14:textId="3A088C27" w:rsidR="707FADEA" w:rsidRPr="000145AA" w:rsidRDefault="707FADEA" w:rsidP="08B903B1">
      <w:pPr>
        <w:spacing w:line="360" w:lineRule="auto"/>
        <w:jc w:val="center"/>
      </w:pPr>
      <w:r w:rsidRPr="000145AA">
        <w:rPr>
          <w:color w:val="000000" w:themeColor="text1"/>
          <w:sz w:val="22"/>
          <w:szCs w:val="22"/>
        </w:rPr>
        <w:t>A</w:t>
      </w:r>
      <w:r w:rsidR="401394EE" w:rsidRPr="000145AA">
        <w:rPr>
          <w:color w:val="000000" w:themeColor="text1"/>
          <w:sz w:val="22"/>
          <w:szCs w:val="22"/>
        </w:rPr>
        <w:t xml:space="preserve"> scoping review of the early diagnosis and support of children aged 1–3 years with autism spectrum disorder in the </w:t>
      </w:r>
      <w:r w:rsidR="34373394" w:rsidRPr="000145AA">
        <w:rPr>
          <w:color w:val="000000" w:themeColor="text1"/>
          <w:sz w:val="22"/>
          <w:szCs w:val="22"/>
        </w:rPr>
        <w:t>United Kingdom</w:t>
      </w:r>
      <w:r w:rsidR="401394EE" w:rsidRPr="000145AA">
        <w:rPr>
          <w:color w:val="000000" w:themeColor="text1"/>
          <w:sz w:val="22"/>
          <w:szCs w:val="22"/>
        </w:rPr>
        <w:t xml:space="preserve">: </w:t>
      </w:r>
      <w:r w:rsidR="7B9DC799" w:rsidRPr="000145AA">
        <w:rPr>
          <w:color w:val="000000" w:themeColor="text1"/>
          <w:sz w:val="22"/>
          <w:szCs w:val="22"/>
        </w:rPr>
        <w:t>Identifying themes using Aveyard's simplified thematic analysis</w:t>
      </w:r>
    </w:p>
    <w:p w14:paraId="49EAF22D" w14:textId="7676682E" w:rsidR="00FB7705" w:rsidRPr="000145AA" w:rsidRDefault="00FB7705" w:rsidP="193FC360">
      <w:pPr>
        <w:spacing w:line="360" w:lineRule="auto"/>
        <w:jc w:val="center"/>
        <w:rPr>
          <w:color w:val="000000" w:themeColor="text1"/>
          <w:sz w:val="22"/>
          <w:szCs w:val="22"/>
        </w:rPr>
      </w:pPr>
    </w:p>
    <w:p w14:paraId="7278ED60" w14:textId="1AAA8265" w:rsidR="00FB7705" w:rsidRPr="000145AA" w:rsidRDefault="00FB7705" w:rsidP="193FC360">
      <w:pPr>
        <w:spacing w:line="360" w:lineRule="auto"/>
        <w:jc w:val="center"/>
        <w:rPr>
          <w:color w:val="000000" w:themeColor="text1"/>
          <w:sz w:val="22"/>
          <w:szCs w:val="22"/>
        </w:rPr>
      </w:pPr>
    </w:p>
    <w:p w14:paraId="30039337" w14:textId="08665B3B" w:rsidR="00FB7705" w:rsidRPr="000145AA" w:rsidRDefault="00FB7705" w:rsidP="193FC360">
      <w:pPr>
        <w:spacing w:line="360" w:lineRule="auto"/>
        <w:jc w:val="center"/>
        <w:rPr>
          <w:color w:val="000000" w:themeColor="text1"/>
          <w:sz w:val="22"/>
          <w:szCs w:val="22"/>
        </w:rPr>
      </w:pPr>
    </w:p>
    <w:p w14:paraId="49B1BEEE" w14:textId="539E68AF" w:rsidR="00FB7705" w:rsidRPr="000145AA" w:rsidRDefault="00FB7705" w:rsidP="193FC360">
      <w:pPr>
        <w:spacing w:line="360" w:lineRule="auto"/>
        <w:jc w:val="center"/>
        <w:rPr>
          <w:color w:val="000000" w:themeColor="text1"/>
          <w:sz w:val="22"/>
          <w:szCs w:val="22"/>
        </w:rPr>
      </w:pPr>
    </w:p>
    <w:p w14:paraId="734D6363" w14:textId="0A491AEC" w:rsidR="00FB7705" w:rsidRPr="000145AA" w:rsidRDefault="00FB7705" w:rsidP="193FC360">
      <w:pPr>
        <w:spacing w:line="360" w:lineRule="auto"/>
        <w:jc w:val="center"/>
        <w:rPr>
          <w:color w:val="000000" w:themeColor="text1"/>
          <w:sz w:val="22"/>
          <w:szCs w:val="22"/>
        </w:rPr>
      </w:pPr>
    </w:p>
    <w:p w14:paraId="6BC431E1" w14:textId="1EFB1243" w:rsidR="00FB7705" w:rsidRPr="000145AA" w:rsidRDefault="00FB7705" w:rsidP="193FC360">
      <w:pPr>
        <w:spacing w:line="360" w:lineRule="auto"/>
        <w:jc w:val="center"/>
        <w:rPr>
          <w:color w:val="000000" w:themeColor="text1"/>
          <w:sz w:val="22"/>
          <w:szCs w:val="22"/>
        </w:rPr>
      </w:pPr>
    </w:p>
    <w:p w14:paraId="1932719F" w14:textId="7DEFF745" w:rsidR="00FB7705" w:rsidRPr="000145AA" w:rsidRDefault="00FB7705" w:rsidP="193FC360">
      <w:pPr>
        <w:spacing w:line="360" w:lineRule="auto"/>
        <w:jc w:val="center"/>
        <w:rPr>
          <w:color w:val="000000" w:themeColor="text1"/>
          <w:sz w:val="22"/>
          <w:szCs w:val="22"/>
        </w:rPr>
      </w:pPr>
    </w:p>
    <w:p w14:paraId="449A297D" w14:textId="732F8DFD" w:rsidR="00FB7705" w:rsidRPr="000145AA" w:rsidRDefault="00FB7705" w:rsidP="193FC360">
      <w:pPr>
        <w:spacing w:line="360" w:lineRule="auto"/>
        <w:jc w:val="center"/>
        <w:rPr>
          <w:color w:val="000000" w:themeColor="text1"/>
          <w:sz w:val="22"/>
          <w:szCs w:val="22"/>
        </w:rPr>
      </w:pPr>
    </w:p>
    <w:p w14:paraId="0D955DC5" w14:textId="1AB515BA" w:rsidR="00FB7705" w:rsidRPr="000145AA" w:rsidRDefault="00FB7705" w:rsidP="08B903B1">
      <w:pPr>
        <w:spacing w:line="360" w:lineRule="auto"/>
        <w:jc w:val="center"/>
        <w:rPr>
          <w:b/>
          <w:bCs/>
          <w:sz w:val="22"/>
          <w:szCs w:val="22"/>
          <w:u w:val="single"/>
        </w:rPr>
      </w:pPr>
    </w:p>
    <w:p w14:paraId="6E860F89" w14:textId="583A7903" w:rsidR="193FC360" w:rsidRPr="000145AA" w:rsidRDefault="193FC360" w:rsidP="08B903B1">
      <w:pPr>
        <w:spacing w:line="360" w:lineRule="auto"/>
        <w:jc w:val="center"/>
        <w:rPr>
          <w:b/>
          <w:bCs/>
          <w:sz w:val="22"/>
          <w:szCs w:val="22"/>
          <w:u w:val="single"/>
        </w:rPr>
      </w:pPr>
    </w:p>
    <w:p w14:paraId="7B7E47CC" w14:textId="41F5FF36" w:rsidR="193FC360" w:rsidRPr="000145AA" w:rsidRDefault="193FC360" w:rsidP="08B903B1">
      <w:pPr>
        <w:spacing w:line="360" w:lineRule="auto"/>
        <w:jc w:val="center"/>
        <w:rPr>
          <w:b/>
          <w:bCs/>
          <w:sz w:val="22"/>
          <w:szCs w:val="22"/>
          <w:u w:val="single"/>
        </w:rPr>
      </w:pPr>
    </w:p>
    <w:p w14:paraId="5BE6B652" w14:textId="5D6B24F0" w:rsidR="193FC360" w:rsidRPr="000145AA" w:rsidRDefault="193FC360" w:rsidP="338B1E3E">
      <w:pPr>
        <w:spacing w:line="360" w:lineRule="auto"/>
      </w:pPr>
    </w:p>
    <w:p w14:paraId="230E8A24" w14:textId="66BE6F83" w:rsidR="193FC360" w:rsidRPr="000145AA" w:rsidRDefault="6F4FA92F" w:rsidP="338B1E3E">
      <w:pPr>
        <w:pStyle w:val="Heading1"/>
        <w:spacing w:before="322" w:after="322" w:line="360" w:lineRule="auto"/>
        <w:rPr>
          <w:rFonts w:ascii="Arial" w:eastAsia="Arial" w:hAnsi="Arial" w:cs="Arial"/>
          <w:b/>
          <w:bCs/>
          <w:color w:val="auto"/>
          <w:sz w:val="24"/>
          <w:szCs w:val="24"/>
        </w:rPr>
      </w:pPr>
      <w:bookmarkStart w:id="0" w:name="_Toc235405110"/>
      <w:r w:rsidRPr="000145AA">
        <w:rPr>
          <w:rFonts w:ascii="Arial" w:eastAsia="Arial" w:hAnsi="Arial" w:cs="Arial"/>
          <w:b/>
          <w:bCs/>
          <w:color w:val="auto"/>
          <w:sz w:val="24"/>
          <w:szCs w:val="24"/>
        </w:rPr>
        <w:lastRenderedPageBreak/>
        <w:t>Table of Contents</w:t>
      </w:r>
      <w:bookmarkEnd w:id="0"/>
    </w:p>
    <w:sdt>
      <w:sdtPr>
        <w:id w:val="472855187"/>
        <w:docPartObj>
          <w:docPartGallery w:val="Table of Contents"/>
          <w:docPartUnique/>
        </w:docPartObj>
      </w:sdtPr>
      <w:sdtEndPr/>
      <w:sdtContent>
        <w:p w14:paraId="0D40ED7B" w14:textId="5B92E347" w:rsidR="00D86570" w:rsidRPr="000145AA" w:rsidRDefault="193FC360">
          <w:pPr>
            <w:pStyle w:val="TOC1"/>
            <w:tabs>
              <w:tab w:val="right" w:leader="dot" w:pos="9350"/>
            </w:tabs>
            <w:rPr>
              <w:kern w:val="2"/>
              <w:lang w:eastAsia="en-GB"/>
              <w14:ligatures w14:val="standardContextual"/>
            </w:rPr>
          </w:pPr>
          <w:r w:rsidRPr="000145AA">
            <w:fldChar w:fldCharType="begin"/>
          </w:r>
          <w:r w:rsidRPr="000145AA">
            <w:instrText>TOC \o "1-9" \z \u \h</w:instrText>
          </w:r>
          <w:r w:rsidRPr="000145AA">
            <w:fldChar w:fldCharType="separate"/>
          </w:r>
          <w:hyperlink w:anchor="_Toc235405110" w:history="1">
            <w:r w:rsidR="00D86570" w:rsidRPr="000145AA">
              <w:rPr>
                <w:rStyle w:val="Hyperlink"/>
                <w:rFonts w:ascii="Arial" w:eastAsia="Arial" w:hAnsi="Arial" w:cs="Arial"/>
                <w:b/>
                <w:bCs/>
              </w:rPr>
              <w:t>Table of Contents</w:t>
            </w:r>
            <w:r w:rsidR="00D86570" w:rsidRPr="000145AA">
              <w:rPr>
                <w:webHidden/>
              </w:rPr>
              <w:tab/>
            </w:r>
            <w:r w:rsidR="00D86570" w:rsidRPr="000145AA">
              <w:rPr>
                <w:webHidden/>
              </w:rPr>
              <w:fldChar w:fldCharType="begin"/>
            </w:r>
            <w:r w:rsidR="00D86570" w:rsidRPr="000145AA">
              <w:rPr>
                <w:webHidden/>
              </w:rPr>
              <w:instrText xml:space="preserve"> PAGEREF _Toc235405110 \h </w:instrText>
            </w:r>
            <w:r w:rsidR="00D86570" w:rsidRPr="000145AA">
              <w:rPr>
                <w:webHidden/>
              </w:rPr>
            </w:r>
            <w:r w:rsidR="00D86570" w:rsidRPr="000145AA">
              <w:rPr>
                <w:webHidden/>
              </w:rPr>
              <w:fldChar w:fldCharType="separate"/>
            </w:r>
            <w:r w:rsidR="00D86570" w:rsidRPr="000145AA">
              <w:rPr>
                <w:webHidden/>
              </w:rPr>
              <w:t>2</w:t>
            </w:r>
            <w:r w:rsidR="00D86570" w:rsidRPr="000145AA">
              <w:rPr>
                <w:webHidden/>
              </w:rPr>
              <w:fldChar w:fldCharType="end"/>
            </w:r>
          </w:hyperlink>
        </w:p>
        <w:p w14:paraId="0EE349D9" w14:textId="2620A5C4" w:rsidR="00D86570" w:rsidRPr="000145AA" w:rsidRDefault="00D86570">
          <w:pPr>
            <w:pStyle w:val="TOC1"/>
            <w:tabs>
              <w:tab w:val="right" w:leader="dot" w:pos="9350"/>
            </w:tabs>
            <w:rPr>
              <w:kern w:val="2"/>
              <w:lang w:eastAsia="en-GB"/>
              <w14:ligatures w14:val="standardContextual"/>
            </w:rPr>
          </w:pPr>
          <w:hyperlink w:anchor="_Toc235405111" w:history="1">
            <w:r w:rsidRPr="000145AA">
              <w:rPr>
                <w:rStyle w:val="Hyperlink"/>
                <w:rFonts w:ascii="Arial" w:hAnsi="Arial" w:cs="Arial"/>
                <w:b/>
                <w:bCs/>
              </w:rPr>
              <w:t>1. Introduction</w:t>
            </w:r>
            <w:r w:rsidRPr="000145AA">
              <w:rPr>
                <w:webHidden/>
              </w:rPr>
              <w:tab/>
            </w:r>
            <w:r w:rsidRPr="000145AA">
              <w:rPr>
                <w:webHidden/>
              </w:rPr>
              <w:fldChar w:fldCharType="begin"/>
            </w:r>
            <w:r w:rsidRPr="000145AA">
              <w:rPr>
                <w:webHidden/>
              </w:rPr>
              <w:instrText xml:space="preserve"> PAGEREF _Toc235405111 \h </w:instrText>
            </w:r>
            <w:r w:rsidRPr="000145AA">
              <w:rPr>
                <w:webHidden/>
              </w:rPr>
            </w:r>
            <w:r w:rsidRPr="000145AA">
              <w:rPr>
                <w:webHidden/>
              </w:rPr>
              <w:fldChar w:fldCharType="separate"/>
            </w:r>
            <w:r w:rsidRPr="000145AA">
              <w:rPr>
                <w:webHidden/>
              </w:rPr>
              <w:t>3</w:t>
            </w:r>
            <w:r w:rsidRPr="000145AA">
              <w:rPr>
                <w:webHidden/>
              </w:rPr>
              <w:fldChar w:fldCharType="end"/>
            </w:r>
          </w:hyperlink>
        </w:p>
        <w:p w14:paraId="4094CC38" w14:textId="5D06B673" w:rsidR="00D86570" w:rsidRPr="000145AA" w:rsidRDefault="00D86570">
          <w:pPr>
            <w:pStyle w:val="TOC1"/>
            <w:tabs>
              <w:tab w:val="right" w:leader="dot" w:pos="9350"/>
            </w:tabs>
            <w:rPr>
              <w:kern w:val="2"/>
              <w:lang w:eastAsia="en-GB"/>
              <w14:ligatures w14:val="standardContextual"/>
            </w:rPr>
          </w:pPr>
          <w:hyperlink w:anchor="_Toc235405112" w:history="1">
            <w:r w:rsidRPr="000145AA">
              <w:rPr>
                <w:rStyle w:val="Hyperlink"/>
                <w:rFonts w:ascii="Arial" w:hAnsi="Arial" w:cs="Arial"/>
                <w:b/>
                <w:bCs/>
              </w:rPr>
              <w:t>2. Background</w:t>
            </w:r>
            <w:r w:rsidRPr="000145AA">
              <w:rPr>
                <w:webHidden/>
              </w:rPr>
              <w:tab/>
            </w:r>
            <w:r w:rsidRPr="000145AA">
              <w:rPr>
                <w:webHidden/>
              </w:rPr>
              <w:fldChar w:fldCharType="begin"/>
            </w:r>
            <w:r w:rsidRPr="000145AA">
              <w:rPr>
                <w:webHidden/>
              </w:rPr>
              <w:instrText xml:space="preserve"> PAGEREF _Toc235405112 \h </w:instrText>
            </w:r>
            <w:r w:rsidRPr="000145AA">
              <w:rPr>
                <w:webHidden/>
              </w:rPr>
            </w:r>
            <w:r w:rsidRPr="000145AA">
              <w:rPr>
                <w:webHidden/>
              </w:rPr>
              <w:fldChar w:fldCharType="separate"/>
            </w:r>
            <w:r w:rsidRPr="000145AA">
              <w:rPr>
                <w:webHidden/>
              </w:rPr>
              <w:t>4</w:t>
            </w:r>
            <w:r w:rsidRPr="000145AA">
              <w:rPr>
                <w:webHidden/>
              </w:rPr>
              <w:fldChar w:fldCharType="end"/>
            </w:r>
          </w:hyperlink>
        </w:p>
        <w:p w14:paraId="276B57A3" w14:textId="37906684" w:rsidR="00D86570" w:rsidRPr="000145AA" w:rsidRDefault="00D86570">
          <w:pPr>
            <w:pStyle w:val="TOC1"/>
            <w:tabs>
              <w:tab w:val="right" w:leader="dot" w:pos="9350"/>
            </w:tabs>
            <w:rPr>
              <w:kern w:val="2"/>
              <w:lang w:eastAsia="en-GB"/>
              <w14:ligatures w14:val="standardContextual"/>
            </w:rPr>
          </w:pPr>
          <w:hyperlink w:anchor="_Toc235405113" w:history="1">
            <w:r w:rsidRPr="000145AA">
              <w:rPr>
                <w:rStyle w:val="Hyperlink"/>
                <w:rFonts w:ascii="Arial" w:hAnsi="Arial" w:cs="Arial"/>
                <w:b/>
                <w:bCs/>
              </w:rPr>
              <w:t>3. Methods</w:t>
            </w:r>
            <w:r w:rsidRPr="000145AA">
              <w:rPr>
                <w:webHidden/>
              </w:rPr>
              <w:tab/>
            </w:r>
            <w:r w:rsidRPr="000145AA">
              <w:rPr>
                <w:webHidden/>
              </w:rPr>
              <w:fldChar w:fldCharType="begin"/>
            </w:r>
            <w:r w:rsidRPr="000145AA">
              <w:rPr>
                <w:webHidden/>
              </w:rPr>
              <w:instrText xml:space="preserve"> PAGEREF _Toc235405113 \h </w:instrText>
            </w:r>
            <w:r w:rsidRPr="000145AA">
              <w:rPr>
                <w:webHidden/>
              </w:rPr>
            </w:r>
            <w:r w:rsidRPr="000145AA">
              <w:rPr>
                <w:webHidden/>
              </w:rPr>
              <w:fldChar w:fldCharType="separate"/>
            </w:r>
            <w:r w:rsidRPr="000145AA">
              <w:rPr>
                <w:webHidden/>
              </w:rPr>
              <w:t>6</w:t>
            </w:r>
            <w:r w:rsidRPr="000145AA">
              <w:rPr>
                <w:webHidden/>
              </w:rPr>
              <w:fldChar w:fldCharType="end"/>
            </w:r>
          </w:hyperlink>
        </w:p>
        <w:p w14:paraId="5C0DD324" w14:textId="22521F2A" w:rsidR="00D86570" w:rsidRPr="000145AA" w:rsidRDefault="00D86570">
          <w:pPr>
            <w:pStyle w:val="TOC2"/>
            <w:tabs>
              <w:tab w:val="right" w:leader="dot" w:pos="9350"/>
            </w:tabs>
            <w:rPr>
              <w:kern w:val="2"/>
              <w:lang w:eastAsia="en-GB"/>
              <w14:ligatures w14:val="standardContextual"/>
            </w:rPr>
          </w:pPr>
          <w:hyperlink w:anchor="_Toc235405114" w:history="1">
            <w:r w:rsidRPr="000145AA">
              <w:rPr>
                <w:rStyle w:val="Hyperlink"/>
                <w:rFonts w:ascii="Arial" w:hAnsi="Arial" w:cs="Arial"/>
                <w:b/>
                <w:bCs/>
              </w:rPr>
              <w:t>Inclusion and exclusion criteria</w:t>
            </w:r>
            <w:r w:rsidRPr="000145AA">
              <w:rPr>
                <w:webHidden/>
              </w:rPr>
              <w:tab/>
            </w:r>
            <w:r w:rsidRPr="000145AA">
              <w:rPr>
                <w:webHidden/>
              </w:rPr>
              <w:fldChar w:fldCharType="begin"/>
            </w:r>
            <w:r w:rsidRPr="000145AA">
              <w:rPr>
                <w:webHidden/>
              </w:rPr>
              <w:instrText xml:space="preserve"> PAGEREF _Toc235405114 \h </w:instrText>
            </w:r>
            <w:r w:rsidRPr="000145AA">
              <w:rPr>
                <w:webHidden/>
              </w:rPr>
            </w:r>
            <w:r w:rsidRPr="000145AA">
              <w:rPr>
                <w:webHidden/>
              </w:rPr>
              <w:fldChar w:fldCharType="separate"/>
            </w:r>
            <w:r w:rsidRPr="000145AA">
              <w:rPr>
                <w:webHidden/>
              </w:rPr>
              <w:t>7</w:t>
            </w:r>
            <w:r w:rsidRPr="000145AA">
              <w:rPr>
                <w:webHidden/>
              </w:rPr>
              <w:fldChar w:fldCharType="end"/>
            </w:r>
          </w:hyperlink>
        </w:p>
        <w:p w14:paraId="1969FE7F" w14:textId="78798B72" w:rsidR="00D86570" w:rsidRPr="000145AA" w:rsidRDefault="00D86570">
          <w:pPr>
            <w:pStyle w:val="TOC1"/>
            <w:tabs>
              <w:tab w:val="right" w:leader="dot" w:pos="9350"/>
            </w:tabs>
            <w:rPr>
              <w:kern w:val="2"/>
              <w:lang w:eastAsia="en-GB"/>
              <w14:ligatures w14:val="standardContextual"/>
            </w:rPr>
          </w:pPr>
          <w:hyperlink w:anchor="_Toc235405115" w:history="1">
            <w:r w:rsidRPr="000145AA">
              <w:rPr>
                <w:rStyle w:val="Hyperlink"/>
                <w:rFonts w:cstheme="minorHAnsi"/>
                <w:b/>
                <w:bCs/>
              </w:rPr>
              <w:t>4.Results Summary Table</w:t>
            </w:r>
            <w:r w:rsidRPr="000145AA">
              <w:rPr>
                <w:webHidden/>
              </w:rPr>
              <w:tab/>
            </w:r>
            <w:r w:rsidRPr="000145AA">
              <w:rPr>
                <w:webHidden/>
              </w:rPr>
              <w:fldChar w:fldCharType="begin"/>
            </w:r>
            <w:r w:rsidRPr="000145AA">
              <w:rPr>
                <w:webHidden/>
              </w:rPr>
              <w:instrText xml:space="preserve"> PAGEREF _Toc235405115 \h </w:instrText>
            </w:r>
            <w:r w:rsidRPr="000145AA">
              <w:rPr>
                <w:webHidden/>
              </w:rPr>
            </w:r>
            <w:r w:rsidRPr="000145AA">
              <w:rPr>
                <w:webHidden/>
              </w:rPr>
              <w:fldChar w:fldCharType="separate"/>
            </w:r>
            <w:r w:rsidRPr="000145AA">
              <w:rPr>
                <w:webHidden/>
              </w:rPr>
              <w:t>8</w:t>
            </w:r>
            <w:r w:rsidRPr="000145AA">
              <w:rPr>
                <w:webHidden/>
              </w:rPr>
              <w:fldChar w:fldCharType="end"/>
            </w:r>
          </w:hyperlink>
        </w:p>
        <w:p w14:paraId="12550FA1" w14:textId="74CCFCAD" w:rsidR="00D86570" w:rsidRPr="000145AA" w:rsidRDefault="00D86570">
          <w:pPr>
            <w:pStyle w:val="TOC1"/>
            <w:tabs>
              <w:tab w:val="right" w:leader="dot" w:pos="9350"/>
            </w:tabs>
            <w:rPr>
              <w:kern w:val="2"/>
              <w:lang w:eastAsia="en-GB"/>
              <w14:ligatures w14:val="standardContextual"/>
            </w:rPr>
          </w:pPr>
          <w:hyperlink w:anchor="_Toc235405116" w:history="1">
            <w:r w:rsidRPr="000145AA">
              <w:rPr>
                <w:rStyle w:val="Hyperlink"/>
                <w:rFonts w:ascii="Arial" w:hAnsi="Arial" w:cs="Arial"/>
                <w:b/>
                <w:bCs/>
              </w:rPr>
              <w:t>5. Discussion</w:t>
            </w:r>
            <w:r w:rsidRPr="000145AA">
              <w:rPr>
                <w:webHidden/>
              </w:rPr>
              <w:tab/>
            </w:r>
            <w:r w:rsidRPr="000145AA">
              <w:rPr>
                <w:webHidden/>
              </w:rPr>
              <w:fldChar w:fldCharType="begin"/>
            </w:r>
            <w:r w:rsidRPr="000145AA">
              <w:rPr>
                <w:webHidden/>
              </w:rPr>
              <w:instrText xml:space="preserve"> PAGEREF _Toc235405116 \h </w:instrText>
            </w:r>
            <w:r w:rsidRPr="000145AA">
              <w:rPr>
                <w:webHidden/>
              </w:rPr>
            </w:r>
            <w:r w:rsidRPr="000145AA">
              <w:rPr>
                <w:webHidden/>
              </w:rPr>
              <w:fldChar w:fldCharType="separate"/>
            </w:r>
            <w:r w:rsidRPr="000145AA">
              <w:rPr>
                <w:webHidden/>
              </w:rPr>
              <w:t>10</w:t>
            </w:r>
            <w:r w:rsidRPr="000145AA">
              <w:rPr>
                <w:webHidden/>
              </w:rPr>
              <w:fldChar w:fldCharType="end"/>
            </w:r>
          </w:hyperlink>
        </w:p>
        <w:p w14:paraId="64453D85" w14:textId="4D36A6B7" w:rsidR="00D86570" w:rsidRPr="000145AA" w:rsidRDefault="00D86570">
          <w:pPr>
            <w:pStyle w:val="TOC1"/>
            <w:tabs>
              <w:tab w:val="right" w:leader="dot" w:pos="9350"/>
            </w:tabs>
            <w:rPr>
              <w:kern w:val="2"/>
              <w:lang w:eastAsia="en-GB"/>
              <w14:ligatures w14:val="standardContextual"/>
            </w:rPr>
          </w:pPr>
          <w:hyperlink w:anchor="_Toc235405117" w:history="1">
            <w:r w:rsidRPr="000145AA">
              <w:rPr>
                <w:rStyle w:val="Hyperlink"/>
                <w:rFonts w:ascii="Arial" w:hAnsi="Arial" w:cs="Arial"/>
                <w:b/>
                <w:bCs/>
              </w:rPr>
              <w:t>6. Conclusion and Recommendations</w:t>
            </w:r>
            <w:r w:rsidRPr="000145AA">
              <w:rPr>
                <w:webHidden/>
              </w:rPr>
              <w:tab/>
            </w:r>
            <w:r w:rsidRPr="000145AA">
              <w:rPr>
                <w:webHidden/>
              </w:rPr>
              <w:fldChar w:fldCharType="begin"/>
            </w:r>
            <w:r w:rsidRPr="000145AA">
              <w:rPr>
                <w:webHidden/>
              </w:rPr>
              <w:instrText xml:space="preserve"> PAGEREF _Toc235405117 \h </w:instrText>
            </w:r>
            <w:r w:rsidRPr="000145AA">
              <w:rPr>
                <w:webHidden/>
              </w:rPr>
            </w:r>
            <w:r w:rsidRPr="000145AA">
              <w:rPr>
                <w:webHidden/>
              </w:rPr>
              <w:fldChar w:fldCharType="separate"/>
            </w:r>
            <w:r w:rsidRPr="000145AA">
              <w:rPr>
                <w:webHidden/>
              </w:rPr>
              <w:t>13</w:t>
            </w:r>
            <w:r w:rsidRPr="000145AA">
              <w:rPr>
                <w:webHidden/>
              </w:rPr>
              <w:fldChar w:fldCharType="end"/>
            </w:r>
          </w:hyperlink>
        </w:p>
        <w:p w14:paraId="4F5613B2" w14:textId="45E55BD7" w:rsidR="00D86570" w:rsidRPr="000145AA" w:rsidRDefault="00D86570">
          <w:pPr>
            <w:pStyle w:val="TOC2"/>
            <w:tabs>
              <w:tab w:val="right" w:leader="dot" w:pos="9350"/>
            </w:tabs>
            <w:rPr>
              <w:kern w:val="2"/>
              <w:lang w:eastAsia="en-GB"/>
              <w14:ligatures w14:val="standardContextual"/>
            </w:rPr>
          </w:pPr>
          <w:hyperlink w:anchor="_Toc235405118" w:history="1">
            <w:r w:rsidRPr="000145AA">
              <w:rPr>
                <w:rStyle w:val="Hyperlink"/>
                <w:rFonts w:ascii="Arial" w:hAnsi="Arial" w:cs="Arial"/>
                <w:b/>
                <w:bCs/>
              </w:rPr>
              <w:t>Conclusion</w:t>
            </w:r>
            <w:r w:rsidRPr="000145AA">
              <w:rPr>
                <w:webHidden/>
              </w:rPr>
              <w:tab/>
            </w:r>
            <w:r w:rsidRPr="000145AA">
              <w:rPr>
                <w:webHidden/>
              </w:rPr>
              <w:fldChar w:fldCharType="begin"/>
            </w:r>
            <w:r w:rsidRPr="000145AA">
              <w:rPr>
                <w:webHidden/>
              </w:rPr>
              <w:instrText xml:space="preserve"> PAGEREF _Toc235405118 \h </w:instrText>
            </w:r>
            <w:r w:rsidRPr="000145AA">
              <w:rPr>
                <w:webHidden/>
              </w:rPr>
            </w:r>
            <w:r w:rsidRPr="000145AA">
              <w:rPr>
                <w:webHidden/>
              </w:rPr>
              <w:fldChar w:fldCharType="separate"/>
            </w:r>
            <w:r w:rsidRPr="000145AA">
              <w:rPr>
                <w:webHidden/>
              </w:rPr>
              <w:t>13</w:t>
            </w:r>
            <w:r w:rsidRPr="000145AA">
              <w:rPr>
                <w:webHidden/>
              </w:rPr>
              <w:fldChar w:fldCharType="end"/>
            </w:r>
          </w:hyperlink>
        </w:p>
        <w:p w14:paraId="343E8196" w14:textId="453CF6E1" w:rsidR="00D86570" w:rsidRPr="000145AA" w:rsidRDefault="00D86570">
          <w:pPr>
            <w:pStyle w:val="TOC2"/>
            <w:tabs>
              <w:tab w:val="right" w:leader="dot" w:pos="9350"/>
            </w:tabs>
            <w:rPr>
              <w:kern w:val="2"/>
              <w:lang w:eastAsia="en-GB"/>
              <w14:ligatures w14:val="standardContextual"/>
            </w:rPr>
          </w:pPr>
          <w:hyperlink w:anchor="_Toc235405119" w:history="1">
            <w:r w:rsidRPr="000145AA">
              <w:rPr>
                <w:rStyle w:val="Hyperlink"/>
                <w:rFonts w:ascii="Arial" w:hAnsi="Arial" w:cs="Arial"/>
                <w:b/>
                <w:bCs/>
              </w:rPr>
              <w:t>Recommendations for Practice</w:t>
            </w:r>
            <w:r w:rsidRPr="000145AA">
              <w:rPr>
                <w:webHidden/>
              </w:rPr>
              <w:tab/>
            </w:r>
            <w:r w:rsidRPr="000145AA">
              <w:rPr>
                <w:webHidden/>
              </w:rPr>
              <w:fldChar w:fldCharType="begin"/>
            </w:r>
            <w:r w:rsidRPr="000145AA">
              <w:rPr>
                <w:webHidden/>
              </w:rPr>
              <w:instrText xml:space="preserve"> PAGEREF _Toc235405119 \h </w:instrText>
            </w:r>
            <w:r w:rsidRPr="000145AA">
              <w:rPr>
                <w:webHidden/>
              </w:rPr>
            </w:r>
            <w:r w:rsidRPr="000145AA">
              <w:rPr>
                <w:webHidden/>
              </w:rPr>
              <w:fldChar w:fldCharType="separate"/>
            </w:r>
            <w:r w:rsidRPr="000145AA">
              <w:rPr>
                <w:webHidden/>
              </w:rPr>
              <w:t>14</w:t>
            </w:r>
            <w:r w:rsidRPr="000145AA">
              <w:rPr>
                <w:webHidden/>
              </w:rPr>
              <w:fldChar w:fldCharType="end"/>
            </w:r>
          </w:hyperlink>
        </w:p>
        <w:p w14:paraId="5CFE1CE0" w14:textId="4D6ACE4C" w:rsidR="00D86570" w:rsidRPr="000145AA" w:rsidRDefault="00D86570">
          <w:pPr>
            <w:pStyle w:val="TOC2"/>
            <w:tabs>
              <w:tab w:val="right" w:leader="dot" w:pos="9350"/>
            </w:tabs>
            <w:rPr>
              <w:kern w:val="2"/>
              <w:lang w:eastAsia="en-GB"/>
              <w14:ligatures w14:val="standardContextual"/>
            </w:rPr>
          </w:pPr>
          <w:hyperlink w:anchor="_Toc235405120" w:history="1">
            <w:r w:rsidRPr="000145AA">
              <w:rPr>
                <w:rStyle w:val="Hyperlink"/>
                <w:rFonts w:ascii="Arial" w:hAnsi="Arial" w:cs="Arial"/>
                <w:b/>
                <w:bCs/>
              </w:rPr>
              <w:t>Recommendations for Future Research</w:t>
            </w:r>
            <w:r w:rsidRPr="000145AA">
              <w:rPr>
                <w:webHidden/>
              </w:rPr>
              <w:tab/>
            </w:r>
            <w:r w:rsidRPr="000145AA">
              <w:rPr>
                <w:webHidden/>
              </w:rPr>
              <w:fldChar w:fldCharType="begin"/>
            </w:r>
            <w:r w:rsidRPr="000145AA">
              <w:rPr>
                <w:webHidden/>
              </w:rPr>
              <w:instrText xml:space="preserve"> PAGEREF _Toc235405120 \h </w:instrText>
            </w:r>
            <w:r w:rsidRPr="000145AA">
              <w:rPr>
                <w:webHidden/>
              </w:rPr>
            </w:r>
            <w:r w:rsidRPr="000145AA">
              <w:rPr>
                <w:webHidden/>
              </w:rPr>
              <w:fldChar w:fldCharType="separate"/>
            </w:r>
            <w:r w:rsidRPr="000145AA">
              <w:rPr>
                <w:webHidden/>
              </w:rPr>
              <w:t>14</w:t>
            </w:r>
            <w:r w:rsidRPr="000145AA">
              <w:rPr>
                <w:webHidden/>
              </w:rPr>
              <w:fldChar w:fldCharType="end"/>
            </w:r>
          </w:hyperlink>
        </w:p>
        <w:p w14:paraId="1BA69EDC" w14:textId="64168FFA" w:rsidR="00D86570" w:rsidRPr="000145AA" w:rsidRDefault="00D86570">
          <w:pPr>
            <w:pStyle w:val="TOC2"/>
            <w:tabs>
              <w:tab w:val="right" w:leader="dot" w:pos="9350"/>
            </w:tabs>
            <w:rPr>
              <w:kern w:val="2"/>
              <w:lang w:eastAsia="en-GB"/>
              <w14:ligatures w14:val="standardContextual"/>
            </w:rPr>
          </w:pPr>
          <w:hyperlink w:anchor="_Toc235405121" w:history="1">
            <w:r w:rsidRPr="000145AA">
              <w:rPr>
                <w:rStyle w:val="Hyperlink"/>
                <w:rFonts w:ascii="Arial" w:hAnsi="Arial" w:cs="Arial"/>
                <w:b/>
                <w:bCs/>
              </w:rPr>
              <w:t>Final Reflection</w:t>
            </w:r>
            <w:r w:rsidRPr="000145AA">
              <w:rPr>
                <w:webHidden/>
              </w:rPr>
              <w:tab/>
            </w:r>
            <w:r w:rsidRPr="000145AA">
              <w:rPr>
                <w:webHidden/>
              </w:rPr>
              <w:fldChar w:fldCharType="begin"/>
            </w:r>
            <w:r w:rsidRPr="000145AA">
              <w:rPr>
                <w:webHidden/>
              </w:rPr>
              <w:instrText xml:space="preserve"> PAGEREF _Toc235405121 \h </w:instrText>
            </w:r>
            <w:r w:rsidRPr="000145AA">
              <w:rPr>
                <w:webHidden/>
              </w:rPr>
            </w:r>
            <w:r w:rsidRPr="000145AA">
              <w:rPr>
                <w:webHidden/>
              </w:rPr>
              <w:fldChar w:fldCharType="separate"/>
            </w:r>
            <w:r w:rsidRPr="000145AA">
              <w:rPr>
                <w:webHidden/>
              </w:rPr>
              <w:t>15</w:t>
            </w:r>
            <w:r w:rsidRPr="000145AA">
              <w:rPr>
                <w:webHidden/>
              </w:rPr>
              <w:fldChar w:fldCharType="end"/>
            </w:r>
          </w:hyperlink>
        </w:p>
        <w:p w14:paraId="62291D76" w14:textId="6695CE06" w:rsidR="00D86570" w:rsidRPr="000145AA" w:rsidRDefault="00D86570">
          <w:pPr>
            <w:pStyle w:val="TOC1"/>
            <w:tabs>
              <w:tab w:val="right" w:leader="dot" w:pos="9350"/>
            </w:tabs>
            <w:rPr>
              <w:kern w:val="2"/>
              <w:lang w:eastAsia="en-GB"/>
              <w14:ligatures w14:val="standardContextual"/>
            </w:rPr>
          </w:pPr>
          <w:hyperlink w:anchor="_Toc235405122" w:history="1">
            <w:r w:rsidRPr="000145AA">
              <w:rPr>
                <w:rStyle w:val="Hyperlink"/>
                <w:b/>
                <w:bCs/>
              </w:rPr>
              <w:t>References</w:t>
            </w:r>
            <w:r w:rsidRPr="000145AA">
              <w:rPr>
                <w:webHidden/>
              </w:rPr>
              <w:tab/>
            </w:r>
            <w:r w:rsidRPr="000145AA">
              <w:rPr>
                <w:webHidden/>
              </w:rPr>
              <w:fldChar w:fldCharType="begin"/>
            </w:r>
            <w:r w:rsidRPr="000145AA">
              <w:rPr>
                <w:webHidden/>
              </w:rPr>
              <w:instrText xml:space="preserve"> PAGEREF _Toc235405122 \h </w:instrText>
            </w:r>
            <w:r w:rsidRPr="000145AA">
              <w:rPr>
                <w:webHidden/>
              </w:rPr>
            </w:r>
            <w:r w:rsidRPr="000145AA">
              <w:rPr>
                <w:webHidden/>
              </w:rPr>
              <w:fldChar w:fldCharType="separate"/>
            </w:r>
            <w:r w:rsidRPr="000145AA">
              <w:rPr>
                <w:webHidden/>
              </w:rPr>
              <w:t>15</w:t>
            </w:r>
            <w:r w:rsidRPr="000145AA">
              <w:rPr>
                <w:webHidden/>
              </w:rPr>
              <w:fldChar w:fldCharType="end"/>
            </w:r>
          </w:hyperlink>
        </w:p>
        <w:p w14:paraId="5E5C12E7" w14:textId="548B1E16" w:rsidR="00D86570" w:rsidRPr="000145AA" w:rsidRDefault="00D86570">
          <w:pPr>
            <w:pStyle w:val="TOC1"/>
            <w:tabs>
              <w:tab w:val="right" w:leader="dot" w:pos="9350"/>
            </w:tabs>
            <w:rPr>
              <w:kern w:val="2"/>
              <w:lang w:eastAsia="en-GB"/>
              <w14:ligatures w14:val="standardContextual"/>
            </w:rPr>
          </w:pPr>
          <w:hyperlink w:anchor="_Toc235405123" w:history="1">
            <w:r w:rsidRPr="000145AA">
              <w:rPr>
                <w:rStyle w:val="Hyperlink"/>
                <w:b/>
                <w:bCs/>
              </w:rPr>
              <w:t>Appendix A</w:t>
            </w:r>
            <w:r w:rsidRPr="000145AA">
              <w:rPr>
                <w:webHidden/>
              </w:rPr>
              <w:tab/>
            </w:r>
            <w:r w:rsidRPr="000145AA">
              <w:rPr>
                <w:webHidden/>
              </w:rPr>
              <w:fldChar w:fldCharType="begin"/>
            </w:r>
            <w:r w:rsidRPr="000145AA">
              <w:rPr>
                <w:webHidden/>
              </w:rPr>
              <w:instrText xml:space="preserve"> PAGEREF _Toc235405123 \h </w:instrText>
            </w:r>
            <w:r w:rsidRPr="000145AA">
              <w:rPr>
                <w:webHidden/>
              </w:rPr>
            </w:r>
            <w:r w:rsidRPr="000145AA">
              <w:rPr>
                <w:webHidden/>
              </w:rPr>
              <w:fldChar w:fldCharType="separate"/>
            </w:r>
            <w:r w:rsidRPr="000145AA">
              <w:rPr>
                <w:webHidden/>
              </w:rPr>
              <w:t>17</w:t>
            </w:r>
            <w:r w:rsidRPr="000145AA">
              <w:rPr>
                <w:webHidden/>
              </w:rPr>
              <w:fldChar w:fldCharType="end"/>
            </w:r>
          </w:hyperlink>
        </w:p>
        <w:p w14:paraId="4CADDEE2" w14:textId="0D4E1C5C" w:rsidR="193FC360" w:rsidRPr="000145AA" w:rsidRDefault="193FC360" w:rsidP="338B1E3E">
          <w:pPr>
            <w:spacing w:line="360" w:lineRule="auto"/>
          </w:pPr>
          <w:r w:rsidRPr="000145AA">
            <w:fldChar w:fldCharType="end"/>
          </w:r>
        </w:p>
      </w:sdtContent>
    </w:sdt>
    <w:p w14:paraId="02E3462D" w14:textId="5A913B0F" w:rsidR="193FC360" w:rsidRPr="000145AA" w:rsidRDefault="193FC360" w:rsidP="338B1E3E">
      <w:pPr>
        <w:spacing w:line="360" w:lineRule="auto"/>
        <w:rPr>
          <w:sz w:val="22"/>
          <w:szCs w:val="22"/>
        </w:rPr>
      </w:pPr>
    </w:p>
    <w:p w14:paraId="31F1789B" w14:textId="35A4B0E0" w:rsidR="08B903B1" w:rsidRPr="000145AA" w:rsidRDefault="08B903B1" w:rsidP="338B1E3E">
      <w:pPr>
        <w:spacing w:line="360" w:lineRule="auto"/>
        <w:rPr>
          <w:sz w:val="22"/>
          <w:szCs w:val="22"/>
        </w:rPr>
      </w:pPr>
    </w:p>
    <w:p w14:paraId="72E56075" w14:textId="6DDB8CC9" w:rsidR="08B903B1" w:rsidRPr="000145AA" w:rsidRDefault="08B903B1" w:rsidP="338B1E3E">
      <w:pPr>
        <w:spacing w:line="360" w:lineRule="auto"/>
        <w:rPr>
          <w:sz w:val="22"/>
          <w:szCs w:val="22"/>
        </w:rPr>
      </w:pPr>
    </w:p>
    <w:p w14:paraId="2F8EEA79" w14:textId="5BF2A978" w:rsidR="08B903B1" w:rsidRPr="000145AA" w:rsidRDefault="08B903B1" w:rsidP="338B1E3E">
      <w:pPr>
        <w:spacing w:line="360" w:lineRule="auto"/>
      </w:pPr>
      <w:r w:rsidRPr="000145AA">
        <w:br w:type="page"/>
      </w:r>
    </w:p>
    <w:p w14:paraId="353BF7C4" w14:textId="7A211376" w:rsidR="526CC730" w:rsidRPr="000145AA" w:rsidRDefault="6BD00016" w:rsidP="338B1E3E">
      <w:pPr>
        <w:pStyle w:val="Heading1"/>
        <w:spacing w:before="322" w:after="322" w:line="360" w:lineRule="auto"/>
        <w:rPr>
          <w:rFonts w:ascii="Arial" w:eastAsiaTheme="minorEastAsia" w:hAnsi="Arial" w:cs="Arial"/>
          <w:b/>
          <w:bCs/>
          <w:color w:val="auto"/>
          <w:sz w:val="22"/>
          <w:szCs w:val="22"/>
        </w:rPr>
      </w:pPr>
      <w:bookmarkStart w:id="1" w:name="_Toc235405111"/>
      <w:r w:rsidRPr="000145AA">
        <w:rPr>
          <w:rFonts w:ascii="Arial" w:eastAsiaTheme="minorEastAsia" w:hAnsi="Arial" w:cs="Arial"/>
          <w:b/>
          <w:bCs/>
          <w:color w:val="auto"/>
          <w:sz w:val="22"/>
          <w:szCs w:val="22"/>
        </w:rPr>
        <w:lastRenderedPageBreak/>
        <w:t>1. Introduction</w:t>
      </w:r>
      <w:bookmarkEnd w:id="1"/>
    </w:p>
    <w:p w14:paraId="2CBC4EFD" w14:textId="28A59D3D" w:rsidR="08B903B1" w:rsidRPr="000145AA" w:rsidRDefault="4FB31D5A" w:rsidP="338B1E3E">
      <w:pPr>
        <w:spacing w:before="240" w:after="240" w:line="360" w:lineRule="auto"/>
        <w:rPr>
          <w:rFonts w:ascii="Arial" w:hAnsi="Arial" w:cs="Arial"/>
          <w:sz w:val="22"/>
          <w:szCs w:val="22"/>
        </w:rPr>
      </w:pPr>
      <w:r w:rsidRPr="000145AA">
        <w:rPr>
          <w:rFonts w:ascii="Arial" w:hAnsi="Arial" w:cs="Arial"/>
          <w:sz w:val="22"/>
          <w:szCs w:val="22"/>
        </w:rPr>
        <w:t xml:space="preserve">Autism Spectrum Disorder (ASD) is a lifelong neurodevelopmental condition characterised by differences in social communication, interaction, and restricted or repetitive behaviours (Royal College of Psychiatrists, 2020). Although signs of autism </w:t>
      </w:r>
      <w:r w:rsidR="09E19C5A" w:rsidRPr="000145AA">
        <w:rPr>
          <w:rFonts w:ascii="Arial" w:hAnsi="Arial" w:cs="Arial"/>
          <w:sz w:val="22"/>
          <w:szCs w:val="22"/>
        </w:rPr>
        <w:t xml:space="preserve">can </w:t>
      </w:r>
      <w:r w:rsidRPr="000145AA">
        <w:rPr>
          <w:rFonts w:ascii="Arial" w:hAnsi="Arial" w:cs="Arial"/>
          <w:sz w:val="22"/>
          <w:szCs w:val="22"/>
        </w:rPr>
        <w:t>be identified in infancy, many children experience delayed diagnosis, delaying access to appropriate interventions and family support (Harstad et al., 2023).</w:t>
      </w:r>
    </w:p>
    <w:p w14:paraId="5C970F28" w14:textId="1D3430C2" w:rsidR="08B903B1" w:rsidRPr="000145AA" w:rsidRDefault="4FB31D5A" w:rsidP="338B1E3E">
      <w:pPr>
        <w:spacing w:before="240" w:after="240" w:line="360" w:lineRule="auto"/>
        <w:rPr>
          <w:rFonts w:ascii="Arial" w:hAnsi="Arial" w:cs="Arial"/>
          <w:sz w:val="22"/>
          <w:szCs w:val="22"/>
        </w:rPr>
      </w:pPr>
      <w:r w:rsidRPr="000145AA">
        <w:rPr>
          <w:rFonts w:ascii="Arial" w:hAnsi="Arial" w:cs="Arial"/>
          <w:sz w:val="22"/>
          <w:szCs w:val="22"/>
        </w:rPr>
        <w:t>The first three years of life are a critical period for neurological, social and communication development (</w:t>
      </w:r>
      <w:proofErr w:type="spellStart"/>
      <w:r w:rsidRPr="000145AA">
        <w:rPr>
          <w:rFonts w:ascii="Arial" w:hAnsi="Arial" w:cs="Arial"/>
          <w:sz w:val="22"/>
          <w:szCs w:val="22"/>
        </w:rPr>
        <w:t>Zwaigenbaum</w:t>
      </w:r>
      <w:proofErr w:type="spellEnd"/>
      <w:r w:rsidRPr="000145AA">
        <w:rPr>
          <w:rFonts w:ascii="Arial" w:hAnsi="Arial" w:cs="Arial"/>
          <w:sz w:val="22"/>
          <w:szCs w:val="22"/>
        </w:rPr>
        <w:t xml:space="preserve"> et al., 2019). Early signs of autism, including reduced eye contact, delayed language, limited joint attention and repetitive behaviours, often emerge before two years of age (Lord et al., 2020). Early recognition is important because timely intervention has been shown to improve developmental outcomes, communication skills and family wellbeing (Hyman et al., 2020).</w:t>
      </w:r>
    </w:p>
    <w:p w14:paraId="540C8CB5" w14:textId="3E40973D" w:rsidR="08B903B1" w:rsidRPr="000145AA" w:rsidRDefault="4FB31D5A" w:rsidP="338B1E3E">
      <w:pPr>
        <w:spacing w:before="240" w:after="240" w:line="360" w:lineRule="auto"/>
        <w:rPr>
          <w:rFonts w:ascii="Arial" w:hAnsi="Arial" w:cs="Arial"/>
          <w:sz w:val="22"/>
          <w:szCs w:val="22"/>
        </w:rPr>
      </w:pPr>
      <w:r w:rsidRPr="000145AA">
        <w:rPr>
          <w:rFonts w:ascii="Arial" w:hAnsi="Arial" w:cs="Arial"/>
          <w:sz w:val="22"/>
          <w:szCs w:val="22"/>
        </w:rPr>
        <w:t>In the United Kingdom, increasing awareness of autism has led to improvements in assessment pathways. However, many families continue to experience lengthy delays before receiving a diagnosis, limiting timely access to health, education and social care services (NICE, 2021). Consequently, improving early identification and support remains a priority within UK children's healthcare (NHS England, 2023).</w:t>
      </w:r>
    </w:p>
    <w:p w14:paraId="2564AA0F" w14:textId="77150915" w:rsidR="08B903B1" w:rsidRPr="000145AA" w:rsidRDefault="063FD7F3" w:rsidP="338B1E3E">
      <w:pPr>
        <w:spacing w:before="240" w:after="240" w:line="360" w:lineRule="auto"/>
        <w:rPr>
          <w:rFonts w:ascii="Arial" w:hAnsi="Arial" w:cs="Arial"/>
          <w:sz w:val="22"/>
          <w:szCs w:val="22"/>
        </w:rPr>
      </w:pPr>
      <w:r w:rsidRPr="000145AA">
        <w:rPr>
          <w:rFonts w:ascii="Arial" w:hAnsi="Arial" w:cs="Arial"/>
          <w:sz w:val="22"/>
          <w:szCs w:val="22"/>
        </w:rPr>
        <w:t>The purpose of this study is to examine evidence on the early diagnosis and support of UK children aged 1–3 years with autism. A scoping review (Arksey and O'Malley, 2005) was chosen to map qualitative, quantitative and mixed-methods research across health, education and social care. Aveyard's (2019) simplified thematic analysis will be used to identify key themes, explore service barriers and highlight evidence gaps to inform future UK policy, clinical pathways and professional practice.</w:t>
      </w:r>
    </w:p>
    <w:p w14:paraId="6B5F494D" w14:textId="6086D78D" w:rsidR="08B903B1" w:rsidRPr="000145AA" w:rsidRDefault="4FB31D5A" w:rsidP="338B1E3E">
      <w:pPr>
        <w:spacing w:before="240" w:after="240" w:line="360" w:lineRule="auto"/>
        <w:rPr>
          <w:rFonts w:ascii="Arial" w:hAnsi="Arial" w:cs="Arial"/>
          <w:b/>
          <w:bCs/>
          <w:sz w:val="22"/>
          <w:szCs w:val="22"/>
        </w:rPr>
      </w:pPr>
      <w:r w:rsidRPr="000145AA">
        <w:rPr>
          <w:rFonts w:ascii="Arial" w:hAnsi="Arial" w:cs="Arial"/>
          <w:b/>
          <w:bCs/>
          <w:sz w:val="22"/>
          <w:szCs w:val="22"/>
        </w:rPr>
        <w:t>Research Question</w:t>
      </w:r>
    </w:p>
    <w:p w14:paraId="5529306E" w14:textId="11605350" w:rsidR="08B903B1" w:rsidRPr="000145AA" w:rsidRDefault="4FB31D5A" w:rsidP="338B1E3E">
      <w:pPr>
        <w:spacing w:before="240" w:after="240" w:line="360" w:lineRule="auto"/>
        <w:rPr>
          <w:rFonts w:ascii="Arial" w:hAnsi="Arial" w:cs="Arial"/>
          <w:b/>
          <w:bCs/>
          <w:sz w:val="22"/>
          <w:szCs w:val="22"/>
        </w:rPr>
      </w:pPr>
      <w:r w:rsidRPr="000145AA">
        <w:rPr>
          <w:rFonts w:ascii="Arial" w:hAnsi="Arial" w:cs="Arial"/>
          <w:b/>
          <w:bCs/>
          <w:sz w:val="22"/>
          <w:szCs w:val="22"/>
        </w:rPr>
        <w:t>What evidence exists regarding the early diagnosis and support of children aged 1–3 years with Autism Spectrum Disorder in the United Kingdom?</w:t>
      </w:r>
      <w:r w:rsidR="01CF7DD1" w:rsidRPr="000145AA">
        <w:rPr>
          <w:rFonts w:ascii="Arial" w:hAnsi="Arial" w:cs="Arial"/>
          <w:b/>
          <w:bCs/>
          <w:sz w:val="22"/>
          <w:szCs w:val="22"/>
        </w:rPr>
        <w:t xml:space="preserve"> </w:t>
      </w:r>
    </w:p>
    <w:p w14:paraId="279977BD" w14:textId="44D55ADF" w:rsidR="08B903B1" w:rsidRPr="000145AA" w:rsidRDefault="01CF7DD1" w:rsidP="338B1E3E">
      <w:pPr>
        <w:spacing w:before="240" w:after="240" w:line="360" w:lineRule="auto"/>
        <w:rPr>
          <w:rFonts w:ascii="Arial" w:hAnsi="Arial" w:cs="Arial"/>
          <w:sz w:val="22"/>
          <w:szCs w:val="22"/>
        </w:rPr>
      </w:pPr>
      <w:r w:rsidRPr="000145AA">
        <w:rPr>
          <w:rFonts w:ascii="Arial" w:hAnsi="Arial" w:cs="Arial"/>
          <w:sz w:val="22"/>
          <w:szCs w:val="22"/>
        </w:rPr>
        <w:t>The</w:t>
      </w:r>
      <w:r w:rsidR="579D8A87" w:rsidRPr="000145AA">
        <w:rPr>
          <w:rFonts w:ascii="Arial" w:hAnsi="Arial" w:cs="Arial"/>
          <w:sz w:val="22"/>
          <w:szCs w:val="22"/>
        </w:rPr>
        <w:t xml:space="preserve"> overall</w:t>
      </w:r>
      <w:r w:rsidRPr="000145AA">
        <w:rPr>
          <w:rFonts w:ascii="Arial" w:hAnsi="Arial" w:cs="Arial"/>
          <w:sz w:val="22"/>
          <w:szCs w:val="22"/>
        </w:rPr>
        <w:t xml:space="preserve"> aim of this scoping review is to examine the current evidence relating to the early diagnosis and support of children aged 1–3 years with Autism Spectrum Disorder (ASD) in the United Kingdom and identify key themes, challenges and gaps within the existing literature.</w:t>
      </w:r>
    </w:p>
    <w:p w14:paraId="414CA3F5" w14:textId="14FB2E59" w:rsidR="08B903B1" w:rsidRPr="000145AA" w:rsidRDefault="08B903B1" w:rsidP="338B1E3E">
      <w:pPr>
        <w:spacing w:before="240" w:after="240" w:line="360" w:lineRule="auto"/>
        <w:rPr>
          <w:rFonts w:ascii="Arial" w:hAnsi="Arial" w:cs="Arial"/>
          <w:sz w:val="22"/>
          <w:szCs w:val="22"/>
        </w:rPr>
      </w:pPr>
    </w:p>
    <w:p w14:paraId="7B74B4B0" w14:textId="17A846B8" w:rsidR="08B903B1" w:rsidRPr="000145AA" w:rsidRDefault="4FB31D5A" w:rsidP="338B1E3E">
      <w:pPr>
        <w:spacing w:before="240" w:after="240" w:line="360" w:lineRule="auto"/>
        <w:rPr>
          <w:rFonts w:ascii="Arial" w:hAnsi="Arial" w:cs="Arial"/>
          <w:sz w:val="22"/>
          <w:szCs w:val="22"/>
        </w:rPr>
      </w:pPr>
      <w:r w:rsidRPr="000145AA">
        <w:rPr>
          <w:rFonts w:ascii="Arial" w:hAnsi="Arial" w:cs="Arial"/>
          <w:sz w:val="22"/>
          <w:szCs w:val="22"/>
        </w:rPr>
        <w:t>Objectives</w:t>
      </w:r>
      <w:r w:rsidR="2DDDD9F3" w:rsidRPr="000145AA">
        <w:rPr>
          <w:rFonts w:ascii="Arial" w:hAnsi="Arial" w:cs="Arial"/>
          <w:sz w:val="22"/>
          <w:szCs w:val="22"/>
        </w:rPr>
        <w:t xml:space="preserve"> used to support </w:t>
      </w:r>
      <w:proofErr w:type="spellStart"/>
      <w:r w:rsidR="2DDDD9F3" w:rsidRPr="000145AA">
        <w:rPr>
          <w:rFonts w:ascii="Arial" w:hAnsi="Arial" w:cs="Arial"/>
          <w:sz w:val="22"/>
          <w:szCs w:val="22"/>
        </w:rPr>
        <w:t>achiving</w:t>
      </w:r>
      <w:proofErr w:type="spellEnd"/>
      <w:r w:rsidR="2DDDD9F3" w:rsidRPr="000145AA">
        <w:rPr>
          <w:rFonts w:ascii="Arial" w:hAnsi="Arial" w:cs="Arial"/>
          <w:sz w:val="22"/>
          <w:szCs w:val="22"/>
        </w:rPr>
        <w:t xml:space="preserve"> the overall aim: </w:t>
      </w:r>
    </w:p>
    <w:p w14:paraId="05A01BFA" w14:textId="156AD5B6" w:rsidR="08B903B1" w:rsidRPr="000145AA" w:rsidRDefault="4FB31D5A" w:rsidP="338B1E3E">
      <w:pPr>
        <w:pStyle w:val="ListParagraph"/>
        <w:numPr>
          <w:ilvl w:val="0"/>
          <w:numId w:val="1"/>
        </w:numPr>
        <w:spacing w:before="240" w:after="240" w:line="360" w:lineRule="auto"/>
        <w:rPr>
          <w:rFonts w:ascii="Arial" w:hAnsi="Arial" w:cs="Arial"/>
          <w:sz w:val="22"/>
          <w:szCs w:val="22"/>
        </w:rPr>
      </w:pPr>
      <w:r w:rsidRPr="000145AA">
        <w:rPr>
          <w:rFonts w:ascii="Arial" w:hAnsi="Arial" w:cs="Arial"/>
          <w:sz w:val="22"/>
          <w:szCs w:val="22"/>
        </w:rPr>
        <w:t>Identify current peer-reviewed evidence relating to the early diagnosis and support of children aged 1–3 years with ASD in the United Kingdom</w:t>
      </w:r>
    </w:p>
    <w:p w14:paraId="6E9CDAE4" w14:textId="17C475BD" w:rsidR="08B903B1" w:rsidRPr="000145AA" w:rsidRDefault="4FB31D5A" w:rsidP="338B1E3E">
      <w:pPr>
        <w:pStyle w:val="ListParagraph"/>
        <w:numPr>
          <w:ilvl w:val="0"/>
          <w:numId w:val="1"/>
        </w:numPr>
        <w:spacing w:before="240" w:after="240" w:line="360" w:lineRule="auto"/>
        <w:rPr>
          <w:rFonts w:ascii="Arial" w:hAnsi="Arial" w:cs="Arial"/>
          <w:sz w:val="22"/>
          <w:szCs w:val="22"/>
        </w:rPr>
      </w:pPr>
      <w:r w:rsidRPr="000145AA">
        <w:rPr>
          <w:rFonts w:ascii="Arial" w:hAnsi="Arial" w:cs="Arial"/>
          <w:sz w:val="22"/>
          <w:szCs w:val="22"/>
        </w:rPr>
        <w:t>Identify recurring themes using Aveyard's (2019) simplified thematic analysis</w:t>
      </w:r>
    </w:p>
    <w:p w14:paraId="7518FEC6" w14:textId="76930FC5" w:rsidR="08B903B1" w:rsidRPr="000145AA" w:rsidRDefault="4FB31D5A" w:rsidP="338B1E3E">
      <w:pPr>
        <w:pStyle w:val="ListParagraph"/>
        <w:numPr>
          <w:ilvl w:val="0"/>
          <w:numId w:val="1"/>
        </w:numPr>
        <w:spacing w:before="240" w:after="240" w:line="360" w:lineRule="auto"/>
        <w:rPr>
          <w:rFonts w:ascii="Arial" w:hAnsi="Arial" w:cs="Arial"/>
          <w:sz w:val="22"/>
          <w:szCs w:val="22"/>
        </w:rPr>
      </w:pPr>
      <w:r w:rsidRPr="000145AA">
        <w:rPr>
          <w:rFonts w:ascii="Arial" w:hAnsi="Arial" w:cs="Arial"/>
          <w:sz w:val="22"/>
          <w:szCs w:val="22"/>
        </w:rPr>
        <w:t>Explore challenges associated with early diagnosis and access to services</w:t>
      </w:r>
    </w:p>
    <w:p w14:paraId="41CF39AC" w14:textId="75B5EEFB" w:rsidR="08B903B1" w:rsidRPr="000145AA" w:rsidRDefault="4FB31D5A" w:rsidP="338B1E3E">
      <w:pPr>
        <w:pStyle w:val="ListParagraph"/>
        <w:numPr>
          <w:ilvl w:val="0"/>
          <w:numId w:val="1"/>
        </w:numPr>
        <w:spacing w:before="240" w:after="240" w:line="360" w:lineRule="auto"/>
        <w:rPr>
          <w:rFonts w:ascii="Arial" w:hAnsi="Arial" w:cs="Arial"/>
          <w:sz w:val="22"/>
          <w:szCs w:val="22"/>
        </w:rPr>
      </w:pPr>
      <w:r w:rsidRPr="000145AA">
        <w:rPr>
          <w:rFonts w:ascii="Arial" w:hAnsi="Arial" w:cs="Arial"/>
          <w:sz w:val="22"/>
          <w:szCs w:val="22"/>
        </w:rPr>
        <w:t>Identify gaps within the current literature to inform future research and professional practice</w:t>
      </w:r>
    </w:p>
    <w:p w14:paraId="7D329556" w14:textId="40EAD53F" w:rsidR="526CC730" w:rsidRPr="000145AA" w:rsidRDefault="6BD00016" w:rsidP="338B1E3E">
      <w:pPr>
        <w:pStyle w:val="Heading1"/>
        <w:spacing w:before="322" w:after="322" w:line="360" w:lineRule="auto"/>
        <w:rPr>
          <w:rFonts w:ascii="Arial" w:eastAsiaTheme="minorEastAsia" w:hAnsi="Arial" w:cs="Arial"/>
          <w:b/>
          <w:bCs/>
          <w:color w:val="auto"/>
          <w:sz w:val="22"/>
          <w:szCs w:val="22"/>
        </w:rPr>
      </w:pPr>
      <w:bookmarkStart w:id="2" w:name="_Toc235405112"/>
      <w:r w:rsidRPr="000145AA">
        <w:rPr>
          <w:rFonts w:ascii="Arial" w:eastAsiaTheme="minorEastAsia" w:hAnsi="Arial" w:cs="Arial"/>
          <w:b/>
          <w:bCs/>
          <w:color w:val="auto"/>
          <w:sz w:val="22"/>
          <w:szCs w:val="22"/>
        </w:rPr>
        <w:t>2. Background</w:t>
      </w:r>
      <w:bookmarkEnd w:id="2"/>
    </w:p>
    <w:p w14:paraId="5061EE22" w14:textId="1BB350AB" w:rsidR="1CA8E2C9" w:rsidRPr="000145AA" w:rsidRDefault="1CA8E2C9" w:rsidP="338B1E3E">
      <w:pPr>
        <w:spacing w:before="240" w:after="240" w:line="360" w:lineRule="auto"/>
        <w:rPr>
          <w:rFonts w:ascii="Arial" w:hAnsi="Arial" w:cs="Arial"/>
          <w:sz w:val="22"/>
          <w:szCs w:val="22"/>
        </w:rPr>
      </w:pPr>
      <w:r w:rsidRPr="000145AA">
        <w:rPr>
          <w:rFonts w:ascii="Arial" w:hAnsi="Arial" w:cs="Arial"/>
          <w:sz w:val="22"/>
          <w:szCs w:val="22"/>
        </w:rPr>
        <w:t>The decision to focus on children aged 1–3 years is supported by evidence highlighting the importance of early brain development. During the first three years of life, the brain undergoes rapid growth and demonstrates a high degree of neuroplasticity, enabling children to acquire language, social communication and emotional regulation skills more readily than in later childhood (Harstad et al., 2023). This period is therefore recognised as a critical stage for early intervention. Research consistently shows that children who receive autism-specific support during these early years achieve better long-term outcomes in communication, adaptive functioning and social development than those whose intervention begins later (Hyman et al., 2020).</w:t>
      </w:r>
    </w:p>
    <w:p w14:paraId="0885211D" w14:textId="1834771B" w:rsidR="0A41D3C2" w:rsidRPr="000145AA" w:rsidRDefault="0A41D3C2" w:rsidP="338B1E3E">
      <w:pPr>
        <w:spacing w:before="240" w:after="240" w:line="360" w:lineRule="auto"/>
        <w:rPr>
          <w:rFonts w:ascii="Arial" w:hAnsi="Arial" w:cs="Arial"/>
          <w:sz w:val="22"/>
          <w:szCs w:val="22"/>
        </w:rPr>
      </w:pPr>
      <w:r w:rsidRPr="000145AA">
        <w:rPr>
          <w:rFonts w:ascii="Arial" w:hAnsi="Arial" w:cs="Arial"/>
          <w:sz w:val="22"/>
          <w:szCs w:val="22"/>
        </w:rPr>
        <w:t>These findings suggest that the timing of intervention is a key factor influencing developmental outcomes. Delays in recognising autism or accessing support during this period may reduce opportunities to strengthen emerging developmental skills, potentially affecting progress throughout childhood (Hyman et al., 2020). Examining how effectively UK services identify and support autistic children during this critical stage is therefore an important aspect of understanding the effectiveness of current diagnostic pathways and ensuring timely access to assessment and intervention (NHS England, 2023).</w:t>
      </w:r>
    </w:p>
    <w:p w14:paraId="64CA370E" w14:textId="50FA958B" w:rsidR="75317FA1" w:rsidRPr="000145AA" w:rsidRDefault="75317FA1" w:rsidP="338B1E3E">
      <w:pPr>
        <w:spacing w:before="240" w:after="240" w:line="360" w:lineRule="auto"/>
        <w:rPr>
          <w:rFonts w:ascii="Arial" w:hAnsi="Arial" w:cs="Arial"/>
          <w:sz w:val="22"/>
          <w:szCs w:val="22"/>
        </w:rPr>
      </w:pPr>
      <w:r w:rsidRPr="000145AA">
        <w:rPr>
          <w:rFonts w:ascii="Arial" w:hAnsi="Arial" w:cs="Arial"/>
          <w:sz w:val="22"/>
          <w:szCs w:val="22"/>
        </w:rPr>
        <w:t>In the UK, spotting early signs of autism relies on a decentralised network of routine developmental check-ups rather than universal screening. The first red flags</w:t>
      </w:r>
      <w:r w:rsidR="2510F7E6" w:rsidRPr="000145AA">
        <w:rPr>
          <w:rFonts w:ascii="Arial" w:hAnsi="Arial" w:cs="Arial"/>
          <w:sz w:val="22"/>
          <w:szCs w:val="22"/>
        </w:rPr>
        <w:t xml:space="preserve">, </w:t>
      </w:r>
      <w:r w:rsidRPr="000145AA">
        <w:rPr>
          <w:rFonts w:ascii="Arial" w:hAnsi="Arial" w:cs="Arial"/>
          <w:sz w:val="22"/>
          <w:szCs w:val="22"/>
        </w:rPr>
        <w:t xml:space="preserve">such as a loss of eye contact, delayed speech, inconsistent responses to their name, or sensory </w:t>
      </w:r>
      <w:proofErr w:type="spellStart"/>
      <w:r w:rsidRPr="000145AA">
        <w:rPr>
          <w:rFonts w:ascii="Arial" w:hAnsi="Arial" w:cs="Arial"/>
          <w:sz w:val="22"/>
          <w:szCs w:val="22"/>
        </w:rPr>
        <w:t>sensitivities</w:t>
      </w:r>
      <w:r w:rsidR="72A2FA44" w:rsidRPr="000145AA">
        <w:rPr>
          <w:rFonts w:ascii="Arial" w:hAnsi="Arial" w:cs="Arial"/>
          <w:sz w:val="22"/>
          <w:szCs w:val="22"/>
        </w:rPr>
        <w:t>,</w:t>
      </w:r>
      <w:r w:rsidRPr="000145AA">
        <w:rPr>
          <w:rFonts w:ascii="Arial" w:hAnsi="Arial" w:cs="Arial"/>
          <w:sz w:val="22"/>
          <w:szCs w:val="22"/>
        </w:rPr>
        <w:t>are</w:t>
      </w:r>
      <w:proofErr w:type="spellEnd"/>
      <w:r w:rsidRPr="000145AA">
        <w:rPr>
          <w:rFonts w:ascii="Arial" w:hAnsi="Arial" w:cs="Arial"/>
          <w:sz w:val="22"/>
          <w:szCs w:val="22"/>
        </w:rPr>
        <w:t xml:space="preserve"> usually noticed by parents, health visitors, or nursery staff during routine reviews (</w:t>
      </w:r>
      <w:proofErr w:type="spellStart"/>
      <w:r w:rsidRPr="000145AA">
        <w:rPr>
          <w:rFonts w:ascii="Arial" w:hAnsi="Arial" w:cs="Arial"/>
          <w:sz w:val="22"/>
          <w:szCs w:val="22"/>
        </w:rPr>
        <w:t>Zwaigenbaum</w:t>
      </w:r>
      <w:proofErr w:type="spellEnd"/>
      <w:r w:rsidRPr="000145AA">
        <w:rPr>
          <w:rFonts w:ascii="Arial" w:hAnsi="Arial" w:cs="Arial"/>
          <w:sz w:val="22"/>
          <w:szCs w:val="22"/>
        </w:rPr>
        <w:t xml:space="preserve"> et al., 2019). While these frontline observers are the gatekeepers to specialist care, their task is </w:t>
      </w:r>
      <w:r w:rsidRPr="000145AA">
        <w:rPr>
          <w:rFonts w:ascii="Arial" w:hAnsi="Arial" w:cs="Arial"/>
          <w:sz w:val="22"/>
          <w:szCs w:val="22"/>
        </w:rPr>
        <w:lastRenderedPageBreak/>
        <w:t>difficult because autism looks very different from one toddler to the next (Royal College of Psychiatrists, 2020).</w:t>
      </w:r>
    </w:p>
    <w:p w14:paraId="02254A14" w14:textId="69616635" w:rsidR="7E9946AC" w:rsidRPr="000145AA" w:rsidRDefault="7E9946AC" w:rsidP="338B1E3E">
      <w:pPr>
        <w:spacing w:before="240" w:after="240" w:line="360" w:lineRule="auto"/>
        <w:rPr>
          <w:rFonts w:ascii="Arial" w:hAnsi="Arial" w:cs="Arial"/>
          <w:sz w:val="22"/>
          <w:szCs w:val="22"/>
        </w:rPr>
      </w:pPr>
      <w:r w:rsidRPr="000145AA">
        <w:rPr>
          <w:rFonts w:ascii="Arial" w:hAnsi="Arial" w:cs="Arial"/>
          <w:sz w:val="22"/>
          <w:szCs w:val="22"/>
        </w:rPr>
        <w:t>Signs in children aged one to three years can be subtle or fluctuate, making them easy to mistake for typical toddler behaviour or general developmental delays (Lord et al., 2020). Without specific training in recognising the early behavioural characteristics of Autism Spectrum Disorder (ASD), frontline professionals may overlook or misinterpret these presentations, delaying referral for specialist assessment (NICE, 2021). This creates a systemic bottleneck, whereby a child's opportunity to enter the diagnostic pathway may depend on the awareness and experience of those involved in their care rather than objective clinical measures.</w:t>
      </w:r>
    </w:p>
    <w:p w14:paraId="27F3B660" w14:textId="0D36A749" w:rsidR="75317FA1" w:rsidRPr="000145AA" w:rsidRDefault="75317FA1" w:rsidP="338B1E3E">
      <w:pPr>
        <w:spacing w:before="240" w:after="240" w:line="360" w:lineRule="auto"/>
        <w:rPr>
          <w:rFonts w:ascii="Arial" w:hAnsi="Arial" w:cs="Arial"/>
          <w:sz w:val="22"/>
          <w:szCs w:val="22"/>
        </w:rPr>
      </w:pPr>
      <w:r w:rsidRPr="000145AA">
        <w:rPr>
          <w:rFonts w:ascii="Arial" w:hAnsi="Arial" w:cs="Arial"/>
          <w:sz w:val="22"/>
          <w:szCs w:val="22"/>
        </w:rPr>
        <w:t>To evaluate these early signs, the National Institute for Health and Care Excellence (NICE, 2021) requires a thorough assessment by a multidisciplinary team, including paediatricians, child psychologists, and speech and language therapists. However, a major issue lies in how "gold-standard" diagnostic tools like the Autism Diagnostic Observation Schedule (ADOS) are used in practice. While the ADOS provides useful, measurable data on communication and play, it only captures a brief, highly structured snapshot of a child's behaviour in an artificial clinic room (</w:t>
      </w:r>
      <w:proofErr w:type="spellStart"/>
      <w:r w:rsidRPr="000145AA">
        <w:rPr>
          <w:rFonts w:ascii="Arial" w:hAnsi="Arial" w:cs="Arial"/>
          <w:sz w:val="22"/>
          <w:szCs w:val="22"/>
        </w:rPr>
        <w:t>Barbaresi</w:t>
      </w:r>
      <w:proofErr w:type="spellEnd"/>
      <w:r w:rsidRPr="000145AA">
        <w:rPr>
          <w:rFonts w:ascii="Arial" w:hAnsi="Arial" w:cs="Arial"/>
          <w:sz w:val="22"/>
          <w:szCs w:val="22"/>
        </w:rPr>
        <w:t xml:space="preserve"> et al., 2022).</w:t>
      </w:r>
    </w:p>
    <w:p w14:paraId="19818EFD" w14:textId="6A09D326" w:rsidR="75317FA1" w:rsidRPr="000145AA" w:rsidRDefault="75317FA1" w:rsidP="338B1E3E">
      <w:pPr>
        <w:spacing w:before="240" w:after="240" w:line="360" w:lineRule="auto"/>
        <w:rPr>
          <w:rFonts w:ascii="Arial" w:hAnsi="Arial" w:cs="Arial"/>
          <w:sz w:val="22"/>
          <w:szCs w:val="22"/>
        </w:rPr>
      </w:pPr>
      <w:r w:rsidRPr="000145AA">
        <w:rPr>
          <w:rFonts w:ascii="Arial" w:hAnsi="Arial" w:cs="Arial"/>
          <w:sz w:val="22"/>
          <w:szCs w:val="22"/>
        </w:rPr>
        <w:t>Toddlers are highly sensitive to new environments and stress, which can cause them to hold back or act unusually during a short test. Because of this, a reliable diagnosis cannot rely on a test score alone; it requires practitioners to blend these scores with detailed family histories and parent interviews (Lord et al., 2020). Diagnosing a toddler is an interpretive process based on a mix of information. Exploring how UK practitioners navigate this complex guesswork is key to understanding why diagnostic outcomes remain inconsistent between different NHS trusts</w:t>
      </w:r>
      <w:r w:rsidR="71767C46" w:rsidRPr="000145AA">
        <w:rPr>
          <w:rFonts w:ascii="Arial" w:hAnsi="Arial" w:cs="Arial"/>
          <w:sz w:val="22"/>
          <w:szCs w:val="22"/>
        </w:rPr>
        <w:t xml:space="preserve"> (Lord et al., 2020)</w:t>
      </w:r>
      <w:r w:rsidRPr="000145AA">
        <w:rPr>
          <w:rFonts w:ascii="Arial" w:hAnsi="Arial" w:cs="Arial"/>
          <w:sz w:val="22"/>
          <w:szCs w:val="22"/>
        </w:rPr>
        <w:t>.</w:t>
      </w:r>
    </w:p>
    <w:p w14:paraId="79D118F2" w14:textId="200F954D" w:rsidR="75317FA1" w:rsidRPr="000145AA" w:rsidRDefault="75317FA1" w:rsidP="338B1E3E">
      <w:pPr>
        <w:spacing w:before="240" w:after="240" w:line="360" w:lineRule="auto"/>
        <w:rPr>
          <w:rFonts w:ascii="Arial" w:hAnsi="Arial" w:cs="Arial"/>
          <w:sz w:val="22"/>
          <w:szCs w:val="22"/>
        </w:rPr>
      </w:pPr>
      <w:r w:rsidRPr="000145AA">
        <w:rPr>
          <w:rFonts w:ascii="Arial" w:hAnsi="Arial" w:cs="Arial"/>
          <w:sz w:val="22"/>
          <w:szCs w:val="22"/>
        </w:rPr>
        <w:t>While UK laws and policies are designed to support this multidisciplinary approach, the reality on the ground is heavily compromised by operational constraints. Legislation, including the Autism Act 2009, explicitly calls for smooth, integrated care pathways across health, education, and social services (Department of Health and Social Care, 2021). Yet, the NHS faces a severe crisis of rising referral numbers and chronic staff shortages, leaving diagnostic teams overwhelmed and waiting lists longer than ever (NHS England, 2023).</w:t>
      </w:r>
    </w:p>
    <w:p w14:paraId="0CB1C4E4" w14:textId="0CE623A5" w:rsidR="75317FA1" w:rsidRPr="000145AA" w:rsidRDefault="75317FA1" w:rsidP="338B1E3E">
      <w:pPr>
        <w:spacing w:before="240" w:after="240" w:line="360" w:lineRule="auto"/>
        <w:rPr>
          <w:rFonts w:ascii="Arial" w:hAnsi="Arial" w:cs="Arial"/>
          <w:sz w:val="22"/>
          <w:szCs w:val="22"/>
        </w:rPr>
      </w:pPr>
      <w:r w:rsidRPr="000145AA">
        <w:rPr>
          <w:rFonts w:ascii="Arial" w:hAnsi="Arial" w:cs="Arial"/>
          <w:sz w:val="22"/>
          <w:szCs w:val="22"/>
        </w:rPr>
        <w:t>For a toddler, a 12-to-24-month wait does not just delay a diagnosis, it completely consumes the optimal window of early brain development</w:t>
      </w:r>
      <w:r w:rsidR="0C26000D" w:rsidRPr="000145AA">
        <w:rPr>
          <w:rFonts w:ascii="Arial" w:hAnsi="Arial" w:cs="Arial"/>
          <w:sz w:val="22"/>
          <w:szCs w:val="22"/>
        </w:rPr>
        <w:t xml:space="preserve"> (National Autistic Society, 2024)</w:t>
      </w:r>
      <w:r w:rsidRPr="000145AA">
        <w:rPr>
          <w:rFonts w:ascii="Arial" w:hAnsi="Arial" w:cs="Arial"/>
          <w:sz w:val="22"/>
          <w:szCs w:val="22"/>
        </w:rPr>
        <w:t xml:space="preserve">. This strain also </w:t>
      </w:r>
      <w:r w:rsidRPr="000145AA">
        <w:rPr>
          <w:rFonts w:ascii="Arial" w:hAnsi="Arial" w:cs="Arial"/>
          <w:sz w:val="22"/>
          <w:szCs w:val="22"/>
        </w:rPr>
        <w:lastRenderedPageBreak/>
        <w:t>creates deep regional inequalities, meaning a child's geographic location directly dictates their access to timely assessment and post-diagnostic support (National Autistic Society, 2024).</w:t>
      </w:r>
    </w:p>
    <w:p w14:paraId="7D14E921" w14:textId="209C417A" w:rsidR="1CA8E2C9" w:rsidRPr="000145AA" w:rsidRDefault="1CA8E2C9" w:rsidP="338B1E3E">
      <w:pPr>
        <w:spacing w:before="240" w:after="240" w:line="360" w:lineRule="auto"/>
        <w:rPr>
          <w:rFonts w:ascii="Arial" w:hAnsi="Arial" w:cs="Arial"/>
          <w:sz w:val="22"/>
          <w:szCs w:val="22"/>
        </w:rPr>
      </w:pPr>
      <w:r w:rsidRPr="000145AA">
        <w:rPr>
          <w:rFonts w:ascii="Arial" w:hAnsi="Arial" w:cs="Arial"/>
          <w:sz w:val="22"/>
          <w:szCs w:val="22"/>
        </w:rPr>
        <w:t>These issues provide a clear rationale for the present scoping review. By examining the available UK evidence, this review seeks to identify barriers to early diagnosis and support for autistic children aged 1–3 years and to explore where current policy and clinical practice diverge.</w:t>
      </w:r>
    </w:p>
    <w:p w14:paraId="3E528515" w14:textId="3853D5CA" w:rsidR="357A8179" w:rsidRPr="000145AA" w:rsidRDefault="31F021E6" w:rsidP="338B1E3E">
      <w:pPr>
        <w:pStyle w:val="Heading1"/>
        <w:spacing w:before="322" w:after="322" w:line="360" w:lineRule="auto"/>
        <w:rPr>
          <w:rFonts w:ascii="Arial" w:eastAsiaTheme="minorEastAsia" w:hAnsi="Arial" w:cs="Arial"/>
          <w:b/>
          <w:bCs/>
          <w:color w:val="auto"/>
          <w:sz w:val="22"/>
          <w:szCs w:val="22"/>
        </w:rPr>
      </w:pPr>
      <w:bookmarkStart w:id="3" w:name="_Toc235405113"/>
      <w:r w:rsidRPr="000145AA">
        <w:rPr>
          <w:rFonts w:ascii="Arial" w:eastAsiaTheme="minorEastAsia" w:hAnsi="Arial" w:cs="Arial"/>
          <w:b/>
          <w:bCs/>
          <w:color w:val="auto"/>
          <w:sz w:val="22"/>
          <w:szCs w:val="22"/>
        </w:rPr>
        <w:t>3. Methods</w:t>
      </w:r>
      <w:bookmarkEnd w:id="3"/>
    </w:p>
    <w:p w14:paraId="7FAEA010" w14:textId="3A6135A3" w:rsidR="6C21D6BF" w:rsidRPr="000145AA" w:rsidRDefault="520BCF16" w:rsidP="338B1E3E">
      <w:pPr>
        <w:spacing w:line="360" w:lineRule="auto"/>
        <w:rPr>
          <w:rFonts w:ascii="Arial" w:eastAsia="Arial" w:hAnsi="Arial" w:cs="Arial"/>
          <w:b/>
          <w:bCs/>
          <w:sz w:val="22"/>
          <w:szCs w:val="22"/>
        </w:rPr>
      </w:pPr>
      <w:r w:rsidRPr="000145AA">
        <w:rPr>
          <w:rFonts w:ascii="Arial" w:eastAsia="Arial" w:hAnsi="Arial" w:cs="Arial"/>
          <w:b/>
          <w:bCs/>
          <w:sz w:val="22"/>
          <w:szCs w:val="22"/>
        </w:rPr>
        <w:t>Data collection approach</w:t>
      </w:r>
    </w:p>
    <w:p w14:paraId="6EF16874" w14:textId="2DD68A39" w:rsidR="56A5DE7F" w:rsidRPr="000145AA" w:rsidRDefault="56A5DE7F" w:rsidP="338B1E3E">
      <w:pPr>
        <w:spacing w:before="240" w:after="240" w:line="360" w:lineRule="auto"/>
        <w:rPr>
          <w:rFonts w:ascii="Arial" w:hAnsi="Arial" w:cs="Arial"/>
          <w:sz w:val="22"/>
          <w:szCs w:val="22"/>
        </w:rPr>
      </w:pPr>
      <w:r w:rsidRPr="000145AA">
        <w:rPr>
          <w:rFonts w:ascii="Arial" w:hAnsi="Arial" w:cs="Arial"/>
          <w:sz w:val="22"/>
          <w:szCs w:val="22"/>
        </w:rPr>
        <w:t>This study employed a scoping review methodology to examine the evidence relating to the early diagnosis and support of children aged one to three years with Autism Spectrum Disorder (ASD) in the United Kingdom. Scoping reviews are used to map existing evidence, identify key concepts and highlight research gaps (Arksey and O'Malley, 2005).</w:t>
      </w:r>
    </w:p>
    <w:p w14:paraId="3B9369EA" w14:textId="7DE7C1D8" w:rsidR="56A5DE7F" w:rsidRPr="000145AA" w:rsidRDefault="56A5DE7F" w:rsidP="338B1E3E">
      <w:pPr>
        <w:spacing w:before="240" w:after="240" w:line="360" w:lineRule="auto"/>
        <w:rPr>
          <w:rFonts w:ascii="Arial" w:hAnsi="Arial" w:cs="Arial"/>
          <w:sz w:val="22"/>
          <w:szCs w:val="22"/>
        </w:rPr>
      </w:pPr>
      <w:r w:rsidRPr="000145AA">
        <w:rPr>
          <w:rFonts w:ascii="Arial" w:hAnsi="Arial" w:cs="Arial"/>
          <w:sz w:val="22"/>
          <w:szCs w:val="22"/>
        </w:rPr>
        <w:t>The review followed the five-stage framework developed by Arksey and O'Malley (2005) and refined by Levac et al. (2010): identifying the research question, identifying relevant studies, selecting eligible studies, charting the data, and collating and reporting the findings. The review was also reported in line with the Preferred Reporting Items for Systematic Reviews and Meta-Analyses Extension for Scoping Reviews (PRISMA-</w:t>
      </w:r>
      <w:proofErr w:type="spellStart"/>
      <w:r w:rsidRPr="000145AA">
        <w:rPr>
          <w:rFonts w:ascii="Arial" w:hAnsi="Arial" w:cs="Arial"/>
          <w:sz w:val="22"/>
          <w:szCs w:val="22"/>
        </w:rPr>
        <w:t>ScR</w:t>
      </w:r>
      <w:proofErr w:type="spellEnd"/>
      <w:r w:rsidRPr="000145AA">
        <w:rPr>
          <w:rFonts w:ascii="Arial" w:hAnsi="Arial" w:cs="Arial"/>
          <w:sz w:val="22"/>
          <w:szCs w:val="22"/>
        </w:rPr>
        <w:t>) to improve transparency (</w:t>
      </w:r>
      <w:proofErr w:type="spellStart"/>
      <w:r w:rsidRPr="000145AA">
        <w:rPr>
          <w:rFonts w:ascii="Arial" w:hAnsi="Arial" w:cs="Arial"/>
          <w:sz w:val="22"/>
          <w:szCs w:val="22"/>
        </w:rPr>
        <w:t>Tricco</w:t>
      </w:r>
      <w:proofErr w:type="spellEnd"/>
      <w:r w:rsidRPr="000145AA">
        <w:rPr>
          <w:rFonts w:ascii="Arial" w:hAnsi="Arial" w:cs="Arial"/>
          <w:sz w:val="22"/>
          <w:szCs w:val="22"/>
        </w:rPr>
        <w:t xml:space="preserve"> et al., 2018).</w:t>
      </w:r>
    </w:p>
    <w:p w14:paraId="17741C55" w14:textId="07465825" w:rsidR="56A5DE7F" w:rsidRPr="000145AA" w:rsidRDefault="56A5DE7F" w:rsidP="338B1E3E">
      <w:pPr>
        <w:spacing w:before="240" w:after="240" w:line="360" w:lineRule="auto"/>
        <w:rPr>
          <w:rFonts w:ascii="Arial" w:hAnsi="Arial" w:cs="Arial"/>
          <w:sz w:val="22"/>
          <w:szCs w:val="22"/>
        </w:rPr>
      </w:pPr>
      <w:r w:rsidRPr="000145AA">
        <w:rPr>
          <w:rFonts w:ascii="Arial" w:hAnsi="Arial" w:cs="Arial"/>
          <w:sz w:val="22"/>
          <w:szCs w:val="22"/>
        </w:rPr>
        <w:t>The review addressed the research question:</w:t>
      </w:r>
      <w:r w:rsidR="59AC296A" w:rsidRPr="000145AA">
        <w:rPr>
          <w:rFonts w:ascii="Arial" w:hAnsi="Arial" w:cs="Arial"/>
          <w:sz w:val="22"/>
          <w:szCs w:val="22"/>
        </w:rPr>
        <w:t xml:space="preserve"> </w:t>
      </w:r>
      <w:r w:rsidRPr="000145AA">
        <w:rPr>
          <w:rFonts w:ascii="Arial" w:hAnsi="Arial" w:cs="Arial"/>
          <w:sz w:val="22"/>
          <w:szCs w:val="22"/>
        </w:rPr>
        <w:t>What evidence exists regarding the early diagnosis and support of children aged one to three years with Autism Spectrum Disorder (ASD) in the United Kingdom?</w:t>
      </w:r>
    </w:p>
    <w:p w14:paraId="1DEE3795" w14:textId="2F420606" w:rsidR="77F4E844" w:rsidRPr="000145AA" w:rsidRDefault="6A1F04F6" w:rsidP="338B1E3E">
      <w:pPr>
        <w:spacing w:before="240" w:after="240" w:line="360" w:lineRule="auto"/>
        <w:rPr>
          <w:rFonts w:ascii="Arial" w:hAnsi="Arial" w:cs="Arial"/>
          <w:sz w:val="22"/>
          <w:szCs w:val="22"/>
        </w:rPr>
      </w:pPr>
      <w:r w:rsidRPr="000145AA">
        <w:rPr>
          <w:rFonts w:ascii="Arial" w:eastAsia="Arial" w:hAnsi="Arial" w:cs="Arial"/>
          <w:b/>
          <w:bCs/>
          <w:sz w:val="22"/>
          <w:szCs w:val="22"/>
        </w:rPr>
        <w:t>Search strategy</w:t>
      </w:r>
    </w:p>
    <w:p w14:paraId="54078942" w14:textId="39DF60D3" w:rsidR="553B243B" w:rsidRPr="000145AA" w:rsidRDefault="553B243B" w:rsidP="338B1E3E">
      <w:pPr>
        <w:spacing w:before="240" w:after="240" w:line="360" w:lineRule="auto"/>
        <w:rPr>
          <w:rFonts w:ascii="Arial" w:eastAsia="Arial" w:hAnsi="Arial" w:cs="Arial"/>
          <w:sz w:val="22"/>
          <w:szCs w:val="22"/>
        </w:rPr>
      </w:pPr>
      <w:r w:rsidRPr="000145AA">
        <w:rPr>
          <w:rFonts w:ascii="Arial" w:eastAsia="Arial" w:hAnsi="Arial" w:cs="Arial"/>
          <w:sz w:val="22"/>
          <w:szCs w:val="22"/>
        </w:rPr>
        <w:t>A literature search was conducted using PubMed, PsycINFO, Scopus, Google Scholar and the University of Wales Trinity Saint David (UWTSD) Library Search to identify peer-reviewed studies published between 2016 and 2026.</w:t>
      </w:r>
    </w:p>
    <w:p w14:paraId="5CF16A59" w14:textId="3D06D7A6" w:rsidR="553B243B" w:rsidRPr="000145AA" w:rsidRDefault="553B243B" w:rsidP="338B1E3E">
      <w:pPr>
        <w:spacing w:before="240" w:after="240" w:line="360" w:lineRule="auto"/>
        <w:rPr>
          <w:rFonts w:ascii="Arial" w:eastAsia="Arial" w:hAnsi="Arial" w:cs="Arial"/>
          <w:sz w:val="22"/>
          <w:szCs w:val="22"/>
        </w:rPr>
      </w:pPr>
      <w:r w:rsidRPr="000145AA">
        <w:rPr>
          <w:rFonts w:ascii="Arial" w:eastAsia="Arial" w:hAnsi="Arial" w:cs="Arial"/>
          <w:sz w:val="22"/>
          <w:szCs w:val="22"/>
        </w:rPr>
        <w:t xml:space="preserve"> Keywords included </w:t>
      </w:r>
      <w:r w:rsidRPr="000145AA">
        <w:rPr>
          <w:rFonts w:ascii="Arial" w:eastAsia="Arial" w:hAnsi="Arial" w:cs="Arial"/>
          <w:i/>
          <w:iCs/>
          <w:sz w:val="22"/>
          <w:szCs w:val="22"/>
        </w:rPr>
        <w:t>Autism Spectrum Disorder</w:t>
      </w:r>
      <w:r w:rsidRPr="000145AA">
        <w:rPr>
          <w:rFonts w:ascii="Arial" w:eastAsia="Arial" w:hAnsi="Arial" w:cs="Arial"/>
          <w:sz w:val="22"/>
          <w:szCs w:val="22"/>
        </w:rPr>
        <w:t xml:space="preserve">, </w:t>
      </w:r>
      <w:r w:rsidRPr="000145AA">
        <w:rPr>
          <w:rFonts w:ascii="Arial" w:eastAsia="Arial" w:hAnsi="Arial" w:cs="Arial"/>
          <w:i/>
          <w:iCs/>
          <w:sz w:val="22"/>
          <w:szCs w:val="22"/>
        </w:rPr>
        <w:t>ASD</w:t>
      </w:r>
      <w:r w:rsidRPr="000145AA">
        <w:rPr>
          <w:rFonts w:ascii="Arial" w:eastAsia="Arial" w:hAnsi="Arial" w:cs="Arial"/>
          <w:sz w:val="22"/>
          <w:szCs w:val="22"/>
        </w:rPr>
        <w:t xml:space="preserve">, </w:t>
      </w:r>
      <w:r w:rsidRPr="000145AA">
        <w:rPr>
          <w:rFonts w:ascii="Arial" w:eastAsia="Arial" w:hAnsi="Arial" w:cs="Arial"/>
          <w:i/>
          <w:iCs/>
          <w:sz w:val="22"/>
          <w:szCs w:val="22"/>
        </w:rPr>
        <w:t>early diagnosis</w:t>
      </w:r>
      <w:r w:rsidRPr="000145AA">
        <w:rPr>
          <w:rFonts w:ascii="Arial" w:eastAsia="Arial" w:hAnsi="Arial" w:cs="Arial"/>
          <w:sz w:val="22"/>
          <w:szCs w:val="22"/>
        </w:rPr>
        <w:t xml:space="preserve">, </w:t>
      </w:r>
      <w:r w:rsidRPr="000145AA">
        <w:rPr>
          <w:rFonts w:ascii="Arial" w:eastAsia="Arial" w:hAnsi="Arial" w:cs="Arial"/>
          <w:i/>
          <w:iCs/>
          <w:sz w:val="22"/>
          <w:szCs w:val="22"/>
        </w:rPr>
        <w:t>screening</w:t>
      </w:r>
      <w:r w:rsidRPr="000145AA">
        <w:rPr>
          <w:rFonts w:ascii="Arial" w:eastAsia="Arial" w:hAnsi="Arial" w:cs="Arial"/>
          <w:sz w:val="22"/>
          <w:szCs w:val="22"/>
        </w:rPr>
        <w:t xml:space="preserve">, </w:t>
      </w:r>
      <w:r w:rsidRPr="000145AA">
        <w:rPr>
          <w:rFonts w:ascii="Arial" w:eastAsia="Arial" w:hAnsi="Arial" w:cs="Arial"/>
          <w:i/>
          <w:iCs/>
          <w:sz w:val="22"/>
          <w:szCs w:val="22"/>
        </w:rPr>
        <w:t>assessment</w:t>
      </w:r>
      <w:r w:rsidRPr="000145AA">
        <w:rPr>
          <w:rFonts w:ascii="Arial" w:eastAsia="Arial" w:hAnsi="Arial" w:cs="Arial"/>
          <w:sz w:val="22"/>
          <w:szCs w:val="22"/>
        </w:rPr>
        <w:t xml:space="preserve">, </w:t>
      </w:r>
      <w:r w:rsidRPr="000145AA">
        <w:rPr>
          <w:rFonts w:ascii="Arial" w:eastAsia="Arial" w:hAnsi="Arial" w:cs="Arial"/>
          <w:i/>
          <w:iCs/>
          <w:sz w:val="22"/>
          <w:szCs w:val="22"/>
        </w:rPr>
        <w:t>toddlers</w:t>
      </w:r>
      <w:r w:rsidRPr="000145AA">
        <w:rPr>
          <w:rFonts w:ascii="Arial" w:eastAsia="Arial" w:hAnsi="Arial" w:cs="Arial"/>
          <w:sz w:val="22"/>
          <w:szCs w:val="22"/>
        </w:rPr>
        <w:t xml:space="preserve">, </w:t>
      </w:r>
      <w:r w:rsidRPr="000145AA">
        <w:rPr>
          <w:rFonts w:ascii="Arial" w:eastAsia="Arial" w:hAnsi="Arial" w:cs="Arial"/>
          <w:i/>
          <w:iCs/>
          <w:sz w:val="22"/>
          <w:szCs w:val="22"/>
        </w:rPr>
        <w:t>early intervention</w:t>
      </w:r>
      <w:r w:rsidRPr="000145AA">
        <w:rPr>
          <w:rFonts w:ascii="Arial" w:eastAsia="Arial" w:hAnsi="Arial" w:cs="Arial"/>
          <w:sz w:val="22"/>
          <w:szCs w:val="22"/>
        </w:rPr>
        <w:t xml:space="preserve">, </w:t>
      </w:r>
      <w:r w:rsidRPr="000145AA">
        <w:rPr>
          <w:rFonts w:ascii="Arial" w:eastAsia="Arial" w:hAnsi="Arial" w:cs="Arial"/>
          <w:i/>
          <w:iCs/>
          <w:sz w:val="22"/>
          <w:szCs w:val="22"/>
        </w:rPr>
        <w:t>support services</w:t>
      </w:r>
      <w:r w:rsidRPr="000145AA">
        <w:rPr>
          <w:rFonts w:ascii="Arial" w:eastAsia="Arial" w:hAnsi="Arial" w:cs="Arial"/>
          <w:sz w:val="22"/>
          <w:szCs w:val="22"/>
        </w:rPr>
        <w:t xml:space="preserve"> and </w:t>
      </w:r>
      <w:r w:rsidRPr="000145AA">
        <w:rPr>
          <w:rFonts w:ascii="Arial" w:eastAsia="Arial" w:hAnsi="Arial" w:cs="Arial"/>
          <w:i/>
          <w:iCs/>
          <w:sz w:val="22"/>
          <w:szCs w:val="22"/>
        </w:rPr>
        <w:t>United Kingdom</w:t>
      </w:r>
      <w:r w:rsidRPr="000145AA">
        <w:rPr>
          <w:rFonts w:ascii="Arial" w:eastAsia="Arial" w:hAnsi="Arial" w:cs="Arial"/>
          <w:sz w:val="22"/>
          <w:szCs w:val="22"/>
        </w:rPr>
        <w:t>, combined using Boolean operators (AND</w:t>
      </w:r>
      <w:r w:rsidR="47D201A9" w:rsidRPr="000145AA">
        <w:rPr>
          <w:rFonts w:ascii="Arial" w:eastAsia="Arial" w:hAnsi="Arial" w:cs="Arial"/>
          <w:sz w:val="22"/>
          <w:szCs w:val="22"/>
        </w:rPr>
        <w:t>/</w:t>
      </w:r>
      <w:r w:rsidRPr="000145AA">
        <w:rPr>
          <w:rFonts w:ascii="Arial" w:eastAsia="Arial" w:hAnsi="Arial" w:cs="Arial"/>
          <w:sz w:val="22"/>
          <w:szCs w:val="22"/>
        </w:rPr>
        <w:t>OR). Reference lists of relevant studies were also searched.</w:t>
      </w:r>
    </w:p>
    <w:p w14:paraId="52BCBA4E" w14:textId="6A8492E4" w:rsidR="357A8179" w:rsidRPr="000145AA" w:rsidRDefault="31F021E6" w:rsidP="338B1E3E">
      <w:pPr>
        <w:pStyle w:val="Heading2"/>
        <w:spacing w:before="299" w:after="299" w:line="360" w:lineRule="auto"/>
        <w:rPr>
          <w:rFonts w:ascii="Arial" w:eastAsiaTheme="minorEastAsia" w:hAnsi="Arial" w:cs="Arial"/>
          <w:b/>
          <w:bCs/>
          <w:color w:val="auto"/>
          <w:sz w:val="22"/>
          <w:szCs w:val="22"/>
        </w:rPr>
      </w:pPr>
      <w:bookmarkStart w:id="4" w:name="_Toc235405114"/>
      <w:r w:rsidRPr="000145AA">
        <w:rPr>
          <w:rFonts w:ascii="Arial" w:eastAsiaTheme="minorEastAsia" w:hAnsi="Arial" w:cs="Arial"/>
          <w:b/>
          <w:bCs/>
          <w:color w:val="auto"/>
          <w:sz w:val="22"/>
          <w:szCs w:val="22"/>
        </w:rPr>
        <w:lastRenderedPageBreak/>
        <w:t>Inclusion and exclusion criteria</w:t>
      </w:r>
      <w:bookmarkEnd w:id="4"/>
    </w:p>
    <w:p w14:paraId="1340F74D" w14:textId="28E65180" w:rsidR="357A8179" w:rsidRPr="000145AA" w:rsidRDefault="31F021E6" w:rsidP="338B1E3E">
      <w:pPr>
        <w:spacing w:before="240" w:after="240" w:line="360" w:lineRule="auto"/>
        <w:rPr>
          <w:rFonts w:ascii="Arial" w:hAnsi="Arial" w:cs="Arial"/>
          <w:sz w:val="22"/>
          <w:szCs w:val="22"/>
        </w:rPr>
      </w:pPr>
      <w:r w:rsidRPr="000145AA">
        <w:rPr>
          <w:rFonts w:ascii="Arial" w:hAnsi="Arial" w:cs="Arial"/>
          <w:sz w:val="22"/>
          <w:szCs w:val="22"/>
        </w:rPr>
        <w:t>The eligibility criteria were established before the literature search to ensure consistency throughout the review.</w:t>
      </w:r>
    </w:p>
    <w:tbl>
      <w:tblPr>
        <w:tblStyle w:val="TableGridLight"/>
        <w:tblW w:w="0" w:type="auto"/>
        <w:tblLook w:val="06A0" w:firstRow="1" w:lastRow="0" w:firstColumn="1" w:lastColumn="0" w:noHBand="1" w:noVBand="1"/>
      </w:tblPr>
      <w:tblGrid>
        <w:gridCol w:w="4550"/>
        <w:gridCol w:w="4800"/>
      </w:tblGrid>
      <w:tr w:rsidR="08B903B1" w:rsidRPr="000145AA" w14:paraId="7C5F68A3" w14:textId="77777777" w:rsidTr="338B1E3E">
        <w:trPr>
          <w:trHeight w:val="300"/>
        </w:trPr>
        <w:tc>
          <w:tcPr>
            <w:tcW w:w="4555" w:type="dxa"/>
          </w:tcPr>
          <w:p w14:paraId="485CA464" w14:textId="55A50B24" w:rsidR="08B903B1" w:rsidRPr="000145AA" w:rsidRDefault="24BE6679" w:rsidP="338B1E3E">
            <w:pPr>
              <w:spacing w:line="360" w:lineRule="auto"/>
              <w:jc w:val="center"/>
              <w:rPr>
                <w:rFonts w:ascii="Arial" w:hAnsi="Arial" w:cs="Arial"/>
                <w:b/>
                <w:bCs/>
                <w:sz w:val="22"/>
                <w:szCs w:val="22"/>
              </w:rPr>
            </w:pPr>
            <w:r w:rsidRPr="000145AA">
              <w:rPr>
                <w:rFonts w:ascii="Arial" w:hAnsi="Arial" w:cs="Arial"/>
                <w:b/>
                <w:bCs/>
                <w:sz w:val="22"/>
                <w:szCs w:val="22"/>
              </w:rPr>
              <w:t>Inclusion Criteria</w:t>
            </w:r>
          </w:p>
        </w:tc>
        <w:tc>
          <w:tcPr>
            <w:tcW w:w="4805" w:type="dxa"/>
          </w:tcPr>
          <w:p w14:paraId="196D9F8D" w14:textId="3F79553B" w:rsidR="08B903B1" w:rsidRPr="000145AA" w:rsidRDefault="24BE6679" w:rsidP="338B1E3E">
            <w:pPr>
              <w:spacing w:line="360" w:lineRule="auto"/>
              <w:jc w:val="center"/>
              <w:rPr>
                <w:rFonts w:ascii="Arial" w:hAnsi="Arial" w:cs="Arial"/>
                <w:b/>
                <w:bCs/>
                <w:sz w:val="22"/>
                <w:szCs w:val="22"/>
              </w:rPr>
            </w:pPr>
            <w:r w:rsidRPr="000145AA">
              <w:rPr>
                <w:rFonts w:ascii="Arial" w:hAnsi="Arial" w:cs="Arial"/>
                <w:b/>
                <w:bCs/>
                <w:sz w:val="22"/>
                <w:szCs w:val="22"/>
              </w:rPr>
              <w:t>Exclusion Criteria</w:t>
            </w:r>
          </w:p>
        </w:tc>
      </w:tr>
      <w:tr w:rsidR="08B903B1" w:rsidRPr="000145AA" w14:paraId="42A18020" w14:textId="77777777" w:rsidTr="338B1E3E">
        <w:trPr>
          <w:trHeight w:val="300"/>
        </w:trPr>
        <w:tc>
          <w:tcPr>
            <w:tcW w:w="4555" w:type="dxa"/>
          </w:tcPr>
          <w:p w14:paraId="1B1EC341" w14:textId="2981AB14"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Peer-reviewed journal articles</w:t>
            </w:r>
          </w:p>
        </w:tc>
        <w:tc>
          <w:tcPr>
            <w:tcW w:w="4805" w:type="dxa"/>
          </w:tcPr>
          <w:p w14:paraId="47BCB0DC" w14:textId="16FF0DFD"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Conference abstracts</w:t>
            </w:r>
          </w:p>
        </w:tc>
      </w:tr>
      <w:tr w:rsidR="08B903B1" w:rsidRPr="000145AA" w14:paraId="457C6CFF" w14:textId="77777777" w:rsidTr="338B1E3E">
        <w:trPr>
          <w:trHeight w:val="300"/>
        </w:trPr>
        <w:tc>
          <w:tcPr>
            <w:tcW w:w="4555" w:type="dxa"/>
          </w:tcPr>
          <w:p w14:paraId="033CC6AA" w14:textId="32A64121"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Published in English</w:t>
            </w:r>
          </w:p>
        </w:tc>
        <w:tc>
          <w:tcPr>
            <w:tcW w:w="4805" w:type="dxa"/>
          </w:tcPr>
          <w:p w14:paraId="496CD001" w14:textId="1305A205"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Editorials and opinion papers</w:t>
            </w:r>
          </w:p>
        </w:tc>
      </w:tr>
      <w:tr w:rsidR="08B903B1" w:rsidRPr="000145AA" w14:paraId="69B1030A" w14:textId="77777777" w:rsidTr="338B1E3E">
        <w:trPr>
          <w:trHeight w:val="300"/>
        </w:trPr>
        <w:tc>
          <w:tcPr>
            <w:tcW w:w="4555" w:type="dxa"/>
          </w:tcPr>
          <w:p w14:paraId="5A4AC3E1" w14:textId="2938952C"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Published between 2016 and 2026</w:t>
            </w:r>
          </w:p>
        </w:tc>
        <w:tc>
          <w:tcPr>
            <w:tcW w:w="4805" w:type="dxa"/>
          </w:tcPr>
          <w:p w14:paraId="71802E6F" w14:textId="52D806B1"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Studies published before 2016</w:t>
            </w:r>
          </w:p>
        </w:tc>
      </w:tr>
      <w:tr w:rsidR="08B903B1" w:rsidRPr="000145AA" w14:paraId="4EBB4EB2" w14:textId="77777777" w:rsidTr="338B1E3E">
        <w:trPr>
          <w:trHeight w:val="300"/>
        </w:trPr>
        <w:tc>
          <w:tcPr>
            <w:tcW w:w="4555" w:type="dxa"/>
          </w:tcPr>
          <w:p w14:paraId="55E9DD5D" w14:textId="25482DB3"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Research conducted within the United Kingdom or containing UK-specific findings</w:t>
            </w:r>
          </w:p>
        </w:tc>
        <w:tc>
          <w:tcPr>
            <w:tcW w:w="4805" w:type="dxa"/>
          </w:tcPr>
          <w:p w14:paraId="439F625E" w14:textId="6D9E8198"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Studies conducted exclusively outside the UK</w:t>
            </w:r>
          </w:p>
        </w:tc>
      </w:tr>
      <w:tr w:rsidR="08B903B1" w:rsidRPr="000145AA" w14:paraId="5BC7FACF" w14:textId="77777777" w:rsidTr="338B1E3E">
        <w:trPr>
          <w:trHeight w:val="300"/>
        </w:trPr>
        <w:tc>
          <w:tcPr>
            <w:tcW w:w="4555" w:type="dxa"/>
          </w:tcPr>
          <w:p w14:paraId="04225A79" w14:textId="43E98304"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Studies examining autism diagnosis or early support in children aged one to three years</w:t>
            </w:r>
          </w:p>
        </w:tc>
        <w:tc>
          <w:tcPr>
            <w:tcW w:w="4805" w:type="dxa"/>
          </w:tcPr>
          <w:p w14:paraId="7E15F6A3" w14:textId="4C91C605"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Studies focusing solely on adults or older children without relevant early childhood findings</w:t>
            </w:r>
          </w:p>
        </w:tc>
      </w:tr>
      <w:tr w:rsidR="08B903B1" w:rsidRPr="000145AA" w14:paraId="38D0A459" w14:textId="77777777" w:rsidTr="338B1E3E">
        <w:trPr>
          <w:trHeight w:val="300"/>
        </w:trPr>
        <w:tc>
          <w:tcPr>
            <w:tcW w:w="4555" w:type="dxa"/>
          </w:tcPr>
          <w:p w14:paraId="605A89D2" w14:textId="7E1BDD96"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Qualitative, quantitative or mixed-methods studies</w:t>
            </w:r>
          </w:p>
        </w:tc>
        <w:tc>
          <w:tcPr>
            <w:tcW w:w="4805" w:type="dxa"/>
          </w:tcPr>
          <w:p w14:paraId="09301359" w14:textId="3FD99CAB" w:rsidR="08B903B1" w:rsidRPr="000145AA" w:rsidRDefault="24BE6679" w:rsidP="338B1E3E">
            <w:pPr>
              <w:spacing w:line="360" w:lineRule="auto"/>
              <w:rPr>
                <w:rFonts w:ascii="Arial" w:hAnsi="Arial" w:cs="Arial"/>
                <w:sz w:val="22"/>
                <w:szCs w:val="22"/>
              </w:rPr>
            </w:pPr>
            <w:r w:rsidRPr="000145AA">
              <w:rPr>
                <w:rFonts w:ascii="Arial" w:hAnsi="Arial" w:cs="Arial"/>
                <w:sz w:val="22"/>
                <w:szCs w:val="22"/>
              </w:rPr>
              <w:t>Grey literature and unpublished dissertations</w:t>
            </w:r>
          </w:p>
        </w:tc>
      </w:tr>
    </w:tbl>
    <w:p w14:paraId="1A18494F" w14:textId="7BBAFF69" w:rsidR="357A8179" w:rsidRPr="000145AA" w:rsidRDefault="31F021E6" w:rsidP="338B1E3E">
      <w:pPr>
        <w:spacing w:before="240" w:after="240" w:line="360" w:lineRule="auto"/>
        <w:rPr>
          <w:rFonts w:ascii="Arial" w:hAnsi="Arial" w:cs="Arial"/>
          <w:sz w:val="22"/>
          <w:szCs w:val="22"/>
        </w:rPr>
      </w:pPr>
      <w:r w:rsidRPr="000145AA">
        <w:rPr>
          <w:rFonts w:ascii="Arial" w:hAnsi="Arial" w:cs="Arial"/>
          <w:sz w:val="22"/>
          <w:szCs w:val="22"/>
        </w:rPr>
        <w:t>These criteria ensured that the review remained focused on recent UK evidence relevant to current health and social care practice.</w:t>
      </w:r>
    </w:p>
    <w:p w14:paraId="544F1C3E" w14:textId="76CEB1E9" w:rsidR="508FFAEB" w:rsidRPr="000145AA" w:rsidRDefault="3727821A" w:rsidP="338B1E3E">
      <w:pPr>
        <w:spacing w:line="360" w:lineRule="auto"/>
        <w:rPr>
          <w:rFonts w:ascii="Arial" w:hAnsi="Arial" w:cs="Arial"/>
          <w:b/>
          <w:bCs/>
          <w:sz w:val="22"/>
          <w:szCs w:val="22"/>
        </w:rPr>
      </w:pPr>
      <w:r w:rsidRPr="000145AA">
        <w:rPr>
          <w:rFonts w:ascii="Arial" w:hAnsi="Arial" w:cs="Arial"/>
          <w:b/>
          <w:bCs/>
          <w:sz w:val="22"/>
          <w:szCs w:val="22"/>
        </w:rPr>
        <w:t>Data analysis approach</w:t>
      </w:r>
    </w:p>
    <w:p w14:paraId="6C4C1805" w14:textId="6BECF968" w:rsidR="781BCA0E" w:rsidRPr="000145AA" w:rsidRDefault="3EA51817" w:rsidP="338B1E3E">
      <w:pPr>
        <w:spacing w:line="360" w:lineRule="auto"/>
        <w:rPr>
          <w:rFonts w:ascii="Arial" w:hAnsi="Arial" w:cs="Arial"/>
          <w:sz w:val="22"/>
          <w:szCs w:val="22"/>
        </w:rPr>
      </w:pPr>
      <w:r w:rsidRPr="000145AA">
        <w:rPr>
          <w:rFonts w:ascii="Arial" w:hAnsi="Arial" w:cs="Arial"/>
          <w:sz w:val="22"/>
          <w:szCs w:val="22"/>
        </w:rPr>
        <w:t>Studies were screened in two stages: titles and abstracts were reviewed against the eligibility criteria, followed by full-text assessment of potentially relevant articles. Only studies meeting all inclusion criteria were included.</w:t>
      </w:r>
    </w:p>
    <w:p w14:paraId="201B98D2" w14:textId="4C01384A" w:rsidR="4FE34E4C" w:rsidRPr="000145AA" w:rsidRDefault="4FE34E4C" w:rsidP="338B1E3E">
      <w:pPr>
        <w:spacing w:line="360" w:lineRule="auto"/>
        <w:rPr>
          <w:rFonts w:ascii="Arial" w:hAnsi="Arial" w:cs="Arial"/>
          <w:sz w:val="22"/>
          <w:szCs w:val="22"/>
        </w:rPr>
      </w:pPr>
      <w:r w:rsidRPr="000145AA">
        <w:rPr>
          <w:rFonts w:ascii="Arial" w:eastAsia="Arial" w:hAnsi="Arial" w:cs="Arial"/>
          <w:sz w:val="22"/>
          <w:szCs w:val="22"/>
        </w:rPr>
        <w:t>Data were extracted using a standardised form, recording the author, year, country, study aim, design, participants, setting, key findings, and relevance to the review question.</w:t>
      </w:r>
    </w:p>
    <w:p w14:paraId="45B91347" w14:textId="596D68CF" w:rsidR="249542EB" w:rsidRPr="000145AA" w:rsidRDefault="249542EB" w:rsidP="338B1E3E">
      <w:pPr>
        <w:spacing w:line="360" w:lineRule="auto"/>
        <w:rPr>
          <w:rFonts w:ascii="Arial" w:hAnsi="Arial" w:cs="Arial"/>
          <w:sz w:val="22"/>
          <w:szCs w:val="22"/>
        </w:rPr>
      </w:pPr>
      <w:r w:rsidRPr="000145AA">
        <w:rPr>
          <w:rFonts w:ascii="Arial" w:hAnsi="Arial" w:cs="Arial"/>
          <w:sz w:val="22"/>
          <w:szCs w:val="22"/>
        </w:rPr>
        <w:t>The included studies were analysed using Aveyard's (2019) simplified thematic analysis. Following Aveyard's approach, the studies were read several times to identify recurring findings and patterns. Initial codes were generated from the extracted data before being grouped into broader themes. The themes were then reviewed and refined to ensure they accurately reflected the evidence across the included studies and addressed the review question. This process resulted in four overarching themes that formed the basis of the results and discussion.</w:t>
      </w:r>
    </w:p>
    <w:p w14:paraId="450F1941" w14:textId="5CD0E939" w:rsidR="781BCA0E" w:rsidRPr="000145AA" w:rsidRDefault="3EA51817" w:rsidP="338B1E3E">
      <w:pPr>
        <w:spacing w:line="360" w:lineRule="auto"/>
        <w:rPr>
          <w:rFonts w:ascii="Arial" w:hAnsi="Arial" w:cs="Arial"/>
          <w:b/>
          <w:bCs/>
          <w:sz w:val="22"/>
          <w:szCs w:val="22"/>
        </w:rPr>
      </w:pPr>
      <w:r w:rsidRPr="000145AA">
        <w:rPr>
          <w:rFonts w:ascii="Arial" w:hAnsi="Arial" w:cs="Arial"/>
          <w:b/>
          <w:bCs/>
          <w:sz w:val="22"/>
          <w:szCs w:val="22"/>
        </w:rPr>
        <w:t>Ethical Considerations</w:t>
      </w:r>
    </w:p>
    <w:p w14:paraId="18D525AE" w14:textId="0D1AD020" w:rsidR="7ECC17CF" w:rsidRPr="000145AA" w:rsidRDefault="7ECC17CF" w:rsidP="00E414C2">
      <w:pPr>
        <w:spacing w:line="360" w:lineRule="auto"/>
        <w:rPr>
          <w:rFonts w:ascii="Arial" w:hAnsi="Arial" w:cs="Arial"/>
          <w:sz w:val="22"/>
          <w:szCs w:val="22"/>
        </w:rPr>
      </w:pPr>
      <w:r w:rsidRPr="000145AA">
        <w:rPr>
          <w:rFonts w:ascii="Arial" w:hAnsi="Arial" w:cs="Arial"/>
          <w:sz w:val="22"/>
          <w:szCs w:val="22"/>
        </w:rPr>
        <w:lastRenderedPageBreak/>
        <w:t>As this review analysed previously published peer-reviewed literature, formal ethical approval was not required. However, ethical principles were considered throughout the review. Studies were selected using predefined inclusion and exclusion criteria to minimise selection bias, findings were reported accurately and objectively, and all sources were acknowledged using UWTSD Harvard referencing. The review also followed the principles of transparency and academic integrity when collecting, analysing and reporting the evidence (Aveyard, 2019).</w:t>
      </w:r>
    </w:p>
    <w:p w14:paraId="3378B081" w14:textId="44C17E0A" w:rsidR="00E414C2" w:rsidRPr="000145AA" w:rsidRDefault="00E414C2" w:rsidP="00E414C2">
      <w:pPr>
        <w:pStyle w:val="Heading1"/>
        <w:spacing w:line="360" w:lineRule="auto"/>
        <w:rPr>
          <w:rFonts w:asciiTheme="minorHAnsi" w:hAnsiTheme="minorHAnsi" w:cstheme="minorHAnsi"/>
          <w:b/>
          <w:bCs/>
          <w:color w:val="auto"/>
          <w:sz w:val="22"/>
          <w:szCs w:val="22"/>
        </w:rPr>
      </w:pPr>
      <w:r w:rsidRPr="000145AA">
        <w:rPr>
          <w:rFonts w:asciiTheme="minorHAnsi" w:hAnsiTheme="minorHAnsi" w:cstheme="minorHAnsi"/>
          <w:b/>
          <w:bCs/>
          <w:color w:val="auto"/>
          <w:sz w:val="22"/>
          <w:szCs w:val="22"/>
        </w:rPr>
        <w:t xml:space="preserve">4. Results </w:t>
      </w:r>
    </w:p>
    <w:p w14:paraId="7E3F7C6E" w14:textId="3E9C81FA" w:rsidR="781BCA0E" w:rsidRPr="000145AA" w:rsidRDefault="3EA51817" w:rsidP="00E414C2">
      <w:pPr>
        <w:spacing w:line="360" w:lineRule="auto"/>
        <w:rPr>
          <w:rFonts w:ascii="Arial" w:hAnsi="Arial" w:cs="Arial"/>
          <w:sz w:val="22"/>
          <w:szCs w:val="22"/>
        </w:rPr>
      </w:pPr>
      <w:r w:rsidRPr="000145AA">
        <w:rPr>
          <w:rFonts w:ascii="Arial" w:hAnsi="Arial" w:cs="Arial"/>
          <w:sz w:val="22"/>
          <w:szCs w:val="22"/>
        </w:rPr>
        <w:t xml:space="preserve">The findings </w:t>
      </w:r>
      <w:r w:rsidR="5877AF4C" w:rsidRPr="000145AA">
        <w:rPr>
          <w:rFonts w:ascii="Arial" w:hAnsi="Arial" w:cs="Arial"/>
          <w:sz w:val="22"/>
          <w:szCs w:val="22"/>
        </w:rPr>
        <w:t xml:space="preserve">for </w:t>
      </w:r>
      <w:r w:rsidR="2B941359" w:rsidRPr="000145AA">
        <w:rPr>
          <w:rFonts w:ascii="Arial" w:hAnsi="Arial" w:cs="Arial"/>
          <w:sz w:val="22"/>
          <w:szCs w:val="22"/>
        </w:rPr>
        <w:t>literature</w:t>
      </w:r>
      <w:r w:rsidR="5877AF4C" w:rsidRPr="000145AA">
        <w:rPr>
          <w:rFonts w:ascii="Arial" w:hAnsi="Arial" w:cs="Arial"/>
          <w:sz w:val="22"/>
          <w:szCs w:val="22"/>
        </w:rPr>
        <w:t xml:space="preserve"> </w:t>
      </w:r>
      <w:r w:rsidRPr="000145AA">
        <w:rPr>
          <w:rFonts w:ascii="Arial" w:hAnsi="Arial" w:cs="Arial"/>
          <w:sz w:val="22"/>
          <w:szCs w:val="22"/>
        </w:rPr>
        <w:t>were organised into four themes:</w:t>
      </w:r>
    </w:p>
    <w:p w14:paraId="00471113" w14:textId="5FCB5EFA" w:rsidR="781BCA0E" w:rsidRPr="000145AA" w:rsidRDefault="3EA51817" w:rsidP="00E414C2">
      <w:pPr>
        <w:pStyle w:val="ListParagraph"/>
        <w:numPr>
          <w:ilvl w:val="0"/>
          <w:numId w:val="2"/>
        </w:numPr>
        <w:spacing w:line="360" w:lineRule="auto"/>
        <w:rPr>
          <w:rFonts w:ascii="Arial" w:hAnsi="Arial" w:cs="Arial"/>
          <w:sz w:val="22"/>
          <w:szCs w:val="22"/>
        </w:rPr>
      </w:pPr>
      <w:r w:rsidRPr="000145AA">
        <w:rPr>
          <w:rFonts w:ascii="Arial" w:hAnsi="Arial" w:cs="Arial"/>
          <w:sz w:val="22"/>
          <w:szCs w:val="22"/>
        </w:rPr>
        <w:t xml:space="preserve">Early identification and behavioural indicators </w:t>
      </w:r>
    </w:p>
    <w:p w14:paraId="40A1A0CF" w14:textId="3E4BC275" w:rsidR="781BCA0E" w:rsidRPr="000145AA" w:rsidRDefault="3EA51817" w:rsidP="00E414C2">
      <w:pPr>
        <w:pStyle w:val="ListParagraph"/>
        <w:numPr>
          <w:ilvl w:val="0"/>
          <w:numId w:val="2"/>
        </w:numPr>
        <w:spacing w:line="360" w:lineRule="auto"/>
        <w:rPr>
          <w:rFonts w:ascii="Arial" w:hAnsi="Arial" w:cs="Arial"/>
          <w:sz w:val="22"/>
          <w:szCs w:val="22"/>
        </w:rPr>
      </w:pPr>
      <w:r w:rsidRPr="000145AA">
        <w:rPr>
          <w:rFonts w:ascii="Arial" w:hAnsi="Arial" w:cs="Arial"/>
          <w:sz w:val="22"/>
          <w:szCs w:val="22"/>
        </w:rPr>
        <w:t xml:space="preserve">Challenges within UK diagnostic pathways </w:t>
      </w:r>
    </w:p>
    <w:p w14:paraId="709228F6" w14:textId="495B7576" w:rsidR="781BCA0E" w:rsidRPr="000145AA" w:rsidRDefault="3EA51817" w:rsidP="00E414C2">
      <w:pPr>
        <w:pStyle w:val="ListParagraph"/>
        <w:numPr>
          <w:ilvl w:val="0"/>
          <w:numId w:val="2"/>
        </w:numPr>
        <w:spacing w:line="360" w:lineRule="auto"/>
        <w:rPr>
          <w:rFonts w:ascii="Arial" w:hAnsi="Arial" w:cs="Arial"/>
          <w:sz w:val="22"/>
          <w:szCs w:val="22"/>
        </w:rPr>
      </w:pPr>
      <w:r w:rsidRPr="000145AA">
        <w:rPr>
          <w:rFonts w:ascii="Arial" w:hAnsi="Arial" w:cs="Arial"/>
          <w:sz w:val="22"/>
          <w:szCs w:val="22"/>
        </w:rPr>
        <w:t xml:space="preserve">Parents’ experiences of diagnosis and support </w:t>
      </w:r>
    </w:p>
    <w:p w14:paraId="6DDE31F2" w14:textId="4A6402BE" w:rsidR="781BCA0E" w:rsidRPr="000145AA" w:rsidRDefault="3EA51817" w:rsidP="00E414C2">
      <w:pPr>
        <w:pStyle w:val="ListParagraph"/>
        <w:numPr>
          <w:ilvl w:val="0"/>
          <w:numId w:val="2"/>
        </w:numPr>
        <w:spacing w:line="360" w:lineRule="auto"/>
        <w:rPr>
          <w:rFonts w:ascii="Arial" w:hAnsi="Arial" w:cs="Arial"/>
          <w:sz w:val="22"/>
          <w:szCs w:val="22"/>
        </w:rPr>
      </w:pPr>
      <w:r w:rsidRPr="000145AA">
        <w:rPr>
          <w:rFonts w:ascii="Arial" w:hAnsi="Arial" w:cs="Arial"/>
          <w:sz w:val="22"/>
          <w:szCs w:val="22"/>
        </w:rPr>
        <w:t>Improving early intervention and healthcare services</w:t>
      </w:r>
    </w:p>
    <w:p w14:paraId="3E0D4DEB" w14:textId="6AA51DCC" w:rsidR="45C9132D" w:rsidRPr="000145AA" w:rsidRDefault="02E0557E" w:rsidP="00E414C2">
      <w:pPr>
        <w:rPr>
          <w:sz w:val="22"/>
          <w:szCs w:val="22"/>
        </w:rPr>
      </w:pPr>
      <w:bookmarkStart w:id="5" w:name="_Toc235405115"/>
      <w:r w:rsidRPr="000145AA">
        <w:rPr>
          <w:sz w:val="22"/>
          <w:szCs w:val="22"/>
        </w:rPr>
        <w:t>Results Summary Table</w:t>
      </w:r>
      <w:bookmarkEnd w:id="5"/>
    </w:p>
    <w:tbl>
      <w:tblPr>
        <w:tblStyle w:val="TableGridLight"/>
        <w:tblW w:w="0" w:type="auto"/>
        <w:tblLook w:val="06A0" w:firstRow="1" w:lastRow="0" w:firstColumn="1" w:lastColumn="0" w:noHBand="1" w:noVBand="1"/>
      </w:tblPr>
      <w:tblGrid>
        <w:gridCol w:w="1598"/>
        <w:gridCol w:w="1292"/>
        <w:gridCol w:w="1574"/>
        <w:gridCol w:w="1403"/>
        <w:gridCol w:w="1601"/>
        <w:gridCol w:w="1882"/>
      </w:tblGrid>
      <w:tr w:rsidR="338B1E3E" w:rsidRPr="000145AA" w14:paraId="19F0C691" w14:textId="77777777" w:rsidTr="338B1E3E">
        <w:trPr>
          <w:trHeight w:val="300"/>
        </w:trPr>
        <w:tc>
          <w:tcPr>
            <w:tcW w:w="1535" w:type="dxa"/>
          </w:tcPr>
          <w:p w14:paraId="5A772079" w14:textId="3CCE47BE"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Authors</w:t>
            </w:r>
          </w:p>
        </w:tc>
        <w:tc>
          <w:tcPr>
            <w:tcW w:w="1290" w:type="dxa"/>
          </w:tcPr>
          <w:p w14:paraId="13DACF73" w14:textId="2C634605"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Type of Study</w:t>
            </w:r>
          </w:p>
        </w:tc>
        <w:tc>
          <w:tcPr>
            <w:tcW w:w="1239" w:type="dxa"/>
          </w:tcPr>
          <w:p w14:paraId="272A4B95" w14:textId="785AF389"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Research Method</w:t>
            </w:r>
          </w:p>
        </w:tc>
        <w:tc>
          <w:tcPr>
            <w:tcW w:w="1185" w:type="dxa"/>
          </w:tcPr>
          <w:p w14:paraId="3E7CB0E8" w14:textId="47868F8A"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Type of Analysis</w:t>
            </w:r>
          </w:p>
        </w:tc>
        <w:tc>
          <w:tcPr>
            <w:tcW w:w="1723" w:type="dxa"/>
          </w:tcPr>
          <w:p w14:paraId="6A26E39A" w14:textId="46E0F9E0"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Sample Size</w:t>
            </w:r>
          </w:p>
        </w:tc>
        <w:tc>
          <w:tcPr>
            <w:tcW w:w="2388" w:type="dxa"/>
          </w:tcPr>
          <w:p w14:paraId="5BB3ED01" w14:textId="72C98B5A" w:rsidR="338B1E3E" w:rsidRPr="000145AA" w:rsidRDefault="338B1E3E" w:rsidP="338B1E3E">
            <w:pPr>
              <w:spacing w:line="360" w:lineRule="auto"/>
              <w:rPr>
                <w:rFonts w:ascii="Arial" w:eastAsia="Arial" w:hAnsi="Arial" w:cs="Arial"/>
                <w:b/>
                <w:bCs/>
                <w:sz w:val="22"/>
                <w:szCs w:val="22"/>
              </w:rPr>
            </w:pPr>
            <w:r w:rsidRPr="000145AA">
              <w:rPr>
                <w:rFonts w:ascii="Arial" w:eastAsia="Arial" w:hAnsi="Arial" w:cs="Arial"/>
                <w:b/>
                <w:bCs/>
                <w:sz w:val="22"/>
                <w:szCs w:val="22"/>
              </w:rPr>
              <w:t>Main Findings</w:t>
            </w:r>
          </w:p>
        </w:tc>
      </w:tr>
      <w:tr w:rsidR="338B1E3E" w:rsidRPr="000145AA" w14:paraId="30B74823" w14:textId="77777777" w:rsidTr="338B1E3E">
        <w:trPr>
          <w:trHeight w:val="300"/>
        </w:trPr>
        <w:tc>
          <w:tcPr>
            <w:tcW w:w="1535" w:type="dxa"/>
          </w:tcPr>
          <w:p w14:paraId="35FFB4B7" w14:textId="2804CD60"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Brett et al. (2016)</w:t>
            </w:r>
          </w:p>
        </w:tc>
        <w:tc>
          <w:tcPr>
            <w:tcW w:w="1290" w:type="dxa"/>
          </w:tcPr>
          <w:p w14:paraId="4198C876" w14:textId="7655F9C1"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267F182E" w14:textId="3F13EB84"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Population cohort study</w:t>
            </w:r>
          </w:p>
        </w:tc>
        <w:tc>
          <w:tcPr>
            <w:tcW w:w="1185" w:type="dxa"/>
          </w:tcPr>
          <w:p w14:paraId="12DE190F" w14:textId="43E8D8E8"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Statistical analysis</w:t>
            </w:r>
          </w:p>
        </w:tc>
        <w:tc>
          <w:tcPr>
            <w:tcW w:w="1723" w:type="dxa"/>
          </w:tcPr>
          <w:p w14:paraId="4F165D8E" w14:textId="1799602E"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1,047 children</w:t>
            </w:r>
          </w:p>
        </w:tc>
        <w:tc>
          <w:tcPr>
            <w:tcW w:w="2388" w:type="dxa"/>
          </w:tcPr>
          <w:p w14:paraId="69A5D960" w14:textId="55FD92EC"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Language delay; developmental concerns; earlier diagnosis</w:t>
            </w:r>
          </w:p>
        </w:tc>
      </w:tr>
      <w:tr w:rsidR="338B1E3E" w:rsidRPr="000145AA" w14:paraId="4E5F19CB" w14:textId="77777777" w:rsidTr="338B1E3E">
        <w:trPr>
          <w:trHeight w:val="300"/>
        </w:trPr>
        <w:tc>
          <w:tcPr>
            <w:tcW w:w="1535" w:type="dxa"/>
          </w:tcPr>
          <w:p w14:paraId="2FEF2964" w14:textId="0E210525"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Crane et al. (2016)</w:t>
            </w:r>
          </w:p>
        </w:tc>
        <w:tc>
          <w:tcPr>
            <w:tcW w:w="1290" w:type="dxa"/>
          </w:tcPr>
          <w:p w14:paraId="3D89F65E" w14:textId="6768B33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091F0145" w14:textId="456DC968"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Qualitative survey</w:t>
            </w:r>
          </w:p>
        </w:tc>
        <w:tc>
          <w:tcPr>
            <w:tcW w:w="1185" w:type="dxa"/>
          </w:tcPr>
          <w:p w14:paraId="0836BBEF" w14:textId="276D956A"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Thematic analysis</w:t>
            </w:r>
          </w:p>
        </w:tc>
        <w:tc>
          <w:tcPr>
            <w:tcW w:w="1723" w:type="dxa"/>
          </w:tcPr>
          <w:p w14:paraId="45E8213A" w14:textId="32EC783D"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&gt;1,000 parents</w:t>
            </w:r>
          </w:p>
        </w:tc>
        <w:tc>
          <w:tcPr>
            <w:tcW w:w="2388" w:type="dxa"/>
          </w:tcPr>
          <w:p w14:paraId="362D1EB5" w14:textId="78F15F32"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Waiting times; poor communication; limited support</w:t>
            </w:r>
          </w:p>
        </w:tc>
      </w:tr>
      <w:tr w:rsidR="338B1E3E" w:rsidRPr="000145AA" w14:paraId="2A617F43" w14:textId="77777777" w:rsidTr="338B1E3E">
        <w:trPr>
          <w:trHeight w:val="300"/>
        </w:trPr>
        <w:tc>
          <w:tcPr>
            <w:tcW w:w="1535" w:type="dxa"/>
          </w:tcPr>
          <w:p w14:paraId="4DA41B29" w14:textId="7F877AC1"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Russell et al. (2022)</w:t>
            </w:r>
          </w:p>
        </w:tc>
        <w:tc>
          <w:tcPr>
            <w:tcW w:w="1290" w:type="dxa"/>
          </w:tcPr>
          <w:p w14:paraId="27165AC6" w14:textId="25F7F34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31905C34" w14:textId="012FCA3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Population cohort study</w:t>
            </w:r>
          </w:p>
        </w:tc>
        <w:tc>
          <w:tcPr>
            <w:tcW w:w="1185" w:type="dxa"/>
          </w:tcPr>
          <w:p w14:paraId="0E7F3505" w14:textId="085F0510"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Statistical analysis</w:t>
            </w:r>
          </w:p>
        </w:tc>
        <w:tc>
          <w:tcPr>
            <w:tcW w:w="1723" w:type="dxa"/>
          </w:tcPr>
          <w:p w14:paraId="24C9E716" w14:textId="2884110D"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UK population cohort</w:t>
            </w:r>
          </w:p>
        </w:tc>
        <w:tc>
          <w:tcPr>
            <w:tcW w:w="2388" w:type="dxa"/>
          </w:tcPr>
          <w:p w14:paraId="2E4B46B3" w14:textId="774653C9"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Increasing diagnoses; greater awareness; service demand</w:t>
            </w:r>
          </w:p>
        </w:tc>
      </w:tr>
      <w:tr w:rsidR="338B1E3E" w:rsidRPr="000145AA" w14:paraId="555B5D04" w14:textId="77777777" w:rsidTr="338B1E3E">
        <w:trPr>
          <w:trHeight w:val="300"/>
        </w:trPr>
        <w:tc>
          <w:tcPr>
            <w:tcW w:w="1535" w:type="dxa"/>
          </w:tcPr>
          <w:p w14:paraId="0CAA8813" w14:textId="41788E2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Male et al. (2023)</w:t>
            </w:r>
          </w:p>
        </w:tc>
        <w:tc>
          <w:tcPr>
            <w:tcW w:w="1290" w:type="dxa"/>
          </w:tcPr>
          <w:p w14:paraId="107B9F8C" w14:textId="3725B3A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5822386B" w14:textId="588A0197"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Observational study</w:t>
            </w:r>
          </w:p>
        </w:tc>
        <w:tc>
          <w:tcPr>
            <w:tcW w:w="1185" w:type="dxa"/>
          </w:tcPr>
          <w:p w14:paraId="3B5CEACE" w14:textId="3A7E99CD"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Descriptive analysis</w:t>
            </w:r>
          </w:p>
        </w:tc>
        <w:tc>
          <w:tcPr>
            <w:tcW w:w="1723" w:type="dxa"/>
          </w:tcPr>
          <w:p w14:paraId="3D6A9333" w14:textId="61506E9B"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NHS diagnostic pathways</w:t>
            </w:r>
          </w:p>
        </w:tc>
        <w:tc>
          <w:tcPr>
            <w:tcW w:w="2388" w:type="dxa"/>
          </w:tcPr>
          <w:p w14:paraId="5C2EB0D8" w14:textId="3983AF45"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 xml:space="preserve">Diagnostic variation; waiting </w:t>
            </w:r>
            <w:r w:rsidRPr="000145AA">
              <w:rPr>
                <w:rFonts w:ascii="Arial" w:eastAsia="Arial" w:hAnsi="Arial" w:cs="Arial"/>
                <w:sz w:val="22"/>
                <w:szCs w:val="22"/>
              </w:rPr>
              <w:lastRenderedPageBreak/>
              <w:t>times; service costs</w:t>
            </w:r>
          </w:p>
        </w:tc>
      </w:tr>
      <w:tr w:rsidR="338B1E3E" w:rsidRPr="000145AA" w14:paraId="0C79E56A" w14:textId="77777777" w:rsidTr="338B1E3E">
        <w:trPr>
          <w:trHeight w:val="300"/>
        </w:trPr>
        <w:tc>
          <w:tcPr>
            <w:tcW w:w="1535" w:type="dxa"/>
          </w:tcPr>
          <w:p w14:paraId="4B416B00" w14:textId="1C5E445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lastRenderedPageBreak/>
              <w:t>Parr et al. (2024)</w:t>
            </w:r>
          </w:p>
        </w:tc>
        <w:tc>
          <w:tcPr>
            <w:tcW w:w="1290" w:type="dxa"/>
          </w:tcPr>
          <w:p w14:paraId="07594665" w14:textId="5A1BCAFA"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5A481A16" w14:textId="4E0F5477"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National survey</w:t>
            </w:r>
          </w:p>
        </w:tc>
        <w:tc>
          <w:tcPr>
            <w:tcW w:w="1185" w:type="dxa"/>
          </w:tcPr>
          <w:p w14:paraId="121FA940" w14:textId="62352175"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Descriptive analysis</w:t>
            </w:r>
          </w:p>
        </w:tc>
        <w:tc>
          <w:tcPr>
            <w:tcW w:w="1723" w:type="dxa"/>
          </w:tcPr>
          <w:p w14:paraId="06F792E1" w14:textId="13E4886A"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UK assessment services</w:t>
            </w:r>
          </w:p>
        </w:tc>
        <w:tc>
          <w:tcPr>
            <w:tcW w:w="2388" w:type="dxa"/>
          </w:tcPr>
          <w:p w14:paraId="5712147F" w14:textId="7532E1B3"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Workforce shortages; regional variation; service pressures</w:t>
            </w:r>
          </w:p>
        </w:tc>
      </w:tr>
      <w:tr w:rsidR="338B1E3E" w:rsidRPr="000145AA" w14:paraId="4D1E22CF" w14:textId="77777777" w:rsidTr="338B1E3E">
        <w:trPr>
          <w:trHeight w:val="300"/>
        </w:trPr>
        <w:tc>
          <w:tcPr>
            <w:tcW w:w="1535" w:type="dxa"/>
          </w:tcPr>
          <w:p w14:paraId="62F33904" w14:textId="50DF6336"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Legg and Tickle (2019)</w:t>
            </w:r>
          </w:p>
        </w:tc>
        <w:tc>
          <w:tcPr>
            <w:tcW w:w="1290" w:type="dxa"/>
          </w:tcPr>
          <w:p w14:paraId="6E2D30B9" w14:textId="79D20D5D"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Systematic review</w:t>
            </w:r>
          </w:p>
        </w:tc>
        <w:tc>
          <w:tcPr>
            <w:tcW w:w="1239" w:type="dxa"/>
          </w:tcPr>
          <w:p w14:paraId="1E62144C" w14:textId="36C91A07"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Qualitative secondary research</w:t>
            </w:r>
          </w:p>
        </w:tc>
        <w:tc>
          <w:tcPr>
            <w:tcW w:w="1185" w:type="dxa"/>
          </w:tcPr>
          <w:p w14:paraId="344BE1E8" w14:textId="0E2F9081"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Thematic synthesis</w:t>
            </w:r>
          </w:p>
        </w:tc>
        <w:tc>
          <w:tcPr>
            <w:tcW w:w="1723" w:type="dxa"/>
          </w:tcPr>
          <w:p w14:paraId="5D703A71" w14:textId="30CCF6FF"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UK qualitative studies</w:t>
            </w:r>
          </w:p>
        </w:tc>
        <w:tc>
          <w:tcPr>
            <w:tcW w:w="2388" w:type="dxa"/>
          </w:tcPr>
          <w:p w14:paraId="10DECD38" w14:textId="1DF1686F"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Parental relief; poor communication; post-diagnostic support</w:t>
            </w:r>
          </w:p>
        </w:tc>
      </w:tr>
      <w:tr w:rsidR="338B1E3E" w:rsidRPr="000145AA" w14:paraId="059D12B2" w14:textId="77777777" w:rsidTr="338B1E3E">
        <w:trPr>
          <w:trHeight w:val="300"/>
        </w:trPr>
        <w:tc>
          <w:tcPr>
            <w:tcW w:w="1535" w:type="dxa"/>
          </w:tcPr>
          <w:p w14:paraId="1F9EE36F" w14:textId="6CA19075"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Babalola et al. (2025)</w:t>
            </w:r>
          </w:p>
        </w:tc>
        <w:tc>
          <w:tcPr>
            <w:tcW w:w="1290" w:type="dxa"/>
          </w:tcPr>
          <w:p w14:paraId="4F3FCD94" w14:textId="6A13465C"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Systematic review</w:t>
            </w:r>
          </w:p>
        </w:tc>
        <w:tc>
          <w:tcPr>
            <w:tcW w:w="1239" w:type="dxa"/>
          </w:tcPr>
          <w:p w14:paraId="4A1BE427" w14:textId="22B7FD55"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Secondary research</w:t>
            </w:r>
          </w:p>
        </w:tc>
        <w:tc>
          <w:tcPr>
            <w:tcW w:w="1185" w:type="dxa"/>
          </w:tcPr>
          <w:p w14:paraId="0005426A" w14:textId="2D555D31"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Systematic review</w:t>
            </w:r>
          </w:p>
        </w:tc>
        <w:tc>
          <w:tcPr>
            <w:tcW w:w="1723" w:type="dxa"/>
          </w:tcPr>
          <w:p w14:paraId="08A9F04B" w14:textId="1AF90EFE"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UK healthcare studies</w:t>
            </w:r>
          </w:p>
        </w:tc>
        <w:tc>
          <w:tcPr>
            <w:tcW w:w="2388" w:type="dxa"/>
          </w:tcPr>
          <w:p w14:paraId="346C6443" w14:textId="06C8A588"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Healthcare barriers; service accessibility; inequalities</w:t>
            </w:r>
          </w:p>
        </w:tc>
      </w:tr>
      <w:tr w:rsidR="338B1E3E" w:rsidRPr="000145AA" w14:paraId="3FE678B9" w14:textId="77777777" w:rsidTr="338B1E3E">
        <w:trPr>
          <w:trHeight w:val="300"/>
        </w:trPr>
        <w:tc>
          <w:tcPr>
            <w:tcW w:w="1535" w:type="dxa"/>
          </w:tcPr>
          <w:p w14:paraId="35EB435D" w14:textId="264911C7"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Harstad et al. (2023)</w:t>
            </w:r>
          </w:p>
        </w:tc>
        <w:tc>
          <w:tcPr>
            <w:tcW w:w="1290" w:type="dxa"/>
          </w:tcPr>
          <w:p w14:paraId="1C39D38E" w14:textId="2C939386"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Primary research</w:t>
            </w:r>
          </w:p>
        </w:tc>
        <w:tc>
          <w:tcPr>
            <w:tcW w:w="1239" w:type="dxa"/>
          </w:tcPr>
          <w:p w14:paraId="0A89E228" w14:textId="2081ED17"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Longitudinal cohort study</w:t>
            </w:r>
          </w:p>
        </w:tc>
        <w:tc>
          <w:tcPr>
            <w:tcW w:w="1185" w:type="dxa"/>
          </w:tcPr>
          <w:p w14:paraId="749B00CF" w14:textId="13D9840C"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Longitudinal analysis</w:t>
            </w:r>
          </w:p>
        </w:tc>
        <w:tc>
          <w:tcPr>
            <w:tcW w:w="1723" w:type="dxa"/>
          </w:tcPr>
          <w:p w14:paraId="7EAF08B1" w14:textId="05D00D02"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Children followed into school age</w:t>
            </w:r>
          </w:p>
        </w:tc>
        <w:tc>
          <w:tcPr>
            <w:tcW w:w="2388" w:type="dxa"/>
          </w:tcPr>
          <w:p w14:paraId="2A55F27F" w14:textId="666D17E8"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Early diagnosis; continuity of care; developmental outcomes</w:t>
            </w:r>
          </w:p>
        </w:tc>
      </w:tr>
      <w:tr w:rsidR="338B1E3E" w:rsidRPr="000145AA" w14:paraId="61C0D915" w14:textId="77777777" w:rsidTr="338B1E3E">
        <w:trPr>
          <w:trHeight w:val="300"/>
        </w:trPr>
        <w:tc>
          <w:tcPr>
            <w:tcW w:w="1535" w:type="dxa"/>
          </w:tcPr>
          <w:p w14:paraId="19A158FD" w14:textId="14F000CD" w:rsidR="338B1E3E" w:rsidRPr="000145AA" w:rsidRDefault="338B1E3E" w:rsidP="338B1E3E">
            <w:pPr>
              <w:spacing w:line="360" w:lineRule="auto"/>
              <w:rPr>
                <w:rFonts w:ascii="Arial" w:eastAsia="Arial" w:hAnsi="Arial" w:cs="Arial"/>
                <w:sz w:val="22"/>
                <w:szCs w:val="22"/>
              </w:rPr>
            </w:pPr>
            <w:proofErr w:type="spellStart"/>
            <w:r w:rsidRPr="000145AA">
              <w:rPr>
                <w:rFonts w:ascii="Arial" w:eastAsia="Arial" w:hAnsi="Arial" w:cs="Arial"/>
                <w:sz w:val="22"/>
                <w:szCs w:val="22"/>
              </w:rPr>
              <w:t>Zwaigenbaum</w:t>
            </w:r>
            <w:proofErr w:type="spellEnd"/>
            <w:r w:rsidRPr="000145AA">
              <w:rPr>
                <w:rFonts w:ascii="Arial" w:eastAsia="Arial" w:hAnsi="Arial" w:cs="Arial"/>
                <w:sz w:val="22"/>
                <w:szCs w:val="22"/>
              </w:rPr>
              <w:t xml:space="preserve"> and Penner (2018)</w:t>
            </w:r>
          </w:p>
        </w:tc>
        <w:tc>
          <w:tcPr>
            <w:tcW w:w="1290" w:type="dxa"/>
          </w:tcPr>
          <w:p w14:paraId="0E1A958E" w14:textId="769BE27F"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Narrative review</w:t>
            </w:r>
          </w:p>
        </w:tc>
        <w:tc>
          <w:tcPr>
            <w:tcW w:w="1239" w:type="dxa"/>
          </w:tcPr>
          <w:p w14:paraId="7281132B" w14:textId="0B6EE30D"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Secondary research</w:t>
            </w:r>
          </w:p>
        </w:tc>
        <w:tc>
          <w:tcPr>
            <w:tcW w:w="1185" w:type="dxa"/>
          </w:tcPr>
          <w:p w14:paraId="06C6FBBD" w14:textId="10B2D3C8"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Narrative review</w:t>
            </w:r>
          </w:p>
        </w:tc>
        <w:tc>
          <w:tcPr>
            <w:tcW w:w="1723" w:type="dxa"/>
          </w:tcPr>
          <w:p w14:paraId="1926EE92" w14:textId="1FE8FDC1"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Published literature</w:t>
            </w:r>
          </w:p>
        </w:tc>
        <w:tc>
          <w:tcPr>
            <w:tcW w:w="2388" w:type="dxa"/>
          </w:tcPr>
          <w:p w14:paraId="7A739FE2" w14:textId="27EE8A42" w:rsidR="338B1E3E" w:rsidRPr="000145AA" w:rsidRDefault="338B1E3E" w:rsidP="338B1E3E">
            <w:pPr>
              <w:spacing w:line="360" w:lineRule="auto"/>
              <w:rPr>
                <w:rFonts w:ascii="Arial" w:eastAsia="Arial" w:hAnsi="Arial" w:cs="Arial"/>
                <w:sz w:val="22"/>
                <w:szCs w:val="22"/>
              </w:rPr>
            </w:pPr>
            <w:r w:rsidRPr="000145AA">
              <w:rPr>
                <w:rFonts w:ascii="Arial" w:eastAsia="Arial" w:hAnsi="Arial" w:cs="Arial"/>
                <w:sz w:val="22"/>
                <w:szCs w:val="22"/>
              </w:rPr>
              <w:t>Developmental surveillance; early recognition; referral</w:t>
            </w:r>
          </w:p>
        </w:tc>
      </w:tr>
      <w:tr w:rsidR="338B1E3E" w:rsidRPr="000145AA" w14:paraId="685D3881" w14:textId="77777777" w:rsidTr="338B1E3E">
        <w:trPr>
          <w:trHeight w:val="300"/>
        </w:trPr>
        <w:tc>
          <w:tcPr>
            <w:tcW w:w="1535" w:type="dxa"/>
          </w:tcPr>
          <w:p w14:paraId="4BFD95EE" w14:textId="65DFA7CA" w:rsidR="78CFC9B0" w:rsidRPr="000145AA" w:rsidRDefault="78CFC9B0" w:rsidP="338B1E3E">
            <w:pPr>
              <w:spacing w:line="360" w:lineRule="auto"/>
              <w:rPr>
                <w:rFonts w:ascii="Arial" w:hAnsi="Arial" w:cs="Arial"/>
                <w:sz w:val="22"/>
                <w:szCs w:val="22"/>
              </w:rPr>
            </w:pPr>
            <w:r w:rsidRPr="000145AA">
              <w:rPr>
                <w:rFonts w:ascii="Arial" w:eastAsia="Arial" w:hAnsi="Arial" w:cs="Arial"/>
                <w:sz w:val="22"/>
                <w:szCs w:val="22"/>
              </w:rPr>
              <w:t>Hurt et al. (2019)</w:t>
            </w:r>
          </w:p>
        </w:tc>
        <w:tc>
          <w:tcPr>
            <w:tcW w:w="1290" w:type="dxa"/>
          </w:tcPr>
          <w:p w14:paraId="7ADD40A4" w14:textId="263B1C63" w:rsidR="78CFC9B0" w:rsidRPr="000145AA" w:rsidRDefault="78CFC9B0" w:rsidP="338B1E3E">
            <w:pPr>
              <w:spacing w:line="360" w:lineRule="auto"/>
              <w:rPr>
                <w:rFonts w:ascii="Arial" w:hAnsi="Arial" w:cs="Arial"/>
                <w:sz w:val="22"/>
                <w:szCs w:val="22"/>
              </w:rPr>
            </w:pPr>
            <w:r w:rsidRPr="000145AA">
              <w:rPr>
                <w:rFonts w:ascii="Arial" w:eastAsia="Arial" w:hAnsi="Arial" w:cs="Arial"/>
                <w:sz w:val="22"/>
                <w:szCs w:val="22"/>
              </w:rPr>
              <w:t>Primary research</w:t>
            </w:r>
          </w:p>
        </w:tc>
        <w:tc>
          <w:tcPr>
            <w:tcW w:w="1239" w:type="dxa"/>
          </w:tcPr>
          <w:p w14:paraId="5DC6038A" w14:textId="14FD31D6" w:rsidR="78CFC9B0" w:rsidRPr="000145AA" w:rsidRDefault="78CFC9B0" w:rsidP="338B1E3E">
            <w:pPr>
              <w:spacing w:line="360" w:lineRule="auto"/>
              <w:rPr>
                <w:rFonts w:ascii="Arial" w:hAnsi="Arial" w:cs="Arial"/>
                <w:sz w:val="22"/>
                <w:szCs w:val="22"/>
              </w:rPr>
            </w:pPr>
            <w:r w:rsidRPr="000145AA">
              <w:rPr>
                <w:rFonts w:ascii="Arial" w:eastAsia="Arial" w:hAnsi="Arial" w:cs="Arial"/>
                <w:sz w:val="22"/>
                <w:szCs w:val="22"/>
              </w:rPr>
              <w:t>Mixed-methods study</w:t>
            </w:r>
          </w:p>
        </w:tc>
        <w:tc>
          <w:tcPr>
            <w:tcW w:w="1185" w:type="dxa"/>
          </w:tcPr>
          <w:p w14:paraId="4D872C96" w14:textId="64307F96" w:rsidR="78CFC9B0" w:rsidRPr="000145AA" w:rsidRDefault="78CFC9B0" w:rsidP="338B1E3E">
            <w:pPr>
              <w:spacing w:line="360" w:lineRule="auto"/>
              <w:rPr>
                <w:rFonts w:ascii="Arial" w:hAnsi="Arial" w:cs="Arial"/>
                <w:sz w:val="22"/>
                <w:szCs w:val="22"/>
              </w:rPr>
            </w:pPr>
            <w:r w:rsidRPr="000145AA">
              <w:rPr>
                <w:rFonts w:ascii="Arial" w:eastAsia="Arial" w:hAnsi="Arial" w:cs="Arial"/>
                <w:sz w:val="22"/>
                <w:szCs w:val="22"/>
              </w:rPr>
              <w:t>Process mapping and thematic analysis</w:t>
            </w:r>
          </w:p>
        </w:tc>
        <w:tc>
          <w:tcPr>
            <w:tcW w:w="1723" w:type="dxa"/>
          </w:tcPr>
          <w:p w14:paraId="0D9E7D58" w14:textId="46868572" w:rsidR="7F5FCE9F" w:rsidRPr="000145AA" w:rsidRDefault="7F5FCE9F" w:rsidP="338B1E3E">
            <w:pPr>
              <w:spacing w:line="360" w:lineRule="auto"/>
              <w:rPr>
                <w:rFonts w:ascii="Arial" w:hAnsi="Arial" w:cs="Arial"/>
                <w:sz w:val="22"/>
                <w:szCs w:val="22"/>
              </w:rPr>
            </w:pPr>
            <w:r w:rsidRPr="000145AA">
              <w:rPr>
                <w:rFonts w:ascii="Arial" w:eastAsia="Arial" w:hAnsi="Arial" w:cs="Arial"/>
                <w:sz w:val="22"/>
                <w:szCs w:val="22"/>
              </w:rPr>
              <w:t>33 participants (comprising health professionals, education staff, third-</w:t>
            </w:r>
            <w:r w:rsidRPr="000145AA">
              <w:rPr>
                <w:rFonts w:ascii="Arial" w:eastAsia="Arial" w:hAnsi="Arial" w:cs="Arial"/>
                <w:sz w:val="22"/>
                <w:szCs w:val="22"/>
              </w:rPr>
              <w:lastRenderedPageBreak/>
              <w:t>sector charities, and parents)</w:t>
            </w:r>
          </w:p>
        </w:tc>
        <w:tc>
          <w:tcPr>
            <w:tcW w:w="2388" w:type="dxa"/>
          </w:tcPr>
          <w:p w14:paraId="336E3874" w14:textId="3E182A01" w:rsidR="7FC76236" w:rsidRPr="000145AA" w:rsidRDefault="7FC76236" w:rsidP="338B1E3E">
            <w:pPr>
              <w:spacing w:line="360" w:lineRule="auto"/>
              <w:rPr>
                <w:rFonts w:ascii="Arial" w:hAnsi="Arial" w:cs="Arial"/>
                <w:sz w:val="22"/>
                <w:szCs w:val="22"/>
              </w:rPr>
            </w:pPr>
            <w:r w:rsidRPr="000145AA">
              <w:rPr>
                <w:rFonts w:ascii="Arial" w:eastAsia="Arial" w:hAnsi="Arial" w:cs="Arial"/>
                <w:sz w:val="22"/>
                <w:szCs w:val="22"/>
              </w:rPr>
              <w:lastRenderedPageBreak/>
              <w:t xml:space="preserve">Poor communication; fragmented care pathways; limited post-diagnostic support; </w:t>
            </w:r>
            <w:r w:rsidRPr="000145AA">
              <w:rPr>
                <w:rFonts w:ascii="Arial" w:eastAsia="Arial" w:hAnsi="Arial" w:cs="Arial"/>
                <w:sz w:val="22"/>
                <w:szCs w:val="22"/>
              </w:rPr>
              <w:lastRenderedPageBreak/>
              <w:t>multidisciplinary working</w:t>
            </w:r>
          </w:p>
        </w:tc>
      </w:tr>
    </w:tbl>
    <w:p w14:paraId="06025D6F" w14:textId="6D386FDB" w:rsidR="08B903B1" w:rsidRPr="000145AA" w:rsidRDefault="08B903B1" w:rsidP="338B1E3E">
      <w:pPr>
        <w:spacing w:before="240" w:after="240" w:line="360" w:lineRule="auto"/>
        <w:rPr>
          <w:rFonts w:ascii="Arial" w:hAnsi="Arial" w:cs="Arial"/>
          <w:sz w:val="22"/>
          <w:szCs w:val="22"/>
        </w:rPr>
      </w:pPr>
    </w:p>
    <w:p w14:paraId="300C8D66" w14:textId="2A6A7BC3" w:rsidR="715ABE5A" w:rsidRPr="000145AA" w:rsidRDefault="3E1C7018" w:rsidP="338B1E3E">
      <w:pPr>
        <w:pStyle w:val="Heading1"/>
        <w:spacing w:before="322" w:after="322" w:line="360" w:lineRule="auto"/>
        <w:rPr>
          <w:rFonts w:ascii="Arial" w:eastAsiaTheme="minorEastAsia" w:hAnsi="Arial" w:cs="Arial"/>
          <w:b/>
          <w:bCs/>
          <w:color w:val="auto"/>
          <w:sz w:val="22"/>
          <w:szCs w:val="22"/>
        </w:rPr>
      </w:pPr>
      <w:bookmarkStart w:id="6" w:name="_Toc235405116"/>
      <w:r w:rsidRPr="000145AA">
        <w:rPr>
          <w:rFonts w:ascii="Arial" w:eastAsiaTheme="minorEastAsia" w:hAnsi="Arial" w:cs="Arial"/>
          <w:b/>
          <w:bCs/>
          <w:color w:val="auto"/>
          <w:sz w:val="22"/>
          <w:szCs w:val="22"/>
        </w:rPr>
        <w:t>5. Discussion</w:t>
      </w:r>
      <w:bookmarkEnd w:id="6"/>
    </w:p>
    <w:p w14:paraId="5AF0E9A4" w14:textId="14B47E04"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This scoping review explored the evidence relating to the early diagnosis and support of children aged one to three years with Autism Spectrum Disorder (ASD) in the United Kingdom. Four key themes emerged: early identification and behavioural indicators, challenges within UK diagnostic pathways, parents' experiences of diagnosis and support, and improving early intervention and healthcare services. Overall, the evidence indicates that although awareness of autism has increased and national guidance has improved, delays in diagnosis and inequalities in access to services continue to affect many children and their families.</w:t>
      </w:r>
    </w:p>
    <w:p w14:paraId="5AFA8CD1" w14:textId="742FDB7F"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Theme 1:</w:t>
      </w:r>
      <w:r w:rsidR="07970F32" w:rsidRPr="000145AA">
        <w:rPr>
          <w:rFonts w:ascii="Arial" w:hAnsi="Arial" w:cs="Arial"/>
          <w:sz w:val="22"/>
          <w:szCs w:val="22"/>
        </w:rPr>
        <w:t>E</w:t>
      </w:r>
      <w:r w:rsidRPr="000145AA">
        <w:rPr>
          <w:rFonts w:ascii="Arial" w:hAnsi="Arial" w:cs="Arial"/>
          <w:sz w:val="22"/>
          <w:szCs w:val="22"/>
        </w:rPr>
        <w:t>arly identification and behavioural indicators</w:t>
      </w:r>
    </w:p>
    <w:p w14:paraId="43D52522" w14:textId="65F8E635"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 xml:space="preserve">The literature consistently identified delayed speech and language development, reduced eye contact, limited joint attention and repetitive behaviours as common early indicators of autism (Harstad et al., 2023; </w:t>
      </w:r>
      <w:proofErr w:type="spellStart"/>
      <w:r w:rsidRPr="000145AA">
        <w:rPr>
          <w:rFonts w:ascii="Arial" w:hAnsi="Arial" w:cs="Arial"/>
          <w:sz w:val="22"/>
          <w:szCs w:val="22"/>
        </w:rPr>
        <w:t>Zwaigenbaum</w:t>
      </w:r>
      <w:proofErr w:type="spellEnd"/>
      <w:r w:rsidRPr="000145AA">
        <w:rPr>
          <w:rFonts w:ascii="Arial" w:hAnsi="Arial" w:cs="Arial"/>
          <w:sz w:val="22"/>
          <w:szCs w:val="22"/>
        </w:rPr>
        <w:t xml:space="preserve"> and Penner, 2018; Lord et al., 2020). The consistency of these findings across longitudinal, narrative and clinical research strengthens the evidence that behavioural differences can often be recognised before three years of age. Similarly, Hyman et al. (2020) highlighted that recognising these indicators early enables intervention during a critical stage of neurological development, improving communication and adaptive functioning.</w:t>
      </w:r>
    </w:p>
    <w:p w14:paraId="4878FA51" w14:textId="186B2922"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 xml:space="preserve">However, although the studies agreed on the importance of early recognition, they also acknowledged that autism presents differently across children. Lord et al. (2020) argued that diagnosis should not rely on individual behavioural characteristics alone, whereas </w:t>
      </w:r>
      <w:proofErr w:type="spellStart"/>
      <w:r w:rsidRPr="000145AA">
        <w:rPr>
          <w:rFonts w:ascii="Arial" w:hAnsi="Arial" w:cs="Arial"/>
          <w:sz w:val="22"/>
          <w:szCs w:val="22"/>
        </w:rPr>
        <w:t>Zwaigenbaum</w:t>
      </w:r>
      <w:proofErr w:type="spellEnd"/>
      <w:r w:rsidRPr="000145AA">
        <w:rPr>
          <w:rFonts w:ascii="Arial" w:hAnsi="Arial" w:cs="Arial"/>
          <w:sz w:val="22"/>
          <w:szCs w:val="22"/>
        </w:rPr>
        <w:t xml:space="preserve"> and Penner (2018) emphasised the importance of continuous developmental surveillance rather than a single assessment. These complementary findings support the National Institute for Health and Care Excellence (NICE, 2021), which recommends multidisciplinary assessment based on a child's overall developmental profile. Therefore, early identification should be viewed as an ongoing process requiring professional judgement rather than the identification of isolated symptoms.</w:t>
      </w:r>
    </w:p>
    <w:p w14:paraId="2EF6CB60" w14:textId="51485FB5"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lastRenderedPageBreak/>
        <w:t>Theme 2: Challenges within UK diagnostic pathways</w:t>
      </w:r>
    </w:p>
    <w:p w14:paraId="6F97BB08" w14:textId="59E36B52"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Variation in diagnostic pathways emerged as one of the most consistent findings across the literature. Brett et al. (2016), Hurt et al. (2019), Male et al. (2023) and Parr et al. (2024) all identified differences in referral processes, waiting times and access to multidisciplinary assessment. Although these studies explored different aspects of the diagnostic pathway, they reached similar conclusions, suggesting that timely diagnosis remains dependent on local service provision rather than national guidance alone.</w:t>
      </w:r>
    </w:p>
    <w:p w14:paraId="70513F05" w14:textId="7BCBEA02"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While the studies agreed that delays remain a significant challenge, they identified different contributing factors. Male et al. (2023) associated variation with differences in local service organisation, whereas Parr et al. (2024) highlighted workforce shortages and increasing referral numbers. Hurt et al. (2019) extended these findings by demonstrating that fragmented communication between healthcare, education and social care services also contributes to delays and creates additional challenges for families navigating the diagnostic pathway. Together, these findings suggest that reducing waiting times requires improvements in service coordination as well as increased workforce capacity.</w:t>
      </w:r>
    </w:p>
    <w:p w14:paraId="6179114F" w14:textId="15FE59CD"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These findings partly contrast with NICE (2021), which recommends timely referral and multidisciplinary assessment when autism is suspected. Although the guidance provides a clear framework for practice, the evidence suggests that implementation remains inconsistent across the United Kingdom. This indicates that policy alone is insufficient without adequate resources, staffing and collaboration between services.</w:t>
      </w:r>
    </w:p>
    <w:p w14:paraId="18553281" w14:textId="24163890"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Theme 3: Parents' experiences of diagnosis and support</w:t>
      </w:r>
    </w:p>
    <w:p w14:paraId="22B7D3E5" w14:textId="2B4E9E38"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Parents were consistently identified as the first to recognise developmental differences in their children (Crane et al., 2016; Legg and Tickle, 2019; Hurt et al., 2019). Despite differences in study design, there was strong agreement that families frequently experienced delays before referral and assessment. This consistency across qualitative studies and systematic reviews strengthens the evidence that parental concerns are not always recognised or acted upon promptly.</w:t>
      </w:r>
    </w:p>
    <w:p w14:paraId="2D24618F" w14:textId="5E97F670"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 xml:space="preserve">Although many parents described receiving a diagnosis as providing reassurance and a greater understanding of their child's needs, the literature also highlighted ongoing emotional and practical challenges. Crane et al. (2016) and Legg and Tickle (2019) reported frustration caused </w:t>
      </w:r>
      <w:r w:rsidRPr="000145AA">
        <w:rPr>
          <w:rFonts w:ascii="Arial" w:hAnsi="Arial" w:cs="Arial"/>
          <w:sz w:val="22"/>
          <w:szCs w:val="22"/>
        </w:rPr>
        <w:lastRenderedPageBreak/>
        <w:t>by poor communication, lengthy waiting times and uncertainty regarding available services. Similarly, Kerr et al. (2026) and Babalola et al. (2025) found that difficulties often continued after diagnosis because of fragmented services and limited access to support. The agreement across these studies suggests that obtaining a diagnosis is only the first stage of the family's journey and that coordinated post-diagnostic support is equally important.</w:t>
      </w:r>
    </w:p>
    <w:p w14:paraId="168F90D7" w14:textId="53DD0C38"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Theme 4: Improving early intervention and healthcare services</w:t>
      </w:r>
    </w:p>
    <w:p w14:paraId="403AD2D5" w14:textId="520CD4EF"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 literature consistently highlighted the importance of multidisciplinary working and coordinated services in improving outcomes for autistic children and their families (</w:t>
      </w:r>
      <w:proofErr w:type="spellStart"/>
      <w:r w:rsidRPr="000145AA">
        <w:rPr>
          <w:rFonts w:ascii="Arial" w:hAnsi="Arial" w:cs="Arial"/>
          <w:sz w:val="22"/>
          <w:szCs w:val="22"/>
        </w:rPr>
        <w:t>Barbaresi</w:t>
      </w:r>
      <w:proofErr w:type="spellEnd"/>
      <w:r w:rsidRPr="000145AA">
        <w:rPr>
          <w:rFonts w:ascii="Arial" w:hAnsi="Arial" w:cs="Arial"/>
          <w:sz w:val="22"/>
          <w:szCs w:val="22"/>
        </w:rPr>
        <w:t xml:space="preserve"> et al., 2022; Hurt et al., 2019; Babalola et al., 2025). Across the studies there was broad agreement that collaboration between paediatricians, psychologists, speech and language therapists, health visitors and early years professionals supports more comprehensive assessment and intervention. These findings align with NHS England (2023), which promotes integrated autism assessment pathways.</w:t>
      </w:r>
    </w:p>
    <w:p w14:paraId="2E0A021E" w14:textId="3689E7AB"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However, the evidence also suggests that multidisciplinary working alone is unlikely to address current inequalities. Parr et al. (2024) demonstrated that regional differences in staffing and service capacity continue to affect access to assessment despite national recommendations. This indicates that improving outcomes requires</w:t>
      </w:r>
      <w:r w:rsidR="000145AA">
        <w:rPr>
          <w:rFonts w:ascii="Arial" w:hAnsi="Arial" w:cs="Arial"/>
          <w:sz w:val="22"/>
          <w:szCs w:val="22"/>
        </w:rPr>
        <w:t xml:space="preserve"> </w:t>
      </w:r>
      <w:r w:rsidRPr="000145AA">
        <w:rPr>
          <w:rFonts w:ascii="Arial" w:hAnsi="Arial" w:cs="Arial"/>
          <w:sz w:val="22"/>
          <w:szCs w:val="22"/>
        </w:rPr>
        <w:t xml:space="preserve">collaborative practice </w:t>
      </w:r>
      <w:r w:rsidR="00F62815">
        <w:rPr>
          <w:rFonts w:ascii="Arial" w:hAnsi="Arial" w:cs="Arial"/>
          <w:sz w:val="22"/>
          <w:szCs w:val="22"/>
        </w:rPr>
        <w:t>and</w:t>
      </w:r>
      <w:r w:rsidRPr="000145AA">
        <w:rPr>
          <w:rFonts w:ascii="Arial" w:hAnsi="Arial" w:cs="Arial"/>
          <w:sz w:val="22"/>
          <w:szCs w:val="22"/>
        </w:rPr>
        <w:t xml:space="preserve"> sustained investment in specialist services to ensure consistent implementation across the United Kingdom.</w:t>
      </w:r>
    </w:p>
    <w:p w14:paraId="1A6D9A30" w14:textId="2D603D4F" w:rsidR="6DCEAEE1" w:rsidRPr="000145AA" w:rsidRDefault="6DCEAEE1" w:rsidP="338B1E3E">
      <w:pPr>
        <w:spacing w:before="240" w:after="240" w:line="360" w:lineRule="auto"/>
        <w:rPr>
          <w:rFonts w:ascii="Arial" w:hAnsi="Arial" w:cs="Arial"/>
          <w:b/>
          <w:bCs/>
          <w:sz w:val="22"/>
          <w:szCs w:val="22"/>
        </w:rPr>
      </w:pPr>
      <w:r w:rsidRPr="000145AA">
        <w:rPr>
          <w:rFonts w:ascii="Arial" w:hAnsi="Arial" w:cs="Arial"/>
          <w:b/>
          <w:bCs/>
          <w:sz w:val="22"/>
          <w:szCs w:val="22"/>
        </w:rPr>
        <w:t>Strengths and limitations</w:t>
      </w:r>
    </w:p>
    <w:p w14:paraId="039A0386" w14:textId="686C8381"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A strength of this review is the inclusion of qualitative, quantitative and mixed-methods studies, providing a broad overview of evidence relating to early autism diagnosis and support within the United Kingdom. Using Aveyard's (2019) simplified thematic analysis also provided a structured approach to identifying recurring themes across different study designs.</w:t>
      </w:r>
    </w:p>
    <w:p w14:paraId="104C0743" w14:textId="59ED92B8"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However, several limitations should be acknowledged. The review included only English-language, peer-reviewed studies published between 2016 and 2026, meaning relevant grey literature and earlier research may have been excluded. Furthermore, many included studies examined wider paediatric populations rather than children aged one to three years specifically, reducing the direct applicability of some findings to the review question. The variation in study designs and methods also limited direct comparison between studies, making it difficult to draw firm conclusions regarding the effectiveness of specific approaches.</w:t>
      </w:r>
    </w:p>
    <w:p w14:paraId="015CF362" w14:textId="613AFE32" w:rsidR="6DCEAEE1" w:rsidRPr="000145AA" w:rsidRDefault="6DCEAEE1" w:rsidP="338B1E3E">
      <w:pPr>
        <w:spacing w:before="240" w:after="240" w:line="360" w:lineRule="auto"/>
        <w:rPr>
          <w:rFonts w:ascii="Arial" w:hAnsi="Arial" w:cs="Arial"/>
          <w:b/>
          <w:bCs/>
          <w:sz w:val="22"/>
          <w:szCs w:val="22"/>
        </w:rPr>
      </w:pPr>
      <w:r w:rsidRPr="000145AA">
        <w:rPr>
          <w:rFonts w:ascii="Arial" w:hAnsi="Arial" w:cs="Arial"/>
          <w:b/>
          <w:bCs/>
          <w:sz w:val="22"/>
          <w:szCs w:val="22"/>
        </w:rPr>
        <w:lastRenderedPageBreak/>
        <w:t>Implications for practice and future research</w:t>
      </w:r>
    </w:p>
    <w:p w14:paraId="7505DDAF" w14:textId="1D36AF43"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The findings suggest that improving early autism diagnosis requires greater consistency in referral pathways, improved multidisciplinary collaboration and clearer communication with families throughout the diagnostic process. Although national guidance is well established, its implementation remains inconsistent across regions, highlighting the need for greater investment in workforce capacity and integrated services.</w:t>
      </w:r>
    </w:p>
    <w:p w14:paraId="223E794A" w14:textId="71735403" w:rsidR="6DCEAEE1" w:rsidRPr="000145AA" w:rsidRDefault="6DCEAEE1" w:rsidP="338B1E3E">
      <w:pPr>
        <w:spacing w:before="240" w:after="240" w:line="360" w:lineRule="auto"/>
        <w:rPr>
          <w:rFonts w:ascii="Arial" w:hAnsi="Arial" w:cs="Arial"/>
          <w:sz w:val="22"/>
          <w:szCs w:val="22"/>
        </w:rPr>
      </w:pPr>
      <w:r w:rsidRPr="000145AA">
        <w:rPr>
          <w:rFonts w:ascii="Arial" w:hAnsi="Arial" w:cs="Arial"/>
          <w:sz w:val="22"/>
          <w:szCs w:val="22"/>
        </w:rPr>
        <w:t>Future UK research should focus specifically on children aged one to three years to strengthen the evidence relating to early behavioural indicators and intervention. Longitudinal studies evaluating strategies to reduce diagnostic waiting times and improve post-diagnostic support would also provide valuable evidence to inform future policy and practice</w:t>
      </w:r>
    </w:p>
    <w:p w14:paraId="2A63EC02" w14:textId="4AA3EF9C" w:rsidR="4390D3F6" w:rsidRPr="000145AA" w:rsidRDefault="61010AB0" w:rsidP="338B1E3E">
      <w:pPr>
        <w:pStyle w:val="Heading1"/>
        <w:spacing w:before="322" w:after="322" w:line="360" w:lineRule="auto"/>
        <w:rPr>
          <w:rFonts w:ascii="Arial" w:eastAsiaTheme="minorEastAsia" w:hAnsi="Arial" w:cs="Arial"/>
          <w:b/>
          <w:bCs/>
          <w:color w:val="auto"/>
          <w:sz w:val="22"/>
          <w:szCs w:val="22"/>
        </w:rPr>
      </w:pPr>
      <w:bookmarkStart w:id="7" w:name="_Toc235405117"/>
      <w:r w:rsidRPr="000145AA">
        <w:rPr>
          <w:rFonts w:ascii="Arial" w:eastAsiaTheme="minorEastAsia" w:hAnsi="Arial" w:cs="Arial"/>
          <w:b/>
          <w:bCs/>
          <w:color w:val="auto"/>
          <w:sz w:val="22"/>
          <w:szCs w:val="22"/>
        </w:rPr>
        <w:t>6. Conclusion and Recommendations</w:t>
      </w:r>
      <w:bookmarkEnd w:id="7"/>
    </w:p>
    <w:p w14:paraId="0A12D651" w14:textId="47219CF1" w:rsidR="4390D3F6" w:rsidRPr="000145AA" w:rsidRDefault="61010AB0" w:rsidP="338B1E3E">
      <w:pPr>
        <w:pStyle w:val="Heading2"/>
        <w:spacing w:before="299" w:after="299" w:line="360" w:lineRule="auto"/>
        <w:rPr>
          <w:rFonts w:ascii="Arial" w:eastAsiaTheme="minorEastAsia" w:hAnsi="Arial" w:cs="Arial"/>
          <w:b/>
          <w:bCs/>
          <w:color w:val="auto"/>
          <w:sz w:val="22"/>
          <w:szCs w:val="22"/>
        </w:rPr>
      </w:pPr>
      <w:bookmarkStart w:id="8" w:name="_Toc235405118"/>
      <w:r w:rsidRPr="000145AA">
        <w:rPr>
          <w:rFonts w:ascii="Arial" w:eastAsiaTheme="minorEastAsia" w:hAnsi="Arial" w:cs="Arial"/>
          <w:b/>
          <w:bCs/>
          <w:color w:val="auto"/>
          <w:sz w:val="22"/>
          <w:szCs w:val="22"/>
        </w:rPr>
        <w:t>Conclusion</w:t>
      </w:r>
      <w:bookmarkEnd w:id="8"/>
    </w:p>
    <w:p w14:paraId="64C44B21" w14:textId="14172F6C" w:rsidR="287C2578" w:rsidRPr="000145AA" w:rsidRDefault="287C2578" w:rsidP="338B1E3E">
      <w:pPr>
        <w:spacing w:before="240" w:after="240" w:line="360" w:lineRule="auto"/>
        <w:rPr>
          <w:rFonts w:ascii="Arial" w:hAnsi="Arial" w:cs="Arial"/>
          <w:sz w:val="22"/>
          <w:szCs w:val="22"/>
        </w:rPr>
      </w:pPr>
      <w:r w:rsidRPr="000145AA">
        <w:rPr>
          <w:rFonts w:ascii="Arial" w:eastAsia="Arial" w:hAnsi="Arial" w:cs="Arial"/>
          <w:sz w:val="22"/>
          <w:szCs w:val="22"/>
        </w:rPr>
        <w:t>This scoping review examined the evidence relating to the early diagnosis and support of children aged one to three years with Autism Spectrum Disorder (ASD) in the United Kingdom. The review identified four key themes: early identification and behavioural indicators, challenges within UK diagnostic pathways, parents' experiences of diagnosis and support, and improving early intervention and healthcare services.</w:t>
      </w:r>
    </w:p>
    <w:p w14:paraId="1CFD3D41" w14:textId="003209EC" w:rsidR="287C2578" w:rsidRPr="000145AA" w:rsidRDefault="287C2578" w:rsidP="338B1E3E">
      <w:pPr>
        <w:spacing w:before="240" w:after="240" w:line="360" w:lineRule="auto"/>
        <w:rPr>
          <w:rFonts w:ascii="Arial" w:hAnsi="Arial" w:cs="Arial"/>
          <w:sz w:val="22"/>
          <w:szCs w:val="22"/>
        </w:rPr>
      </w:pPr>
      <w:r w:rsidRPr="000145AA">
        <w:rPr>
          <w:rFonts w:ascii="Arial" w:eastAsia="Arial" w:hAnsi="Arial" w:cs="Arial"/>
          <w:sz w:val="22"/>
          <w:szCs w:val="22"/>
        </w:rPr>
        <w:t xml:space="preserve">The findings demonstrate that early identification remains essential for improving outcomes for autistic children. The literature consistently identified behavioural indicators such as delayed speech and language development, reduced eye contact and repetitive behaviours as important signs that can support earlier recognition and referral (Harstad et al., 2023; </w:t>
      </w:r>
      <w:proofErr w:type="spellStart"/>
      <w:r w:rsidRPr="000145AA">
        <w:rPr>
          <w:rFonts w:ascii="Arial" w:eastAsia="Arial" w:hAnsi="Arial" w:cs="Arial"/>
          <w:sz w:val="22"/>
          <w:szCs w:val="22"/>
        </w:rPr>
        <w:t>Zwaigenbaum</w:t>
      </w:r>
      <w:proofErr w:type="spellEnd"/>
      <w:r w:rsidRPr="000145AA">
        <w:rPr>
          <w:rFonts w:ascii="Arial" w:eastAsia="Arial" w:hAnsi="Arial" w:cs="Arial"/>
          <w:sz w:val="22"/>
          <w:szCs w:val="22"/>
        </w:rPr>
        <w:t xml:space="preserve"> and Penner, 2018; Lord et al., 2020). However, the review also found that timely diagnosis continues to be influenced by variations in referral pathways, workforce capacity and access to multidisciplinary assessment across National Health Service (NHS) services (Male et al., 2023; Parr et al., 2024; Hurt et al., 2019).</w:t>
      </w:r>
    </w:p>
    <w:p w14:paraId="7E6487C8" w14:textId="043B2BDB" w:rsidR="287C2578" w:rsidRPr="000145AA" w:rsidRDefault="287C2578" w:rsidP="338B1E3E">
      <w:pPr>
        <w:spacing w:before="240" w:after="240" w:line="360" w:lineRule="auto"/>
        <w:rPr>
          <w:rFonts w:ascii="Arial" w:hAnsi="Arial" w:cs="Arial"/>
          <w:sz w:val="22"/>
          <w:szCs w:val="22"/>
        </w:rPr>
      </w:pPr>
      <w:r w:rsidRPr="000145AA">
        <w:rPr>
          <w:rFonts w:ascii="Arial" w:eastAsia="Arial" w:hAnsi="Arial" w:cs="Arial"/>
          <w:sz w:val="22"/>
          <w:szCs w:val="22"/>
        </w:rPr>
        <w:t xml:space="preserve">The review further highlighted the central role of parents in recognising developmental concerns and navigating the diagnostic pathway. Despite improvements in awareness and national guidance, many families continue to experience lengthy waiting times, inconsistent communication and limited post-diagnostic support (Crane et al., 2016; Legg and Tickle, 2019; </w:t>
      </w:r>
      <w:r w:rsidRPr="000145AA">
        <w:rPr>
          <w:rFonts w:ascii="Arial" w:eastAsia="Arial" w:hAnsi="Arial" w:cs="Arial"/>
          <w:sz w:val="22"/>
          <w:szCs w:val="22"/>
        </w:rPr>
        <w:lastRenderedPageBreak/>
        <w:t>Kerr et al., 2026; Babalola et al., 2025). These findings suggest that achieving earlier diagnosis alone is insufficient without ensuring families have access to coordinated, family-centred services following diagnosis.</w:t>
      </w:r>
    </w:p>
    <w:p w14:paraId="2F32177B" w14:textId="342B7CF7" w:rsidR="287C2578" w:rsidRPr="000145AA" w:rsidRDefault="00A72720" w:rsidP="338B1E3E">
      <w:pPr>
        <w:spacing w:before="240" w:after="240" w:line="360" w:lineRule="auto"/>
        <w:rPr>
          <w:rFonts w:ascii="Arial" w:hAnsi="Arial" w:cs="Arial"/>
          <w:sz w:val="22"/>
          <w:szCs w:val="22"/>
        </w:rPr>
      </w:pPr>
      <w:r w:rsidRPr="000145AA">
        <w:rPr>
          <w:rFonts w:ascii="Arial" w:eastAsia="Arial" w:hAnsi="Arial" w:cs="Arial"/>
          <w:sz w:val="22"/>
          <w:szCs w:val="22"/>
        </w:rPr>
        <w:t>Largely</w:t>
      </w:r>
      <w:r w:rsidR="287C2578" w:rsidRPr="000145AA">
        <w:rPr>
          <w:rFonts w:ascii="Arial" w:eastAsia="Arial" w:hAnsi="Arial" w:cs="Arial"/>
          <w:sz w:val="22"/>
          <w:szCs w:val="22"/>
        </w:rPr>
        <w:t>, the evidence indicates that although progress has been made in improving autism assessment within the United Kingdom, inequalities in access to diagnosis and support remain (NICE, 2021; NHS England, 2023). Addressing these challenges will require consistent implementation of national guidance, improved multidisciplinary collaboration and continued investment in autism services to ensure that young children receive timely assessment and appropriate support.</w:t>
      </w:r>
    </w:p>
    <w:p w14:paraId="15F6BBF9" w14:textId="0CC6AE72" w:rsidR="4390D3F6" w:rsidRPr="000145AA" w:rsidRDefault="61010AB0" w:rsidP="338B1E3E">
      <w:pPr>
        <w:pStyle w:val="Heading2"/>
        <w:spacing w:before="299" w:after="299" w:line="360" w:lineRule="auto"/>
        <w:rPr>
          <w:rFonts w:ascii="Arial" w:eastAsiaTheme="minorEastAsia" w:hAnsi="Arial" w:cs="Arial"/>
          <w:b/>
          <w:bCs/>
          <w:color w:val="auto"/>
          <w:sz w:val="22"/>
          <w:szCs w:val="22"/>
        </w:rPr>
      </w:pPr>
      <w:bookmarkStart w:id="9" w:name="_Toc235405119"/>
      <w:r w:rsidRPr="000145AA">
        <w:rPr>
          <w:rFonts w:ascii="Arial" w:eastAsiaTheme="minorEastAsia" w:hAnsi="Arial" w:cs="Arial"/>
          <w:b/>
          <w:bCs/>
          <w:color w:val="auto"/>
          <w:sz w:val="22"/>
          <w:szCs w:val="22"/>
        </w:rPr>
        <w:t xml:space="preserve">Recommendations for </w:t>
      </w:r>
      <w:r w:rsidR="00F62815">
        <w:rPr>
          <w:rFonts w:ascii="Arial" w:eastAsiaTheme="minorEastAsia" w:hAnsi="Arial" w:cs="Arial"/>
          <w:b/>
          <w:bCs/>
          <w:color w:val="auto"/>
          <w:sz w:val="22"/>
          <w:szCs w:val="22"/>
        </w:rPr>
        <w:t>p</w:t>
      </w:r>
      <w:r w:rsidRPr="000145AA">
        <w:rPr>
          <w:rFonts w:ascii="Arial" w:eastAsiaTheme="minorEastAsia" w:hAnsi="Arial" w:cs="Arial"/>
          <w:b/>
          <w:bCs/>
          <w:color w:val="auto"/>
          <w:sz w:val="22"/>
          <w:szCs w:val="22"/>
        </w:rPr>
        <w:t>ractice</w:t>
      </w:r>
      <w:bookmarkEnd w:id="9"/>
    </w:p>
    <w:p w14:paraId="21DCE7E6" w14:textId="257DAAE0" w:rsidR="1C6003E0" w:rsidRPr="000145AA" w:rsidRDefault="1C6003E0" w:rsidP="338B1E3E">
      <w:pPr>
        <w:spacing w:line="360" w:lineRule="auto"/>
        <w:rPr>
          <w:rFonts w:ascii="Arial" w:hAnsi="Arial" w:cs="Arial"/>
          <w:sz w:val="22"/>
          <w:szCs w:val="22"/>
        </w:rPr>
      </w:pPr>
      <w:r w:rsidRPr="000145AA">
        <w:rPr>
          <w:rFonts w:ascii="Arial" w:hAnsi="Arial" w:cs="Arial"/>
          <w:sz w:val="22"/>
          <w:szCs w:val="22"/>
        </w:rPr>
        <w:t>Professional training and early detection</w:t>
      </w:r>
      <w:r w:rsidR="00F62815">
        <w:rPr>
          <w:rFonts w:ascii="Arial" w:hAnsi="Arial" w:cs="Arial"/>
          <w:sz w:val="22"/>
          <w:szCs w:val="22"/>
        </w:rPr>
        <w:t xml:space="preserve">. </w:t>
      </w:r>
      <w:r w:rsidRPr="000145AA">
        <w:rPr>
          <w:rFonts w:ascii="Arial" w:hAnsi="Arial" w:cs="Arial"/>
          <w:sz w:val="22"/>
          <w:szCs w:val="22"/>
        </w:rPr>
        <w:t>Healthcare and early-years professionals should receive regular training to recognise the early signs of autism in toddlers. Improving awareness can support earlier referrals for specialist assessment and align practice with NICE (2021) guidance.</w:t>
      </w:r>
    </w:p>
    <w:p w14:paraId="09B0485D" w14:textId="65ADE5F3" w:rsidR="1C6003E0" w:rsidRPr="000145AA" w:rsidRDefault="1C6003E0" w:rsidP="338B1E3E">
      <w:pPr>
        <w:spacing w:line="360" w:lineRule="auto"/>
        <w:rPr>
          <w:rFonts w:ascii="Arial" w:hAnsi="Arial" w:cs="Arial"/>
          <w:sz w:val="22"/>
          <w:szCs w:val="22"/>
        </w:rPr>
      </w:pPr>
      <w:r w:rsidRPr="000145AA">
        <w:rPr>
          <w:rFonts w:ascii="Arial" w:hAnsi="Arial" w:cs="Arial"/>
          <w:sz w:val="22"/>
          <w:szCs w:val="22"/>
        </w:rPr>
        <w:t>Standardised pathways and equal access</w:t>
      </w:r>
      <w:r w:rsidR="00F62815">
        <w:rPr>
          <w:rFonts w:ascii="Arial" w:hAnsi="Arial" w:cs="Arial"/>
          <w:sz w:val="22"/>
          <w:szCs w:val="22"/>
        </w:rPr>
        <w:t xml:space="preserve">. </w:t>
      </w:r>
      <w:r w:rsidRPr="000145AA">
        <w:rPr>
          <w:rFonts w:ascii="Arial" w:hAnsi="Arial" w:cs="Arial"/>
          <w:sz w:val="22"/>
          <w:szCs w:val="22"/>
        </w:rPr>
        <w:t>The NHS should reduce regional differences in diagnostic pathways by improving workforce capacity and ensuring equitable access to timely multidisciplinary assessments, regardless of location (Parr et al., 2024; NHS England, 2023).</w:t>
      </w:r>
    </w:p>
    <w:p w14:paraId="4E09D328" w14:textId="63DE9590" w:rsidR="1C6003E0" w:rsidRPr="000145AA" w:rsidRDefault="1C6003E0" w:rsidP="338B1E3E">
      <w:pPr>
        <w:spacing w:line="360" w:lineRule="auto"/>
        <w:rPr>
          <w:rFonts w:ascii="Arial" w:hAnsi="Arial" w:cs="Arial"/>
          <w:sz w:val="22"/>
          <w:szCs w:val="22"/>
        </w:rPr>
      </w:pPr>
      <w:r w:rsidRPr="000145AA">
        <w:rPr>
          <w:rFonts w:ascii="Arial" w:hAnsi="Arial" w:cs="Arial"/>
          <w:sz w:val="22"/>
          <w:szCs w:val="22"/>
        </w:rPr>
        <w:t>Clear communication with families</w:t>
      </w:r>
      <w:r w:rsidR="00F62815">
        <w:rPr>
          <w:rFonts w:ascii="Arial" w:hAnsi="Arial" w:cs="Arial"/>
          <w:sz w:val="22"/>
          <w:szCs w:val="22"/>
        </w:rPr>
        <w:t xml:space="preserve">. </w:t>
      </w:r>
      <w:r w:rsidRPr="000145AA">
        <w:rPr>
          <w:rFonts w:ascii="Arial" w:hAnsi="Arial" w:cs="Arial"/>
          <w:sz w:val="22"/>
          <w:szCs w:val="22"/>
        </w:rPr>
        <w:t>Families should receive clear information throughout the assessment process, including expected waiting times, developmental guidance and available support. Consistent communication can reduce uncertainty and improve the overall experience (Crane et al., 2016; Legg &amp; Tickle, 2019).</w:t>
      </w:r>
    </w:p>
    <w:p w14:paraId="66EE5FFB" w14:textId="7C815344" w:rsidR="1C6003E0" w:rsidRPr="000145AA" w:rsidRDefault="1C6003E0" w:rsidP="338B1E3E">
      <w:pPr>
        <w:spacing w:line="360" w:lineRule="auto"/>
        <w:rPr>
          <w:rFonts w:ascii="Arial" w:hAnsi="Arial" w:cs="Arial"/>
          <w:sz w:val="22"/>
          <w:szCs w:val="22"/>
        </w:rPr>
      </w:pPr>
      <w:r w:rsidRPr="000145AA">
        <w:rPr>
          <w:rFonts w:ascii="Arial" w:hAnsi="Arial" w:cs="Arial"/>
          <w:sz w:val="22"/>
          <w:szCs w:val="22"/>
        </w:rPr>
        <w:t>Integrated multi-agency workin</w:t>
      </w:r>
      <w:r w:rsidR="00F62815">
        <w:rPr>
          <w:rFonts w:ascii="Arial" w:hAnsi="Arial" w:cs="Arial"/>
          <w:sz w:val="22"/>
          <w:szCs w:val="22"/>
        </w:rPr>
        <w:t xml:space="preserve">g. </w:t>
      </w:r>
      <w:r w:rsidRPr="000145AA">
        <w:rPr>
          <w:rFonts w:ascii="Arial" w:hAnsi="Arial" w:cs="Arial"/>
          <w:sz w:val="22"/>
          <w:szCs w:val="22"/>
        </w:rPr>
        <w:t>Closer collaboration between paediatricians, psychologists, speech and language therapists, and early-years practitioners is needed to provide coordinated, family-centred assessments and ongoing support throughout the diagnostic journey (</w:t>
      </w:r>
      <w:proofErr w:type="spellStart"/>
      <w:r w:rsidRPr="000145AA">
        <w:rPr>
          <w:rFonts w:ascii="Arial" w:hAnsi="Arial" w:cs="Arial"/>
          <w:sz w:val="22"/>
          <w:szCs w:val="22"/>
        </w:rPr>
        <w:t>Barbaresi</w:t>
      </w:r>
      <w:proofErr w:type="spellEnd"/>
      <w:r w:rsidRPr="000145AA">
        <w:rPr>
          <w:rFonts w:ascii="Arial" w:hAnsi="Arial" w:cs="Arial"/>
          <w:sz w:val="22"/>
          <w:szCs w:val="22"/>
        </w:rPr>
        <w:t xml:space="preserve"> et al., 2022; Hurt et al., 2019).</w:t>
      </w:r>
    </w:p>
    <w:p w14:paraId="60945F9A" w14:textId="291DC849" w:rsidR="4390D3F6" w:rsidRPr="000145AA" w:rsidRDefault="61010AB0" w:rsidP="338B1E3E">
      <w:pPr>
        <w:pStyle w:val="Heading2"/>
        <w:spacing w:before="299" w:after="299" w:line="360" w:lineRule="auto"/>
        <w:rPr>
          <w:rFonts w:ascii="Arial" w:eastAsiaTheme="minorEastAsia" w:hAnsi="Arial" w:cs="Arial"/>
          <w:b/>
          <w:bCs/>
          <w:color w:val="auto"/>
          <w:sz w:val="22"/>
          <w:szCs w:val="22"/>
        </w:rPr>
      </w:pPr>
      <w:bookmarkStart w:id="10" w:name="_Toc235405120"/>
      <w:r w:rsidRPr="000145AA">
        <w:rPr>
          <w:rFonts w:ascii="Arial" w:eastAsiaTheme="minorEastAsia" w:hAnsi="Arial" w:cs="Arial"/>
          <w:b/>
          <w:bCs/>
          <w:color w:val="auto"/>
          <w:sz w:val="22"/>
          <w:szCs w:val="22"/>
        </w:rPr>
        <w:t xml:space="preserve">Recommendations for </w:t>
      </w:r>
      <w:r w:rsidR="00F62815">
        <w:rPr>
          <w:rFonts w:ascii="Arial" w:eastAsiaTheme="minorEastAsia" w:hAnsi="Arial" w:cs="Arial"/>
          <w:b/>
          <w:bCs/>
          <w:color w:val="auto"/>
          <w:sz w:val="22"/>
          <w:szCs w:val="22"/>
        </w:rPr>
        <w:t>f</w:t>
      </w:r>
      <w:r w:rsidRPr="000145AA">
        <w:rPr>
          <w:rFonts w:ascii="Arial" w:eastAsiaTheme="minorEastAsia" w:hAnsi="Arial" w:cs="Arial"/>
          <w:b/>
          <w:bCs/>
          <w:color w:val="auto"/>
          <w:sz w:val="22"/>
          <w:szCs w:val="22"/>
        </w:rPr>
        <w:t xml:space="preserve">uture </w:t>
      </w:r>
      <w:r w:rsidR="00F62815">
        <w:rPr>
          <w:rFonts w:ascii="Arial" w:eastAsiaTheme="minorEastAsia" w:hAnsi="Arial" w:cs="Arial"/>
          <w:b/>
          <w:bCs/>
          <w:color w:val="auto"/>
          <w:sz w:val="22"/>
          <w:szCs w:val="22"/>
        </w:rPr>
        <w:t>r</w:t>
      </w:r>
      <w:r w:rsidRPr="000145AA">
        <w:rPr>
          <w:rFonts w:ascii="Arial" w:eastAsiaTheme="minorEastAsia" w:hAnsi="Arial" w:cs="Arial"/>
          <w:b/>
          <w:bCs/>
          <w:color w:val="auto"/>
          <w:sz w:val="22"/>
          <w:szCs w:val="22"/>
        </w:rPr>
        <w:t>esearch</w:t>
      </w:r>
      <w:bookmarkEnd w:id="10"/>
    </w:p>
    <w:p w14:paraId="0F54CBD9" w14:textId="7FE1101C" w:rsidR="360782D8" w:rsidRPr="000145AA" w:rsidRDefault="360782D8" w:rsidP="338B1E3E">
      <w:pPr>
        <w:spacing w:before="240" w:after="240" w:line="360" w:lineRule="auto"/>
        <w:rPr>
          <w:rFonts w:ascii="Arial" w:hAnsi="Arial" w:cs="Arial"/>
          <w:sz w:val="22"/>
          <w:szCs w:val="22"/>
        </w:rPr>
      </w:pPr>
      <w:r w:rsidRPr="000145AA">
        <w:rPr>
          <w:rFonts w:ascii="Arial" w:hAnsi="Arial" w:cs="Arial"/>
          <w:sz w:val="22"/>
          <w:szCs w:val="22"/>
        </w:rPr>
        <w:t xml:space="preserve">Future research should focus specifically on children aged one to three years within the United Kingdom, as many existing studies include wider paediatric age groups. Research targeting this developmental stage would improve understanding of the earliest behavioural indicators of </w:t>
      </w:r>
      <w:r w:rsidRPr="000145AA">
        <w:rPr>
          <w:rFonts w:ascii="Arial" w:hAnsi="Arial" w:cs="Arial"/>
          <w:sz w:val="22"/>
          <w:szCs w:val="22"/>
        </w:rPr>
        <w:lastRenderedPageBreak/>
        <w:t>Autism Spectrum Disorder (ASD) and support earlier diagnosis (Harstad et al., 2023; Male et al., 2023).</w:t>
      </w:r>
    </w:p>
    <w:p w14:paraId="18B6823C" w14:textId="3C0D903D" w:rsidR="360782D8" w:rsidRPr="000145AA" w:rsidRDefault="360782D8" w:rsidP="338B1E3E">
      <w:pPr>
        <w:spacing w:before="240" w:after="240" w:line="360" w:lineRule="auto"/>
        <w:rPr>
          <w:rFonts w:ascii="Arial" w:hAnsi="Arial" w:cs="Arial"/>
          <w:sz w:val="22"/>
          <w:szCs w:val="22"/>
        </w:rPr>
      </w:pPr>
      <w:r w:rsidRPr="000145AA">
        <w:rPr>
          <w:rFonts w:ascii="Arial" w:hAnsi="Arial" w:cs="Arial"/>
          <w:sz w:val="22"/>
          <w:szCs w:val="22"/>
        </w:rPr>
        <w:t>Longitudinal research is needed to examine the long-term impact of early diagnosis and intervention on children's developmental outcomes and family wellbeing (Hyman et al., 2020; Harstad et al., 2023).</w:t>
      </w:r>
    </w:p>
    <w:p w14:paraId="29319D07" w14:textId="2DE1EC68" w:rsidR="360782D8" w:rsidRPr="000145AA" w:rsidRDefault="360782D8" w:rsidP="338B1E3E">
      <w:pPr>
        <w:spacing w:before="240" w:after="240" w:line="360" w:lineRule="auto"/>
        <w:rPr>
          <w:rFonts w:ascii="Arial" w:hAnsi="Arial" w:cs="Arial"/>
          <w:sz w:val="22"/>
          <w:szCs w:val="22"/>
        </w:rPr>
      </w:pPr>
      <w:r w:rsidRPr="000145AA">
        <w:rPr>
          <w:rFonts w:ascii="Arial" w:hAnsi="Arial" w:cs="Arial"/>
          <w:sz w:val="22"/>
          <w:szCs w:val="22"/>
        </w:rPr>
        <w:t>Further studies should evaluate strategies to reduce diagnostic waiting times while maintaining the quality of multidisciplinary assessments. Research should also explore regional inequalities and post-diagnostic support to improve equitable access to autism services across the United Kingdom (Parr et al., 2024; Babalola et al., 2025; Kerr et al., 2026; Hurt et al., 2019).</w:t>
      </w:r>
    </w:p>
    <w:p w14:paraId="40564B86" w14:textId="759A3E0D" w:rsidR="4390D3F6" w:rsidRPr="000145AA" w:rsidRDefault="61010AB0" w:rsidP="338B1E3E">
      <w:pPr>
        <w:pStyle w:val="Heading2"/>
        <w:spacing w:before="299" w:after="299" w:line="360" w:lineRule="auto"/>
        <w:rPr>
          <w:rFonts w:ascii="Arial" w:eastAsiaTheme="minorEastAsia" w:hAnsi="Arial" w:cs="Arial"/>
          <w:b/>
          <w:bCs/>
          <w:color w:val="auto"/>
          <w:sz w:val="22"/>
          <w:szCs w:val="22"/>
        </w:rPr>
      </w:pPr>
      <w:bookmarkStart w:id="11" w:name="_Toc235405121"/>
      <w:r w:rsidRPr="000145AA">
        <w:rPr>
          <w:rFonts w:ascii="Arial" w:eastAsiaTheme="minorEastAsia" w:hAnsi="Arial" w:cs="Arial"/>
          <w:b/>
          <w:bCs/>
          <w:color w:val="auto"/>
          <w:sz w:val="22"/>
          <w:szCs w:val="22"/>
        </w:rPr>
        <w:t xml:space="preserve">Final </w:t>
      </w:r>
      <w:r w:rsidR="00F62815">
        <w:rPr>
          <w:rFonts w:ascii="Arial" w:eastAsiaTheme="minorEastAsia" w:hAnsi="Arial" w:cs="Arial"/>
          <w:b/>
          <w:bCs/>
          <w:color w:val="auto"/>
          <w:sz w:val="22"/>
          <w:szCs w:val="22"/>
        </w:rPr>
        <w:t>r</w:t>
      </w:r>
      <w:r w:rsidRPr="000145AA">
        <w:rPr>
          <w:rFonts w:ascii="Arial" w:eastAsiaTheme="minorEastAsia" w:hAnsi="Arial" w:cs="Arial"/>
          <w:b/>
          <w:bCs/>
          <w:color w:val="auto"/>
          <w:sz w:val="22"/>
          <w:szCs w:val="22"/>
        </w:rPr>
        <w:t>eflection</w:t>
      </w:r>
      <w:bookmarkEnd w:id="11"/>
    </w:p>
    <w:p w14:paraId="5F0AFE2D" w14:textId="4E858AEF" w:rsidR="4390D3F6" w:rsidRPr="000145AA" w:rsidRDefault="61010AB0" w:rsidP="338B1E3E">
      <w:pPr>
        <w:spacing w:before="240" w:after="240" w:line="360" w:lineRule="auto"/>
        <w:rPr>
          <w:rFonts w:ascii="Arial" w:hAnsi="Arial" w:cs="Arial"/>
          <w:sz w:val="22"/>
          <w:szCs w:val="22"/>
        </w:rPr>
      </w:pPr>
      <w:r w:rsidRPr="000145AA">
        <w:rPr>
          <w:rFonts w:ascii="Arial" w:hAnsi="Arial" w:cs="Arial"/>
          <w:sz w:val="22"/>
          <w:szCs w:val="22"/>
        </w:rPr>
        <w:t xml:space="preserve">This scoping review has demonstrated that early diagnosis and timely support remain central to improving outcomes for autistic children and their families. Although UK policy increasingly recognises the importance of early intervention, considerable variation continues to exist in diagnostic pathways, service accessibility and family experiences. </w:t>
      </w:r>
      <w:r w:rsidR="00710D17" w:rsidRPr="000145AA">
        <w:rPr>
          <w:rFonts w:ascii="Arial" w:hAnsi="Arial" w:cs="Arial"/>
          <w:sz w:val="22"/>
          <w:szCs w:val="22"/>
        </w:rPr>
        <w:t>Through</w:t>
      </w:r>
      <w:r w:rsidRPr="000145AA">
        <w:rPr>
          <w:rFonts w:ascii="Arial" w:hAnsi="Arial" w:cs="Arial"/>
          <w:sz w:val="22"/>
          <w:szCs w:val="22"/>
        </w:rPr>
        <w:t xml:space="preserve"> strengthening multidisciplinary collaboration, reducing waiting times and improving access to coordinated support services, healthcare providers can help ensure that children with autism receive appropriate care during one of the most important stages of their development.</w:t>
      </w:r>
    </w:p>
    <w:p w14:paraId="2C9BA0DA" w14:textId="52323C19" w:rsidR="18A2B1C3" w:rsidRPr="000145AA" w:rsidRDefault="472FA89E" w:rsidP="338B1E3E">
      <w:pPr>
        <w:pStyle w:val="Heading1"/>
        <w:spacing w:before="322" w:after="322" w:line="360" w:lineRule="auto"/>
        <w:rPr>
          <w:rFonts w:asciiTheme="minorHAnsi" w:eastAsiaTheme="minorEastAsia" w:hAnsiTheme="minorHAnsi" w:cstheme="minorBidi"/>
          <w:b/>
          <w:bCs/>
          <w:color w:val="auto"/>
          <w:sz w:val="22"/>
          <w:szCs w:val="22"/>
        </w:rPr>
      </w:pPr>
      <w:bookmarkStart w:id="12" w:name="_Toc235405122"/>
      <w:r w:rsidRPr="000145AA">
        <w:rPr>
          <w:rFonts w:asciiTheme="minorHAnsi" w:eastAsiaTheme="minorEastAsia" w:hAnsiTheme="minorHAnsi" w:cstheme="minorBidi"/>
          <w:b/>
          <w:bCs/>
          <w:color w:val="auto"/>
          <w:sz w:val="22"/>
          <w:szCs w:val="22"/>
        </w:rPr>
        <w:t>References</w:t>
      </w:r>
      <w:bookmarkEnd w:id="12"/>
    </w:p>
    <w:p w14:paraId="3118A0CA" w14:textId="4BCADF7F"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Arksey, H. and O'Malley, L. (2005) 'Scoping studies: Towards a methodological framework', </w:t>
      </w:r>
      <w:r w:rsidRPr="000145AA">
        <w:rPr>
          <w:i/>
          <w:iCs/>
          <w:sz w:val="22"/>
          <w:szCs w:val="22"/>
        </w:rPr>
        <w:t>International Journal of Social Research Methodology</w:t>
      </w:r>
      <w:r w:rsidRPr="000145AA">
        <w:rPr>
          <w:sz w:val="22"/>
          <w:szCs w:val="22"/>
        </w:rPr>
        <w:t>, 8(1), pp. 19–32.</w:t>
      </w:r>
    </w:p>
    <w:p w14:paraId="6BACB06A" w14:textId="44B8466A"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Aveyard, H. (2019) </w:t>
      </w:r>
      <w:r w:rsidRPr="000145AA">
        <w:rPr>
          <w:i/>
          <w:iCs/>
          <w:sz w:val="22"/>
          <w:szCs w:val="22"/>
        </w:rPr>
        <w:t>Doing a Literature Review in Health and Social Care: A Practical Guide</w:t>
      </w:r>
      <w:r w:rsidRPr="000145AA">
        <w:rPr>
          <w:sz w:val="22"/>
          <w:szCs w:val="22"/>
        </w:rPr>
        <w:t xml:space="preserve">. 4th </w:t>
      </w:r>
      <w:proofErr w:type="spellStart"/>
      <w:r w:rsidRPr="000145AA">
        <w:rPr>
          <w:sz w:val="22"/>
          <w:szCs w:val="22"/>
        </w:rPr>
        <w:t>edn</w:t>
      </w:r>
      <w:proofErr w:type="spellEnd"/>
      <w:r w:rsidRPr="000145AA">
        <w:rPr>
          <w:sz w:val="22"/>
          <w:szCs w:val="22"/>
        </w:rPr>
        <w:t>. Maidenhead: Open University Press.</w:t>
      </w:r>
    </w:p>
    <w:p w14:paraId="2B1C0F77" w14:textId="3AA722A1"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Babalola, T., Sanguedolce, G., Dipper, L. and Botting, N. (2025) 'Barriers and facilitators of healthcare access for autistic children in the UK: A systematic review', </w:t>
      </w:r>
      <w:r w:rsidRPr="000145AA">
        <w:rPr>
          <w:i/>
          <w:iCs/>
          <w:sz w:val="22"/>
          <w:szCs w:val="22"/>
        </w:rPr>
        <w:t>Review Journal of Autism and Developmental Disorders</w:t>
      </w:r>
      <w:r w:rsidRPr="000145AA">
        <w:rPr>
          <w:sz w:val="22"/>
          <w:szCs w:val="22"/>
        </w:rPr>
        <w:t>, 12(4), pp. 780–808.</w:t>
      </w:r>
    </w:p>
    <w:p w14:paraId="52FAAE71" w14:textId="4749B90D" w:rsidR="18A2B1C3" w:rsidRPr="000145AA" w:rsidRDefault="472FA89E" w:rsidP="338B1E3E">
      <w:pPr>
        <w:pStyle w:val="ListParagraph"/>
        <w:numPr>
          <w:ilvl w:val="0"/>
          <w:numId w:val="3"/>
        </w:numPr>
        <w:spacing w:before="240" w:after="240" w:line="360" w:lineRule="auto"/>
        <w:rPr>
          <w:sz w:val="22"/>
          <w:szCs w:val="22"/>
        </w:rPr>
      </w:pPr>
      <w:proofErr w:type="spellStart"/>
      <w:r w:rsidRPr="000145AA">
        <w:rPr>
          <w:sz w:val="22"/>
          <w:szCs w:val="22"/>
        </w:rPr>
        <w:t>Barbaresi</w:t>
      </w:r>
      <w:proofErr w:type="spellEnd"/>
      <w:r w:rsidRPr="000145AA">
        <w:rPr>
          <w:sz w:val="22"/>
          <w:szCs w:val="22"/>
        </w:rPr>
        <w:t xml:space="preserve">, W.J., Cacia, J., Friedman, S., Fussell, J., Hansen, R., Hofer, J., Roizen, N., Stein, R.E., Vanderbilt, D. and </w:t>
      </w:r>
      <w:proofErr w:type="spellStart"/>
      <w:r w:rsidRPr="000145AA">
        <w:rPr>
          <w:sz w:val="22"/>
          <w:szCs w:val="22"/>
        </w:rPr>
        <w:t>Sideridis</w:t>
      </w:r>
      <w:proofErr w:type="spellEnd"/>
      <w:r w:rsidRPr="000145AA">
        <w:rPr>
          <w:sz w:val="22"/>
          <w:szCs w:val="22"/>
        </w:rPr>
        <w:t xml:space="preserve">, G. (2022) 'Clinician diagnostic certainty and the role of the Autism Diagnostic Observation Schedule in autism spectrum disorder diagnosis in young children', </w:t>
      </w:r>
      <w:r w:rsidRPr="000145AA">
        <w:rPr>
          <w:i/>
          <w:iCs/>
          <w:sz w:val="22"/>
          <w:szCs w:val="22"/>
        </w:rPr>
        <w:t xml:space="preserve">JAMA </w:t>
      </w:r>
      <w:proofErr w:type="spellStart"/>
      <w:r w:rsidRPr="000145AA">
        <w:rPr>
          <w:i/>
          <w:iCs/>
          <w:sz w:val="22"/>
          <w:szCs w:val="22"/>
        </w:rPr>
        <w:t>Pediatrics</w:t>
      </w:r>
      <w:proofErr w:type="spellEnd"/>
      <w:r w:rsidRPr="000145AA">
        <w:rPr>
          <w:sz w:val="22"/>
          <w:szCs w:val="22"/>
        </w:rPr>
        <w:t>, 176(12), pp. 1233–1241.</w:t>
      </w:r>
    </w:p>
    <w:p w14:paraId="634A4804" w14:textId="2DF2FE11"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lastRenderedPageBreak/>
        <w:t xml:space="preserve">Brett, D., Warnell, F., McConachie, H. and Parr, J.R. (2016) 'Factors affecting age at ASD diagnosis in UK: No evidence that diagnosis age has decreased between 2004 and 2014', </w:t>
      </w:r>
      <w:r w:rsidRPr="000145AA">
        <w:rPr>
          <w:i/>
          <w:iCs/>
          <w:sz w:val="22"/>
          <w:szCs w:val="22"/>
        </w:rPr>
        <w:t>Journal of Autism and Developmental Disorders</w:t>
      </w:r>
      <w:r w:rsidRPr="000145AA">
        <w:rPr>
          <w:sz w:val="22"/>
          <w:szCs w:val="22"/>
        </w:rPr>
        <w:t>, 46(6), pp. 1974–1984.</w:t>
      </w:r>
    </w:p>
    <w:p w14:paraId="1718BC85" w14:textId="10A8BD08"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Crane, L., Chester, J.W., Goddard, L., Henry, L.A. and Hill, E.L. (2016) 'Experiences of autism diagnosis: A survey of over 1000 parents in the United Kingdom', </w:t>
      </w:r>
      <w:r w:rsidRPr="000145AA">
        <w:rPr>
          <w:i/>
          <w:iCs/>
          <w:sz w:val="22"/>
          <w:szCs w:val="22"/>
        </w:rPr>
        <w:t>Autism</w:t>
      </w:r>
      <w:r w:rsidRPr="000145AA">
        <w:rPr>
          <w:sz w:val="22"/>
          <w:szCs w:val="22"/>
        </w:rPr>
        <w:t>, 20(2), pp. 153–162.</w:t>
      </w:r>
    </w:p>
    <w:p w14:paraId="60F1A989" w14:textId="0C1505C5"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Harstad, E., Hanson, E., Brewster, S.J., </w:t>
      </w:r>
      <w:proofErr w:type="spellStart"/>
      <w:r w:rsidRPr="000145AA">
        <w:rPr>
          <w:sz w:val="22"/>
          <w:szCs w:val="22"/>
        </w:rPr>
        <w:t>DePillis</w:t>
      </w:r>
      <w:proofErr w:type="spellEnd"/>
      <w:r w:rsidRPr="000145AA">
        <w:rPr>
          <w:sz w:val="22"/>
          <w:szCs w:val="22"/>
        </w:rPr>
        <w:t xml:space="preserve">, R., Milliken, A.L., </w:t>
      </w:r>
      <w:proofErr w:type="spellStart"/>
      <w:r w:rsidRPr="000145AA">
        <w:rPr>
          <w:sz w:val="22"/>
          <w:szCs w:val="22"/>
        </w:rPr>
        <w:t>Aberbach</w:t>
      </w:r>
      <w:proofErr w:type="spellEnd"/>
      <w:r w:rsidRPr="000145AA">
        <w:rPr>
          <w:sz w:val="22"/>
          <w:szCs w:val="22"/>
        </w:rPr>
        <w:t xml:space="preserve">, G., Sideridis, G. and </w:t>
      </w:r>
      <w:proofErr w:type="spellStart"/>
      <w:r w:rsidRPr="000145AA">
        <w:rPr>
          <w:sz w:val="22"/>
          <w:szCs w:val="22"/>
        </w:rPr>
        <w:t>Barbaresi</w:t>
      </w:r>
      <w:proofErr w:type="spellEnd"/>
      <w:r w:rsidRPr="000145AA">
        <w:rPr>
          <w:sz w:val="22"/>
          <w:szCs w:val="22"/>
        </w:rPr>
        <w:t xml:space="preserve">, W.J. (2023) 'Persistence of autism spectrum disorder from early childhood through school age', </w:t>
      </w:r>
      <w:r w:rsidRPr="000145AA">
        <w:rPr>
          <w:i/>
          <w:iCs/>
          <w:sz w:val="22"/>
          <w:szCs w:val="22"/>
        </w:rPr>
        <w:t xml:space="preserve">JAMA </w:t>
      </w:r>
      <w:proofErr w:type="spellStart"/>
      <w:r w:rsidRPr="000145AA">
        <w:rPr>
          <w:i/>
          <w:iCs/>
          <w:sz w:val="22"/>
          <w:szCs w:val="22"/>
        </w:rPr>
        <w:t>Pediatrics</w:t>
      </w:r>
      <w:proofErr w:type="spellEnd"/>
      <w:r w:rsidRPr="000145AA">
        <w:rPr>
          <w:sz w:val="22"/>
          <w:szCs w:val="22"/>
        </w:rPr>
        <w:t>, 177(11), pp. 1197–1205.</w:t>
      </w:r>
    </w:p>
    <w:p w14:paraId="26BC2B28" w14:textId="718B4733"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Hyman, S.L., Levy, S.E. and Myers, S.M. (2020) 'Identification, evaluation and management of children with autism spectrum disorder', </w:t>
      </w:r>
      <w:proofErr w:type="spellStart"/>
      <w:r w:rsidRPr="000145AA">
        <w:rPr>
          <w:i/>
          <w:iCs/>
          <w:sz w:val="22"/>
          <w:szCs w:val="22"/>
        </w:rPr>
        <w:t>Pediatrics</w:t>
      </w:r>
      <w:proofErr w:type="spellEnd"/>
      <w:r w:rsidRPr="000145AA">
        <w:rPr>
          <w:sz w:val="22"/>
          <w:szCs w:val="22"/>
        </w:rPr>
        <w:t>, 145(1), e20193447.</w:t>
      </w:r>
    </w:p>
    <w:p w14:paraId="5AA9A60F" w14:textId="3AFFFD54" w:rsidR="474EE20A" w:rsidRPr="000145AA" w:rsidRDefault="474EE20A" w:rsidP="338B1E3E">
      <w:pPr>
        <w:pStyle w:val="ListParagraph"/>
        <w:numPr>
          <w:ilvl w:val="0"/>
          <w:numId w:val="3"/>
        </w:numPr>
        <w:spacing w:before="240" w:after="240" w:line="360" w:lineRule="auto"/>
        <w:rPr>
          <w:sz w:val="22"/>
          <w:szCs w:val="22"/>
        </w:rPr>
      </w:pPr>
      <w:r w:rsidRPr="000145AA">
        <w:rPr>
          <w:sz w:val="22"/>
          <w:szCs w:val="22"/>
        </w:rPr>
        <w:t>Hurt, L., Langley, K., North, K., Southern, A., Copeland, L., Gillard, J. and Williams, S., 2019. Understanding and improving the care pathway for children with autism. International journal of health care quality assurance, 32(1), pp.208-223.</w:t>
      </w:r>
    </w:p>
    <w:p w14:paraId="05B9A477" w14:textId="7155F2FE"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Kerr, J., Nicholson, H., Richards, R. and Anderson, C. (2026) 'Parents' experiences in accessing services for their autistic children in the United Kingdom: A meta-synthesis', </w:t>
      </w:r>
      <w:r w:rsidRPr="000145AA">
        <w:rPr>
          <w:i/>
          <w:iCs/>
          <w:sz w:val="22"/>
          <w:szCs w:val="22"/>
        </w:rPr>
        <w:t>British Journal of Clinical Psychology</w:t>
      </w:r>
      <w:r w:rsidRPr="000145AA">
        <w:rPr>
          <w:sz w:val="22"/>
          <w:szCs w:val="22"/>
        </w:rPr>
        <w:t>.</w:t>
      </w:r>
    </w:p>
    <w:p w14:paraId="7C43EB9D" w14:textId="64677B50"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Legg, H. and Tickle, A. (2019) 'UK parents' experiences of their child receiving a diagnosis of autism spectrum disorder: A systematic review of the qualitative evidence', </w:t>
      </w:r>
      <w:r w:rsidRPr="000145AA">
        <w:rPr>
          <w:i/>
          <w:iCs/>
          <w:sz w:val="22"/>
          <w:szCs w:val="22"/>
        </w:rPr>
        <w:t>Autism</w:t>
      </w:r>
      <w:r w:rsidRPr="000145AA">
        <w:rPr>
          <w:sz w:val="22"/>
          <w:szCs w:val="22"/>
        </w:rPr>
        <w:t>, 23(8), pp. 1897–1910.</w:t>
      </w:r>
    </w:p>
    <w:p w14:paraId="279369F7" w14:textId="23ED6DA3"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Levac, D., Colquhoun, H. and O'Brien, K.K. (2010) 'Scoping studies: Advancing the methodology', </w:t>
      </w:r>
      <w:r w:rsidRPr="000145AA">
        <w:rPr>
          <w:i/>
          <w:iCs/>
          <w:sz w:val="22"/>
          <w:szCs w:val="22"/>
        </w:rPr>
        <w:t>Implementation Science</w:t>
      </w:r>
      <w:r w:rsidRPr="000145AA">
        <w:rPr>
          <w:sz w:val="22"/>
          <w:szCs w:val="22"/>
        </w:rPr>
        <w:t>, 5(69), pp. 1–9.</w:t>
      </w:r>
    </w:p>
    <w:p w14:paraId="51A762C2" w14:textId="59BFE1A5"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Lord, C., </w:t>
      </w:r>
      <w:proofErr w:type="spellStart"/>
      <w:r w:rsidRPr="000145AA">
        <w:rPr>
          <w:sz w:val="22"/>
          <w:szCs w:val="22"/>
        </w:rPr>
        <w:t>Brugha</w:t>
      </w:r>
      <w:proofErr w:type="spellEnd"/>
      <w:r w:rsidRPr="000145AA">
        <w:rPr>
          <w:sz w:val="22"/>
          <w:szCs w:val="22"/>
        </w:rPr>
        <w:t xml:space="preserve">, T.S., Charman, T., Cusack, J., Dumas, G., Frazier, T., Jones, E.J.H., Jones, R.M., Pickles, A., State, M.W., Taylor, J.L. and Veenstra-VanderWeele, J. (2020) 'Autism spectrum disorder', </w:t>
      </w:r>
      <w:r w:rsidRPr="000145AA">
        <w:rPr>
          <w:i/>
          <w:iCs/>
          <w:sz w:val="22"/>
          <w:szCs w:val="22"/>
        </w:rPr>
        <w:t>Nature Reviews Disease Primers</w:t>
      </w:r>
      <w:r w:rsidRPr="000145AA">
        <w:rPr>
          <w:sz w:val="22"/>
          <w:szCs w:val="22"/>
        </w:rPr>
        <w:t>, 6(1), Article 5.</w:t>
      </w:r>
    </w:p>
    <w:p w14:paraId="520A2A95" w14:textId="7C33B641"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Male, I., Farr, W., Bremner, S., Gage, H., Williams, P., Gowling, E., Honey, E., Gain, A. and Parr, J. (2023) 'An observational study of individual child journeys through autism diagnostic pathways, and associated costs, in the UK National Health Service', </w:t>
      </w:r>
      <w:r w:rsidRPr="000145AA">
        <w:rPr>
          <w:i/>
          <w:iCs/>
          <w:sz w:val="22"/>
          <w:szCs w:val="22"/>
        </w:rPr>
        <w:t>Frontiers in Rehabilitation Sciences</w:t>
      </w:r>
      <w:r w:rsidRPr="000145AA">
        <w:rPr>
          <w:sz w:val="22"/>
          <w:szCs w:val="22"/>
        </w:rPr>
        <w:t>, 4, Article 1119288.</w:t>
      </w:r>
    </w:p>
    <w:p w14:paraId="5C9F0AF0" w14:textId="512F14B3"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National Institute for Health and Care Excellence (NICE) (2021) </w:t>
      </w:r>
      <w:r w:rsidRPr="000145AA">
        <w:rPr>
          <w:i/>
          <w:iCs/>
          <w:sz w:val="22"/>
          <w:szCs w:val="22"/>
        </w:rPr>
        <w:t>Autism spectrum disorder in under 19s: Recognition, referral and diagnosis (CG128).</w:t>
      </w:r>
      <w:r w:rsidRPr="000145AA">
        <w:rPr>
          <w:sz w:val="22"/>
          <w:szCs w:val="22"/>
        </w:rPr>
        <w:t xml:space="preserve"> Available at: </w:t>
      </w:r>
      <w:hyperlink r:id="rId10">
        <w:r w:rsidRPr="000145AA">
          <w:rPr>
            <w:rStyle w:val="Hyperlink"/>
            <w:color w:val="auto"/>
            <w:sz w:val="22"/>
            <w:szCs w:val="22"/>
          </w:rPr>
          <w:t>NICE Guideline CG128</w:t>
        </w:r>
      </w:hyperlink>
      <w:r w:rsidRPr="000145AA">
        <w:rPr>
          <w:sz w:val="22"/>
          <w:szCs w:val="22"/>
        </w:rPr>
        <w:t xml:space="preserve"> (Accessed: 12 July 2026).</w:t>
      </w:r>
    </w:p>
    <w:p w14:paraId="5282AEEB" w14:textId="63E42AD6"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lastRenderedPageBreak/>
        <w:t xml:space="preserve">NHS England (2023) </w:t>
      </w:r>
      <w:r w:rsidRPr="000145AA">
        <w:rPr>
          <w:i/>
          <w:iCs/>
          <w:sz w:val="22"/>
          <w:szCs w:val="22"/>
        </w:rPr>
        <w:t>Operational guidance to deliver improved outcomes in all-age autism assessment pathways.</w:t>
      </w:r>
      <w:r w:rsidRPr="000145AA">
        <w:rPr>
          <w:sz w:val="22"/>
          <w:szCs w:val="22"/>
        </w:rPr>
        <w:t xml:space="preserve"> Available at: </w:t>
      </w:r>
      <w:hyperlink r:id="rId11">
        <w:r w:rsidRPr="000145AA">
          <w:rPr>
            <w:rStyle w:val="Hyperlink"/>
            <w:color w:val="auto"/>
            <w:sz w:val="22"/>
            <w:szCs w:val="22"/>
          </w:rPr>
          <w:t>NHS England autism assessment guidance</w:t>
        </w:r>
      </w:hyperlink>
      <w:r w:rsidRPr="000145AA">
        <w:rPr>
          <w:sz w:val="22"/>
          <w:szCs w:val="22"/>
        </w:rPr>
        <w:t xml:space="preserve"> (Accessed: 12 July 2026).</w:t>
      </w:r>
    </w:p>
    <w:p w14:paraId="28BC372F" w14:textId="015992AD"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Parr, J., Wigham, S., Farr, W., Male, I., Isard, L., Lees, R., Reddy, V., Saunders, G. and Grahame, V. (2024) 'A national research survey of childhood autism assessment services in the UK: Empirical evidence of diagnostic practice, challenges and improvement opportunities', </w:t>
      </w:r>
      <w:r w:rsidRPr="000145AA">
        <w:rPr>
          <w:i/>
          <w:iCs/>
          <w:sz w:val="22"/>
          <w:szCs w:val="22"/>
        </w:rPr>
        <w:t>BMJ Paediatrics Open</w:t>
      </w:r>
      <w:r w:rsidRPr="000145AA">
        <w:rPr>
          <w:sz w:val="22"/>
          <w:szCs w:val="22"/>
        </w:rPr>
        <w:t>, 8(1), e002496.</w:t>
      </w:r>
    </w:p>
    <w:p w14:paraId="7C9475F2" w14:textId="02B58989" w:rsidR="18A2B1C3" w:rsidRPr="000145AA" w:rsidRDefault="472FA89E" w:rsidP="338B1E3E">
      <w:pPr>
        <w:pStyle w:val="ListParagraph"/>
        <w:numPr>
          <w:ilvl w:val="0"/>
          <w:numId w:val="3"/>
        </w:numPr>
        <w:spacing w:before="240" w:after="240" w:line="360" w:lineRule="auto"/>
        <w:rPr>
          <w:sz w:val="22"/>
          <w:szCs w:val="22"/>
        </w:rPr>
      </w:pPr>
      <w:r w:rsidRPr="000145AA">
        <w:rPr>
          <w:sz w:val="22"/>
          <w:szCs w:val="22"/>
        </w:rPr>
        <w:t xml:space="preserve">Peters, M.D.J., Marnie, C., </w:t>
      </w:r>
      <w:proofErr w:type="spellStart"/>
      <w:r w:rsidRPr="000145AA">
        <w:rPr>
          <w:sz w:val="22"/>
          <w:szCs w:val="22"/>
        </w:rPr>
        <w:t>Tricco</w:t>
      </w:r>
      <w:proofErr w:type="spellEnd"/>
      <w:r w:rsidRPr="000145AA">
        <w:rPr>
          <w:sz w:val="22"/>
          <w:szCs w:val="22"/>
        </w:rPr>
        <w:t xml:space="preserve">, A.C., Pollock, D., Munn, Z., Alexander, L., McInerney, P., Godfrey, C.M. and Khalil, H. (2020) 'Updated methodological guidance for the conduct of scoping reviews', </w:t>
      </w:r>
      <w:r w:rsidRPr="000145AA">
        <w:rPr>
          <w:i/>
          <w:iCs/>
          <w:sz w:val="22"/>
          <w:szCs w:val="22"/>
        </w:rPr>
        <w:t>JBI Evidence Synthesis</w:t>
      </w:r>
      <w:r w:rsidRPr="000145AA">
        <w:rPr>
          <w:sz w:val="22"/>
          <w:szCs w:val="22"/>
        </w:rPr>
        <w:t>, 18(10), pp. 2119–2126.</w:t>
      </w:r>
    </w:p>
    <w:p w14:paraId="2924D99B" w14:textId="625D71D7" w:rsidR="37CF6FDE" w:rsidRPr="000145AA" w:rsidRDefault="10765D1D" w:rsidP="338B1E3E">
      <w:pPr>
        <w:pStyle w:val="ListParagraph"/>
        <w:numPr>
          <w:ilvl w:val="0"/>
          <w:numId w:val="3"/>
        </w:numPr>
        <w:spacing w:before="240" w:after="240" w:line="360" w:lineRule="auto"/>
        <w:rPr>
          <w:sz w:val="22"/>
          <w:szCs w:val="22"/>
        </w:rPr>
      </w:pPr>
      <w:r w:rsidRPr="000145AA">
        <w:rPr>
          <w:sz w:val="22"/>
          <w:szCs w:val="22"/>
        </w:rPr>
        <w:t xml:space="preserve">Royal College of Psychiatrists (2020). </w:t>
      </w:r>
      <w:r w:rsidRPr="000145AA">
        <w:rPr>
          <w:i/>
          <w:iCs/>
          <w:sz w:val="22"/>
          <w:szCs w:val="22"/>
        </w:rPr>
        <w:t>Autism for parents | Royal College of Psychiatrists</w:t>
      </w:r>
      <w:r w:rsidRPr="000145AA">
        <w:rPr>
          <w:sz w:val="22"/>
          <w:szCs w:val="22"/>
        </w:rPr>
        <w:t xml:space="preserve">. [online] Available at: </w:t>
      </w:r>
      <w:hyperlink r:id="rId12">
        <w:r w:rsidRPr="000145AA">
          <w:rPr>
            <w:rStyle w:val="Hyperlink"/>
            <w:color w:val="auto"/>
            <w:sz w:val="22"/>
            <w:szCs w:val="22"/>
          </w:rPr>
          <w:t>https://www.rcpsych.ac.uk/mental-health/parents-and-young-people/information-for-parents-and-carers/autism-for-parents</w:t>
        </w:r>
      </w:hyperlink>
      <w:r w:rsidRPr="000145AA">
        <w:rPr>
          <w:sz w:val="22"/>
          <w:szCs w:val="22"/>
        </w:rPr>
        <w:t xml:space="preserve"> [Accessed 10 July 2026].</w:t>
      </w:r>
    </w:p>
    <w:p w14:paraId="35B41416" w14:textId="0F954A91" w:rsidR="18A2B1C3" w:rsidRPr="000145AA" w:rsidRDefault="18A2B1C3" w:rsidP="08B903B1">
      <w:pPr>
        <w:pStyle w:val="ListParagraph"/>
        <w:numPr>
          <w:ilvl w:val="0"/>
          <w:numId w:val="3"/>
        </w:numPr>
        <w:spacing w:before="240" w:after="240"/>
        <w:rPr>
          <w:sz w:val="22"/>
          <w:szCs w:val="22"/>
        </w:rPr>
      </w:pPr>
      <w:r w:rsidRPr="000145AA">
        <w:rPr>
          <w:sz w:val="22"/>
          <w:szCs w:val="22"/>
        </w:rPr>
        <w:t xml:space="preserve">Russell, G., Stapley, S., Newlove-Delgado, T., Salmon, A., White, R., Warren, F., Pearson, A. and Ford, T. (2022) 'Time trends in autism diagnosis over 20 years: A UK population-based cohort study', </w:t>
      </w:r>
      <w:r w:rsidRPr="000145AA">
        <w:rPr>
          <w:i/>
          <w:iCs/>
          <w:sz w:val="22"/>
          <w:szCs w:val="22"/>
        </w:rPr>
        <w:t>Journal of Child Psychology and Psychiatry</w:t>
      </w:r>
      <w:r w:rsidRPr="000145AA">
        <w:rPr>
          <w:sz w:val="22"/>
          <w:szCs w:val="22"/>
        </w:rPr>
        <w:t>, 63(6), pp. 674–682.</w:t>
      </w:r>
    </w:p>
    <w:p w14:paraId="773FDFBB" w14:textId="57268226" w:rsidR="18A2B1C3" w:rsidRPr="000145AA" w:rsidRDefault="18A2B1C3" w:rsidP="08B903B1">
      <w:pPr>
        <w:pStyle w:val="ListParagraph"/>
        <w:numPr>
          <w:ilvl w:val="0"/>
          <w:numId w:val="3"/>
        </w:numPr>
        <w:spacing w:before="240" w:after="240"/>
        <w:rPr>
          <w:sz w:val="22"/>
          <w:szCs w:val="22"/>
        </w:rPr>
      </w:pPr>
      <w:r w:rsidRPr="000145AA">
        <w:rPr>
          <w:sz w:val="22"/>
          <w:szCs w:val="22"/>
        </w:rPr>
        <w:t xml:space="preserve">World Health Organization (2023) </w:t>
      </w:r>
      <w:r w:rsidRPr="000145AA">
        <w:rPr>
          <w:i/>
          <w:iCs/>
          <w:sz w:val="22"/>
          <w:szCs w:val="22"/>
        </w:rPr>
        <w:t>Autism.</w:t>
      </w:r>
      <w:r w:rsidRPr="000145AA">
        <w:rPr>
          <w:sz w:val="22"/>
          <w:szCs w:val="22"/>
        </w:rPr>
        <w:t xml:space="preserve"> Available at: </w:t>
      </w:r>
      <w:hyperlink r:id="rId13">
        <w:r w:rsidRPr="000145AA">
          <w:rPr>
            <w:rStyle w:val="Hyperlink"/>
            <w:color w:val="auto"/>
            <w:sz w:val="22"/>
            <w:szCs w:val="22"/>
          </w:rPr>
          <w:t>https://www.who.int/news-room/fact-sheets/detail/autism</w:t>
        </w:r>
      </w:hyperlink>
      <w:r w:rsidRPr="000145AA">
        <w:rPr>
          <w:sz w:val="22"/>
          <w:szCs w:val="22"/>
        </w:rPr>
        <w:t xml:space="preserve"> (Accessed: 12 July 2026).</w:t>
      </w:r>
    </w:p>
    <w:p w14:paraId="12E92FBD" w14:textId="277AE53A" w:rsidR="18A2B1C3" w:rsidRPr="000145AA" w:rsidRDefault="472FA89E" w:rsidP="08B903B1">
      <w:pPr>
        <w:pStyle w:val="ListParagraph"/>
        <w:numPr>
          <w:ilvl w:val="0"/>
          <w:numId w:val="3"/>
        </w:numPr>
        <w:spacing w:before="240" w:after="240"/>
        <w:rPr>
          <w:sz w:val="22"/>
          <w:szCs w:val="22"/>
        </w:rPr>
      </w:pPr>
      <w:proofErr w:type="spellStart"/>
      <w:r w:rsidRPr="000145AA">
        <w:rPr>
          <w:sz w:val="22"/>
          <w:szCs w:val="22"/>
        </w:rPr>
        <w:t>Zwaigenbaum</w:t>
      </w:r>
      <w:proofErr w:type="spellEnd"/>
      <w:r w:rsidRPr="000145AA">
        <w:rPr>
          <w:sz w:val="22"/>
          <w:szCs w:val="22"/>
        </w:rPr>
        <w:t xml:space="preserve">, L. and Penner, M. (2018) 'Autism spectrum disorder: Advances in diagnosis and evaluation', </w:t>
      </w:r>
      <w:r w:rsidRPr="000145AA">
        <w:rPr>
          <w:i/>
          <w:iCs/>
          <w:sz w:val="22"/>
          <w:szCs w:val="22"/>
        </w:rPr>
        <w:t>BMJ</w:t>
      </w:r>
      <w:r w:rsidRPr="000145AA">
        <w:rPr>
          <w:sz w:val="22"/>
          <w:szCs w:val="22"/>
        </w:rPr>
        <w:t>, 361, k1674.</w:t>
      </w:r>
    </w:p>
    <w:p w14:paraId="06251679" w14:textId="73369A5F" w:rsidR="338B1E3E" w:rsidRPr="000145AA" w:rsidRDefault="338B1E3E" w:rsidP="338B1E3E">
      <w:pPr>
        <w:pStyle w:val="ListParagraph"/>
        <w:spacing w:before="240" w:after="240"/>
        <w:rPr>
          <w:sz w:val="22"/>
          <w:szCs w:val="22"/>
        </w:rPr>
      </w:pPr>
    </w:p>
    <w:p w14:paraId="5234F6C5" w14:textId="44401C2D" w:rsidR="08B903B1" w:rsidRPr="000145AA" w:rsidRDefault="44F09236" w:rsidP="338B1E3E">
      <w:pPr>
        <w:pStyle w:val="Heading1"/>
        <w:rPr>
          <w:rFonts w:asciiTheme="minorHAnsi" w:eastAsiaTheme="minorEastAsia" w:hAnsiTheme="minorHAnsi" w:cstheme="minorBidi"/>
          <w:b/>
          <w:bCs/>
          <w:color w:val="auto"/>
          <w:sz w:val="22"/>
          <w:szCs w:val="22"/>
        </w:rPr>
      </w:pPr>
      <w:bookmarkStart w:id="13" w:name="_Toc235405123"/>
      <w:r w:rsidRPr="000145AA">
        <w:rPr>
          <w:rFonts w:asciiTheme="minorHAnsi" w:eastAsiaTheme="minorEastAsia" w:hAnsiTheme="minorHAnsi" w:cstheme="minorBidi"/>
          <w:b/>
          <w:bCs/>
          <w:color w:val="auto"/>
          <w:sz w:val="22"/>
          <w:szCs w:val="22"/>
        </w:rPr>
        <w:t>Appendix A</w:t>
      </w:r>
      <w:bookmarkEnd w:id="13"/>
      <w:r w:rsidRPr="000145AA">
        <w:rPr>
          <w:rFonts w:asciiTheme="minorHAnsi" w:eastAsiaTheme="minorEastAsia" w:hAnsiTheme="minorHAnsi" w:cstheme="minorBidi"/>
          <w:b/>
          <w:bCs/>
          <w:color w:val="auto"/>
          <w:sz w:val="22"/>
          <w:szCs w:val="22"/>
        </w:rPr>
        <w:t xml:space="preserve"> </w:t>
      </w:r>
    </w:p>
    <w:p w14:paraId="7C37B8E0" w14:textId="1000F057" w:rsidR="44F09236" w:rsidRPr="000145AA" w:rsidRDefault="44F09236" w:rsidP="338B1E3E">
      <w:pPr>
        <w:rPr>
          <w:rFonts w:ascii="Arial" w:eastAsia="Arial" w:hAnsi="Arial" w:cs="Arial"/>
          <w:sz w:val="22"/>
          <w:szCs w:val="22"/>
        </w:rPr>
      </w:pPr>
      <w:r w:rsidRPr="000145AA">
        <w:rPr>
          <w:rFonts w:ascii="Arial" w:eastAsia="Arial" w:hAnsi="Arial" w:cs="Arial"/>
          <w:sz w:val="22"/>
          <w:szCs w:val="22"/>
        </w:rPr>
        <w:t>Data Extraction table</w:t>
      </w:r>
    </w:p>
    <w:p w14:paraId="29802E1C" w14:textId="4C01384A" w:rsidR="7B44AD0A" w:rsidRPr="000145AA" w:rsidRDefault="7B44AD0A" w:rsidP="338B1E3E">
      <w:pPr>
        <w:spacing w:line="360" w:lineRule="auto"/>
        <w:rPr>
          <w:rFonts w:ascii="Arial" w:eastAsia="Arial" w:hAnsi="Arial" w:cs="Arial"/>
          <w:sz w:val="22"/>
          <w:szCs w:val="22"/>
        </w:rPr>
      </w:pPr>
      <w:r w:rsidRPr="000145AA">
        <w:rPr>
          <w:rFonts w:ascii="Arial" w:eastAsia="Arial" w:hAnsi="Arial" w:cs="Arial"/>
          <w:sz w:val="22"/>
          <w:szCs w:val="22"/>
        </w:rPr>
        <w:t>Data were extracted using a standardised form, recording the author, year, country, study aim, design, participants, setting, key findings, and relevance to the review question.</w:t>
      </w:r>
    </w:p>
    <w:p w14:paraId="5C454B55" w14:textId="3FB1EB0E" w:rsidR="338B1E3E" w:rsidRPr="000145AA" w:rsidRDefault="338B1E3E" w:rsidP="338B1E3E">
      <w:pPr>
        <w:rPr>
          <w:rFonts w:ascii="Arial" w:eastAsia="Arial" w:hAnsi="Arial" w:cs="Arial"/>
          <w:b/>
          <w:bCs/>
          <w:sz w:val="22"/>
          <w:szCs w:val="22"/>
        </w:rPr>
      </w:pPr>
    </w:p>
    <w:tbl>
      <w:tblPr>
        <w:tblStyle w:val="PlainTable1"/>
        <w:tblW w:w="0" w:type="auto"/>
        <w:tblLook w:val="06A0" w:firstRow="1" w:lastRow="0" w:firstColumn="1" w:lastColumn="0" w:noHBand="1" w:noVBand="1"/>
      </w:tblPr>
      <w:tblGrid>
        <w:gridCol w:w="3132"/>
        <w:gridCol w:w="2626"/>
      </w:tblGrid>
      <w:tr w:rsidR="338B1E3E" w:rsidRPr="000145AA" w14:paraId="08CD85F9" w14:textId="77777777" w:rsidTr="338B1E3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32" w:type="dxa"/>
          </w:tcPr>
          <w:p w14:paraId="2C7CBADB" w14:textId="3F5BF06D" w:rsidR="338B1E3E" w:rsidRPr="000145AA" w:rsidRDefault="338B1E3E" w:rsidP="338B1E3E">
            <w:pPr>
              <w:jc w:val="center"/>
              <w:rPr>
                <w:sz w:val="22"/>
                <w:szCs w:val="22"/>
              </w:rPr>
            </w:pPr>
            <w:r w:rsidRPr="000145AA">
              <w:rPr>
                <w:sz w:val="22"/>
                <w:szCs w:val="22"/>
              </w:rPr>
              <w:t>Study</w:t>
            </w:r>
          </w:p>
        </w:tc>
        <w:tc>
          <w:tcPr>
            <w:tcW w:w="2626" w:type="dxa"/>
          </w:tcPr>
          <w:p w14:paraId="2523B843" w14:textId="50CE7F16" w:rsidR="338B1E3E" w:rsidRPr="000145AA" w:rsidRDefault="338B1E3E" w:rsidP="338B1E3E">
            <w:pPr>
              <w:jc w:val="center"/>
              <w:cnfStyle w:val="100000000000" w:firstRow="1" w:lastRow="0" w:firstColumn="0" w:lastColumn="0" w:oddVBand="0" w:evenVBand="0" w:oddHBand="0" w:evenHBand="0" w:firstRowFirstColumn="0" w:firstRowLastColumn="0" w:lastRowFirstColumn="0" w:lastRowLastColumn="0"/>
              <w:rPr>
                <w:b w:val="0"/>
                <w:bCs w:val="0"/>
                <w:sz w:val="22"/>
                <w:szCs w:val="22"/>
              </w:rPr>
            </w:pPr>
            <w:r w:rsidRPr="000145AA">
              <w:rPr>
                <w:sz w:val="22"/>
                <w:szCs w:val="22"/>
              </w:rPr>
              <w:t>Information Extracted</w:t>
            </w:r>
          </w:p>
        </w:tc>
      </w:tr>
      <w:tr w:rsidR="338B1E3E" w:rsidRPr="000145AA" w14:paraId="0170A310"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4E64424F" w14:textId="7C800306" w:rsidR="338B1E3E" w:rsidRPr="000145AA" w:rsidRDefault="338B1E3E" w:rsidP="338B1E3E">
            <w:pPr>
              <w:rPr>
                <w:sz w:val="22"/>
                <w:szCs w:val="22"/>
              </w:rPr>
            </w:pPr>
            <w:r w:rsidRPr="000145AA">
              <w:rPr>
                <w:sz w:val="22"/>
                <w:szCs w:val="22"/>
              </w:rPr>
              <w:t>Author(s)</w:t>
            </w:r>
          </w:p>
        </w:tc>
        <w:tc>
          <w:tcPr>
            <w:tcW w:w="2626" w:type="dxa"/>
          </w:tcPr>
          <w:p w14:paraId="609C4C32" w14:textId="1DB87260"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7CB3BD90"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3EA3DD56" w14:textId="3F746CF4" w:rsidR="338B1E3E" w:rsidRPr="000145AA" w:rsidRDefault="338B1E3E" w:rsidP="338B1E3E">
            <w:pPr>
              <w:rPr>
                <w:sz w:val="22"/>
                <w:szCs w:val="22"/>
              </w:rPr>
            </w:pPr>
            <w:r w:rsidRPr="000145AA">
              <w:rPr>
                <w:sz w:val="22"/>
                <w:szCs w:val="22"/>
              </w:rPr>
              <w:t>Year of publication</w:t>
            </w:r>
          </w:p>
        </w:tc>
        <w:tc>
          <w:tcPr>
            <w:tcW w:w="2626" w:type="dxa"/>
          </w:tcPr>
          <w:p w14:paraId="2F3D3F24" w14:textId="19C4F189"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04F8974B"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1A871786" w14:textId="530EA44B" w:rsidR="338B1E3E" w:rsidRPr="000145AA" w:rsidRDefault="338B1E3E" w:rsidP="338B1E3E">
            <w:pPr>
              <w:rPr>
                <w:sz w:val="22"/>
                <w:szCs w:val="22"/>
              </w:rPr>
            </w:pPr>
            <w:r w:rsidRPr="000145AA">
              <w:rPr>
                <w:sz w:val="22"/>
                <w:szCs w:val="22"/>
              </w:rPr>
              <w:t>Country</w:t>
            </w:r>
          </w:p>
        </w:tc>
        <w:tc>
          <w:tcPr>
            <w:tcW w:w="2626" w:type="dxa"/>
          </w:tcPr>
          <w:p w14:paraId="7E711EEA" w14:textId="070FD3A9"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406E86FF"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6A059575" w14:textId="3E365038" w:rsidR="338B1E3E" w:rsidRPr="000145AA" w:rsidRDefault="338B1E3E" w:rsidP="338B1E3E">
            <w:pPr>
              <w:rPr>
                <w:sz w:val="22"/>
                <w:szCs w:val="22"/>
              </w:rPr>
            </w:pPr>
            <w:r w:rsidRPr="000145AA">
              <w:rPr>
                <w:sz w:val="22"/>
                <w:szCs w:val="22"/>
              </w:rPr>
              <w:t>Aim of study</w:t>
            </w:r>
          </w:p>
        </w:tc>
        <w:tc>
          <w:tcPr>
            <w:tcW w:w="2626" w:type="dxa"/>
          </w:tcPr>
          <w:p w14:paraId="3C3580FF" w14:textId="42DB3C26"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16B06EAA"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6456C226" w14:textId="4EAF9EBC" w:rsidR="338B1E3E" w:rsidRPr="000145AA" w:rsidRDefault="338B1E3E" w:rsidP="338B1E3E">
            <w:pPr>
              <w:rPr>
                <w:sz w:val="22"/>
                <w:szCs w:val="22"/>
              </w:rPr>
            </w:pPr>
            <w:r w:rsidRPr="000145AA">
              <w:rPr>
                <w:sz w:val="22"/>
                <w:szCs w:val="22"/>
              </w:rPr>
              <w:t>Study design</w:t>
            </w:r>
          </w:p>
        </w:tc>
        <w:tc>
          <w:tcPr>
            <w:tcW w:w="2626" w:type="dxa"/>
          </w:tcPr>
          <w:p w14:paraId="766857F5" w14:textId="2D9CDAC2"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5A2B349E"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3D67D567" w14:textId="16AD0581" w:rsidR="338B1E3E" w:rsidRPr="000145AA" w:rsidRDefault="338B1E3E" w:rsidP="338B1E3E">
            <w:pPr>
              <w:rPr>
                <w:sz w:val="22"/>
                <w:szCs w:val="22"/>
              </w:rPr>
            </w:pPr>
            <w:r w:rsidRPr="000145AA">
              <w:rPr>
                <w:sz w:val="22"/>
                <w:szCs w:val="22"/>
              </w:rPr>
              <w:t>Research method</w:t>
            </w:r>
          </w:p>
        </w:tc>
        <w:tc>
          <w:tcPr>
            <w:tcW w:w="2626" w:type="dxa"/>
          </w:tcPr>
          <w:p w14:paraId="6B82E503" w14:textId="181CA5F3"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0E6E9DF1"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19DE215E" w14:textId="6382B4B9" w:rsidR="338B1E3E" w:rsidRPr="000145AA" w:rsidRDefault="338B1E3E" w:rsidP="338B1E3E">
            <w:pPr>
              <w:rPr>
                <w:sz w:val="22"/>
                <w:szCs w:val="22"/>
              </w:rPr>
            </w:pPr>
            <w:r w:rsidRPr="000145AA">
              <w:rPr>
                <w:sz w:val="22"/>
                <w:szCs w:val="22"/>
              </w:rPr>
              <w:lastRenderedPageBreak/>
              <w:t>Type of analysis</w:t>
            </w:r>
          </w:p>
        </w:tc>
        <w:tc>
          <w:tcPr>
            <w:tcW w:w="2626" w:type="dxa"/>
          </w:tcPr>
          <w:p w14:paraId="53D58869" w14:textId="0CC089A4"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117364F5"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3BA2E7A2" w14:textId="08DF067D" w:rsidR="338B1E3E" w:rsidRPr="000145AA" w:rsidRDefault="338B1E3E" w:rsidP="338B1E3E">
            <w:pPr>
              <w:rPr>
                <w:sz w:val="22"/>
                <w:szCs w:val="22"/>
              </w:rPr>
            </w:pPr>
            <w:r w:rsidRPr="000145AA">
              <w:rPr>
                <w:sz w:val="22"/>
                <w:szCs w:val="22"/>
              </w:rPr>
              <w:t>Sample size/participants</w:t>
            </w:r>
          </w:p>
        </w:tc>
        <w:tc>
          <w:tcPr>
            <w:tcW w:w="2626" w:type="dxa"/>
          </w:tcPr>
          <w:p w14:paraId="2583A117" w14:textId="5E4677C0"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0BCCCF30"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6ABB27F1" w14:textId="1FAD8313" w:rsidR="338B1E3E" w:rsidRPr="000145AA" w:rsidRDefault="338B1E3E" w:rsidP="338B1E3E">
            <w:pPr>
              <w:rPr>
                <w:sz w:val="22"/>
                <w:szCs w:val="22"/>
              </w:rPr>
            </w:pPr>
            <w:r w:rsidRPr="000145AA">
              <w:rPr>
                <w:sz w:val="22"/>
                <w:szCs w:val="22"/>
              </w:rPr>
              <w:t>Setting</w:t>
            </w:r>
          </w:p>
        </w:tc>
        <w:tc>
          <w:tcPr>
            <w:tcW w:w="2626" w:type="dxa"/>
          </w:tcPr>
          <w:p w14:paraId="41E4658B" w14:textId="65222228"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78708F7D"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304223C4" w14:textId="2D315FB9" w:rsidR="338B1E3E" w:rsidRPr="000145AA" w:rsidRDefault="338B1E3E" w:rsidP="338B1E3E">
            <w:pPr>
              <w:rPr>
                <w:sz w:val="22"/>
                <w:szCs w:val="22"/>
              </w:rPr>
            </w:pPr>
            <w:r w:rsidRPr="000145AA">
              <w:rPr>
                <w:sz w:val="22"/>
                <w:szCs w:val="22"/>
              </w:rPr>
              <w:t>Main findings</w:t>
            </w:r>
          </w:p>
        </w:tc>
        <w:tc>
          <w:tcPr>
            <w:tcW w:w="2626" w:type="dxa"/>
          </w:tcPr>
          <w:p w14:paraId="63D065A6" w14:textId="4AA658ED"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04D64BF4"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5CF83672" w14:textId="6B4F1720" w:rsidR="338B1E3E" w:rsidRPr="000145AA" w:rsidRDefault="338B1E3E" w:rsidP="338B1E3E">
            <w:pPr>
              <w:rPr>
                <w:sz w:val="22"/>
                <w:szCs w:val="22"/>
              </w:rPr>
            </w:pPr>
            <w:r w:rsidRPr="000145AA">
              <w:rPr>
                <w:sz w:val="22"/>
                <w:szCs w:val="22"/>
              </w:rPr>
              <w:t>Theme</w:t>
            </w:r>
          </w:p>
        </w:tc>
        <w:tc>
          <w:tcPr>
            <w:tcW w:w="2626" w:type="dxa"/>
          </w:tcPr>
          <w:p w14:paraId="06157449" w14:textId="6C0D8741"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r w:rsidR="338B1E3E" w:rsidRPr="000145AA" w14:paraId="4B719547" w14:textId="77777777" w:rsidTr="338B1E3E">
        <w:trPr>
          <w:trHeight w:val="300"/>
        </w:trPr>
        <w:tc>
          <w:tcPr>
            <w:cnfStyle w:val="001000000000" w:firstRow="0" w:lastRow="0" w:firstColumn="1" w:lastColumn="0" w:oddVBand="0" w:evenVBand="0" w:oddHBand="0" w:evenHBand="0" w:firstRowFirstColumn="0" w:firstRowLastColumn="0" w:lastRowFirstColumn="0" w:lastRowLastColumn="0"/>
            <w:tcW w:w="3132" w:type="dxa"/>
          </w:tcPr>
          <w:p w14:paraId="7B17AE2C" w14:textId="178D6D0E" w:rsidR="338B1E3E" w:rsidRPr="000145AA" w:rsidRDefault="338B1E3E" w:rsidP="338B1E3E">
            <w:pPr>
              <w:rPr>
                <w:sz w:val="22"/>
                <w:szCs w:val="22"/>
              </w:rPr>
            </w:pPr>
            <w:r w:rsidRPr="000145AA">
              <w:rPr>
                <w:sz w:val="22"/>
                <w:szCs w:val="22"/>
              </w:rPr>
              <w:t>Relevance to review question</w:t>
            </w:r>
          </w:p>
        </w:tc>
        <w:tc>
          <w:tcPr>
            <w:tcW w:w="2626" w:type="dxa"/>
          </w:tcPr>
          <w:p w14:paraId="08BC3414" w14:textId="35C434E9" w:rsidR="338B1E3E" w:rsidRPr="000145AA" w:rsidRDefault="338B1E3E" w:rsidP="338B1E3E">
            <w:pPr>
              <w:cnfStyle w:val="000000000000" w:firstRow="0" w:lastRow="0" w:firstColumn="0" w:lastColumn="0" w:oddVBand="0" w:evenVBand="0" w:oddHBand="0" w:evenHBand="0" w:firstRowFirstColumn="0" w:firstRowLastColumn="0" w:lastRowFirstColumn="0" w:lastRowLastColumn="0"/>
              <w:rPr>
                <w:sz w:val="22"/>
                <w:szCs w:val="22"/>
              </w:rPr>
            </w:pPr>
          </w:p>
        </w:tc>
      </w:tr>
    </w:tbl>
    <w:p w14:paraId="17F492E1" w14:textId="2B3E9AA2" w:rsidR="338B1E3E" w:rsidRDefault="338B1E3E" w:rsidP="338B1E3E">
      <w:pPr>
        <w:rPr>
          <w:rFonts w:ascii="Arial" w:eastAsia="Arial" w:hAnsi="Arial" w:cs="Arial"/>
          <w:b/>
          <w:bCs/>
          <w:sz w:val="22"/>
          <w:szCs w:val="22"/>
        </w:rPr>
      </w:pPr>
    </w:p>
    <w:sectPr w:rsidR="338B1E3E">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FD957" w14:textId="77777777" w:rsidR="00B90852" w:rsidRPr="000145AA" w:rsidRDefault="00B90852">
      <w:pPr>
        <w:spacing w:after="0" w:line="240" w:lineRule="auto"/>
      </w:pPr>
      <w:r w:rsidRPr="000145AA">
        <w:separator/>
      </w:r>
    </w:p>
  </w:endnote>
  <w:endnote w:type="continuationSeparator" w:id="0">
    <w:p w14:paraId="3243E227" w14:textId="77777777" w:rsidR="00B90852" w:rsidRPr="000145AA" w:rsidRDefault="00B90852">
      <w:pPr>
        <w:spacing w:after="0" w:line="240" w:lineRule="auto"/>
      </w:pPr>
      <w:r w:rsidRPr="000145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FC360" w:rsidRPr="000145AA" w14:paraId="32D5B032" w14:textId="77777777" w:rsidTr="193FC360">
      <w:trPr>
        <w:trHeight w:val="300"/>
      </w:trPr>
      <w:tc>
        <w:tcPr>
          <w:tcW w:w="3120" w:type="dxa"/>
        </w:tcPr>
        <w:p w14:paraId="70B1A48D" w14:textId="739DD46A" w:rsidR="193FC360" w:rsidRPr="000145AA" w:rsidRDefault="193FC360" w:rsidP="193FC360">
          <w:pPr>
            <w:pStyle w:val="Header"/>
            <w:ind w:left="-115"/>
          </w:pPr>
        </w:p>
      </w:tc>
      <w:tc>
        <w:tcPr>
          <w:tcW w:w="3120" w:type="dxa"/>
        </w:tcPr>
        <w:p w14:paraId="7F366CC2" w14:textId="7BEA6FE1" w:rsidR="193FC360" w:rsidRPr="000145AA" w:rsidRDefault="193FC360" w:rsidP="193FC360">
          <w:pPr>
            <w:pStyle w:val="Header"/>
            <w:jc w:val="center"/>
          </w:pPr>
        </w:p>
      </w:tc>
      <w:tc>
        <w:tcPr>
          <w:tcW w:w="3120" w:type="dxa"/>
        </w:tcPr>
        <w:p w14:paraId="10F049ED" w14:textId="6DBD1187" w:rsidR="193FC360" w:rsidRPr="000145AA" w:rsidRDefault="193FC360" w:rsidP="193FC360">
          <w:pPr>
            <w:pStyle w:val="Header"/>
            <w:ind w:right="-115"/>
            <w:jc w:val="right"/>
          </w:pPr>
        </w:p>
      </w:tc>
    </w:tr>
  </w:tbl>
  <w:p w14:paraId="2D12D601" w14:textId="69DCCF9A" w:rsidR="193FC360" w:rsidRPr="000145AA" w:rsidRDefault="193FC360" w:rsidP="193FC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929C1" w14:textId="77777777" w:rsidR="00B90852" w:rsidRPr="000145AA" w:rsidRDefault="00B90852">
      <w:pPr>
        <w:spacing w:after="0" w:line="240" w:lineRule="auto"/>
      </w:pPr>
      <w:r w:rsidRPr="000145AA">
        <w:separator/>
      </w:r>
    </w:p>
  </w:footnote>
  <w:footnote w:type="continuationSeparator" w:id="0">
    <w:p w14:paraId="2900370D" w14:textId="77777777" w:rsidR="00B90852" w:rsidRPr="000145AA" w:rsidRDefault="00B90852">
      <w:pPr>
        <w:spacing w:after="0" w:line="240" w:lineRule="auto"/>
      </w:pPr>
      <w:r w:rsidRPr="000145A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93FC360" w:rsidRPr="000145AA" w14:paraId="309F6DA7" w14:textId="77777777" w:rsidTr="193FC360">
      <w:trPr>
        <w:trHeight w:val="300"/>
      </w:trPr>
      <w:tc>
        <w:tcPr>
          <w:tcW w:w="3120" w:type="dxa"/>
        </w:tcPr>
        <w:p w14:paraId="75347D9F" w14:textId="6ADB23A3" w:rsidR="193FC360" w:rsidRPr="000145AA" w:rsidRDefault="193FC360" w:rsidP="193FC360">
          <w:pPr>
            <w:pStyle w:val="Header"/>
            <w:ind w:left="-115"/>
          </w:pPr>
        </w:p>
      </w:tc>
      <w:tc>
        <w:tcPr>
          <w:tcW w:w="3120" w:type="dxa"/>
        </w:tcPr>
        <w:p w14:paraId="49B447EA" w14:textId="7F2A9819" w:rsidR="193FC360" w:rsidRPr="000145AA" w:rsidRDefault="193FC360" w:rsidP="193FC360">
          <w:pPr>
            <w:pStyle w:val="Header"/>
            <w:jc w:val="center"/>
          </w:pPr>
        </w:p>
      </w:tc>
      <w:tc>
        <w:tcPr>
          <w:tcW w:w="3120" w:type="dxa"/>
        </w:tcPr>
        <w:p w14:paraId="7CCB69BD" w14:textId="33C1EC5B" w:rsidR="193FC360" w:rsidRPr="000145AA" w:rsidRDefault="193FC360" w:rsidP="193FC360">
          <w:pPr>
            <w:pStyle w:val="Header"/>
            <w:ind w:right="-115"/>
            <w:jc w:val="right"/>
          </w:pPr>
        </w:p>
      </w:tc>
    </w:tr>
  </w:tbl>
  <w:p w14:paraId="766AE0C1" w14:textId="06B93BDC" w:rsidR="193FC360" w:rsidRPr="000145AA" w:rsidRDefault="193FC360" w:rsidP="193FC3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2FBC"/>
    <w:multiLevelType w:val="hybridMultilevel"/>
    <w:tmpl w:val="2FBA664A"/>
    <w:lvl w:ilvl="0" w:tplc="C4E63C32">
      <w:start w:val="1"/>
      <w:numFmt w:val="bullet"/>
      <w:lvlText w:val=""/>
      <w:lvlJc w:val="left"/>
      <w:pPr>
        <w:ind w:left="720" w:hanging="360"/>
      </w:pPr>
      <w:rPr>
        <w:rFonts w:ascii="Symbol" w:hAnsi="Symbol" w:hint="default"/>
      </w:rPr>
    </w:lvl>
    <w:lvl w:ilvl="1" w:tplc="94063EEA">
      <w:start w:val="1"/>
      <w:numFmt w:val="bullet"/>
      <w:lvlText w:val="o"/>
      <w:lvlJc w:val="left"/>
      <w:pPr>
        <w:ind w:left="1440" w:hanging="360"/>
      </w:pPr>
      <w:rPr>
        <w:rFonts w:ascii="Courier New" w:hAnsi="Courier New" w:hint="default"/>
      </w:rPr>
    </w:lvl>
    <w:lvl w:ilvl="2" w:tplc="288AB518">
      <w:start w:val="1"/>
      <w:numFmt w:val="bullet"/>
      <w:lvlText w:val=""/>
      <w:lvlJc w:val="left"/>
      <w:pPr>
        <w:ind w:left="2160" w:hanging="360"/>
      </w:pPr>
      <w:rPr>
        <w:rFonts w:ascii="Wingdings" w:hAnsi="Wingdings" w:hint="default"/>
      </w:rPr>
    </w:lvl>
    <w:lvl w:ilvl="3" w:tplc="E8162002">
      <w:start w:val="1"/>
      <w:numFmt w:val="bullet"/>
      <w:lvlText w:val=""/>
      <w:lvlJc w:val="left"/>
      <w:pPr>
        <w:ind w:left="2880" w:hanging="360"/>
      </w:pPr>
      <w:rPr>
        <w:rFonts w:ascii="Symbol" w:hAnsi="Symbol" w:hint="default"/>
      </w:rPr>
    </w:lvl>
    <w:lvl w:ilvl="4" w:tplc="538C87A0">
      <w:start w:val="1"/>
      <w:numFmt w:val="bullet"/>
      <w:lvlText w:val="o"/>
      <w:lvlJc w:val="left"/>
      <w:pPr>
        <w:ind w:left="3600" w:hanging="360"/>
      </w:pPr>
      <w:rPr>
        <w:rFonts w:ascii="Courier New" w:hAnsi="Courier New" w:hint="default"/>
      </w:rPr>
    </w:lvl>
    <w:lvl w:ilvl="5" w:tplc="99E09AB4">
      <w:start w:val="1"/>
      <w:numFmt w:val="bullet"/>
      <w:lvlText w:val=""/>
      <w:lvlJc w:val="left"/>
      <w:pPr>
        <w:ind w:left="4320" w:hanging="360"/>
      </w:pPr>
      <w:rPr>
        <w:rFonts w:ascii="Wingdings" w:hAnsi="Wingdings" w:hint="default"/>
      </w:rPr>
    </w:lvl>
    <w:lvl w:ilvl="6" w:tplc="96D84F94">
      <w:start w:val="1"/>
      <w:numFmt w:val="bullet"/>
      <w:lvlText w:val=""/>
      <w:lvlJc w:val="left"/>
      <w:pPr>
        <w:ind w:left="5040" w:hanging="360"/>
      </w:pPr>
      <w:rPr>
        <w:rFonts w:ascii="Symbol" w:hAnsi="Symbol" w:hint="default"/>
      </w:rPr>
    </w:lvl>
    <w:lvl w:ilvl="7" w:tplc="4232D1FC">
      <w:start w:val="1"/>
      <w:numFmt w:val="bullet"/>
      <w:lvlText w:val="o"/>
      <w:lvlJc w:val="left"/>
      <w:pPr>
        <w:ind w:left="5760" w:hanging="360"/>
      </w:pPr>
      <w:rPr>
        <w:rFonts w:ascii="Courier New" w:hAnsi="Courier New" w:hint="default"/>
      </w:rPr>
    </w:lvl>
    <w:lvl w:ilvl="8" w:tplc="683C6152">
      <w:start w:val="1"/>
      <w:numFmt w:val="bullet"/>
      <w:lvlText w:val=""/>
      <w:lvlJc w:val="left"/>
      <w:pPr>
        <w:ind w:left="6480" w:hanging="360"/>
      </w:pPr>
      <w:rPr>
        <w:rFonts w:ascii="Wingdings" w:hAnsi="Wingdings" w:hint="default"/>
      </w:rPr>
    </w:lvl>
  </w:abstractNum>
  <w:abstractNum w:abstractNumId="1" w15:restartNumberingAfterBreak="0">
    <w:nsid w:val="15682A83"/>
    <w:multiLevelType w:val="hybridMultilevel"/>
    <w:tmpl w:val="1FCEA022"/>
    <w:lvl w:ilvl="0" w:tplc="B49EAFF6">
      <w:start w:val="1"/>
      <w:numFmt w:val="bullet"/>
      <w:lvlText w:val=""/>
      <w:lvlJc w:val="left"/>
      <w:pPr>
        <w:ind w:left="720" w:hanging="360"/>
      </w:pPr>
      <w:rPr>
        <w:rFonts w:ascii="Symbol" w:hAnsi="Symbol" w:hint="default"/>
      </w:rPr>
    </w:lvl>
    <w:lvl w:ilvl="1" w:tplc="F12E264C">
      <w:start w:val="1"/>
      <w:numFmt w:val="bullet"/>
      <w:lvlText w:val="o"/>
      <w:lvlJc w:val="left"/>
      <w:pPr>
        <w:ind w:left="1440" w:hanging="360"/>
      </w:pPr>
      <w:rPr>
        <w:rFonts w:ascii="Courier New" w:hAnsi="Courier New" w:hint="default"/>
      </w:rPr>
    </w:lvl>
    <w:lvl w:ilvl="2" w:tplc="9D5A1EEE">
      <w:start w:val="1"/>
      <w:numFmt w:val="bullet"/>
      <w:lvlText w:val=""/>
      <w:lvlJc w:val="left"/>
      <w:pPr>
        <w:ind w:left="2160" w:hanging="360"/>
      </w:pPr>
      <w:rPr>
        <w:rFonts w:ascii="Wingdings" w:hAnsi="Wingdings" w:hint="default"/>
      </w:rPr>
    </w:lvl>
    <w:lvl w:ilvl="3" w:tplc="0F5CA7E2">
      <w:start w:val="1"/>
      <w:numFmt w:val="bullet"/>
      <w:lvlText w:val=""/>
      <w:lvlJc w:val="left"/>
      <w:pPr>
        <w:ind w:left="2880" w:hanging="360"/>
      </w:pPr>
      <w:rPr>
        <w:rFonts w:ascii="Symbol" w:hAnsi="Symbol" w:hint="default"/>
      </w:rPr>
    </w:lvl>
    <w:lvl w:ilvl="4" w:tplc="390866D4">
      <w:start w:val="1"/>
      <w:numFmt w:val="bullet"/>
      <w:lvlText w:val="o"/>
      <w:lvlJc w:val="left"/>
      <w:pPr>
        <w:ind w:left="3600" w:hanging="360"/>
      </w:pPr>
      <w:rPr>
        <w:rFonts w:ascii="Courier New" w:hAnsi="Courier New" w:hint="default"/>
      </w:rPr>
    </w:lvl>
    <w:lvl w:ilvl="5" w:tplc="3398D354">
      <w:start w:val="1"/>
      <w:numFmt w:val="bullet"/>
      <w:lvlText w:val=""/>
      <w:lvlJc w:val="left"/>
      <w:pPr>
        <w:ind w:left="4320" w:hanging="360"/>
      </w:pPr>
      <w:rPr>
        <w:rFonts w:ascii="Wingdings" w:hAnsi="Wingdings" w:hint="default"/>
      </w:rPr>
    </w:lvl>
    <w:lvl w:ilvl="6" w:tplc="C7EC201A">
      <w:start w:val="1"/>
      <w:numFmt w:val="bullet"/>
      <w:lvlText w:val=""/>
      <w:lvlJc w:val="left"/>
      <w:pPr>
        <w:ind w:left="5040" w:hanging="360"/>
      </w:pPr>
      <w:rPr>
        <w:rFonts w:ascii="Symbol" w:hAnsi="Symbol" w:hint="default"/>
      </w:rPr>
    </w:lvl>
    <w:lvl w:ilvl="7" w:tplc="C94AAF18">
      <w:start w:val="1"/>
      <w:numFmt w:val="bullet"/>
      <w:lvlText w:val="o"/>
      <w:lvlJc w:val="left"/>
      <w:pPr>
        <w:ind w:left="5760" w:hanging="360"/>
      </w:pPr>
      <w:rPr>
        <w:rFonts w:ascii="Courier New" w:hAnsi="Courier New" w:hint="default"/>
      </w:rPr>
    </w:lvl>
    <w:lvl w:ilvl="8" w:tplc="D4509710">
      <w:start w:val="1"/>
      <w:numFmt w:val="bullet"/>
      <w:lvlText w:val=""/>
      <w:lvlJc w:val="left"/>
      <w:pPr>
        <w:ind w:left="6480" w:hanging="360"/>
      </w:pPr>
      <w:rPr>
        <w:rFonts w:ascii="Wingdings" w:hAnsi="Wingdings" w:hint="default"/>
      </w:rPr>
    </w:lvl>
  </w:abstractNum>
  <w:abstractNum w:abstractNumId="2" w15:restartNumberingAfterBreak="0">
    <w:nsid w:val="19B49B19"/>
    <w:multiLevelType w:val="hybridMultilevel"/>
    <w:tmpl w:val="719CEC80"/>
    <w:lvl w:ilvl="0" w:tplc="8AFED600">
      <w:start w:val="1"/>
      <w:numFmt w:val="decimal"/>
      <w:lvlText w:val="%1."/>
      <w:lvlJc w:val="left"/>
      <w:pPr>
        <w:ind w:left="720" w:hanging="360"/>
      </w:pPr>
    </w:lvl>
    <w:lvl w:ilvl="1" w:tplc="74123834">
      <w:start w:val="1"/>
      <w:numFmt w:val="lowerLetter"/>
      <w:lvlText w:val="%2."/>
      <w:lvlJc w:val="left"/>
      <w:pPr>
        <w:ind w:left="1440" w:hanging="360"/>
      </w:pPr>
    </w:lvl>
    <w:lvl w:ilvl="2" w:tplc="7BE803B8">
      <w:start w:val="1"/>
      <w:numFmt w:val="lowerRoman"/>
      <w:lvlText w:val="%3."/>
      <w:lvlJc w:val="right"/>
      <w:pPr>
        <w:ind w:left="2160" w:hanging="180"/>
      </w:pPr>
    </w:lvl>
    <w:lvl w:ilvl="3" w:tplc="F1C84422">
      <w:start w:val="1"/>
      <w:numFmt w:val="decimal"/>
      <w:lvlText w:val="%4."/>
      <w:lvlJc w:val="left"/>
      <w:pPr>
        <w:ind w:left="2880" w:hanging="360"/>
      </w:pPr>
    </w:lvl>
    <w:lvl w:ilvl="4" w:tplc="4D12322E">
      <w:start w:val="1"/>
      <w:numFmt w:val="lowerLetter"/>
      <w:lvlText w:val="%5."/>
      <w:lvlJc w:val="left"/>
      <w:pPr>
        <w:ind w:left="3600" w:hanging="360"/>
      </w:pPr>
    </w:lvl>
    <w:lvl w:ilvl="5" w:tplc="96E0AD80">
      <w:start w:val="1"/>
      <w:numFmt w:val="lowerRoman"/>
      <w:lvlText w:val="%6."/>
      <w:lvlJc w:val="right"/>
      <w:pPr>
        <w:ind w:left="4320" w:hanging="180"/>
      </w:pPr>
    </w:lvl>
    <w:lvl w:ilvl="6" w:tplc="AA60B436">
      <w:start w:val="1"/>
      <w:numFmt w:val="decimal"/>
      <w:lvlText w:val="%7."/>
      <w:lvlJc w:val="left"/>
      <w:pPr>
        <w:ind w:left="5040" w:hanging="360"/>
      </w:pPr>
    </w:lvl>
    <w:lvl w:ilvl="7" w:tplc="1730E034">
      <w:start w:val="1"/>
      <w:numFmt w:val="lowerLetter"/>
      <w:lvlText w:val="%8."/>
      <w:lvlJc w:val="left"/>
      <w:pPr>
        <w:ind w:left="5760" w:hanging="360"/>
      </w:pPr>
    </w:lvl>
    <w:lvl w:ilvl="8" w:tplc="BE74ED58">
      <w:start w:val="1"/>
      <w:numFmt w:val="lowerRoman"/>
      <w:lvlText w:val="%9."/>
      <w:lvlJc w:val="right"/>
      <w:pPr>
        <w:ind w:left="6480" w:hanging="180"/>
      </w:pPr>
    </w:lvl>
  </w:abstractNum>
  <w:abstractNum w:abstractNumId="3" w15:restartNumberingAfterBreak="0">
    <w:nsid w:val="1AE4153A"/>
    <w:multiLevelType w:val="hybridMultilevel"/>
    <w:tmpl w:val="937C66EA"/>
    <w:lvl w:ilvl="0" w:tplc="8FDED0FC">
      <w:start w:val="1"/>
      <w:numFmt w:val="bullet"/>
      <w:lvlText w:val=""/>
      <w:lvlJc w:val="left"/>
      <w:pPr>
        <w:ind w:left="720" w:hanging="360"/>
      </w:pPr>
      <w:rPr>
        <w:rFonts w:ascii="Symbol" w:hAnsi="Symbol" w:hint="default"/>
      </w:rPr>
    </w:lvl>
    <w:lvl w:ilvl="1" w:tplc="09BE085C">
      <w:start w:val="1"/>
      <w:numFmt w:val="bullet"/>
      <w:lvlText w:val="o"/>
      <w:lvlJc w:val="left"/>
      <w:pPr>
        <w:ind w:left="1440" w:hanging="360"/>
      </w:pPr>
      <w:rPr>
        <w:rFonts w:ascii="Courier New" w:hAnsi="Courier New" w:hint="default"/>
      </w:rPr>
    </w:lvl>
    <w:lvl w:ilvl="2" w:tplc="335A5CA2">
      <w:start w:val="1"/>
      <w:numFmt w:val="bullet"/>
      <w:lvlText w:val=""/>
      <w:lvlJc w:val="left"/>
      <w:pPr>
        <w:ind w:left="2160" w:hanging="360"/>
      </w:pPr>
      <w:rPr>
        <w:rFonts w:ascii="Wingdings" w:hAnsi="Wingdings" w:hint="default"/>
      </w:rPr>
    </w:lvl>
    <w:lvl w:ilvl="3" w:tplc="4E1CF7BC">
      <w:start w:val="1"/>
      <w:numFmt w:val="bullet"/>
      <w:lvlText w:val=""/>
      <w:lvlJc w:val="left"/>
      <w:pPr>
        <w:ind w:left="2880" w:hanging="360"/>
      </w:pPr>
      <w:rPr>
        <w:rFonts w:ascii="Symbol" w:hAnsi="Symbol" w:hint="default"/>
      </w:rPr>
    </w:lvl>
    <w:lvl w:ilvl="4" w:tplc="ADD670DC">
      <w:start w:val="1"/>
      <w:numFmt w:val="bullet"/>
      <w:lvlText w:val="o"/>
      <w:lvlJc w:val="left"/>
      <w:pPr>
        <w:ind w:left="3600" w:hanging="360"/>
      </w:pPr>
      <w:rPr>
        <w:rFonts w:ascii="Courier New" w:hAnsi="Courier New" w:hint="default"/>
      </w:rPr>
    </w:lvl>
    <w:lvl w:ilvl="5" w:tplc="334EBE02">
      <w:start w:val="1"/>
      <w:numFmt w:val="bullet"/>
      <w:lvlText w:val=""/>
      <w:lvlJc w:val="left"/>
      <w:pPr>
        <w:ind w:left="4320" w:hanging="360"/>
      </w:pPr>
      <w:rPr>
        <w:rFonts w:ascii="Wingdings" w:hAnsi="Wingdings" w:hint="default"/>
      </w:rPr>
    </w:lvl>
    <w:lvl w:ilvl="6" w:tplc="F8DCC4D2">
      <w:start w:val="1"/>
      <w:numFmt w:val="bullet"/>
      <w:lvlText w:val=""/>
      <w:lvlJc w:val="left"/>
      <w:pPr>
        <w:ind w:left="5040" w:hanging="360"/>
      </w:pPr>
      <w:rPr>
        <w:rFonts w:ascii="Symbol" w:hAnsi="Symbol" w:hint="default"/>
      </w:rPr>
    </w:lvl>
    <w:lvl w:ilvl="7" w:tplc="4AECB7A0">
      <w:start w:val="1"/>
      <w:numFmt w:val="bullet"/>
      <w:lvlText w:val="o"/>
      <w:lvlJc w:val="left"/>
      <w:pPr>
        <w:ind w:left="5760" w:hanging="360"/>
      </w:pPr>
      <w:rPr>
        <w:rFonts w:ascii="Courier New" w:hAnsi="Courier New" w:hint="default"/>
      </w:rPr>
    </w:lvl>
    <w:lvl w:ilvl="8" w:tplc="1026D398">
      <w:start w:val="1"/>
      <w:numFmt w:val="bullet"/>
      <w:lvlText w:val=""/>
      <w:lvlJc w:val="left"/>
      <w:pPr>
        <w:ind w:left="6480" w:hanging="360"/>
      </w:pPr>
      <w:rPr>
        <w:rFonts w:ascii="Wingdings" w:hAnsi="Wingdings" w:hint="default"/>
      </w:rPr>
    </w:lvl>
  </w:abstractNum>
  <w:abstractNum w:abstractNumId="4" w15:restartNumberingAfterBreak="0">
    <w:nsid w:val="20F69192"/>
    <w:multiLevelType w:val="hybridMultilevel"/>
    <w:tmpl w:val="0FAA39C4"/>
    <w:lvl w:ilvl="0" w:tplc="63647A60">
      <w:start w:val="1"/>
      <w:numFmt w:val="bullet"/>
      <w:lvlText w:val=""/>
      <w:lvlJc w:val="left"/>
      <w:pPr>
        <w:ind w:left="720" w:hanging="360"/>
      </w:pPr>
      <w:rPr>
        <w:rFonts w:ascii="Symbol" w:hAnsi="Symbol" w:hint="default"/>
      </w:rPr>
    </w:lvl>
    <w:lvl w:ilvl="1" w:tplc="542698BE">
      <w:start w:val="1"/>
      <w:numFmt w:val="bullet"/>
      <w:lvlText w:val="o"/>
      <w:lvlJc w:val="left"/>
      <w:pPr>
        <w:ind w:left="1440" w:hanging="360"/>
      </w:pPr>
      <w:rPr>
        <w:rFonts w:ascii="Courier New" w:hAnsi="Courier New" w:hint="default"/>
      </w:rPr>
    </w:lvl>
    <w:lvl w:ilvl="2" w:tplc="2110E196">
      <w:start w:val="1"/>
      <w:numFmt w:val="bullet"/>
      <w:lvlText w:val=""/>
      <w:lvlJc w:val="left"/>
      <w:pPr>
        <w:ind w:left="2160" w:hanging="360"/>
      </w:pPr>
      <w:rPr>
        <w:rFonts w:ascii="Wingdings" w:hAnsi="Wingdings" w:hint="default"/>
      </w:rPr>
    </w:lvl>
    <w:lvl w:ilvl="3" w:tplc="CD3C036E">
      <w:start w:val="1"/>
      <w:numFmt w:val="bullet"/>
      <w:lvlText w:val=""/>
      <w:lvlJc w:val="left"/>
      <w:pPr>
        <w:ind w:left="2880" w:hanging="360"/>
      </w:pPr>
      <w:rPr>
        <w:rFonts w:ascii="Symbol" w:hAnsi="Symbol" w:hint="default"/>
      </w:rPr>
    </w:lvl>
    <w:lvl w:ilvl="4" w:tplc="CB82B7F4">
      <w:start w:val="1"/>
      <w:numFmt w:val="bullet"/>
      <w:lvlText w:val="o"/>
      <w:lvlJc w:val="left"/>
      <w:pPr>
        <w:ind w:left="3600" w:hanging="360"/>
      </w:pPr>
      <w:rPr>
        <w:rFonts w:ascii="Courier New" w:hAnsi="Courier New" w:hint="default"/>
      </w:rPr>
    </w:lvl>
    <w:lvl w:ilvl="5" w:tplc="8604EFFE">
      <w:start w:val="1"/>
      <w:numFmt w:val="bullet"/>
      <w:lvlText w:val=""/>
      <w:lvlJc w:val="left"/>
      <w:pPr>
        <w:ind w:left="4320" w:hanging="360"/>
      </w:pPr>
      <w:rPr>
        <w:rFonts w:ascii="Wingdings" w:hAnsi="Wingdings" w:hint="default"/>
      </w:rPr>
    </w:lvl>
    <w:lvl w:ilvl="6" w:tplc="6B1C6F26">
      <w:start w:val="1"/>
      <w:numFmt w:val="bullet"/>
      <w:lvlText w:val=""/>
      <w:lvlJc w:val="left"/>
      <w:pPr>
        <w:ind w:left="5040" w:hanging="360"/>
      </w:pPr>
      <w:rPr>
        <w:rFonts w:ascii="Symbol" w:hAnsi="Symbol" w:hint="default"/>
      </w:rPr>
    </w:lvl>
    <w:lvl w:ilvl="7" w:tplc="692C33AC">
      <w:start w:val="1"/>
      <w:numFmt w:val="bullet"/>
      <w:lvlText w:val="o"/>
      <w:lvlJc w:val="left"/>
      <w:pPr>
        <w:ind w:left="5760" w:hanging="360"/>
      </w:pPr>
      <w:rPr>
        <w:rFonts w:ascii="Courier New" w:hAnsi="Courier New" w:hint="default"/>
      </w:rPr>
    </w:lvl>
    <w:lvl w:ilvl="8" w:tplc="DEEC9A1A">
      <w:start w:val="1"/>
      <w:numFmt w:val="bullet"/>
      <w:lvlText w:val=""/>
      <w:lvlJc w:val="left"/>
      <w:pPr>
        <w:ind w:left="6480" w:hanging="360"/>
      </w:pPr>
      <w:rPr>
        <w:rFonts w:ascii="Wingdings" w:hAnsi="Wingdings" w:hint="default"/>
      </w:rPr>
    </w:lvl>
  </w:abstractNum>
  <w:abstractNum w:abstractNumId="5" w15:restartNumberingAfterBreak="0">
    <w:nsid w:val="2176200C"/>
    <w:multiLevelType w:val="hybridMultilevel"/>
    <w:tmpl w:val="9A0A2188"/>
    <w:lvl w:ilvl="0" w:tplc="ABC6368A">
      <w:start w:val="1"/>
      <w:numFmt w:val="decimal"/>
      <w:lvlText w:val="%1."/>
      <w:lvlJc w:val="left"/>
      <w:pPr>
        <w:ind w:left="720" w:hanging="360"/>
      </w:pPr>
    </w:lvl>
    <w:lvl w:ilvl="1" w:tplc="A08A6160">
      <w:start w:val="1"/>
      <w:numFmt w:val="lowerLetter"/>
      <w:lvlText w:val="%2."/>
      <w:lvlJc w:val="left"/>
      <w:pPr>
        <w:ind w:left="1440" w:hanging="360"/>
      </w:pPr>
    </w:lvl>
    <w:lvl w:ilvl="2" w:tplc="2CCCFB54">
      <w:start w:val="1"/>
      <w:numFmt w:val="lowerRoman"/>
      <w:lvlText w:val="%3."/>
      <w:lvlJc w:val="right"/>
      <w:pPr>
        <w:ind w:left="2160" w:hanging="180"/>
      </w:pPr>
    </w:lvl>
    <w:lvl w:ilvl="3" w:tplc="8C60A1D0">
      <w:start w:val="1"/>
      <w:numFmt w:val="decimal"/>
      <w:lvlText w:val="%4."/>
      <w:lvlJc w:val="left"/>
      <w:pPr>
        <w:ind w:left="2880" w:hanging="360"/>
      </w:pPr>
    </w:lvl>
    <w:lvl w:ilvl="4" w:tplc="22BCD6D0">
      <w:start w:val="1"/>
      <w:numFmt w:val="lowerLetter"/>
      <w:lvlText w:val="%5."/>
      <w:lvlJc w:val="left"/>
      <w:pPr>
        <w:ind w:left="3600" w:hanging="360"/>
      </w:pPr>
    </w:lvl>
    <w:lvl w:ilvl="5" w:tplc="A97803D6">
      <w:start w:val="1"/>
      <w:numFmt w:val="lowerRoman"/>
      <w:lvlText w:val="%6."/>
      <w:lvlJc w:val="right"/>
      <w:pPr>
        <w:ind w:left="4320" w:hanging="180"/>
      </w:pPr>
    </w:lvl>
    <w:lvl w:ilvl="6" w:tplc="8182C260">
      <w:start w:val="1"/>
      <w:numFmt w:val="decimal"/>
      <w:lvlText w:val="%7."/>
      <w:lvlJc w:val="left"/>
      <w:pPr>
        <w:ind w:left="5040" w:hanging="360"/>
      </w:pPr>
    </w:lvl>
    <w:lvl w:ilvl="7" w:tplc="5254B8E4">
      <w:start w:val="1"/>
      <w:numFmt w:val="lowerLetter"/>
      <w:lvlText w:val="%8."/>
      <w:lvlJc w:val="left"/>
      <w:pPr>
        <w:ind w:left="5760" w:hanging="360"/>
      </w:pPr>
    </w:lvl>
    <w:lvl w:ilvl="8" w:tplc="7224529C">
      <w:start w:val="1"/>
      <w:numFmt w:val="lowerRoman"/>
      <w:lvlText w:val="%9."/>
      <w:lvlJc w:val="right"/>
      <w:pPr>
        <w:ind w:left="6480" w:hanging="180"/>
      </w:pPr>
    </w:lvl>
  </w:abstractNum>
  <w:abstractNum w:abstractNumId="6" w15:restartNumberingAfterBreak="0">
    <w:nsid w:val="231DE703"/>
    <w:multiLevelType w:val="hybridMultilevel"/>
    <w:tmpl w:val="A380EC56"/>
    <w:lvl w:ilvl="0" w:tplc="3DBCBC1E">
      <w:start w:val="1"/>
      <w:numFmt w:val="bullet"/>
      <w:lvlText w:val=""/>
      <w:lvlJc w:val="left"/>
      <w:pPr>
        <w:ind w:left="720" w:hanging="360"/>
      </w:pPr>
      <w:rPr>
        <w:rFonts w:ascii="Symbol" w:hAnsi="Symbol" w:hint="default"/>
      </w:rPr>
    </w:lvl>
    <w:lvl w:ilvl="1" w:tplc="58A401B4">
      <w:start w:val="1"/>
      <w:numFmt w:val="bullet"/>
      <w:lvlText w:val="o"/>
      <w:lvlJc w:val="left"/>
      <w:pPr>
        <w:ind w:left="1440" w:hanging="360"/>
      </w:pPr>
      <w:rPr>
        <w:rFonts w:ascii="Courier New" w:hAnsi="Courier New" w:hint="default"/>
      </w:rPr>
    </w:lvl>
    <w:lvl w:ilvl="2" w:tplc="92CAE0BC">
      <w:start w:val="1"/>
      <w:numFmt w:val="bullet"/>
      <w:lvlText w:val=""/>
      <w:lvlJc w:val="left"/>
      <w:pPr>
        <w:ind w:left="2160" w:hanging="360"/>
      </w:pPr>
      <w:rPr>
        <w:rFonts w:ascii="Wingdings" w:hAnsi="Wingdings" w:hint="default"/>
      </w:rPr>
    </w:lvl>
    <w:lvl w:ilvl="3" w:tplc="24D0B472">
      <w:start w:val="1"/>
      <w:numFmt w:val="bullet"/>
      <w:lvlText w:val=""/>
      <w:lvlJc w:val="left"/>
      <w:pPr>
        <w:ind w:left="2880" w:hanging="360"/>
      </w:pPr>
      <w:rPr>
        <w:rFonts w:ascii="Symbol" w:hAnsi="Symbol" w:hint="default"/>
      </w:rPr>
    </w:lvl>
    <w:lvl w:ilvl="4" w:tplc="1626F5AE">
      <w:start w:val="1"/>
      <w:numFmt w:val="bullet"/>
      <w:lvlText w:val="o"/>
      <w:lvlJc w:val="left"/>
      <w:pPr>
        <w:ind w:left="3600" w:hanging="360"/>
      </w:pPr>
      <w:rPr>
        <w:rFonts w:ascii="Courier New" w:hAnsi="Courier New" w:hint="default"/>
      </w:rPr>
    </w:lvl>
    <w:lvl w:ilvl="5" w:tplc="BC0A4FFA">
      <w:start w:val="1"/>
      <w:numFmt w:val="bullet"/>
      <w:lvlText w:val=""/>
      <w:lvlJc w:val="left"/>
      <w:pPr>
        <w:ind w:left="4320" w:hanging="360"/>
      </w:pPr>
      <w:rPr>
        <w:rFonts w:ascii="Wingdings" w:hAnsi="Wingdings" w:hint="default"/>
      </w:rPr>
    </w:lvl>
    <w:lvl w:ilvl="6" w:tplc="A608EC22">
      <w:start w:val="1"/>
      <w:numFmt w:val="bullet"/>
      <w:lvlText w:val=""/>
      <w:lvlJc w:val="left"/>
      <w:pPr>
        <w:ind w:left="5040" w:hanging="360"/>
      </w:pPr>
      <w:rPr>
        <w:rFonts w:ascii="Symbol" w:hAnsi="Symbol" w:hint="default"/>
      </w:rPr>
    </w:lvl>
    <w:lvl w:ilvl="7" w:tplc="7A847C12">
      <w:start w:val="1"/>
      <w:numFmt w:val="bullet"/>
      <w:lvlText w:val="o"/>
      <w:lvlJc w:val="left"/>
      <w:pPr>
        <w:ind w:left="5760" w:hanging="360"/>
      </w:pPr>
      <w:rPr>
        <w:rFonts w:ascii="Courier New" w:hAnsi="Courier New" w:hint="default"/>
      </w:rPr>
    </w:lvl>
    <w:lvl w:ilvl="8" w:tplc="339C65C8">
      <w:start w:val="1"/>
      <w:numFmt w:val="bullet"/>
      <w:lvlText w:val=""/>
      <w:lvlJc w:val="left"/>
      <w:pPr>
        <w:ind w:left="6480" w:hanging="360"/>
      </w:pPr>
      <w:rPr>
        <w:rFonts w:ascii="Wingdings" w:hAnsi="Wingdings" w:hint="default"/>
      </w:rPr>
    </w:lvl>
  </w:abstractNum>
  <w:abstractNum w:abstractNumId="7" w15:restartNumberingAfterBreak="0">
    <w:nsid w:val="279D8CA9"/>
    <w:multiLevelType w:val="hybridMultilevel"/>
    <w:tmpl w:val="5C6638D2"/>
    <w:lvl w:ilvl="0" w:tplc="31B2EAC6">
      <w:start w:val="1"/>
      <w:numFmt w:val="bullet"/>
      <w:lvlText w:val=""/>
      <w:lvlJc w:val="left"/>
      <w:pPr>
        <w:ind w:left="720" w:hanging="360"/>
      </w:pPr>
      <w:rPr>
        <w:rFonts w:ascii="Symbol" w:hAnsi="Symbol" w:hint="default"/>
      </w:rPr>
    </w:lvl>
    <w:lvl w:ilvl="1" w:tplc="2E525C2C">
      <w:start w:val="1"/>
      <w:numFmt w:val="bullet"/>
      <w:lvlText w:val="o"/>
      <w:lvlJc w:val="left"/>
      <w:pPr>
        <w:ind w:left="1440" w:hanging="360"/>
      </w:pPr>
      <w:rPr>
        <w:rFonts w:ascii="Courier New" w:hAnsi="Courier New" w:hint="default"/>
      </w:rPr>
    </w:lvl>
    <w:lvl w:ilvl="2" w:tplc="7E3089E2">
      <w:start w:val="1"/>
      <w:numFmt w:val="bullet"/>
      <w:lvlText w:val=""/>
      <w:lvlJc w:val="left"/>
      <w:pPr>
        <w:ind w:left="2160" w:hanging="360"/>
      </w:pPr>
      <w:rPr>
        <w:rFonts w:ascii="Wingdings" w:hAnsi="Wingdings" w:hint="default"/>
      </w:rPr>
    </w:lvl>
    <w:lvl w:ilvl="3" w:tplc="3224F302">
      <w:start w:val="1"/>
      <w:numFmt w:val="bullet"/>
      <w:lvlText w:val=""/>
      <w:lvlJc w:val="left"/>
      <w:pPr>
        <w:ind w:left="2880" w:hanging="360"/>
      </w:pPr>
      <w:rPr>
        <w:rFonts w:ascii="Symbol" w:hAnsi="Symbol" w:hint="default"/>
      </w:rPr>
    </w:lvl>
    <w:lvl w:ilvl="4" w:tplc="4E406BE0">
      <w:start w:val="1"/>
      <w:numFmt w:val="bullet"/>
      <w:lvlText w:val="o"/>
      <w:lvlJc w:val="left"/>
      <w:pPr>
        <w:ind w:left="3600" w:hanging="360"/>
      </w:pPr>
      <w:rPr>
        <w:rFonts w:ascii="Courier New" w:hAnsi="Courier New" w:hint="default"/>
      </w:rPr>
    </w:lvl>
    <w:lvl w:ilvl="5" w:tplc="F224D198">
      <w:start w:val="1"/>
      <w:numFmt w:val="bullet"/>
      <w:lvlText w:val=""/>
      <w:lvlJc w:val="left"/>
      <w:pPr>
        <w:ind w:left="4320" w:hanging="360"/>
      </w:pPr>
      <w:rPr>
        <w:rFonts w:ascii="Wingdings" w:hAnsi="Wingdings" w:hint="default"/>
      </w:rPr>
    </w:lvl>
    <w:lvl w:ilvl="6" w:tplc="70E4541C">
      <w:start w:val="1"/>
      <w:numFmt w:val="bullet"/>
      <w:lvlText w:val=""/>
      <w:lvlJc w:val="left"/>
      <w:pPr>
        <w:ind w:left="5040" w:hanging="360"/>
      </w:pPr>
      <w:rPr>
        <w:rFonts w:ascii="Symbol" w:hAnsi="Symbol" w:hint="default"/>
      </w:rPr>
    </w:lvl>
    <w:lvl w:ilvl="7" w:tplc="18F23D76">
      <w:start w:val="1"/>
      <w:numFmt w:val="bullet"/>
      <w:lvlText w:val="o"/>
      <w:lvlJc w:val="left"/>
      <w:pPr>
        <w:ind w:left="5760" w:hanging="360"/>
      </w:pPr>
      <w:rPr>
        <w:rFonts w:ascii="Courier New" w:hAnsi="Courier New" w:hint="default"/>
      </w:rPr>
    </w:lvl>
    <w:lvl w:ilvl="8" w:tplc="3D14B25C">
      <w:start w:val="1"/>
      <w:numFmt w:val="bullet"/>
      <w:lvlText w:val=""/>
      <w:lvlJc w:val="left"/>
      <w:pPr>
        <w:ind w:left="6480" w:hanging="360"/>
      </w:pPr>
      <w:rPr>
        <w:rFonts w:ascii="Wingdings" w:hAnsi="Wingdings" w:hint="default"/>
      </w:rPr>
    </w:lvl>
  </w:abstractNum>
  <w:abstractNum w:abstractNumId="8" w15:restartNumberingAfterBreak="0">
    <w:nsid w:val="2B52614A"/>
    <w:multiLevelType w:val="hybridMultilevel"/>
    <w:tmpl w:val="5C082986"/>
    <w:lvl w:ilvl="0" w:tplc="778CC690">
      <w:start w:val="1"/>
      <w:numFmt w:val="bullet"/>
      <w:lvlText w:val=""/>
      <w:lvlJc w:val="left"/>
      <w:pPr>
        <w:ind w:left="720" w:hanging="360"/>
      </w:pPr>
      <w:rPr>
        <w:rFonts w:ascii="Symbol" w:hAnsi="Symbol" w:hint="default"/>
      </w:rPr>
    </w:lvl>
    <w:lvl w:ilvl="1" w:tplc="14FC83AA">
      <w:start w:val="1"/>
      <w:numFmt w:val="bullet"/>
      <w:lvlText w:val="o"/>
      <w:lvlJc w:val="left"/>
      <w:pPr>
        <w:ind w:left="1440" w:hanging="360"/>
      </w:pPr>
      <w:rPr>
        <w:rFonts w:ascii="Courier New" w:hAnsi="Courier New" w:hint="default"/>
      </w:rPr>
    </w:lvl>
    <w:lvl w:ilvl="2" w:tplc="9ACE487C">
      <w:start w:val="1"/>
      <w:numFmt w:val="bullet"/>
      <w:lvlText w:val=""/>
      <w:lvlJc w:val="left"/>
      <w:pPr>
        <w:ind w:left="2160" w:hanging="360"/>
      </w:pPr>
      <w:rPr>
        <w:rFonts w:ascii="Wingdings" w:hAnsi="Wingdings" w:hint="default"/>
      </w:rPr>
    </w:lvl>
    <w:lvl w:ilvl="3" w:tplc="152E0844">
      <w:start w:val="1"/>
      <w:numFmt w:val="bullet"/>
      <w:lvlText w:val=""/>
      <w:lvlJc w:val="left"/>
      <w:pPr>
        <w:ind w:left="2880" w:hanging="360"/>
      </w:pPr>
      <w:rPr>
        <w:rFonts w:ascii="Symbol" w:hAnsi="Symbol" w:hint="default"/>
      </w:rPr>
    </w:lvl>
    <w:lvl w:ilvl="4" w:tplc="684ED0E0">
      <w:start w:val="1"/>
      <w:numFmt w:val="bullet"/>
      <w:lvlText w:val="o"/>
      <w:lvlJc w:val="left"/>
      <w:pPr>
        <w:ind w:left="3600" w:hanging="360"/>
      </w:pPr>
      <w:rPr>
        <w:rFonts w:ascii="Courier New" w:hAnsi="Courier New" w:hint="default"/>
      </w:rPr>
    </w:lvl>
    <w:lvl w:ilvl="5" w:tplc="E2AA19FA">
      <w:start w:val="1"/>
      <w:numFmt w:val="bullet"/>
      <w:lvlText w:val=""/>
      <w:lvlJc w:val="left"/>
      <w:pPr>
        <w:ind w:left="4320" w:hanging="360"/>
      </w:pPr>
      <w:rPr>
        <w:rFonts w:ascii="Wingdings" w:hAnsi="Wingdings" w:hint="default"/>
      </w:rPr>
    </w:lvl>
    <w:lvl w:ilvl="6" w:tplc="035C416A">
      <w:start w:val="1"/>
      <w:numFmt w:val="bullet"/>
      <w:lvlText w:val=""/>
      <w:lvlJc w:val="left"/>
      <w:pPr>
        <w:ind w:left="5040" w:hanging="360"/>
      </w:pPr>
      <w:rPr>
        <w:rFonts w:ascii="Symbol" w:hAnsi="Symbol" w:hint="default"/>
      </w:rPr>
    </w:lvl>
    <w:lvl w:ilvl="7" w:tplc="EC2AA0CC">
      <w:start w:val="1"/>
      <w:numFmt w:val="bullet"/>
      <w:lvlText w:val="o"/>
      <w:lvlJc w:val="left"/>
      <w:pPr>
        <w:ind w:left="5760" w:hanging="360"/>
      </w:pPr>
      <w:rPr>
        <w:rFonts w:ascii="Courier New" w:hAnsi="Courier New" w:hint="default"/>
      </w:rPr>
    </w:lvl>
    <w:lvl w:ilvl="8" w:tplc="623A9FDA">
      <w:start w:val="1"/>
      <w:numFmt w:val="bullet"/>
      <w:lvlText w:val=""/>
      <w:lvlJc w:val="left"/>
      <w:pPr>
        <w:ind w:left="6480" w:hanging="360"/>
      </w:pPr>
      <w:rPr>
        <w:rFonts w:ascii="Wingdings" w:hAnsi="Wingdings" w:hint="default"/>
      </w:rPr>
    </w:lvl>
  </w:abstractNum>
  <w:abstractNum w:abstractNumId="9" w15:restartNumberingAfterBreak="0">
    <w:nsid w:val="33CE9986"/>
    <w:multiLevelType w:val="hybridMultilevel"/>
    <w:tmpl w:val="8278ADCE"/>
    <w:lvl w:ilvl="0" w:tplc="3D5A11CE">
      <w:start w:val="1"/>
      <w:numFmt w:val="bullet"/>
      <w:lvlText w:val=""/>
      <w:lvlJc w:val="left"/>
      <w:pPr>
        <w:ind w:left="720" w:hanging="360"/>
      </w:pPr>
      <w:rPr>
        <w:rFonts w:ascii="Symbol" w:hAnsi="Symbol" w:hint="default"/>
      </w:rPr>
    </w:lvl>
    <w:lvl w:ilvl="1" w:tplc="6AA2435C">
      <w:start w:val="1"/>
      <w:numFmt w:val="bullet"/>
      <w:lvlText w:val="o"/>
      <w:lvlJc w:val="left"/>
      <w:pPr>
        <w:ind w:left="1440" w:hanging="360"/>
      </w:pPr>
      <w:rPr>
        <w:rFonts w:ascii="Courier New" w:hAnsi="Courier New" w:hint="default"/>
      </w:rPr>
    </w:lvl>
    <w:lvl w:ilvl="2" w:tplc="A26C7FCE">
      <w:start w:val="1"/>
      <w:numFmt w:val="bullet"/>
      <w:lvlText w:val=""/>
      <w:lvlJc w:val="left"/>
      <w:pPr>
        <w:ind w:left="2160" w:hanging="360"/>
      </w:pPr>
      <w:rPr>
        <w:rFonts w:ascii="Wingdings" w:hAnsi="Wingdings" w:hint="default"/>
      </w:rPr>
    </w:lvl>
    <w:lvl w:ilvl="3" w:tplc="AA787034">
      <w:start w:val="1"/>
      <w:numFmt w:val="bullet"/>
      <w:lvlText w:val=""/>
      <w:lvlJc w:val="left"/>
      <w:pPr>
        <w:ind w:left="2880" w:hanging="360"/>
      </w:pPr>
      <w:rPr>
        <w:rFonts w:ascii="Symbol" w:hAnsi="Symbol" w:hint="default"/>
      </w:rPr>
    </w:lvl>
    <w:lvl w:ilvl="4" w:tplc="F1DC1854">
      <w:start w:val="1"/>
      <w:numFmt w:val="bullet"/>
      <w:lvlText w:val="o"/>
      <w:lvlJc w:val="left"/>
      <w:pPr>
        <w:ind w:left="3600" w:hanging="360"/>
      </w:pPr>
      <w:rPr>
        <w:rFonts w:ascii="Courier New" w:hAnsi="Courier New" w:hint="default"/>
      </w:rPr>
    </w:lvl>
    <w:lvl w:ilvl="5" w:tplc="A71EC1CE">
      <w:start w:val="1"/>
      <w:numFmt w:val="bullet"/>
      <w:lvlText w:val=""/>
      <w:lvlJc w:val="left"/>
      <w:pPr>
        <w:ind w:left="4320" w:hanging="360"/>
      </w:pPr>
      <w:rPr>
        <w:rFonts w:ascii="Wingdings" w:hAnsi="Wingdings" w:hint="default"/>
      </w:rPr>
    </w:lvl>
    <w:lvl w:ilvl="6" w:tplc="784EEB54">
      <w:start w:val="1"/>
      <w:numFmt w:val="bullet"/>
      <w:lvlText w:val=""/>
      <w:lvlJc w:val="left"/>
      <w:pPr>
        <w:ind w:left="5040" w:hanging="360"/>
      </w:pPr>
      <w:rPr>
        <w:rFonts w:ascii="Symbol" w:hAnsi="Symbol" w:hint="default"/>
      </w:rPr>
    </w:lvl>
    <w:lvl w:ilvl="7" w:tplc="94FACC96">
      <w:start w:val="1"/>
      <w:numFmt w:val="bullet"/>
      <w:lvlText w:val="o"/>
      <w:lvlJc w:val="left"/>
      <w:pPr>
        <w:ind w:left="5760" w:hanging="360"/>
      </w:pPr>
      <w:rPr>
        <w:rFonts w:ascii="Courier New" w:hAnsi="Courier New" w:hint="default"/>
      </w:rPr>
    </w:lvl>
    <w:lvl w:ilvl="8" w:tplc="5502AC04">
      <w:start w:val="1"/>
      <w:numFmt w:val="bullet"/>
      <w:lvlText w:val=""/>
      <w:lvlJc w:val="left"/>
      <w:pPr>
        <w:ind w:left="6480" w:hanging="360"/>
      </w:pPr>
      <w:rPr>
        <w:rFonts w:ascii="Wingdings" w:hAnsi="Wingdings" w:hint="default"/>
      </w:rPr>
    </w:lvl>
  </w:abstractNum>
  <w:abstractNum w:abstractNumId="10" w15:restartNumberingAfterBreak="0">
    <w:nsid w:val="48324BE6"/>
    <w:multiLevelType w:val="hybridMultilevel"/>
    <w:tmpl w:val="A0961DC6"/>
    <w:lvl w:ilvl="0" w:tplc="AA6A36FE">
      <w:start w:val="1"/>
      <w:numFmt w:val="decimal"/>
      <w:lvlText w:val="%1."/>
      <w:lvlJc w:val="left"/>
      <w:pPr>
        <w:ind w:left="720" w:hanging="360"/>
      </w:pPr>
    </w:lvl>
    <w:lvl w:ilvl="1" w:tplc="2092C97A">
      <w:start w:val="1"/>
      <w:numFmt w:val="lowerLetter"/>
      <w:lvlText w:val="%2."/>
      <w:lvlJc w:val="left"/>
      <w:pPr>
        <w:ind w:left="1440" w:hanging="360"/>
      </w:pPr>
    </w:lvl>
    <w:lvl w:ilvl="2" w:tplc="EF4E4B30">
      <w:start w:val="1"/>
      <w:numFmt w:val="lowerRoman"/>
      <w:lvlText w:val="%3."/>
      <w:lvlJc w:val="right"/>
      <w:pPr>
        <w:ind w:left="2160" w:hanging="180"/>
      </w:pPr>
    </w:lvl>
    <w:lvl w:ilvl="3" w:tplc="E50A5326">
      <w:start w:val="1"/>
      <w:numFmt w:val="decimal"/>
      <w:lvlText w:val="%4."/>
      <w:lvlJc w:val="left"/>
      <w:pPr>
        <w:ind w:left="2880" w:hanging="360"/>
      </w:pPr>
    </w:lvl>
    <w:lvl w:ilvl="4" w:tplc="457C1F2C">
      <w:start w:val="1"/>
      <w:numFmt w:val="lowerLetter"/>
      <w:lvlText w:val="%5."/>
      <w:lvlJc w:val="left"/>
      <w:pPr>
        <w:ind w:left="3600" w:hanging="360"/>
      </w:pPr>
    </w:lvl>
    <w:lvl w:ilvl="5" w:tplc="283E278C">
      <w:start w:val="1"/>
      <w:numFmt w:val="lowerRoman"/>
      <w:lvlText w:val="%6."/>
      <w:lvlJc w:val="right"/>
      <w:pPr>
        <w:ind w:left="4320" w:hanging="180"/>
      </w:pPr>
    </w:lvl>
    <w:lvl w:ilvl="6" w:tplc="9AA40F2C">
      <w:start w:val="1"/>
      <w:numFmt w:val="decimal"/>
      <w:lvlText w:val="%7."/>
      <w:lvlJc w:val="left"/>
      <w:pPr>
        <w:ind w:left="5040" w:hanging="360"/>
      </w:pPr>
    </w:lvl>
    <w:lvl w:ilvl="7" w:tplc="6D2236DA">
      <w:start w:val="1"/>
      <w:numFmt w:val="lowerLetter"/>
      <w:lvlText w:val="%8."/>
      <w:lvlJc w:val="left"/>
      <w:pPr>
        <w:ind w:left="5760" w:hanging="360"/>
      </w:pPr>
    </w:lvl>
    <w:lvl w:ilvl="8" w:tplc="C57E2506">
      <w:start w:val="1"/>
      <w:numFmt w:val="lowerRoman"/>
      <w:lvlText w:val="%9."/>
      <w:lvlJc w:val="right"/>
      <w:pPr>
        <w:ind w:left="6480" w:hanging="180"/>
      </w:pPr>
    </w:lvl>
  </w:abstractNum>
  <w:abstractNum w:abstractNumId="11" w15:restartNumberingAfterBreak="0">
    <w:nsid w:val="61CA7E75"/>
    <w:multiLevelType w:val="hybridMultilevel"/>
    <w:tmpl w:val="D46A7EC6"/>
    <w:lvl w:ilvl="0" w:tplc="07D6F57A">
      <w:start w:val="1"/>
      <w:numFmt w:val="bullet"/>
      <w:lvlText w:val=""/>
      <w:lvlJc w:val="left"/>
      <w:pPr>
        <w:ind w:left="720" w:hanging="360"/>
      </w:pPr>
      <w:rPr>
        <w:rFonts w:ascii="Symbol" w:hAnsi="Symbol" w:hint="default"/>
      </w:rPr>
    </w:lvl>
    <w:lvl w:ilvl="1" w:tplc="DBB8AA5C">
      <w:start w:val="1"/>
      <w:numFmt w:val="bullet"/>
      <w:lvlText w:val="o"/>
      <w:lvlJc w:val="left"/>
      <w:pPr>
        <w:ind w:left="1440" w:hanging="360"/>
      </w:pPr>
      <w:rPr>
        <w:rFonts w:ascii="Courier New" w:hAnsi="Courier New" w:hint="default"/>
      </w:rPr>
    </w:lvl>
    <w:lvl w:ilvl="2" w:tplc="02C6A54A">
      <w:start w:val="1"/>
      <w:numFmt w:val="bullet"/>
      <w:lvlText w:val=""/>
      <w:lvlJc w:val="left"/>
      <w:pPr>
        <w:ind w:left="2160" w:hanging="360"/>
      </w:pPr>
      <w:rPr>
        <w:rFonts w:ascii="Wingdings" w:hAnsi="Wingdings" w:hint="default"/>
      </w:rPr>
    </w:lvl>
    <w:lvl w:ilvl="3" w:tplc="82628AB2">
      <w:start w:val="1"/>
      <w:numFmt w:val="bullet"/>
      <w:lvlText w:val=""/>
      <w:lvlJc w:val="left"/>
      <w:pPr>
        <w:ind w:left="2880" w:hanging="360"/>
      </w:pPr>
      <w:rPr>
        <w:rFonts w:ascii="Symbol" w:hAnsi="Symbol" w:hint="default"/>
      </w:rPr>
    </w:lvl>
    <w:lvl w:ilvl="4" w:tplc="4AB69A52">
      <w:start w:val="1"/>
      <w:numFmt w:val="bullet"/>
      <w:lvlText w:val="o"/>
      <w:lvlJc w:val="left"/>
      <w:pPr>
        <w:ind w:left="3600" w:hanging="360"/>
      </w:pPr>
      <w:rPr>
        <w:rFonts w:ascii="Courier New" w:hAnsi="Courier New" w:hint="default"/>
      </w:rPr>
    </w:lvl>
    <w:lvl w:ilvl="5" w:tplc="D598C120">
      <w:start w:val="1"/>
      <w:numFmt w:val="bullet"/>
      <w:lvlText w:val=""/>
      <w:lvlJc w:val="left"/>
      <w:pPr>
        <w:ind w:left="4320" w:hanging="360"/>
      </w:pPr>
      <w:rPr>
        <w:rFonts w:ascii="Wingdings" w:hAnsi="Wingdings" w:hint="default"/>
      </w:rPr>
    </w:lvl>
    <w:lvl w:ilvl="6" w:tplc="60ECD0C0">
      <w:start w:val="1"/>
      <w:numFmt w:val="bullet"/>
      <w:lvlText w:val=""/>
      <w:lvlJc w:val="left"/>
      <w:pPr>
        <w:ind w:left="5040" w:hanging="360"/>
      </w:pPr>
      <w:rPr>
        <w:rFonts w:ascii="Symbol" w:hAnsi="Symbol" w:hint="default"/>
      </w:rPr>
    </w:lvl>
    <w:lvl w:ilvl="7" w:tplc="F8580700">
      <w:start w:val="1"/>
      <w:numFmt w:val="bullet"/>
      <w:lvlText w:val="o"/>
      <w:lvlJc w:val="left"/>
      <w:pPr>
        <w:ind w:left="5760" w:hanging="360"/>
      </w:pPr>
      <w:rPr>
        <w:rFonts w:ascii="Courier New" w:hAnsi="Courier New" w:hint="default"/>
      </w:rPr>
    </w:lvl>
    <w:lvl w:ilvl="8" w:tplc="F1DAEAB6">
      <w:start w:val="1"/>
      <w:numFmt w:val="bullet"/>
      <w:lvlText w:val=""/>
      <w:lvlJc w:val="left"/>
      <w:pPr>
        <w:ind w:left="6480" w:hanging="360"/>
      </w:pPr>
      <w:rPr>
        <w:rFonts w:ascii="Wingdings" w:hAnsi="Wingdings" w:hint="default"/>
      </w:rPr>
    </w:lvl>
  </w:abstractNum>
  <w:abstractNum w:abstractNumId="12" w15:restartNumberingAfterBreak="0">
    <w:nsid w:val="6AD5F092"/>
    <w:multiLevelType w:val="hybridMultilevel"/>
    <w:tmpl w:val="22D492DA"/>
    <w:lvl w:ilvl="0" w:tplc="1D745E32">
      <w:start w:val="1"/>
      <w:numFmt w:val="bullet"/>
      <w:lvlText w:val=""/>
      <w:lvlJc w:val="left"/>
      <w:pPr>
        <w:ind w:left="720" w:hanging="360"/>
      </w:pPr>
      <w:rPr>
        <w:rFonts w:ascii="Symbol" w:hAnsi="Symbol" w:hint="default"/>
      </w:rPr>
    </w:lvl>
    <w:lvl w:ilvl="1" w:tplc="086EAC00">
      <w:start w:val="1"/>
      <w:numFmt w:val="bullet"/>
      <w:lvlText w:val="o"/>
      <w:lvlJc w:val="left"/>
      <w:pPr>
        <w:ind w:left="1440" w:hanging="360"/>
      </w:pPr>
      <w:rPr>
        <w:rFonts w:ascii="Courier New" w:hAnsi="Courier New" w:hint="default"/>
      </w:rPr>
    </w:lvl>
    <w:lvl w:ilvl="2" w:tplc="1610A1E2">
      <w:start w:val="1"/>
      <w:numFmt w:val="bullet"/>
      <w:lvlText w:val=""/>
      <w:lvlJc w:val="left"/>
      <w:pPr>
        <w:ind w:left="2160" w:hanging="360"/>
      </w:pPr>
      <w:rPr>
        <w:rFonts w:ascii="Wingdings" w:hAnsi="Wingdings" w:hint="default"/>
      </w:rPr>
    </w:lvl>
    <w:lvl w:ilvl="3" w:tplc="E38C2442">
      <w:start w:val="1"/>
      <w:numFmt w:val="bullet"/>
      <w:lvlText w:val=""/>
      <w:lvlJc w:val="left"/>
      <w:pPr>
        <w:ind w:left="2880" w:hanging="360"/>
      </w:pPr>
      <w:rPr>
        <w:rFonts w:ascii="Symbol" w:hAnsi="Symbol" w:hint="default"/>
      </w:rPr>
    </w:lvl>
    <w:lvl w:ilvl="4" w:tplc="4718C718">
      <w:start w:val="1"/>
      <w:numFmt w:val="bullet"/>
      <w:lvlText w:val="o"/>
      <w:lvlJc w:val="left"/>
      <w:pPr>
        <w:ind w:left="3600" w:hanging="360"/>
      </w:pPr>
      <w:rPr>
        <w:rFonts w:ascii="Courier New" w:hAnsi="Courier New" w:hint="default"/>
      </w:rPr>
    </w:lvl>
    <w:lvl w:ilvl="5" w:tplc="63447FC6">
      <w:start w:val="1"/>
      <w:numFmt w:val="bullet"/>
      <w:lvlText w:val=""/>
      <w:lvlJc w:val="left"/>
      <w:pPr>
        <w:ind w:left="4320" w:hanging="360"/>
      </w:pPr>
      <w:rPr>
        <w:rFonts w:ascii="Wingdings" w:hAnsi="Wingdings" w:hint="default"/>
      </w:rPr>
    </w:lvl>
    <w:lvl w:ilvl="6" w:tplc="2CAC1C86">
      <w:start w:val="1"/>
      <w:numFmt w:val="bullet"/>
      <w:lvlText w:val=""/>
      <w:lvlJc w:val="left"/>
      <w:pPr>
        <w:ind w:left="5040" w:hanging="360"/>
      </w:pPr>
      <w:rPr>
        <w:rFonts w:ascii="Symbol" w:hAnsi="Symbol" w:hint="default"/>
      </w:rPr>
    </w:lvl>
    <w:lvl w:ilvl="7" w:tplc="A5204868">
      <w:start w:val="1"/>
      <w:numFmt w:val="bullet"/>
      <w:lvlText w:val="o"/>
      <w:lvlJc w:val="left"/>
      <w:pPr>
        <w:ind w:left="5760" w:hanging="360"/>
      </w:pPr>
      <w:rPr>
        <w:rFonts w:ascii="Courier New" w:hAnsi="Courier New" w:hint="default"/>
      </w:rPr>
    </w:lvl>
    <w:lvl w:ilvl="8" w:tplc="0D4A4CFE">
      <w:start w:val="1"/>
      <w:numFmt w:val="bullet"/>
      <w:lvlText w:val=""/>
      <w:lvlJc w:val="left"/>
      <w:pPr>
        <w:ind w:left="6480" w:hanging="360"/>
      </w:pPr>
      <w:rPr>
        <w:rFonts w:ascii="Wingdings" w:hAnsi="Wingdings" w:hint="default"/>
      </w:rPr>
    </w:lvl>
  </w:abstractNum>
  <w:abstractNum w:abstractNumId="13" w15:restartNumberingAfterBreak="0">
    <w:nsid w:val="6C468749"/>
    <w:multiLevelType w:val="hybridMultilevel"/>
    <w:tmpl w:val="26D04658"/>
    <w:lvl w:ilvl="0" w:tplc="06702FE4">
      <w:start w:val="1"/>
      <w:numFmt w:val="bullet"/>
      <w:lvlText w:val=""/>
      <w:lvlJc w:val="left"/>
      <w:pPr>
        <w:ind w:left="720" w:hanging="360"/>
      </w:pPr>
      <w:rPr>
        <w:rFonts w:ascii="Symbol" w:hAnsi="Symbol" w:hint="default"/>
      </w:rPr>
    </w:lvl>
    <w:lvl w:ilvl="1" w:tplc="8B0A6E1A">
      <w:start w:val="1"/>
      <w:numFmt w:val="bullet"/>
      <w:lvlText w:val="o"/>
      <w:lvlJc w:val="left"/>
      <w:pPr>
        <w:ind w:left="1440" w:hanging="360"/>
      </w:pPr>
      <w:rPr>
        <w:rFonts w:ascii="Courier New" w:hAnsi="Courier New" w:hint="default"/>
      </w:rPr>
    </w:lvl>
    <w:lvl w:ilvl="2" w:tplc="57F85E8A">
      <w:start w:val="1"/>
      <w:numFmt w:val="bullet"/>
      <w:lvlText w:val=""/>
      <w:lvlJc w:val="left"/>
      <w:pPr>
        <w:ind w:left="2160" w:hanging="360"/>
      </w:pPr>
      <w:rPr>
        <w:rFonts w:ascii="Wingdings" w:hAnsi="Wingdings" w:hint="default"/>
      </w:rPr>
    </w:lvl>
    <w:lvl w:ilvl="3" w:tplc="610451EC">
      <w:start w:val="1"/>
      <w:numFmt w:val="bullet"/>
      <w:lvlText w:val=""/>
      <w:lvlJc w:val="left"/>
      <w:pPr>
        <w:ind w:left="2880" w:hanging="360"/>
      </w:pPr>
      <w:rPr>
        <w:rFonts w:ascii="Symbol" w:hAnsi="Symbol" w:hint="default"/>
      </w:rPr>
    </w:lvl>
    <w:lvl w:ilvl="4" w:tplc="197E6240">
      <w:start w:val="1"/>
      <w:numFmt w:val="bullet"/>
      <w:lvlText w:val="o"/>
      <w:lvlJc w:val="left"/>
      <w:pPr>
        <w:ind w:left="3600" w:hanging="360"/>
      </w:pPr>
      <w:rPr>
        <w:rFonts w:ascii="Courier New" w:hAnsi="Courier New" w:hint="default"/>
      </w:rPr>
    </w:lvl>
    <w:lvl w:ilvl="5" w:tplc="913AEDFC">
      <w:start w:val="1"/>
      <w:numFmt w:val="bullet"/>
      <w:lvlText w:val=""/>
      <w:lvlJc w:val="left"/>
      <w:pPr>
        <w:ind w:left="4320" w:hanging="360"/>
      </w:pPr>
      <w:rPr>
        <w:rFonts w:ascii="Wingdings" w:hAnsi="Wingdings" w:hint="default"/>
      </w:rPr>
    </w:lvl>
    <w:lvl w:ilvl="6" w:tplc="7CB4A990">
      <w:start w:val="1"/>
      <w:numFmt w:val="bullet"/>
      <w:lvlText w:val=""/>
      <w:lvlJc w:val="left"/>
      <w:pPr>
        <w:ind w:left="5040" w:hanging="360"/>
      </w:pPr>
      <w:rPr>
        <w:rFonts w:ascii="Symbol" w:hAnsi="Symbol" w:hint="default"/>
      </w:rPr>
    </w:lvl>
    <w:lvl w:ilvl="7" w:tplc="AC18AB7C">
      <w:start w:val="1"/>
      <w:numFmt w:val="bullet"/>
      <w:lvlText w:val="o"/>
      <w:lvlJc w:val="left"/>
      <w:pPr>
        <w:ind w:left="5760" w:hanging="360"/>
      </w:pPr>
      <w:rPr>
        <w:rFonts w:ascii="Courier New" w:hAnsi="Courier New" w:hint="default"/>
      </w:rPr>
    </w:lvl>
    <w:lvl w:ilvl="8" w:tplc="2F80C91E">
      <w:start w:val="1"/>
      <w:numFmt w:val="bullet"/>
      <w:lvlText w:val=""/>
      <w:lvlJc w:val="left"/>
      <w:pPr>
        <w:ind w:left="6480" w:hanging="360"/>
      </w:pPr>
      <w:rPr>
        <w:rFonts w:ascii="Wingdings" w:hAnsi="Wingdings" w:hint="default"/>
      </w:rPr>
    </w:lvl>
  </w:abstractNum>
  <w:abstractNum w:abstractNumId="14" w15:restartNumberingAfterBreak="0">
    <w:nsid w:val="6ECA764F"/>
    <w:multiLevelType w:val="hybridMultilevel"/>
    <w:tmpl w:val="8CAC2D76"/>
    <w:lvl w:ilvl="0" w:tplc="602831D6">
      <w:start w:val="1"/>
      <w:numFmt w:val="bullet"/>
      <w:lvlText w:val=""/>
      <w:lvlJc w:val="left"/>
      <w:pPr>
        <w:ind w:left="720" w:hanging="360"/>
      </w:pPr>
      <w:rPr>
        <w:rFonts w:ascii="Symbol" w:hAnsi="Symbol" w:hint="default"/>
      </w:rPr>
    </w:lvl>
    <w:lvl w:ilvl="1" w:tplc="31A4CBF4">
      <w:start w:val="1"/>
      <w:numFmt w:val="bullet"/>
      <w:lvlText w:val="o"/>
      <w:lvlJc w:val="left"/>
      <w:pPr>
        <w:ind w:left="1440" w:hanging="360"/>
      </w:pPr>
      <w:rPr>
        <w:rFonts w:ascii="Courier New" w:hAnsi="Courier New" w:hint="default"/>
      </w:rPr>
    </w:lvl>
    <w:lvl w:ilvl="2" w:tplc="FA64850E">
      <w:start w:val="1"/>
      <w:numFmt w:val="bullet"/>
      <w:lvlText w:val=""/>
      <w:lvlJc w:val="left"/>
      <w:pPr>
        <w:ind w:left="2160" w:hanging="360"/>
      </w:pPr>
      <w:rPr>
        <w:rFonts w:ascii="Wingdings" w:hAnsi="Wingdings" w:hint="default"/>
      </w:rPr>
    </w:lvl>
    <w:lvl w:ilvl="3" w:tplc="DA5A593C">
      <w:start w:val="1"/>
      <w:numFmt w:val="bullet"/>
      <w:lvlText w:val=""/>
      <w:lvlJc w:val="left"/>
      <w:pPr>
        <w:ind w:left="2880" w:hanging="360"/>
      </w:pPr>
      <w:rPr>
        <w:rFonts w:ascii="Symbol" w:hAnsi="Symbol" w:hint="default"/>
      </w:rPr>
    </w:lvl>
    <w:lvl w:ilvl="4" w:tplc="AC104EA0">
      <w:start w:val="1"/>
      <w:numFmt w:val="bullet"/>
      <w:lvlText w:val="o"/>
      <w:lvlJc w:val="left"/>
      <w:pPr>
        <w:ind w:left="3600" w:hanging="360"/>
      </w:pPr>
      <w:rPr>
        <w:rFonts w:ascii="Courier New" w:hAnsi="Courier New" w:hint="default"/>
      </w:rPr>
    </w:lvl>
    <w:lvl w:ilvl="5" w:tplc="BA2CA6F8">
      <w:start w:val="1"/>
      <w:numFmt w:val="bullet"/>
      <w:lvlText w:val=""/>
      <w:lvlJc w:val="left"/>
      <w:pPr>
        <w:ind w:left="4320" w:hanging="360"/>
      </w:pPr>
      <w:rPr>
        <w:rFonts w:ascii="Wingdings" w:hAnsi="Wingdings" w:hint="default"/>
      </w:rPr>
    </w:lvl>
    <w:lvl w:ilvl="6" w:tplc="2AE4B45C">
      <w:start w:val="1"/>
      <w:numFmt w:val="bullet"/>
      <w:lvlText w:val=""/>
      <w:lvlJc w:val="left"/>
      <w:pPr>
        <w:ind w:left="5040" w:hanging="360"/>
      </w:pPr>
      <w:rPr>
        <w:rFonts w:ascii="Symbol" w:hAnsi="Symbol" w:hint="default"/>
      </w:rPr>
    </w:lvl>
    <w:lvl w:ilvl="7" w:tplc="B8A2AB76">
      <w:start w:val="1"/>
      <w:numFmt w:val="bullet"/>
      <w:lvlText w:val="o"/>
      <w:lvlJc w:val="left"/>
      <w:pPr>
        <w:ind w:left="5760" w:hanging="360"/>
      </w:pPr>
      <w:rPr>
        <w:rFonts w:ascii="Courier New" w:hAnsi="Courier New" w:hint="default"/>
      </w:rPr>
    </w:lvl>
    <w:lvl w:ilvl="8" w:tplc="4AD67288">
      <w:start w:val="1"/>
      <w:numFmt w:val="bullet"/>
      <w:lvlText w:val=""/>
      <w:lvlJc w:val="left"/>
      <w:pPr>
        <w:ind w:left="6480" w:hanging="360"/>
      </w:pPr>
      <w:rPr>
        <w:rFonts w:ascii="Wingdings" w:hAnsi="Wingdings" w:hint="default"/>
      </w:rPr>
    </w:lvl>
  </w:abstractNum>
  <w:abstractNum w:abstractNumId="15" w15:restartNumberingAfterBreak="0">
    <w:nsid w:val="7B7A3F11"/>
    <w:multiLevelType w:val="hybridMultilevel"/>
    <w:tmpl w:val="46908648"/>
    <w:lvl w:ilvl="0" w:tplc="162A94D8">
      <w:start w:val="1"/>
      <w:numFmt w:val="decimal"/>
      <w:lvlText w:val="%1."/>
      <w:lvlJc w:val="left"/>
      <w:pPr>
        <w:ind w:left="720" w:hanging="360"/>
      </w:pPr>
    </w:lvl>
    <w:lvl w:ilvl="1" w:tplc="A692BB22">
      <w:start w:val="1"/>
      <w:numFmt w:val="lowerLetter"/>
      <w:lvlText w:val="%2."/>
      <w:lvlJc w:val="left"/>
      <w:pPr>
        <w:ind w:left="1440" w:hanging="360"/>
      </w:pPr>
    </w:lvl>
    <w:lvl w:ilvl="2" w:tplc="C11A8E88">
      <w:start w:val="1"/>
      <w:numFmt w:val="lowerRoman"/>
      <w:lvlText w:val="%3."/>
      <w:lvlJc w:val="right"/>
      <w:pPr>
        <w:ind w:left="2160" w:hanging="180"/>
      </w:pPr>
    </w:lvl>
    <w:lvl w:ilvl="3" w:tplc="7E8E7C16">
      <w:start w:val="1"/>
      <w:numFmt w:val="decimal"/>
      <w:lvlText w:val="%4."/>
      <w:lvlJc w:val="left"/>
      <w:pPr>
        <w:ind w:left="2880" w:hanging="360"/>
      </w:pPr>
    </w:lvl>
    <w:lvl w:ilvl="4" w:tplc="C7244F3A">
      <w:start w:val="1"/>
      <w:numFmt w:val="lowerLetter"/>
      <w:lvlText w:val="%5."/>
      <w:lvlJc w:val="left"/>
      <w:pPr>
        <w:ind w:left="3600" w:hanging="360"/>
      </w:pPr>
    </w:lvl>
    <w:lvl w:ilvl="5" w:tplc="CC905932">
      <w:start w:val="1"/>
      <w:numFmt w:val="lowerRoman"/>
      <w:lvlText w:val="%6."/>
      <w:lvlJc w:val="right"/>
      <w:pPr>
        <w:ind w:left="4320" w:hanging="180"/>
      </w:pPr>
    </w:lvl>
    <w:lvl w:ilvl="6" w:tplc="41BADA86">
      <w:start w:val="1"/>
      <w:numFmt w:val="decimal"/>
      <w:lvlText w:val="%7."/>
      <w:lvlJc w:val="left"/>
      <w:pPr>
        <w:ind w:left="5040" w:hanging="360"/>
      </w:pPr>
    </w:lvl>
    <w:lvl w:ilvl="7" w:tplc="CF1AD1A2">
      <w:start w:val="1"/>
      <w:numFmt w:val="lowerLetter"/>
      <w:lvlText w:val="%8."/>
      <w:lvlJc w:val="left"/>
      <w:pPr>
        <w:ind w:left="5760" w:hanging="360"/>
      </w:pPr>
    </w:lvl>
    <w:lvl w:ilvl="8" w:tplc="EE62B490">
      <w:start w:val="1"/>
      <w:numFmt w:val="lowerRoman"/>
      <w:lvlText w:val="%9."/>
      <w:lvlJc w:val="right"/>
      <w:pPr>
        <w:ind w:left="6480" w:hanging="180"/>
      </w:pPr>
    </w:lvl>
  </w:abstractNum>
  <w:abstractNum w:abstractNumId="16" w15:restartNumberingAfterBreak="0">
    <w:nsid w:val="7CD148C6"/>
    <w:multiLevelType w:val="hybridMultilevel"/>
    <w:tmpl w:val="102CB6C0"/>
    <w:lvl w:ilvl="0" w:tplc="6DFA894A">
      <w:start w:val="1"/>
      <w:numFmt w:val="decimal"/>
      <w:lvlText w:val="%1."/>
      <w:lvlJc w:val="left"/>
      <w:pPr>
        <w:ind w:left="720" w:hanging="360"/>
      </w:pPr>
    </w:lvl>
    <w:lvl w:ilvl="1" w:tplc="51A473EA">
      <w:start w:val="1"/>
      <w:numFmt w:val="lowerLetter"/>
      <w:lvlText w:val="%2."/>
      <w:lvlJc w:val="left"/>
      <w:pPr>
        <w:ind w:left="1440" w:hanging="360"/>
      </w:pPr>
    </w:lvl>
    <w:lvl w:ilvl="2" w:tplc="4D701B3A">
      <w:start w:val="1"/>
      <w:numFmt w:val="lowerRoman"/>
      <w:lvlText w:val="%3."/>
      <w:lvlJc w:val="right"/>
      <w:pPr>
        <w:ind w:left="2160" w:hanging="180"/>
      </w:pPr>
    </w:lvl>
    <w:lvl w:ilvl="3" w:tplc="E7D80642">
      <w:start w:val="1"/>
      <w:numFmt w:val="decimal"/>
      <w:lvlText w:val="%4."/>
      <w:lvlJc w:val="left"/>
      <w:pPr>
        <w:ind w:left="2880" w:hanging="360"/>
      </w:pPr>
    </w:lvl>
    <w:lvl w:ilvl="4" w:tplc="57C827CE">
      <w:start w:val="1"/>
      <w:numFmt w:val="lowerLetter"/>
      <w:lvlText w:val="%5."/>
      <w:lvlJc w:val="left"/>
      <w:pPr>
        <w:ind w:left="3600" w:hanging="360"/>
      </w:pPr>
    </w:lvl>
    <w:lvl w:ilvl="5" w:tplc="52DC1470">
      <w:start w:val="1"/>
      <w:numFmt w:val="lowerRoman"/>
      <w:lvlText w:val="%6."/>
      <w:lvlJc w:val="right"/>
      <w:pPr>
        <w:ind w:left="4320" w:hanging="180"/>
      </w:pPr>
    </w:lvl>
    <w:lvl w:ilvl="6" w:tplc="8E9443BC">
      <w:start w:val="1"/>
      <w:numFmt w:val="decimal"/>
      <w:lvlText w:val="%7."/>
      <w:lvlJc w:val="left"/>
      <w:pPr>
        <w:ind w:left="5040" w:hanging="360"/>
      </w:pPr>
    </w:lvl>
    <w:lvl w:ilvl="7" w:tplc="151E7D6A">
      <w:start w:val="1"/>
      <w:numFmt w:val="lowerLetter"/>
      <w:lvlText w:val="%8."/>
      <w:lvlJc w:val="left"/>
      <w:pPr>
        <w:ind w:left="5760" w:hanging="360"/>
      </w:pPr>
    </w:lvl>
    <w:lvl w:ilvl="8" w:tplc="EE3E6B70">
      <w:start w:val="1"/>
      <w:numFmt w:val="lowerRoman"/>
      <w:lvlText w:val="%9."/>
      <w:lvlJc w:val="right"/>
      <w:pPr>
        <w:ind w:left="6480" w:hanging="180"/>
      </w:pPr>
    </w:lvl>
  </w:abstractNum>
  <w:num w:numId="1" w16cid:durableId="1910533411">
    <w:abstractNumId w:val="13"/>
  </w:num>
  <w:num w:numId="2" w16cid:durableId="2029679024">
    <w:abstractNumId w:val="15"/>
  </w:num>
  <w:num w:numId="3" w16cid:durableId="1875195997">
    <w:abstractNumId w:val="2"/>
  </w:num>
  <w:num w:numId="4" w16cid:durableId="1282761632">
    <w:abstractNumId w:val="9"/>
  </w:num>
  <w:num w:numId="5" w16cid:durableId="1855729570">
    <w:abstractNumId w:val="6"/>
  </w:num>
  <w:num w:numId="6" w16cid:durableId="225649796">
    <w:abstractNumId w:val="1"/>
  </w:num>
  <w:num w:numId="7" w16cid:durableId="1892690744">
    <w:abstractNumId w:val="0"/>
  </w:num>
  <w:num w:numId="8" w16cid:durableId="1538273723">
    <w:abstractNumId w:val="11"/>
  </w:num>
  <w:num w:numId="9" w16cid:durableId="393892924">
    <w:abstractNumId w:val="7"/>
  </w:num>
  <w:num w:numId="10" w16cid:durableId="1058556595">
    <w:abstractNumId w:val="3"/>
  </w:num>
  <w:num w:numId="11" w16cid:durableId="838928808">
    <w:abstractNumId w:val="5"/>
  </w:num>
  <w:num w:numId="12" w16cid:durableId="1305042126">
    <w:abstractNumId w:val="14"/>
  </w:num>
  <w:num w:numId="13" w16cid:durableId="408960959">
    <w:abstractNumId w:val="10"/>
  </w:num>
  <w:num w:numId="14" w16cid:durableId="766509449">
    <w:abstractNumId w:val="8"/>
  </w:num>
  <w:num w:numId="15" w16cid:durableId="1082797364">
    <w:abstractNumId w:val="4"/>
  </w:num>
  <w:num w:numId="16" w16cid:durableId="1525745880">
    <w:abstractNumId w:val="12"/>
  </w:num>
  <w:num w:numId="17" w16cid:durableId="1674102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EF2DEB"/>
    <w:rsid w:val="000145AA"/>
    <w:rsid w:val="00376FA7"/>
    <w:rsid w:val="003876F0"/>
    <w:rsid w:val="00710D17"/>
    <w:rsid w:val="00719C21"/>
    <w:rsid w:val="00A72720"/>
    <w:rsid w:val="00B90852"/>
    <w:rsid w:val="00D4523E"/>
    <w:rsid w:val="00D86570"/>
    <w:rsid w:val="00E414C2"/>
    <w:rsid w:val="00F62815"/>
    <w:rsid w:val="00FB7705"/>
    <w:rsid w:val="019D683E"/>
    <w:rsid w:val="01AA6C51"/>
    <w:rsid w:val="01B6F2C8"/>
    <w:rsid w:val="01CF7DD1"/>
    <w:rsid w:val="01FCAFE3"/>
    <w:rsid w:val="0231531A"/>
    <w:rsid w:val="02612C36"/>
    <w:rsid w:val="027A2A03"/>
    <w:rsid w:val="02E0557E"/>
    <w:rsid w:val="03027C54"/>
    <w:rsid w:val="044EFAE5"/>
    <w:rsid w:val="04A7F5EB"/>
    <w:rsid w:val="04F2905B"/>
    <w:rsid w:val="055A57FA"/>
    <w:rsid w:val="063FD7F3"/>
    <w:rsid w:val="06C2AA5D"/>
    <w:rsid w:val="06F47D36"/>
    <w:rsid w:val="075112BD"/>
    <w:rsid w:val="078996E5"/>
    <w:rsid w:val="07970F32"/>
    <w:rsid w:val="07C14D88"/>
    <w:rsid w:val="085A9FA8"/>
    <w:rsid w:val="08B903B1"/>
    <w:rsid w:val="08C61199"/>
    <w:rsid w:val="09254FDE"/>
    <w:rsid w:val="097F9D74"/>
    <w:rsid w:val="09B376A9"/>
    <w:rsid w:val="09B64B97"/>
    <w:rsid w:val="09E19C5A"/>
    <w:rsid w:val="09EF2DEB"/>
    <w:rsid w:val="0A13A9A6"/>
    <w:rsid w:val="0A41D3C2"/>
    <w:rsid w:val="0A4AF007"/>
    <w:rsid w:val="0AC247AB"/>
    <w:rsid w:val="0AC37285"/>
    <w:rsid w:val="0AEE1C2B"/>
    <w:rsid w:val="0B360AE8"/>
    <w:rsid w:val="0BB772FE"/>
    <w:rsid w:val="0BBA8002"/>
    <w:rsid w:val="0BF216EB"/>
    <w:rsid w:val="0BF2BF1C"/>
    <w:rsid w:val="0C26000D"/>
    <w:rsid w:val="0C755865"/>
    <w:rsid w:val="0CB79548"/>
    <w:rsid w:val="0CCB3A3B"/>
    <w:rsid w:val="0CF1B42E"/>
    <w:rsid w:val="0DD5C700"/>
    <w:rsid w:val="0DFA3DE9"/>
    <w:rsid w:val="0E5F3CEA"/>
    <w:rsid w:val="0F5CBF99"/>
    <w:rsid w:val="0FA47DB2"/>
    <w:rsid w:val="0FFA4EF7"/>
    <w:rsid w:val="10765D1D"/>
    <w:rsid w:val="10C8898A"/>
    <w:rsid w:val="111756F4"/>
    <w:rsid w:val="1270792F"/>
    <w:rsid w:val="1281C2AE"/>
    <w:rsid w:val="12EB74A7"/>
    <w:rsid w:val="1346FE16"/>
    <w:rsid w:val="135B92CA"/>
    <w:rsid w:val="13A74576"/>
    <w:rsid w:val="14133F76"/>
    <w:rsid w:val="14ACD68F"/>
    <w:rsid w:val="14FB84B1"/>
    <w:rsid w:val="1568AB87"/>
    <w:rsid w:val="15F8A2FF"/>
    <w:rsid w:val="161AAB6A"/>
    <w:rsid w:val="16256EAC"/>
    <w:rsid w:val="16BD12A3"/>
    <w:rsid w:val="16DD296C"/>
    <w:rsid w:val="17124417"/>
    <w:rsid w:val="17F57DE3"/>
    <w:rsid w:val="18A2B1C3"/>
    <w:rsid w:val="18CAFBDB"/>
    <w:rsid w:val="193FC360"/>
    <w:rsid w:val="19BF327D"/>
    <w:rsid w:val="19D43B09"/>
    <w:rsid w:val="1A0D053E"/>
    <w:rsid w:val="1AA186E4"/>
    <w:rsid w:val="1B5C4D65"/>
    <w:rsid w:val="1B6353D7"/>
    <w:rsid w:val="1C6003E0"/>
    <w:rsid w:val="1CA8E2C9"/>
    <w:rsid w:val="1CBCC7DA"/>
    <w:rsid w:val="1CC80CBF"/>
    <w:rsid w:val="1D2452A2"/>
    <w:rsid w:val="1D8DD73E"/>
    <w:rsid w:val="1E08CF3C"/>
    <w:rsid w:val="1E16211F"/>
    <w:rsid w:val="1E41AC7A"/>
    <w:rsid w:val="1F4DCD60"/>
    <w:rsid w:val="1F55FF12"/>
    <w:rsid w:val="1F570D49"/>
    <w:rsid w:val="2073695B"/>
    <w:rsid w:val="20BADC6C"/>
    <w:rsid w:val="215BE6BA"/>
    <w:rsid w:val="2225F8AB"/>
    <w:rsid w:val="22C45493"/>
    <w:rsid w:val="22FE62FA"/>
    <w:rsid w:val="23701B1E"/>
    <w:rsid w:val="24234A94"/>
    <w:rsid w:val="247E8067"/>
    <w:rsid w:val="248317D3"/>
    <w:rsid w:val="249542EB"/>
    <w:rsid w:val="24A11370"/>
    <w:rsid w:val="24BE6679"/>
    <w:rsid w:val="2510F7E6"/>
    <w:rsid w:val="25439596"/>
    <w:rsid w:val="2562DFA4"/>
    <w:rsid w:val="25D948B9"/>
    <w:rsid w:val="26C4C760"/>
    <w:rsid w:val="273D6215"/>
    <w:rsid w:val="274EE976"/>
    <w:rsid w:val="282A9020"/>
    <w:rsid w:val="287C2578"/>
    <w:rsid w:val="28DF96C8"/>
    <w:rsid w:val="28F29E4E"/>
    <w:rsid w:val="295126DE"/>
    <w:rsid w:val="29CF0DDB"/>
    <w:rsid w:val="2A80ED1E"/>
    <w:rsid w:val="2B06E883"/>
    <w:rsid w:val="2B5D3CCE"/>
    <w:rsid w:val="2B941359"/>
    <w:rsid w:val="2BC38FBC"/>
    <w:rsid w:val="2CF50381"/>
    <w:rsid w:val="2D24EE8C"/>
    <w:rsid w:val="2D77863E"/>
    <w:rsid w:val="2DDDD9F3"/>
    <w:rsid w:val="2E9A009C"/>
    <w:rsid w:val="2EA75B16"/>
    <w:rsid w:val="2F3D683B"/>
    <w:rsid w:val="302A3488"/>
    <w:rsid w:val="31858566"/>
    <w:rsid w:val="31A0D693"/>
    <w:rsid w:val="31F021E6"/>
    <w:rsid w:val="32360694"/>
    <w:rsid w:val="3279B1E2"/>
    <w:rsid w:val="32DECE28"/>
    <w:rsid w:val="335ED557"/>
    <w:rsid w:val="3384B713"/>
    <w:rsid w:val="33885385"/>
    <w:rsid w:val="338B1E3E"/>
    <w:rsid w:val="33EE7FCC"/>
    <w:rsid w:val="34114436"/>
    <w:rsid w:val="34373394"/>
    <w:rsid w:val="3497291E"/>
    <w:rsid w:val="34E16871"/>
    <w:rsid w:val="3575BC85"/>
    <w:rsid w:val="357A8179"/>
    <w:rsid w:val="35F0E827"/>
    <w:rsid w:val="35F6B4B5"/>
    <w:rsid w:val="360782D8"/>
    <w:rsid w:val="362D5E63"/>
    <w:rsid w:val="3692BC65"/>
    <w:rsid w:val="3727821A"/>
    <w:rsid w:val="375185EA"/>
    <w:rsid w:val="37BEC0A3"/>
    <w:rsid w:val="37CF6FDE"/>
    <w:rsid w:val="3A481A05"/>
    <w:rsid w:val="3B28F90C"/>
    <w:rsid w:val="3B7652CF"/>
    <w:rsid w:val="3B9A71CC"/>
    <w:rsid w:val="3BF5954F"/>
    <w:rsid w:val="3C5D2224"/>
    <w:rsid w:val="3D050380"/>
    <w:rsid w:val="3DCE5940"/>
    <w:rsid w:val="3E1C7018"/>
    <w:rsid w:val="3EA51817"/>
    <w:rsid w:val="401394EE"/>
    <w:rsid w:val="403E9AAC"/>
    <w:rsid w:val="406194AF"/>
    <w:rsid w:val="40AF3463"/>
    <w:rsid w:val="40DAD406"/>
    <w:rsid w:val="41F52B2D"/>
    <w:rsid w:val="428A8DBF"/>
    <w:rsid w:val="42AE507C"/>
    <w:rsid w:val="4390D3F6"/>
    <w:rsid w:val="43958381"/>
    <w:rsid w:val="43A4864D"/>
    <w:rsid w:val="441A342E"/>
    <w:rsid w:val="4490235B"/>
    <w:rsid w:val="4495F4D6"/>
    <w:rsid w:val="44F09236"/>
    <w:rsid w:val="4563159A"/>
    <w:rsid w:val="45C9132D"/>
    <w:rsid w:val="45FDFD5F"/>
    <w:rsid w:val="46476C8F"/>
    <w:rsid w:val="46B14A51"/>
    <w:rsid w:val="46ED607C"/>
    <w:rsid w:val="472FA89E"/>
    <w:rsid w:val="474EE20A"/>
    <w:rsid w:val="47D201A9"/>
    <w:rsid w:val="48210DE9"/>
    <w:rsid w:val="4821A2D1"/>
    <w:rsid w:val="48384692"/>
    <w:rsid w:val="4968E562"/>
    <w:rsid w:val="49DC5963"/>
    <w:rsid w:val="4AFA7E7E"/>
    <w:rsid w:val="4B47B175"/>
    <w:rsid w:val="4E42DFD4"/>
    <w:rsid w:val="4EA3D8BA"/>
    <w:rsid w:val="4ECD0973"/>
    <w:rsid w:val="4F73CD4D"/>
    <w:rsid w:val="4FB31D5A"/>
    <w:rsid w:val="4FC7F081"/>
    <w:rsid w:val="4FE34E4C"/>
    <w:rsid w:val="503D0C1A"/>
    <w:rsid w:val="508FFAEB"/>
    <w:rsid w:val="50D71960"/>
    <w:rsid w:val="51108BB5"/>
    <w:rsid w:val="520BCF16"/>
    <w:rsid w:val="526CC730"/>
    <w:rsid w:val="52725E09"/>
    <w:rsid w:val="52E5AB07"/>
    <w:rsid w:val="5391C981"/>
    <w:rsid w:val="5440772D"/>
    <w:rsid w:val="54A25AF3"/>
    <w:rsid w:val="54D96C03"/>
    <w:rsid w:val="553B243B"/>
    <w:rsid w:val="55C11D49"/>
    <w:rsid w:val="55D6E12F"/>
    <w:rsid w:val="5651D9D6"/>
    <w:rsid w:val="56A5DE7F"/>
    <w:rsid w:val="572153C5"/>
    <w:rsid w:val="579D8A87"/>
    <w:rsid w:val="57E4D22C"/>
    <w:rsid w:val="586506F2"/>
    <w:rsid w:val="5877AF4C"/>
    <w:rsid w:val="589D9114"/>
    <w:rsid w:val="59AC296A"/>
    <w:rsid w:val="5AC0B270"/>
    <w:rsid w:val="5AEE3BE6"/>
    <w:rsid w:val="5B0D0E6F"/>
    <w:rsid w:val="5B28D487"/>
    <w:rsid w:val="5DBB2641"/>
    <w:rsid w:val="5E0B9311"/>
    <w:rsid w:val="5E8F49B8"/>
    <w:rsid w:val="5EB7A980"/>
    <w:rsid w:val="5F1A2622"/>
    <w:rsid w:val="5F7FAEA9"/>
    <w:rsid w:val="5FA52D1A"/>
    <w:rsid w:val="60BF34F1"/>
    <w:rsid w:val="60FAF70E"/>
    <w:rsid w:val="61010AB0"/>
    <w:rsid w:val="618B56D8"/>
    <w:rsid w:val="62487D6E"/>
    <w:rsid w:val="62847AF6"/>
    <w:rsid w:val="62B72D37"/>
    <w:rsid w:val="62EAAED5"/>
    <w:rsid w:val="63E4982E"/>
    <w:rsid w:val="63FAD7AC"/>
    <w:rsid w:val="643C380B"/>
    <w:rsid w:val="651543B3"/>
    <w:rsid w:val="6561FE89"/>
    <w:rsid w:val="658DF89D"/>
    <w:rsid w:val="65D8D224"/>
    <w:rsid w:val="65E20CFD"/>
    <w:rsid w:val="65F09F0F"/>
    <w:rsid w:val="661E2731"/>
    <w:rsid w:val="66D1A37C"/>
    <w:rsid w:val="673A5E38"/>
    <w:rsid w:val="68993011"/>
    <w:rsid w:val="68A96E27"/>
    <w:rsid w:val="6946405B"/>
    <w:rsid w:val="69D24B9A"/>
    <w:rsid w:val="69D6EBAA"/>
    <w:rsid w:val="6A1F04F6"/>
    <w:rsid w:val="6A5A8C52"/>
    <w:rsid w:val="6A62BE79"/>
    <w:rsid w:val="6A8FE329"/>
    <w:rsid w:val="6A9A8C8A"/>
    <w:rsid w:val="6B3BCE4B"/>
    <w:rsid w:val="6B5D0860"/>
    <w:rsid w:val="6BD00016"/>
    <w:rsid w:val="6C21D6BF"/>
    <w:rsid w:val="6C68E5BC"/>
    <w:rsid w:val="6C6B5FC3"/>
    <w:rsid w:val="6CAFDF32"/>
    <w:rsid w:val="6CC1BEB8"/>
    <w:rsid w:val="6CD59741"/>
    <w:rsid w:val="6CDCA189"/>
    <w:rsid w:val="6D56030D"/>
    <w:rsid w:val="6DCEAEE1"/>
    <w:rsid w:val="6E7B8679"/>
    <w:rsid w:val="6EDF8EE9"/>
    <w:rsid w:val="6F223766"/>
    <w:rsid w:val="6F4FA92F"/>
    <w:rsid w:val="6FD14D57"/>
    <w:rsid w:val="707FADEA"/>
    <w:rsid w:val="7098AA59"/>
    <w:rsid w:val="70EBBD18"/>
    <w:rsid w:val="712B5BE2"/>
    <w:rsid w:val="713C5A07"/>
    <w:rsid w:val="715ABE5A"/>
    <w:rsid w:val="71767C46"/>
    <w:rsid w:val="719A39D3"/>
    <w:rsid w:val="71B4D253"/>
    <w:rsid w:val="721C337E"/>
    <w:rsid w:val="723EE13E"/>
    <w:rsid w:val="72A2FA44"/>
    <w:rsid w:val="72AA9C95"/>
    <w:rsid w:val="72C2C837"/>
    <w:rsid w:val="72D67E0F"/>
    <w:rsid w:val="73BA9A4D"/>
    <w:rsid w:val="74A5106E"/>
    <w:rsid w:val="75317FA1"/>
    <w:rsid w:val="75BF5BE0"/>
    <w:rsid w:val="75E34311"/>
    <w:rsid w:val="7638D9B8"/>
    <w:rsid w:val="763B796B"/>
    <w:rsid w:val="77E34A66"/>
    <w:rsid w:val="77F4E844"/>
    <w:rsid w:val="781BCA0E"/>
    <w:rsid w:val="78CF1355"/>
    <w:rsid w:val="78CFC9B0"/>
    <w:rsid w:val="78DC3B65"/>
    <w:rsid w:val="790466FF"/>
    <w:rsid w:val="796B3017"/>
    <w:rsid w:val="79F7B17B"/>
    <w:rsid w:val="7A4267D8"/>
    <w:rsid w:val="7A71FF4A"/>
    <w:rsid w:val="7ADDCB73"/>
    <w:rsid w:val="7B44AD0A"/>
    <w:rsid w:val="7B9DC799"/>
    <w:rsid w:val="7BF223AD"/>
    <w:rsid w:val="7C95879B"/>
    <w:rsid w:val="7CA826FB"/>
    <w:rsid w:val="7CD17643"/>
    <w:rsid w:val="7D5032D7"/>
    <w:rsid w:val="7DA91967"/>
    <w:rsid w:val="7E8DDC80"/>
    <w:rsid w:val="7E9946AC"/>
    <w:rsid w:val="7ECC17CF"/>
    <w:rsid w:val="7F5FCE9F"/>
    <w:rsid w:val="7F7B1AB2"/>
    <w:rsid w:val="7FC7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BAC45"/>
  <w15:chartTrackingRefBased/>
  <w15:docId w15:val="{FC480331-320B-4AA9-99F3-F9C34035B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8B90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8B90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8B903B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4A1137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193FC360"/>
    <w:pPr>
      <w:tabs>
        <w:tab w:val="center" w:pos="4680"/>
        <w:tab w:val="right" w:pos="9360"/>
      </w:tabs>
      <w:spacing w:after="0" w:line="240" w:lineRule="auto"/>
    </w:pPr>
  </w:style>
  <w:style w:type="paragraph" w:styleId="Footer">
    <w:name w:val="footer"/>
    <w:basedOn w:val="Normal"/>
    <w:uiPriority w:val="99"/>
    <w:unhideWhenUsed/>
    <w:rsid w:val="193FC360"/>
    <w:pPr>
      <w:tabs>
        <w:tab w:val="center" w:pos="4680"/>
        <w:tab w:val="right" w:pos="9360"/>
      </w:tabs>
      <w:spacing w:after="0" w:line="240" w:lineRule="auto"/>
    </w:pPr>
  </w:style>
  <w:style w:type="character" w:styleId="Hyperlink">
    <w:name w:val="Hyperlink"/>
    <w:basedOn w:val="DefaultParagraphFont"/>
    <w:uiPriority w:val="99"/>
    <w:unhideWhenUsed/>
    <w:rsid w:val="08B903B1"/>
    <w:rPr>
      <w:color w:val="467886"/>
      <w:u w:val="single"/>
    </w:rPr>
  </w:style>
  <w:style w:type="paragraph" w:styleId="TOC1">
    <w:name w:val="toc 1"/>
    <w:basedOn w:val="Normal"/>
    <w:next w:val="Normal"/>
    <w:uiPriority w:val="39"/>
    <w:unhideWhenUsed/>
    <w:rsid w:val="08B903B1"/>
    <w:pPr>
      <w:spacing w:after="100"/>
    </w:pPr>
  </w:style>
  <w:style w:type="paragraph" w:styleId="TOC2">
    <w:name w:val="toc 2"/>
    <w:basedOn w:val="Normal"/>
    <w:next w:val="Normal"/>
    <w:uiPriority w:val="39"/>
    <w:unhideWhenUsed/>
    <w:rsid w:val="08B903B1"/>
    <w:pPr>
      <w:spacing w:after="100"/>
      <w:ind w:left="220"/>
    </w:pPr>
  </w:style>
  <w:style w:type="paragraph" w:styleId="TOC3">
    <w:name w:val="toc 3"/>
    <w:basedOn w:val="Normal"/>
    <w:next w:val="Normal"/>
    <w:uiPriority w:val="39"/>
    <w:unhideWhenUsed/>
    <w:rsid w:val="08B903B1"/>
    <w:pPr>
      <w:spacing w:after="100"/>
      <w:ind w:left="440"/>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ho.int/news-room/fact-sheets/detail/autis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cpsych.ac.uk/mental-health/parents-and-young-people/information-for-parents-and-carers/autism-for-parent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gland.nhs.uk/long-read/operational-guidance-to-deliver-improved-outcomes-in-all-age-autism-assessment-pathways-guidance-for-integrated-care-boards/?utm_source=chatgpt.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nice.org.uk/Guidance/CG128?print=1&amp;utm_source=chatgpt.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66cc768855260e19fff99553ec0b838b">
  <xsd:schema xmlns:xsd="http://www.w3.org/2001/XMLSchema" xmlns:xs="http://www.w3.org/2001/XMLSchema" xmlns:p="http://schemas.microsoft.com/office/2006/metadata/properties" xmlns:ns3="0085e1a2-9cbf-4b92-866b-21f3c89040b6" targetNamespace="http://schemas.microsoft.com/office/2006/metadata/properties" ma:root="true" ma:fieldsID="a211917dfdf7cbdaa4fc5a0f82369e7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3597DE3-512D-4666-AEBB-80949E008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73D977-F520-41C9-8F04-B250D5FBFCFD}">
  <ds:schemaRefs>
    <ds:schemaRef ds:uri="http://schemas.microsoft.com/sharepoint/v3/contenttype/forms"/>
  </ds:schemaRefs>
</ds:datastoreItem>
</file>

<file path=customXml/itemProps3.xml><?xml version="1.0" encoding="utf-8"?>
<ds:datastoreItem xmlns:ds="http://schemas.openxmlformats.org/officeDocument/2006/customXml" ds:itemID="{EC1CFD40-165F-46E5-A344-CCF8C4E74645}">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5120</Words>
  <Characters>29185</Characters>
  <Application>Microsoft Office Word</Application>
  <DocSecurity>0</DocSecurity>
  <Lines>243</Lines>
  <Paragraphs>68</Paragraphs>
  <ScaleCrop>false</ScaleCrop>
  <Company/>
  <LinksUpToDate>false</LinksUpToDate>
  <CharactersWithSpaces>34237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dc:creator>
  <cp:keywords/>
  <dc:description/>
  <cp:lastModifiedBy>Marcia Miller (2406690)</cp:lastModifiedBy>
  <cp:revision>2</cp:revision>
  <dcterms:created xsi:type="dcterms:W3CDTF">2026-07-20T01:14:00Z</dcterms:created>
  <dcterms:modified xsi:type="dcterms:W3CDTF">2026-07-20T01:14:00Z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