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The purpose of this essay is to explore and discuss the three main counselling theories: Cognitive Behaviour, Humanistic and Psychodynamic Therapy, then compare them against one another examining both their similarities and variances. After which will be an analysis of section 13 within the British Association of Counsellors and Psychotherapists (BACP) framework – working to professional standards, discussing its importance to the health care sector as a whole, while noting the difference between the application of counselling skills within Nursing against Counselling as a professional practice.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In order to compare the three theories fairly, a person must first understand the key features of each approach.</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Hough (2003 pg. 25) explains Cognitive Behaviour Therapy (CBT) as human learning and conditioning, the understanding that each behaviour/pattern can be learnt and unlearnt, thus personality in its simplest form is merely a collection of learnt behaviours. From that perception it is easier to see the sole purpose of the theory; to focus on changing the individual’s cognitive response to stress from identifying the stimuli that evokes that reaction, once identified it is then possible to set in place new techniques to overlook and step-away from their automatic thought system, by virtue of cognitive restructuring, the person can eventually become aware of their dysfunctional assumption allowing them to replace it with a more positive way of thinking (Nelson -Jones 2011, pg. 130). Here are a few examples of what a person may encompass through a course of CBT (although not exhaustive</w:t>
      </w:r>
      <w:proofErr w:type="gramStart"/>
      <w:r w:rsidRPr="00A10F0E">
        <w:rPr>
          <w:rFonts w:ascii="Arial" w:eastAsia="Times New Roman" w:hAnsi="Arial" w:cs="Arial"/>
          <w:color w:val="000000"/>
        </w:rPr>
        <w:t>) :</w:t>
      </w:r>
      <w:proofErr w:type="gramEnd"/>
      <w:r w:rsidRPr="00A10F0E">
        <w:rPr>
          <w:rFonts w:ascii="Arial" w:eastAsia="Times New Roman" w:hAnsi="Arial" w:cs="Arial"/>
          <w:color w:val="000000"/>
        </w:rPr>
        <w:t> </w:t>
      </w:r>
    </w:p>
    <w:p w:rsidR="00A10F0E" w:rsidRPr="00A10F0E" w:rsidRDefault="00A10F0E" w:rsidP="00A10F0E">
      <w:pPr>
        <w:pStyle w:val="ListParagraph"/>
        <w:numPr>
          <w:ilvl w:val="0"/>
          <w:numId w:val="1"/>
        </w:numPr>
        <w:rPr>
          <w:rFonts w:ascii="Arial" w:eastAsia="Times New Roman" w:hAnsi="Arial" w:cs="Arial"/>
          <w:color w:val="000000"/>
        </w:rPr>
      </w:pPr>
      <w:r w:rsidRPr="00A10F0E">
        <w:rPr>
          <w:rFonts w:ascii="Arial" w:eastAsia="Times New Roman" w:hAnsi="Arial" w:cs="Arial"/>
          <w:color w:val="000000"/>
        </w:rPr>
        <w:t>Initial assessment, creating a professional working alliance between client and counsellor. Building a therapeutic relationship and collecting information for the correct course of treatment. (</w:t>
      </w:r>
      <w:proofErr w:type="spellStart"/>
      <w:r w:rsidRPr="00A10F0E">
        <w:rPr>
          <w:rFonts w:ascii="Arial" w:eastAsia="Times New Roman" w:hAnsi="Arial" w:cs="Arial"/>
          <w:color w:val="000000"/>
        </w:rPr>
        <w:t>Kuehnel</w:t>
      </w:r>
      <w:proofErr w:type="spellEnd"/>
      <w:r w:rsidRPr="00A10F0E">
        <w:rPr>
          <w:rFonts w:ascii="Arial" w:eastAsia="Times New Roman" w:hAnsi="Arial" w:cs="Arial"/>
          <w:color w:val="000000"/>
        </w:rPr>
        <w:t xml:space="preserve"> and Liberman 1986, cited by John McLeod 1998 pg.77). </w:t>
      </w:r>
    </w:p>
    <w:p w:rsidR="00A10F0E" w:rsidRPr="00A10F0E" w:rsidRDefault="00A10F0E" w:rsidP="00A10F0E">
      <w:pPr>
        <w:pStyle w:val="ListParagraph"/>
        <w:numPr>
          <w:ilvl w:val="0"/>
          <w:numId w:val="1"/>
        </w:numPr>
        <w:rPr>
          <w:rFonts w:ascii="Arial" w:eastAsia="Times New Roman" w:hAnsi="Arial" w:cs="Arial"/>
          <w:color w:val="000000"/>
        </w:rPr>
      </w:pPr>
      <w:r w:rsidRPr="00A10F0E">
        <w:rPr>
          <w:rFonts w:ascii="Arial" w:eastAsia="Times New Roman" w:hAnsi="Arial" w:cs="Arial"/>
          <w:color w:val="000000"/>
        </w:rPr>
        <w:t>Systematic desensitisation is a technique which helps clients overcome irrational phobias, by reconditioning learnt responses such as anxiety through the process of exposure. (Hough, 2003, pg. 181) </w:t>
      </w:r>
    </w:p>
    <w:p w:rsidR="00A10F0E" w:rsidRPr="00A10F0E" w:rsidRDefault="00A10F0E" w:rsidP="00A10F0E">
      <w:pPr>
        <w:pStyle w:val="ListParagraph"/>
        <w:numPr>
          <w:ilvl w:val="0"/>
          <w:numId w:val="1"/>
        </w:numPr>
        <w:rPr>
          <w:rFonts w:ascii="Arial" w:eastAsia="Times New Roman" w:hAnsi="Arial" w:cs="Arial"/>
          <w:color w:val="000000"/>
        </w:rPr>
      </w:pPr>
      <w:r w:rsidRPr="00A10F0E">
        <w:rPr>
          <w:rFonts w:ascii="Arial" w:eastAsia="Times New Roman" w:hAnsi="Arial" w:cs="Arial"/>
          <w:color w:val="000000"/>
        </w:rPr>
        <w:t>Positive reinforcement, by emphasising positive desirable behaviour and ignoring pessimistic behaviour eventually the person will relearn positive thinking, thus leading to the extinction of problematic behaviour. (Hough, 2003, pg.184)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Carl Rogers, a significant figure in humanistic theory, explained that people’s desire was to become their true self, to allow themselves to achieve a free will by accepting their thinking and feelings allowing them to move in any direction they wished, through the means of self-efficiency and self-actualisation (Carl Rogers, 2004 pg. 108). Throughout his career Rogers had published many books as his theory grew, in 1942 he published a book called “Counselling Psychotherapy” which detailed the upmost importance on a therapeutic relationship being formed between the client and counsellor, he further went on to stress that the element of the client being in an open minded and non-restricted atmosphere was crucial for positive development. Roger’s theory at heart was all about empowerment alongside meeting their potential but most importantly the role of the individual in their treatment (McLeod 1998, pg.97). For that reason, in 1957 Rogers had expressed that there were 6 core conditions that were imperative for any positive progression to take place. Defined by (Hough 2003, pg.102) the three main core conditions are as followed: </w:t>
      </w:r>
    </w:p>
    <w:p w:rsidR="00A10F0E" w:rsidRPr="00AF63C3" w:rsidRDefault="00A10F0E" w:rsidP="00AF63C3">
      <w:pPr>
        <w:pStyle w:val="ListParagraph"/>
        <w:numPr>
          <w:ilvl w:val="0"/>
          <w:numId w:val="7"/>
        </w:numPr>
        <w:rPr>
          <w:rFonts w:ascii="Arial" w:eastAsia="Times New Roman" w:hAnsi="Arial" w:cs="Arial"/>
          <w:color w:val="000000"/>
        </w:rPr>
      </w:pPr>
      <w:r w:rsidRPr="00AF63C3">
        <w:rPr>
          <w:rFonts w:ascii="Arial" w:eastAsia="Times New Roman" w:hAnsi="Arial" w:cs="Arial"/>
          <w:color w:val="000000"/>
        </w:rPr>
        <w:t>The counsellor is congruent or genuine, </w:t>
      </w:r>
    </w:p>
    <w:p w:rsidR="00A10F0E" w:rsidRPr="00AF63C3" w:rsidRDefault="00A10F0E" w:rsidP="00AF63C3">
      <w:pPr>
        <w:pStyle w:val="ListParagraph"/>
        <w:numPr>
          <w:ilvl w:val="0"/>
          <w:numId w:val="7"/>
        </w:numPr>
        <w:rPr>
          <w:rFonts w:ascii="Arial" w:eastAsia="Times New Roman" w:hAnsi="Arial" w:cs="Arial"/>
          <w:color w:val="000000"/>
        </w:rPr>
      </w:pPr>
      <w:r w:rsidRPr="00AF63C3">
        <w:rPr>
          <w:rFonts w:ascii="Arial" w:eastAsia="Times New Roman" w:hAnsi="Arial" w:cs="Arial"/>
          <w:color w:val="000000"/>
        </w:rPr>
        <w:t>The counsellor’s attitude must portray warmth and acceptance, along with providing a non-judgmental atmosphere also known as unconditional positive regard, </w:t>
      </w:r>
    </w:p>
    <w:p w:rsidR="00A10F0E" w:rsidRPr="00AF63C3" w:rsidRDefault="00A10F0E" w:rsidP="00AF63C3">
      <w:pPr>
        <w:pStyle w:val="ListParagraph"/>
        <w:numPr>
          <w:ilvl w:val="0"/>
          <w:numId w:val="7"/>
        </w:numPr>
        <w:rPr>
          <w:rFonts w:ascii="Arial" w:eastAsia="Times New Roman" w:hAnsi="Arial" w:cs="Arial"/>
          <w:color w:val="000000"/>
        </w:rPr>
      </w:pPr>
      <w:r w:rsidRPr="00AF63C3">
        <w:rPr>
          <w:rFonts w:ascii="Arial" w:eastAsia="Times New Roman" w:hAnsi="Arial" w:cs="Arial"/>
          <w:color w:val="000000"/>
        </w:rPr>
        <w:lastRenderedPageBreak/>
        <w:t>The counsellor must be able to understand the client’s situation and feelings – being empathetic,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This type of therapy is more holistic and is non-directive which aims to empower the individual to self-heal and perceive themselves consciously rather than have someone else act as an expert on thei</w:t>
      </w:r>
      <w:bookmarkStart w:id="0" w:name="_GoBack"/>
      <w:bookmarkEnd w:id="0"/>
      <w:r w:rsidRPr="00A10F0E">
        <w:rPr>
          <w:rFonts w:ascii="Arial" w:eastAsia="Times New Roman" w:hAnsi="Arial" w:cs="Arial"/>
          <w:color w:val="000000"/>
        </w:rPr>
        <w:t>r own life. The role of a person-cantered counsellor is to be a companion working alongside the individual to help find the path to self-actualisation (Mearns and Thorne 2007, pg.1).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Sigmund Freud, an Austrian neurologist is one of the leading founders of the psychodynamic approach. This theory is based on the assumption that our problematic thoughts/behaviours are emanated from childhood experiences locked away within the unconscious mind (McLeod 1998, pg.33). An important element of this theory is the Freudian Structure of personality – the Id, Ego and Superego, Freud believed these three areas were the foundations of a person’s personality and would regulate one’s own behaviour from this (Hough 1998, pg. 51).  In order to be alleviated from negative thoughts and behaviours one must undergo a different type of therapy according to Freud. This type of therapy included techniques such as dream and fantasy analysis, as he believed dreams were in touch with the unconscious, thus symbolically representing what the Id wants (McLeod 1998, pg. 37). Another technique used was observing transference. Transference is when the client directs a certain attitude towards the counsellor which would have been more suitably aimed at other notable people in their lives, it can be both negative or positive depending on the form of relationship they are unconsciously comparing the counsellor to in their past e.g. their mother or ex-husband. This helps the counsellor to dive deeper and understand where some of the problems are rooted from - eventually bringing the unconscious, conscious which allows the individual to gain insight (Maxwell 1997, pg. 27).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There are many similarities and differences between their theoretical rational and their process to change, however from comparing them these are the most prominent: In regard to finding the root of a problem psychodynamic relies on the subconscious, which is a stark difference to the other two theories which both focus on the conscious mind (Hough 2003, pg. 26). Humanistic and psychodynamic approach are very parallel in the fact that one focuses strongly on the idea of empowerment and human ability, motivating the client to seek solutions, while the other focusing on the negative such as childhood traumas and taboo fantasies, finding solutions through interpretation, the latter being of the psychodynamic approach, Rogers himself explained that the psychodynamic approach does not provide the same level of motivation for the outcome of such development and growth as Humanistic (Rogers 2004, pg. 60). However, when it comes to evaluating behaviour all three theories are vast in difference, CBT views problematic behaviour as a learnt response to external stimuli, where on the other hand humanistic views negative behaviour derives from not yet being able to self-actualise, finally the psychodynamic approach focuses on the id, ego and superego which is believed to control personality derived from past-childhood experiences (Cooper 1998 pg. 317). Another difference is that both CBT and Humanistic believe in the use of the core conditions, albeit CBT focusing on that element in the beginning to build a rapport (McLeod 1998, pg. 77), however a difference between the two is that CBT is goal-orientated and various skills are taught to the client, whereas humanistic approach is non-directive and open-ended. Be that as it may, the most important similarity is that all approaches are governed under the same regulating body – the BACP.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lastRenderedPageBreak/>
        <w:t>The BACP’s purpose is to safeguard and protect the dignity of all individuals while going through a course of therapy, it applies to all counsellors whether a trainee or practitioner. They have in place a robust, powerful framework that assists practitioners through practice to ensure the highest level in care is in place and pinpoints many elements such as diversity, confidentiality and building and appropriate relationship (Barnard 2005, pg. 243). The BACP state the six core principles which must be adhered to while providing a therapy to an individual, they are as followed (BACP 2018): </w:t>
      </w:r>
    </w:p>
    <w:p w:rsidR="00AF63C3"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Being trustworthy – being reliable and honouring the clients trust,</w:t>
      </w:r>
    </w:p>
    <w:p w:rsidR="00A10F0E"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Autonomy – respecting at all times the clients right to be autonomous (self-determining and un-coerced), </w:t>
      </w:r>
    </w:p>
    <w:p w:rsidR="00A10F0E"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Beneficence – aid in protecting and promoting the client’s wellbeing by acting in the client’s best interests,  </w:t>
      </w:r>
    </w:p>
    <w:p w:rsidR="00A10F0E"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Non-maleficence – A commitment of doing no harm and deter from situations that would inflict harm upon the client,   </w:t>
      </w:r>
    </w:p>
    <w:p w:rsidR="00A10F0E"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Justice – A promise to treating each client fairly regardless of characteristics and biological make-up,  </w:t>
      </w:r>
    </w:p>
    <w:p w:rsidR="00A10F0E" w:rsidRPr="00AF63C3" w:rsidRDefault="00A10F0E" w:rsidP="00AF63C3">
      <w:pPr>
        <w:pStyle w:val="ListParagraph"/>
        <w:numPr>
          <w:ilvl w:val="0"/>
          <w:numId w:val="6"/>
        </w:numPr>
        <w:rPr>
          <w:rFonts w:ascii="Arial" w:eastAsia="Times New Roman" w:hAnsi="Arial" w:cs="Arial"/>
          <w:color w:val="000000"/>
        </w:rPr>
      </w:pPr>
      <w:r w:rsidRPr="00AF63C3">
        <w:rPr>
          <w:rFonts w:ascii="Arial" w:eastAsia="Times New Roman" w:hAnsi="Arial" w:cs="Arial"/>
          <w:color w:val="000000"/>
        </w:rPr>
        <w:t>Self-respect – A commitment of providing all above principles appropriately, seeking and professional support and development when required through means such as training and further education.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To elaborate on the BACP’s framework, section 13 states that all BACP accredited professionals have an ethical and legal duty to maintain their practice to the standard of care stated within the document. This is vital to ensure the safety of the individual undergoing treatment. The section identifies duties such as: </w:t>
      </w:r>
    </w:p>
    <w:p w:rsidR="00A10F0E" w:rsidRPr="00A10F0E" w:rsidRDefault="00A10F0E" w:rsidP="00A10F0E">
      <w:pPr>
        <w:pStyle w:val="ListParagraph"/>
        <w:numPr>
          <w:ilvl w:val="0"/>
          <w:numId w:val="2"/>
        </w:numPr>
        <w:rPr>
          <w:rFonts w:ascii="Arial" w:eastAsia="Times New Roman" w:hAnsi="Arial" w:cs="Arial"/>
          <w:color w:val="000000"/>
        </w:rPr>
      </w:pPr>
      <w:r w:rsidRPr="00A10F0E">
        <w:rPr>
          <w:rFonts w:ascii="Arial" w:eastAsia="Times New Roman" w:hAnsi="Arial" w:cs="Arial"/>
          <w:color w:val="000000"/>
        </w:rPr>
        <w:t>Maintaining one’s own health to ensure that they can work effectively with the client, </w:t>
      </w:r>
    </w:p>
    <w:p w:rsidR="00A10F0E" w:rsidRPr="00A10F0E" w:rsidRDefault="00A10F0E" w:rsidP="00A10F0E">
      <w:pPr>
        <w:pStyle w:val="ListParagraph"/>
        <w:numPr>
          <w:ilvl w:val="0"/>
          <w:numId w:val="2"/>
        </w:numPr>
        <w:rPr>
          <w:rFonts w:ascii="Arial" w:eastAsia="Times New Roman" w:hAnsi="Arial" w:cs="Arial"/>
          <w:color w:val="000000"/>
        </w:rPr>
      </w:pPr>
      <w:r w:rsidRPr="00A10F0E">
        <w:rPr>
          <w:rFonts w:ascii="Arial" w:eastAsia="Times New Roman" w:hAnsi="Arial" w:cs="Arial"/>
          <w:color w:val="000000"/>
        </w:rPr>
        <w:t>Adhering to the ethical principles set out in the framework, </w:t>
      </w:r>
    </w:p>
    <w:p w:rsidR="00A10F0E" w:rsidRPr="00A10F0E" w:rsidRDefault="00A10F0E" w:rsidP="00A10F0E">
      <w:pPr>
        <w:pStyle w:val="ListParagraph"/>
        <w:numPr>
          <w:ilvl w:val="0"/>
          <w:numId w:val="2"/>
        </w:numPr>
        <w:rPr>
          <w:rFonts w:ascii="Arial" w:eastAsia="Times New Roman" w:hAnsi="Arial" w:cs="Arial"/>
          <w:color w:val="000000"/>
        </w:rPr>
      </w:pPr>
      <w:r w:rsidRPr="00A10F0E">
        <w:rPr>
          <w:rFonts w:ascii="Arial" w:eastAsia="Times New Roman" w:hAnsi="Arial" w:cs="Arial"/>
          <w:color w:val="000000"/>
        </w:rPr>
        <w:t>A commitment to maintaining one’s own knowledge and skills through the means of reading journals, discussing matters with colleagues, alongside knowing the law and being aware of any changes regarding their practice. (BACP 2018)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The importance of this regulation is that if a practitioner was not fit for practice due to physical or psychological reasons and still continued to work, the individual receiving therapy would not be protected from harm as the practitioner may not be competent. In addition to the previous point, if a practitioner was unaware of any regulation or law changes from not keeping up to date, it could lead to negative legal and ethical implications, thus once again if still in practice putting the client in harm’s way. To summarise, the BACP is in place to protect not only the recipient of therapy, but the trainees and practitioners providing it.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In resemblance to the BACP, Nurses and Midwifes have their own regulating body, they are governed under the Nursing and Midwifery Council (NMC), which sets out their level of standards and regulations for fitness to practice and likewise to the BACP’s purpose it is in place to safeguard the patients. An example of the regulations within the code are: </w:t>
      </w:r>
    </w:p>
    <w:p w:rsidR="00A10F0E" w:rsidRPr="00A10F0E" w:rsidRDefault="00A10F0E" w:rsidP="00A10F0E">
      <w:pPr>
        <w:pStyle w:val="ListParagraph"/>
        <w:numPr>
          <w:ilvl w:val="0"/>
          <w:numId w:val="3"/>
        </w:numPr>
        <w:rPr>
          <w:rFonts w:ascii="Arial" w:eastAsia="Times New Roman" w:hAnsi="Arial" w:cs="Arial"/>
          <w:color w:val="000000"/>
        </w:rPr>
      </w:pPr>
      <w:r w:rsidRPr="00A10F0E">
        <w:rPr>
          <w:rFonts w:ascii="Arial" w:eastAsia="Times New Roman" w:hAnsi="Arial" w:cs="Arial"/>
          <w:color w:val="000000"/>
        </w:rPr>
        <w:t>Upholding a patient’s right to confidentiality and privacy, </w:t>
      </w:r>
    </w:p>
    <w:p w:rsidR="00A10F0E" w:rsidRPr="00A10F0E" w:rsidRDefault="00A10F0E" w:rsidP="00A10F0E">
      <w:pPr>
        <w:pStyle w:val="ListParagraph"/>
        <w:numPr>
          <w:ilvl w:val="0"/>
          <w:numId w:val="3"/>
        </w:numPr>
        <w:rPr>
          <w:rFonts w:ascii="Arial" w:eastAsia="Times New Roman" w:hAnsi="Arial" w:cs="Arial"/>
          <w:color w:val="000000"/>
        </w:rPr>
      </w:pPr>
      <w:r w:rsidRPr="00A10F0E">
        <w:rPr>
          <w:rFonts w:ascii="Arial" w:eastAsia="Times New Roman" w:hAnsi="Arial" w:cs="Arial"/>
          <w:color w:val="000000"/>
        </w:rPr>
        <w:t>Communicate effectively – clearly without specialised terminologies when not understood, </w:t>
      </w:r>
    </w:p>
    <w:p w:rsidR="00A10F0E" w:rsidRPr="00A10F0E" w:rsidRDefault="00A10F0E" w:rsidP="00A10F0E">
      <w:pPr>
        <w:pStyle w:val="ListParagraph"/>
        <w:numPr>
          <w:ilvl w:val="0"/>
          <w:numId w:val="3"/>
        </w:numPr>
        <w:rPr>
          <w:rFonts w:ascii="Arial" w:eastAsia="Times New Roman" w:hAnsi="Arial" w:cs="Arial"/>
          <w:color w:val="000000"/>
        </w:rPr>
      </w:pPr>
      <w:r w:rsidRPr="00A10F0E">
        <w:rPr>
          <w:rFonts w:ascii="Arial" w:eastAsia="Times New Roman" w:hAnsi="Arial" w:cs="Arial"/>
          <w:color w:val="000000"/>
        </w:rPr>
        <w:t>To be able to practice within a multi-disciplinary team. (NMC 2018)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 xml:space="preserve">Although each profession is regulated under separate governing bodies there are various similarities as numerous skills are transferable which are crucial for effective </w:t>
      </w:r>
      <w:r w:rsidRPr="00A10F0E">
        <w:rPr>
          <w:rFonts w:ascii="Arial" w:eastAsia="Times New Roman" w:hAnsi="Arial" w:cs="Arial"/>
          <w:color w:val="000000"/>
        </w:rPr>
        <w:lastRenderedPageBreak/>
        <w:t xml:space="preserve">practice, although similar in regard to the skill itself they differentiate in their deliverance due to the nature of each profession. To convey this to a higher degree, it will be demonstrated through a real-life scenario – an individual in palliative care. Saunders, cited by (Brown 2016, pg. 1) explained that each individual </w:t>
      </w:r>
      <w:proofErr w:type="gramStart"/>
      <w:r w:rsidRPr="00A10F0E">
        <w:rPr>
          <w:rFonts w:ascii="Arial" w:eastAsia="Times New Roman" w:hAnsi="Arial" w:cs="Arial"/>
          <w:color w:val="000000"/>
        </w:rPr>
        <w:t>matters</w:t>
      </w:r>
      <w:proofErr w:type="gramEnd"/>
      <w:r w:rsidRPr="00A10F0E">
        <w:rPr>
          <w:rFonts w:ascii="Arial" w:eastAsia="Times New Roman" w:hAnsi="Arial" w:cs="Arial"/>
          <w:color w:val="000000"/>
        </w:rPr>
        <w:t xml:space="preserve"> in every moment of their life, right up until the end, and that people are there to not only help them to pass away peacefully, but to live every moment until that day. Excellent communication skills are a crucial element to put this into effect and is very prominent within both of the profession’s regulating bodies framework. After diagnosis, a palliative care nurse would work to alleviate both physical and psychological discomfort, the latter of the two being through the means of utilising their interpersonal skills to form a therapeutic relationship which would allow them to convey attributes more effectively such as empathy, and unconditional positive regard in order to improve the individual’s quality of life. A nurse would be able to achieve this through techniques such as comforting them by placing a hand on their shoulder when they express sadness, maintaining eye contact while they speak so they know that they are valued, or even just reassurance that they are there to help with anything. The main element throughout is positive communication, by achieving this it emphasises the view of “caring about” the person rather than “caring for” – as many patients can feel at times that the nurse is just completing a routine rather than actually being emotionally present in the interaction (McCormack and McCance 2010, pg. 24). It is also common for a person to seek out a counsellor when diagnosed with a terminal illness for a number of reasons, one of which being acceptance to understand why it has happened to them, as a person may be filled with negative thoughts and hopelessness, and it is imperative for an individual suffering with a condition to have positive events within their life (</w:t>
      </w:r>
      <w:proofErr w:type="spellStart"/>
      <w:r w:rsidRPr="00A10F0E">
        <w:rPr>
          <w:rFonts w:ascii="Arial" w:eastAsia="Times New Roman" w:hAnsi="Arial" w:cs="Arial"/>
          <w:color w:val="000000"/>
        </w:rPr>
        <w:t>Baughan</w:t>
      </w:r>
      <w:proofErr w:type="spellEnd"/>
      <w:r w:rsidRPr="00A10F0E">
        <w:rPr>
          <w:rFonts w:ascii="Arial" w:eastAsia="Times New Roman" w:hAnsi="Arial" w:cs="Arial"/>
          <w:color w:val="000000"/>
        </w:rPr>
        <w:t xml:space="preserve"> and Smith 2013, pg. 43). In order to achieve this a counsellor would use their interpersonal skills to help an individual face their diagnosis in order for inner healing to take place. This can be achieved by the counsellor connecting with the client and discussing their feelings at a deeper level as it would encourage a journey of self-discovery which if done in the right way - in a safe environment, providing the core conditions and promoting the client’s right to be autonomous - can lead to living a happier life. </w:t>
      </w:r>
    </w:p>
    <w:p w:rsidR="00A10F0E" w:rsidRPr="00A10F0E" w:rsidRDefault="00A10F0E" w:rsidP="00A10F0E">
      <w:pPr>
        <w:rPr>
          <w:rFonts w:ascii="Arial" w:eastAsia="Times New Roman" w:hAnsi="Arial" w:cs="Arial"/>
          <w:color w:val="000000"/>
        </w:rPr>
      </w:pPr>
      <w:r w:rsidRPr="00A10F0E">
        <w:rPr>
          <w:rFonts w:ascii="Arial" w:eastAsia="Times New Roman" w:hAnsi="Arial" w:cs="Arial"/>
          <w:color w:val="000000"/>
        </w:rPr>
        <w:t>In conclusion, both counsellors and nurses possess a number of similar attributes that enables them to complete their job to an exceptional standard when adhering to their governing body. The BACP’s importance is imperative to the health care sector and is crucial for the members of the vocation to work within their chosen field successfully. The evidence within this essay supports the view that each different field of counselling possess both strengths and weaknesses depending on the client’s own individual’s needs, however all professionals working on the same goal - to improve a client’s quality of life.  </w:t>
      </w:r>
    </w:p>
    <w:p w:rsidR="00946D25" w:rsidRPr="00A10F0E" w:rsidRDefault="00946D25">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Pr="00A10F0E" w:rsidRDefault="00A10F0E">
      <w:pPr>
        <w:rPr>
          <w:rFonts w:ascii="Arial" w:hAnsi="Arial" w:cs="Arial"/>
        </w:rPr>
      </w:pPr>
    </w:p>
    <w:p w:rsidR="00A10F0E" w:rsidRDefault="00A10F0E">
      <w:pPr>
        <w:rPr>
          <w:rFonts w:ascii="Arial" w:hAnsi="Arial" w:cs="Arial"/>
        </w:rPr>
      </w:pPr>
      <w:r w:rsidRPr="00A10F0E">
        <w:rPr>
          <w:rFonts w:ascii="Arial" w:hAnsi="Arial" w:cs="Arial"/>
        </w:rPr>
        <w:t xml:space="preserve">Word count </w:t>
      </w:r>
      <w:r w:rsidR="005B5629">
        <w:rPr>
          <w:rFonts w:ascii="Arial" w:hAnsi="Arial" w:cs="Arial"/>
        </w:rPr>
        <w:t>–</w:t>
      </w:r>
      <w:r w:rsidRPr="00A10F0E">
        <w:rPr>
          <w:rFonts w:ascii="Arial" w:hAnsi="Arial" w:cs="Arial"/>
        </w:rPr>
        <w:t xml:space="preserve"> 2189</w:t>
      </w:r>
      <w:r w:rsidR="005B5629">
        <w:rPr>
          <w:rFonts w:ascii="Arial" w:hAnsi="Arial" w:cs="Arial"/>
        </w:rPr>
        <w:t xml:space="preserve"> </w:t>
      </w:r>
    </w:p>
    <w:p w:rsidR="00854781" w:rsidRDefault="005B5629">
      <w:pPr>
        <w:rPr>
          <w:rFonts w:ascii="Helvetica Neue" w:hAnsi="Helvetica Neue" w:cs="Helvetica Neue"/>
          <w:color w:val="000000"/>
          <w:lang w:val="en-US"/>
        </w:rPr>
      </w:pPr>
      <w:r>
        <w:rPr>
          <w:rFonts w:ascii="Helvetica Neue" w:hAnsi="Helvetica Neue" w:cs="Helvetica Neue"/>
          <w:color w:val="000000"/>
          <w:lang w:val="en-US"/>
        </w:rPr>
        <w:lastRenderedPageBreak/>
        <w:t xml:space="preserve">British Association for Counselling and Psychotherapy (2018) Ethical Framework. Available at: </w:t>
      </w:r>
      <w:hyperlink r:id="rId7" w:history="1">
        <w:r w:rsidR="00854781" w:rsidRPr="003E2853">
          <w:rPr>
            <w:rStyle w:val="Hyperlink"/>
            <w:rFonts w:ascii="Helvetica Neue" w:hAnsi="Helvetica Neue" w:cs="Helvetica Neue"/>
            <w:lang w:val="en-US"/>
          </w:rPr>
          <w:t>https://www.bacp.co.uk/media/3103/bacp-ethical-framework-for-the-counselling-professions-2018.pdf</w:t>
        </w:r>
      </w:hyperlink>
      <w:r w:rsidR="00854781">
        <w:rPr>
          <w:rFonts w:ascii="Helvetica Neue" w:hAnsi="Helvetica Neue" w:cs="Helvetica Neue"/>
          <w:color w:val="000000"/>
          <w:lang w:val="en-US"/>
        </w:rPr>
        <w:t xml:space="preserve"> (Accessed: </w:t>
      </w:r>
      <w:r w:rsidR="00D431D4">
        <w:rPr>
          <w:rFonts w:ascii="Helvetica Neue" w:hAnsi="Helvetica Neue" w:cs="Helvetica Neue"/>
          <w:color w:val="000000"/>
          <w:lang w:val="en-US"/>
        </w:rPr>
        <w:t>10</w:t>
      </w:r>
      <w:r w:rsidR="00D431D4" w:rsidRPr="00D431D4">
        <w:rPr>
          <w:rFonts w:ascii="Helvetica Neue" w:hAnsi="Helvetica Neue" w:cs="Helvetica Neue"/>
          <w:color w:val="000000"/>
          <w:vertAlign w:val="superscript"/>
          <w:lang w:val="en-US"/>
        </w:rPr>
        <w:t>th</w:t>
      </w:r>
      <w:r w:rsidR="00D431D4">
        <w:rPr>
          <w:rFonts w:ascii="Helvetica Neue" w:hAnsi="Helvetica Neue" w:cs="Helvetica Neue"/>
          <w:color w:val="000000"/>
          <w:lang w:val="en-US"/>
        </w:rPr>
        <w:t xml:space="preserve"> January 2019).</w:t>
      </w:r>
      <w:r w:rsidR="0029603F">
        <w:rPr>
          <w:rFonts w:ascii="Helvetica Neue" w:hAnsi="Helvetica Neue" w:cs="Helvetica Neue"/>
          <w:color w:val="000000"/>
          <w:lang w:val="en-US"/>
        </w:rPr>
        <w:t xml:space="preserve"> </w:t>
      </w:r>
    </w:p>
    <w:p w:rsidR="0029603F" w:rsidRDefault="0029603F">
      <w:pPr>
        <w:rPr>
          <w:rFonts w:ascii="Helvetica Neue" w:hAnsi="Helvetica Neue" w:cs="Helvetica Neue"/>
          <w:color w:val="000000"/>
          <w:lang w:val="en-US"/>
        </w:rPr>
      </w:pPr>
      <w:proofErr w:type="spellStart"/>
      <w:r>
        <w:rPr>
          <w:rFonts w:ascii="Helvetica Neue" w:hAnsi="Helvetica Neue" w:cs="Helvetica Neue"/>
          <w:color w:val="000000"/>
          <w:lang w:val="en-US"/>
        </w:rPr>
        <w:t>Burnard</w:t>
      </w:r>
      <w:proofErr w:type="spellEnd"/>
      <w:r>
        <w:rPr>
          <w:rFonts w:ascii="Helvetica Neue" w:hAnsi="Helvetica Neue" w:cs="Helvetica Neue"/>
          <w:color w:val="000000"/>
          <w:lang w:val="en-US"/>
        </w:rPr>
        <w:t xml:space="preserve">, P. (2005). </w:t>
      </w:r>
      <w:r w:rsidRPr="0029603F">
        <w:rPr>
          <w:rFonts w:ascii="Helvetica Neue" w:hAnsi="Helvetica Neue" w:cs="Helvetica Neue"/>
          <w:i/>
          <w:color w:val="000000"/>
          <w:lang w:val="en-US"/>
        </w:rPr>
        <w:t>Counselling Skills for Health Professionals</w:t>
      </w:r>
      <w:r>
        <w:rPr>
          <w:rFonts w:ascii="Helvetica Neue" w:hAnsi="Helvetica Neue" w:cs="Helvetica Neue"/>
          <w:color w:val="000000"/>
          <w:lang w:val="en-US"/>
        </w:rPr>
        <w:t>. (4</w:t>
      </w:r>
      <w:r w:rsidRPr="0029603F">
        <w:rPr>
          <w:rFonts w:ascii="Helvetica Neue" w:hAnsi="Helvetica Neue" w:cs="Helvetica Neue"/>
          <w:color w:val="000000"/>
          <w:vertAlign w:val="superscript"/>
          <w:lang w:val="en-US"/>
        </w:rPr>
        <w:t>th</w:t>
      </w:r>
      <w:r>
        <w:rPr>
          <w:rFonts w:ascii="Helvetica Neue" w:hAnsi="Helvetica Neue" w:cs="Helvetica Neue"/>
          <w:color w:val="000000"/>
          <w:lang w:val="en-US"/>
        </w:rPr>
        <w:t xml:space="preserve"> edition). Cheltenham: Nelson Thornes Ltd. </w:t>
      </w:r>
    </w:p>
    <w:p w:rsidR="005B5629" w:rsidRDefault="005B5629">
      <w:pPr>
        <w:rPr>
          <w:rFonts w:ascii="Helvetica Neue" w:hAnsi="Helvetica Neue" w:cs="Helvetica Neue"/>
          <w:color w:val="000000"/>
          <w:lang w:val="en-US"/>
        </w:rPr>
      </w:pPr>
      <w:proofErr w:type="spellStart"/>
      <w:r>
        <w:rPr>
          <w:rFonts w:ascii="Helvetica Neue" w:hAnsi="Helvetica Neue" w:cs="Helvetica Neue"/>
          <w:color w:val="000000"/>
          <w:lang w:val="en-US"/>
        </w:rPr>
        <w:t>Baughan</w:t>
      </w:r>
      <w:proofErr w:type="spellEnd"/>
      <w:r>
        <w:rPr>
          <w:rFonts w:ascii="Helvetica Neue" w:hAnsi="Helvetica Neue" w:cs="Helvetica Neue"/>
          <w:color w:val="000000"/>
          <w:lang w:val="en-US"/>
        </w:rPr>
        <w:t xml:space="preserve">, J and Smith, A. (2010). </w:t>
      </w:r>
      <w:r w:rsidRPr="0029603F">
        <w:rPr>
          <w:rFonts w:ascii="Helvetica Neue" w:hAnsi="Helvetica Neue" w:cs="Helvetica Neue"/>
          <w:i/>
          <w:color w:val="000000"/>
          <w:lang w:val="en-US"/>
        </w:rPr>
        <w:t>Compassion, Caring and Communication: Skills for Nursing Practice</w:t>
      </w:r>
      <w:r>
        <w:rPr>
          <w:rFonts w:ascii="Helvetica Neue" w:hAnsi="Helvetica Neue" w:cs="Helvetica Neue"/>
          <w:color w:val="000000"/>
          <w:lang w:val="en-US"/>
        </w:rPr>
        <w:t xml:space="preserve">. (2nd edition). Harlow: Pearson Education Limited. </w:t>
      </w:r>
    </w:p>
    <w:p w:rsidR="00854781" w:rsidRDefault="005B5629">
      <w:pPr>
        <w:rPr>
          <w:rFonts w:ascii="Helvetica Neue" w:hAnsi="Helvetica Neue" w:cs="Helvetica Neue"/>
          <w:color w:val="000000"/>
          <w:lang w:val="en-US"/>
        </w:rPr>
      </w:pPr>
      <w:r>
        <w:rPr>
          <w:rFonts w:ascii="Helvetica Neue" w:hAnsi="Helvetica Neue" w:cs="Helvetica Neue"/>
          <w:color w:val="000000"/>
          <w:lang w:val="en-US"/>
        </w:rPr>
        <w:t xml:space="preserve">Brown, M. (2016). </w:t>
      </w:r>
      <w:r w:rsidRPr="0029603F">
        <w:rPr>
          <w:rFonts w:ascii="Helvetica Neue" w:hAnsi="Helvetica Neue" w:cs="Helvetica Neue"/>
          <w:i/>
          <w:color w:val="000000"/>
          <w:lang w:val="en-US"/>
        </w:rPr>
        <w:t>Palliative Care in Nursing &amp; Healthcare</w:t>
      </w:r>
      <w:r>
        <w:rPr>
          <w:rFonts w:ascii="Helvetica Neue" w:hAnsi="Helvetica Neue" w:cs="Helvetica Neue"/>
          <w:color w:val="000000"/>
          <w:lang w:val="en-US"/>
        </w:rPr>
        <w:t xml:space="preserve">. London: SAGE Publications Ltd. </w:t>
      </w:r>
    </w:p>
    <w:p w:rsidR="00854781" w:rsidRDefault="005B5629">
      <w:pPr>
        <w:rPr>
          <w:rFonts w:ascii="Helvetica Neue" w:hAnsi="Helvetica Neue" w:cs="Helvetica Neue"/>
          <w:color w:val="000000"/>
          <w:lang w:val="en-US"/>
        </w:rPr>
      </w:pPr>
      <w:r>
        <w:rPr>
          <w:rFonts w:ascii="Helvetica Neue" w:hAnsi="Helvetica Neue" w:cs="Helvetica Neue"/>
          <w:color w:val="000000"/>
          <w:lang w:val="en-US"/>
        </w:rPr>
        <w:t xml:space="preserve">Cooper, C. (1998). </w:t>
      </w:r>
      <w:r w:rsidRPr="0029603F">
        <w:rPr>
          <w:rFonts w:ascii="Helvetica Neue" w:hAnsi="Helvetica Neue" w:cs="Helvetica Neue"/>
          <w:i/>
          <w:color w:val="000000"/>
          <w:lang w:val="en-US"/>
        </w:rPr>
        <w:t>Individual Differences</w:t>
      </w:r>
      <w:r>
        <w:rPr>
          <w:rFonts w:ascii="Helvetica Neue" w:hAnsi="Helvetica Neue" w:cs="Helvetica Neue"/>
          <w:color w:val="000000"/>
          <w:lang w:val="en-US"/>
        </w:rPr>
        <w:t xml:space="preserve">. London: Arnold – Hodder Headline Group Hough, M. (2003). </w:t>
      </w:r>
      <w:r w:rsidRPr="0029603F">
        <w:rPr>
          <w:rFonts w:ascii="Helvetica Neue" w:hAnsi="Helvetica Neue" w:cs="Helvetica Neue"/>
          <w:i/>
          <w:color w:val="000000"/>
          <w:lang w:val="en-US"/>
        </w:rPr>
        <w:t>Counselling Skills and Theory</w:t>
      </w:r>
      <w:r>
        <w:rPr>
          <w:rFonts w:ascii="Helvetica Neue" w:hAnsi="Helvetica Neue" w:cs="Helvetica Neue"/>
          <w:color w:val="000000"/>
          <w:lang w:val="en-US"/>
        </w:rPr>
        <w:t xml:space="preserve">. London: Hodder and Stoughton Maxwell, H. (1997). </w:t>
      </w:r>
      <w:r w:rsidRPr="0029603F">
        <w:rPr>
          <w:rFonts w:ascii="Helvetica Neue" w:hAnsi="Helvetica Neue" w:cs="Helvetica Neue"/>
          <w:i/>
          <w:color w:val="000000"/>
          <w:lang w:val="en-US"/>
        </w:rPr>
        <w:t>Psychotherapy: An Outline for Trainees Psychiatrists, Medical Students and Practitioners</w:t>
      </w:r>
      <w:r>
        <w:rPr>
          <w:rFonts w:ascii="Helvetica Neue" w:hAnsi="Helvetica Neue" w:cs="Helvetica Neue"/>
          <w:color w:val="000000"/>
          <w:lang w:val="en-US"/>
        </w:rPr>
        <w:t xml:space="preserve">. (2nd edition). London: </w:t>
      </w:r>
      <w:proofErr w:type="spellStart"/>
      <w:r>
        <w:rPr>
          <w:rFonts w:ascii="Helvetica Neue" w:hAnsi="Helvetica Neue" w:cs="Helvetica Neue"/>
          <w:color w:val="000000"/>
          <w:lang w:val="en-US"/>
        </w:rPr>
        <w:t>Whurr</w:t>
      </w:r>
      <w:proofErr w:type="spellEnd"/>
      <w:r>
        <w:rPr>
          <w:rFonts w:ascii="Helvetica Neue" w:hAnsi="Helvetica Neue" w:cs="Helvetica Neue"/>
          <w:color w:val="000000"/>
          <w:lang w:val="en-US"/>
        </w:rPr>
        <w:t xml:space="preserve"> Publishers Limited McCormack, B and McCance, T. (2010). </w:t>
      </w:r>
      <w:r w:rsidRPr="0029603F">
        <w:rPr>
          <w:rFonts w:ascii="Helvetica Neue" w:hAnsi="Helvetica Neue" w:cs="Helvetica Neue"/>
          <w:i/>
          <w:color w:val="000000"/>
          <w:lang w:val="en-US"/>
        </w:rPr>
        <w:t xml:space="preserve">Person-Centered Nursing: Theory and Practice. </w:t>
      </w:r>
      <w:proofErr w:type="spellStart"/>
      <w:r w:rsidRPr="0029603F">
        <w:rPr>
          <w:rFonts w:ascii="Helvetica Neue" w:hAnsi="Helvetica Neue" w:cs="Helvetica Neue"/>
          <w:i/>
          <w:color w:val="000000"/>
          <w:lang w:val="en-US"/>
        </w:rPr>
        <w:t>Chichester</w:t>
      </w:r>
      <w:proofErr w:type="spellEnd"/>
      <w:r>
        <w:rPr>
          <w:rFonts w:ascii="Helvetica Neue" w:hAnsi="Helvetica Neue" w:cs="Helvetica Neue"/>
          <w:color w:val="000000"/>
          <w:lang w:val="en-US"/>
        </w:rPr>
        <w:t xml:space="preserve">: John Wiley &amp; Sons Ltd. </w:t>
      </w:r>
    </w:p>
    <w:p w:rsidR="00854781" w:rsidRDefault="005B5629">
      <w:pPr>
        <w:rPr>
          <w:rFonts w:ascii="Helvetica Neue" w:hAnsi="Helvetica Neue" w:cs="Helvetica Neue"/>
          <w:color w:val="000000"/>
          <w:lang w:val="en-US"/>
        </w:rPr>
      </w:pPr>
      <w:proofErr w:type="spellStart"/>
      <w:r>
        <w:rPr>
          <w:rFonts w:ascii="Helvetica Neue" w:hAnsi="Helvetica Neue" w:cs="Helvetica Neue"/>
          <w:color w:val="000000"/>
          <w:lang w:val="en-US"/>
        </w:rPr>
        <w:t>McLoed</w:t>
      </w:r>
      <w:proofErr w:type="spellEnd"/>
      <w:r>
        <w:rPr>
          <w:rFonts w:ascii="Helvetica Neue" w:hAnsi="Helvetica Neue" w:cs="Helvetica Neue"/>
          <w:color w:val="000000"/>
          <w:lang w:val="en-US"/>
        </w:rPr>
        <w:t xml:space="preserve">, J. (1998). </w:t>
      </w:r>
      <w:r w:rsidRPr="0029603F">
        <w:rPr>
          <w:rFonts w:ascii="Helvetica Neue" w:hAnsi="Helvetica Neue" w:cs="Helvetica Neue"/>
          <w:i/>
          <w:color w:val="000000"/>
          <w:lang w:val="en-US"/>
        </w:rPr>
        <w:t>An Introduction to Counselling</w:t>
      </w:r>
      <w:r>
        <w:rPr>
          <w:rFonts w:ascii="Helvetica Neue" w:hAnsi="Helvetica Neue" w:cs="Helvetica Neue"/>
          <w:color w:val="000000"/>
          <w:lang w:val="en-US"/>
        </w:rPr>
        <w:t>. (2nd edition). Buckingham: Open University Press.</w:t>
      </w:r>
      <w:r w:rsidR="00854781">
        <w:rPr>
          <w:rFonts w:ascii="Helvetica Neue" w:hAnsi="Helvetica Neue" w:cs="Helvetica Neue"/>
          <w:color w:val="000000"/>
          <w:lang w:val="en-US"/>
        </w:rPr>
        <w:t xml:space="preserve"> </w:t>
      </w:r>
    </w:p>
    <w:p w:rsidR="005B5629" w:rsidRDefault="005B5629">
      <w:pPr>
        <w:rPr>
          <w:rFonts w:ascii="Helvetica Neue" w:hAnsi="Helvetica Neue" w:cs="Helvetica Neue"/>
          <w:color w:val="000000"/>
          <w:lang w:val="en-US"/>
        </w:rPr>
      </w:pPr>
      <w:r>
        <w:rPr>
          <w:rFonts w:ascii="Helvetica Neue" w:hAnsi="Helvetica Neue" w:cs="Helvetica Neue"/>
          <w:color w:val="000000"/>
          <w:lang w:val="en-US"/>
        </w:rPr>
        <w:t>Means, D a</w:t>
      </w:r>
      <w:r w:rsidR="00854781">
        <w:rPr>
          <w:rFonts w:ascii="Helvetica Neue" w:hAnsi="Helvetica Neue" w:cs="Helvetica Neue"/>
          <w:color w:val="000000"/>
          <w:lang w:val="en-US"/>
        </w:rPr>
        <w:t xml:space="preserve">nd Thorne, B. (2007). </w:t>
      </w:r>
      <w:r w:rsidR="00854781" w:rsidRPr="0029603F">
        <w:rPr>
          <w:rFonts w:ascii="Helvetica Neue" w:hAnsi="Helvetica Neue" w:cs="Helvetica Neue"/>
          <w:i/>
          <w:color w:val="000000"/>
          <w:lang w:val="en-US"/>
        </w:rPr>
        <w:t>Person-Centered Counselling in Action</w:t>
      </w:r>
      <w:r w:rsidR="00854781">
        <w:rPr>
          <w:rFonts w:ascii="Helvetica Neue" w:hAnsi="Helvetica Neue" w:cs="Helvetica Neue"/>
          <w:color w:val="000000"/>
          <w:lang w:val="en-US"/>
        </w:rPr>
        <w:t>. (3</w:t>
      </w:r>
      <w:r w:rsidR="00854781" w:rsidRPr="00854781">
        <w:rPr>
          <w:rFonts w:ascii="Helvetica Neue" w:hAnsi="Helvetica Neue" w:cs="Helvetica Neue"/>
          <w:color w:val="000000"/>
          <w:vertAlign w:val="superscript"/>
          <w:lang w:val="en-US"/>
        </w:rPr>
        <w:t>rd</w:t>
      </w:r>
      <w:r w:rsidR="00854781">
        <w:rPr>
          <w:rFonts w:ascii="Helvetica Neue" w:hAnsi="Helvetica Neue" w:cs="Helvetica Neue"/>
          <w:color w:val="000000"/>
          <w:lang w:val="en-US"/>
        </w:rPr>
        <w:t xml:space="preserve"> edition). London: SAGE Publications Ltd. </w:t>
      </w:r>
    </w:p>
    <w:p w:rsidR="00854781" w:rsidRDefault="00854781">
      <w:pPr>
        <w:rPr>
          <w:rFonts w:ascii="Helvetica Neue" w:hAnsi="Helvetica Neue" w:cs="Helvetica Neue"/>
          <w:color w:val="000000"/>
          <w:lang w:val="en-US"/>
        </w:rPr>
      </w:pPr>
      <w:r>
        <w:rPr>
          <w:rFonts w:ascii="Helvetica Neue" w:hAnsi="Helvetica Neue" w:cs="Helvetica Neue"/>
          <w:color w:val="000000"/>
          <w:lang w:val="en-US"/>
        </w:rPr>
        <w:t xml:space="preserve">Nelson-Jones, R. (2011). </w:t>
      </w:r>
      <w:r w:rsidRPr="0029603F">
        <w:rPr>
          <w:rFonts w:ascii="Helvetica Neue" w:hAnsi="Helvetica Neue" w:cs="Helvetica Neue"/>
          <w:i/>
          <w:color w:val="000000"/>
          <w:lang w:val="en-US"/>
        </w:rPr>
        <w:t>Six Key Approaches to Counselling and Therapy</w:t>
      </w:r>
      <w:r>
        <w:rPr>
          <w:rFonts w:ascii="Helvetica Neue" w:hAnsi="Helvetica Neue" w:cs="Helvetica Neue"/>
          <w:color w:val="000000"/>
          <w:lang w:val="en-US"/>
        </w:rPr>
        <w:t>. (2</w:t>
      </w:r>
      <w:r w:rsidRPr="00854781">
        <w:rPr>
          <w:rFonts w:ascii="Helvetica Neue" w:hAnsi="Helvetica Neue" w:cs="Helvetica Neue"/>
          <w:color w:val="000000"/>
          <w:vertAlign w:val="superscript"/>
          <w:lang w:val="en-US"/>
        </w:rPr>
        <w:t>nd</w:t>
      </w:r>
      <w:r>
        <w:rPr>
          <w:rFonts w:ascii="Helvetica Neue" w:hAnsi="Helvetica Neue" w:cs="Helvetica Neue"/>
          <w:color w:val="000000"/>
          <w:lang w:val="en-US"/>
        </w:rPr>
        <w:t xml:space="preserve"> edition) London: SAGE Publications Ltd </w:t>
      </w:r>
    </w:p>
    <w:p w:rsidR="00854781" w:rsidRDefault="00854781">
      <w:pPr>
        <w:rPr>
          <w:rFonts w:ascii="Helvetica Neue" w:hAnsi="Helvetica Neue" w:cs="Helvetica Neue"/>
          <w:color w:val="000000"/>
          <w:lang w:val="en-US"/>
        </w:rPr>
      </w:pPr>
      <w:r>
        <w:rPr>
          <w:rFonts w:ascii="Helvetica Neue" w:hAnsi="Helvetica Neue" w:cs="Helvetica Neue"/>
          <w:color w:val="000000"/>
          <w:lang w:val="en-US"/>
        </w:rPr>
        <w:t xml:space="preserve">Nursing and Midwifery Council (2015) The Code. Available at: </w:t>
      </w:r>
      <w:hyperlink r:id="rId8" w:history="1">
        <w:r w:rsidRPr="003E2853">
          <w:rPr>
            <w:rStyle w:val="Hyperlink"/>
            <w:rFonts w:ascii="Helvetica Neue" w:hAnsi="Helvetica Neue" w:cs="Helvetica Neue"/>
            <w:lang w:val="en-US"/>
          </w:rPr>
          <w:t>https://www.nmc.org.uk/globalassets/sitedocuments/nmc-publications/nmc-code.pdf</w:t>
        </w:r>
      </w:hyperlink>
      <w:r>
        <w:rPr>
          <w:rFonts w:ascii="Helvetica Neue" w:hAnsi="Helvetica Neue" w:cs="Helvetica Neue"/>
          <w:color w:val="000000"/>
          <w:lang w:val="en-US"/>
        </w:rPr>
        <w:t xml:space="preserve"> </w:t>
      </w:r>
      <w:r w:rsidR="00D431D4">
        <w:rPr>
          <w:rFonts w:ascii="Helvetica Neue" w:hAnsi="Helvetica Neue" w:cs="Helvetica Neue"/>
          <w:color w:val="000000"/>
          <w:lang w:val="en-US"/>
        </w:rPr>
        <w:t>(Accessed: 12</w:t>
      </w:r>
      <w:r w:rsidR="00D431D4" w:rsidRPr="00D431D4">
        <w:rPr>
          <w:rFonts w:ascii="Helvetica Neue" w:hAnsi="Helvetica Neue" w:cs="Helvetica Neue"/>
          <w:color w:val="000000"/>
          <w:vertAlign w:val="superscript"/>
          <w:lang w:val="en-US"/>
        </w:rPr>
        <w:t>th</w:t>
      </w:r>
      <w:r w:rsidR="00D431D4">
        <w:rPr>
          <w:rFonts w:ascii="Helvetica Neue" w:hAnsi="Helvetica Neue" w:cs="Helvetica Neue"/>
          <w:color w:val="000000"/>
          <w:lang w:val="en-US"/>
        </w:rPr>
        <w:t xml:space="preserve"> January 2019). </w:t>
      </w:r>
    </w:p>
    <w:p w:rsidR="00854781" w:rsidRPr="00854781" w:rsidRDefault="00854781">
      <w:pPr>
        <w:rPr>
          <w:rFonts w:ascii="Helvetica Neue" w:hAnsi="Helvetica Neue" w:cs="Helvetica Neue"/>
          <w:color w:val="000000"/>
          <w:lang w:val="en-US"/>
        </w:rPr>
      </w:pPr>
      <w:r>
        <w:rPr>
          <w:rFonts w:ascii="Helvetica Neue" w:hAnsi="Helvetica Neue" w:cs="Helvetica Neue"/>
          <w:color w:val="000000"/>
          <w:lang w:val="en-US"/>
        </w:rPr>
        <w:t xml:space="preserve">Rogers, C. (2004). </w:t>
      </w:r>
      <w:r w:rsidRPr="0029603F">
        <w:rPr>
          <w:rFonts w:ascii="Helvetica Neue" w:hAnsi="Helvetica Neue" w:cs="Helvetica Neue"/>
          <w:i/>
          <w:color w:val="000000"/>
          <w:lang w:val="en-US"/>
        </w:rPr>
        <w:t>On Becoming a Person: A Therapist’s View of Psychotherapy</w:t>
      </w:r>
      <w:r>
        <w:rPr>
          <w:rFonts w:ascii="Helvetica Neue" w:hAnsi="Helvetica Neue" w:cs="Helvetica Neue"/>
          <w:color w:val="000000"/>
          <w:lang w:val="en-US"/>
        </w:rPr>
        <w:t xml:space="preserve">. London: Constable &amp; Robinson Ltd.  </w:t>
      </w:r>
    </w:p>
    <w:sectPr w:rsidR="00854781" w:rsidRPr="00854781" w:rsidSect="00F22D2D">
      <w:headerReference w:type="default"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34EA" w:rsidRDefault="009934EA" w:rsidP="00A10F0E">
      <w:r>
        <w:separator/>
      </w:r>
    </w:p>
  </w:endnote>
  <w:endnote w:type="continuationSeparator" w:id="0">
    <w:p w:rsidR="009934EA" w:rsidRDefault="009934EA" w:rsidP="00A10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F0E" w:rsidRPr="00A10F0E" w:rsidRDefault="00A10F0E">
    <w:pPr>
      <w:pStyle w:val="Footer"/>
      <w:rPr>
        <w:rFonts w:ascii="Arial" w:hAnsi="Arial" w:cs="Arial"/>
        <w:sz w:val="22"/>
        <w:szCs w:val="22"/>
      </w:rPr>
    </w:pPr>
    <w:r w:rsidRPr="00A10F0E">
      <w:rPr>
        <w:rFonts w:ascii="Arial" w:hAnsi="Arial" w:cs="Arial"/>
        <w:sz w:val="22"/>
        <w:szCs w:val="22"/>
      </w:rPr>
      <w:t>Lauryn Gorton</w:t>
    </w:r>
  </w:p>
  <w:p w:rsidR="00A10F0E" w:rsidRDefault="00A10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34EA" w:rsidRDefault="009934EA" w:rsidP="00A10F0E">
      <w:r>
        <w:separator/>
      </w:r>
    </w:p>
  </w:footnote>
  <w:footnote w:type="continuationSeparator" w:id="0">
    <w:p w:rsidR="009934EA" w:rsidRDefault="009934EA" w:rsidP="00A10F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F0E" w:rsidRPr="00A10F0E" w:rsidRDefault="00A10F0E">
    <w:pPr>
      <w:pStyle w:val="Header"/>
      <w:rPr>
        <w:sz w:val="22"/>
        <w:szCs w:val="22"/>
      </w:rPr>
    </w:pPr>
    <w:r w:rsidRPr="00A10F0E">
      <w:rPr>
        <w:sz w:val="22"/>
        <w:szCs w:val="22"/>
      </w:rPr>
      <w:t>Communication and Counselling – Assignment 2</w:t>
    </w:r>
  </w:p>
  <w:p w:rsidR="00A10F0E" w:rsidRDefault="00A10F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72556"/>
    <w:multiLevelType w:val="hybridMultilevel"/>
    <w:tmpl w:val="9A424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881FF9"/>
    <w:multiLevelType w:val="hybridMultilevel"/>
    <w:tmpl w:val="97FAE42A"/>
    <w:lvl w:ilvl="0" w:tplc="3232277A">
      <w:start w:val="1"/>
      <w:numFmt w:val="decimal"/>
      <w:lvlText w:val="%1."/>
      <w:lvlJc w:val="left"/>
      <w:pPr>
        <w:ind w:left="1080" w:hanging="72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43654E"/>
    <w:multiLevelType w:val="hybridMultilevel"/>
    <w:tmpl w:val="B636B09A"/>
    <w:lvl w:ilvl="0" w:tplc="323227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923A7"/>
    <w:multiLevelType w:val="hybridMultilevel"/>
    <w:tmpl w:val="DF94AB16"/>
    <w:lvl w:ilvl="0" w:tplc="323227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3D7814"/>
    <w:multiLevelType w:val="hybridMultilevel"/>
    <w:tmpl w:val="3BF80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5965D0"/>
    <w:multiLevelType w:val="hybridMultilevel"/>
    <w:tmpl w:val="AC0CD894"/>
    <w:lvl w:ilvl="0" w:tplc="323227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7845D48"/>
    <w:multiLevelType w:val="hybridMultilevel"/>
    <w:tmpl w:val="D76AA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603D30"/>
    <w:multiLevelType w:val="hybridMultilevel"/>
    <w:tmpl w:val="AED000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4"/>
  </w:num>
  <w:num w:numId="4">
    <w:abstractNumId w:val="2"/>
  </w:num>
  <w:num w:numId="5">
    <w:abstractNumId w:val="6"/>
  </w:num>
  <w:num w:numId="6">
    <w:abstractNumId w:val="1"/>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F0E"/>
    <w:rsid w:val="000C46C4"/>
    <w:rsid w:val="00110DA8"/>
    <w:rsid w:val="0029603F"/>
    <w:rsid w:val="004F323F"/>
    <w:rsid w:val="005B5629"/>
    <w:rsid w:val="00854781"/>
    <w:rsid w:val="00946D25"/>
    <w:rsid w:val="009470F0"/>
    <w:rsid w:val="009934EA"/>
    <w:rsid w:val="00A10F0E"/>
    <w:rsid w:val="00AF63C3"/>
    <w:rsid w:val="00B46EB7"/>
    <w:rsid w:val="00D431D4"/>
    <w:rsid w:val="00F22D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633060"/>
  <w14:defaultImageDpi w14:val="32767"/>
  <w15:chartTrackingRefBased/>
  <w15:docId w15:val="{832169C0-ED9E-764A-9D78-B436B7771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0F0E"/>
    <w:pPr>
      <w:ind w:left="720"/>
      <w:contextualSpacing/>
    </w:pPr>
  </w:style>
  <w:style w:type="paragraph" w:styleId="Header">
    <w:name w:val="header"/>
    <w:basedOn w:val="Normal"/>
    <w:link w:val="HeaderChar"/>
    <w:uiPriority w:val="99"/>
    <w:unhideWhenUsed/>
    <w:rsid w:val="00A10F0E"/>
    <w:pPr>
      <w:tabs>
        <w:tab w:val="center" w:pos="4680"/>
        <w:tab w:val="right" w:pos="9360"/>
      </w:tabs>
    </w:pPr>
  </w:style>
  <w:style w:type="character" w:customStyle="1" w:styleId="HeaderChar">
    <w:name w:val="Header Char"/>
    <w:basedOn w:val="DefaultParagraphFont"/>
    <w:link w:val="Header"/>
    <w:uiPriority w:val="99"/>
    <w:rsid w:val="00A10F0E"/>
  </w:style>
  <w:style w:type="paragraph" w:styleId="Footer">
    <w:name w:val="footer"/>
    <w:basedOn w:val="Normal"/>
    <w:link w:val="FooterChar"/>
    <w:uiPriority w:val="99"/>
    <w:unhideWhenUsed/>
    <w:rsid w:val="00A10F0E"/>
    <w:pPr>
      <w:tabs>
        <w:tab w:val="center" w:pos="4680"/>
        <w:tab w:val="right" w:pos="9360"/>
      </w:tabs>
    </w:pPr>
  </w:style>
  <w:style w:type="character" w:customStyle="1" w:styleId="FooterChar">
    <w:name w:val="Footer Char"/>
    <w:basedOn w:val="DefaultParagraphFont"/>
    <w:link w:val="Footer"/>
    <w:uiPriority w:val="99"/>
    <w:rsid w:val="00A10F0E"/>
  </w:style>
  <w:style w:type="character" w:styleId="Hyperlink">
    <w:name w:val="Hyperlink"/>
    <w:basedOn w:val="DefaultParagraphFont"/>
    <w:uiPriority w:val="99"/>
    <w:unhideWhenUsed/>
    <w:rsid w:val="00854781"/>
    <w:rPr>
      <w:color w:val="0563C1" w:themeColor="hyperlink"/>
      <w:u w:val="single"/>
    </w:rPr>
  </w:style>
  <w:style w:type="character" w:styleId="UnresolvedMention">
    <w:name w:val="Unresolved Mention"/>
    <w:basedOn w:val="DefaultParagraphFont"/>
    <w:uiPriority w:val="99"/>
    <w:rsid w:val="008547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7492989">
      <w:bodyDiv w:val="1"/>
      <w:marLeft w:val="0"/>
      <w:marRight w:val="0"/>
      <w:marTop w:val="0"/>
      <w:marBottom w:val="0"/>
      <w:divBdr>
        <w:top w:val="none" w:sz="0" w:space="0" w:color="auto"/>
        <w:left w:val="none" w:sz="0" w:space="0" w:color="auto"/>
        <w:bottom w:val="none" w:sz="0" w:space="0" w:color="auto"/>
        <w:right w:val="none" w:sz="0" w:space="0" w:color="auto"/>
      </w:divBdr>
      <w:divsChild>
        <w:div w:id="278033894">
          <w:marLeft w:val="0"/>
          <w:marRight w:val="0"/>
          <w:marTop w:val="0"/>
          <w:marBottom w:val="0"/>
          <w:divBdr>
            <w:top w:val="none" w:sz="0" w:space="0" w:color="auto"/>
            <w:left w:val="none" w:sz="0" w:space="0" w:color="auto"/>
            <w:bottom w:val="none" w:sz="0" w:space="0" w:color="auto"/>
            <w:right w:val="none" w:sz="0" w:space="0" w:color="auto"/>
          </w:divBdr>
        </w:div>
        <w:div w:id="432359703">
          <w:marLeft w:val="0"/>
          <w:marRight w:val="0"/>
          <w:marTop w:val="0"/>
          <w:marBottom w:val="0"/>
          <w:divBdr>
            <w:top w:val="none" w:sz="0" w:space="0" w:color="auto"/>
            <w:left w:val="none" w:sz="0" w:space="0" w:color="auto"/>
            <w:bottom w:val="none" w:sz="0" w:space="0" w:color="auto"/>
            <w:right w:val="none" w:sz="0" w:space="0" w:color="auto"/>
          </w:divBdr>
        </w:div>
        <w:div w:id="464322930">
          <w:marLeft w:val="0"/>
          <w:marRight w:val="0"/>
          <w:marTop w:val="0"/>
          <w:marBottom w:val="0"/>
          <w:divBdr>
            <w:top w:val="none" w:sz="0" w:space="0" w:color="auto"/>
            <w:left w:val="none" w:sz="0" w:space="0" w:color="auto"/>
            <w:bottom w:val="none" w:sz="0" w:space="0" w:color="auto"/>
            <w:right w:val="none" w:sz="0" w:space="0" w:color="auto"/>
          </w:divBdr>
        </w:div>
        <w:div w:id="2075201165">
          <w:marLeft w:val="0"/>
          <w:marRight w:val="0"/>
          <w:marTop w:val="0"/>
          <w:marBottom w:val="0"/>
          <w:divBdr>
            <w:top w:val="none" w:sz="0" w:space="0" w:color="auto"/>
            <w:left w:val="none" w:sz="0" w:space="0" w:color="auto"/>
            <w:bottom w:val="none" w:sz="0" w:space="0" w:color="auto"/>
            <w:right w:val="none" w:sz="0" w:space="0" w:color="auto"/>
          </w:divBdr>
        </w:div>
        <w:div w:id="1038047089">
          <w:marLeft w:val="0"/>
          <w:marRight w:val="0"/>
          <w:marTop w:val="0"/>
          <w:marBottom w:val="0"/>
          <w:divBdr>
            <w:top w:val="none" w:sz="0" w:space="0" w:color="auto"/>
            <w:left w:val="none" w:sz="0" w:space="0" w:color="auto"/>
            <w:bottom w:val="none" w:sz="0" w:space="0" w:color="auto"/>
            <w:right w:val="none" w:sz="0" w:space="0" w:color="auto"/>
          </w:divBdr>
        </w:div>
        <w:div w:id="892541315">
          <w:marLeft w:val="0"/>
          <w:marRight w:val="0"/>
          <w:marTop w:val="0"/>
          <w:marBottom w:val="0"/>
          <w:divBdr>
            <w:top w:val="none" w:sz="0" w:space="0" w:color="auto"/>
            <w:left w:val="none" w:sz="0" w:space="0" w:color="auto"/>
            <w:bottom w:val="none" w:sz="0" w:space="0" w:color="auto"/>
            <w:right w:val="none" w:sz="0" w:space="0" w:color="auto"/>
          </w:divBdr>
        </w:div>
        <w:div w:id="1475414608">
          <w:marLeft w:val="0"/>
          <w:marRight w:val="0"/>
          <w:marTop w:val="0"/>
          <w:marBottom w:val="0"/>
          <w:divBdr>
            <w:top w:val="none" w:sz="0" w:space="0" w:color="auto"/>
            <w:left w:val="none" w:sz="0" w:space="0" w:color="auto"/>
            <w:bottom w:val="none" w:sz="0" w:space="0" w:color="auto"/>
            <w:right w:val="none" w:sz="0" w:space="0" w:color="auto"/>
          </w:divBdr>
        </w:div>
        <w:div w:id="570189428">
          <w:marLeft w:val="0"/>
          <w:marRight w:val="0"/>
          <w:marTop w:val="0"/>
          <w:marBottom w:val="0"/>
          <w:divBdr>
            <w:top w:val="none" w:sz="0" w:space="0" w:color="auto"/>
            <w:left w:val="none" w:sz="0" w:space="0" w:color="auto"/>
            <w:bottom w:val="none" w:sz="0" w:space="0" w:color="auto"/>
            <w:right w:val="none" w:sz="0" w:space="0" w:color="auto"/>
          </w:divBdr>
        </w:div>
        <w:div w:id="572276931">
          <w:marLeft w:val="0"/>
          <w:marRight w:val="0"/>
          <w:marTop w:val="0"/>
          <w:marBottom w:val="0"/>
          <w:divBdr>
            <w:top w:val="none" w:sz="0" w:space="0" w:color="auto"/>
            <w:left w:val="none" w:sz="0" w:space="0" w:color="auto"/>
            <w:bottom w:val="none" w:sz="0" w:space="0" w:color="auto"/>
            <w:right w:val="none" w:sz="0" w:space="0" w:color="auto"/>
          </w:divBdr>
        </w:div>
        <w:div w:id="204565670">
          <w:marLeft w:val="0"/>
          <w:marRight w:val="0"/>
          <w:marTop w:val="0"/>
          <w:marBottom w:val="0"/>
          <w:divBdr>
            <w:top w:val="none" w:sz="0" w:space="0" w:color="auto"/>
            <w:left w:val="none" w:sz="0" w:space="0" w:color="auto"/>
            <w:bottom w:val="none" w:sz="0" w:space="0" w:color="auto"/>
            <w:right w:val="none" w:sz="0" w:space="0" w:color="auto"/>
          </w:divBdr>
        </w:div>
        <w:div w:id="1384914467">
          <w:marLeft w:val="0"/>
          <w:marRight w:val="0"/>
          <w:marTop w:val="0"/>
          <w:marBottom w:val="0"/>
          <w:divBdr>
            <w:top w:val="none" w:sz="0" w:space="0" w:color="auto"/>
            <w:left w:val="none" w:sz="0" w:space="0" w:color="auto"/>
            <w:bottom w:val="none" w:sz="0" w:space="0" w:color="auto"/>
            <w:right w:val="none" w:sz="0" w:space="0" w:color="auto"/>
          </w:divBdr>
        </w:div>
        <w:div w:id="690188209">
          <w:marLeft w:val="0"/>
          <w:marRight w:val="0"/>
          <w:marTop w:val="0"/>
          <w:marBottom w:val="0"/>
          <w:divBdr>
            <w:top w:val="none" w:sz="0" w:space="0" w:color="auto"/>
            <w:left w:val="none" w:sz="0" w:space="0" w:color="auto"/>
            <w:bottom w:val="none" w:sz="0" w:space="0" w:color="auto"/>
            <w:right w:val="none" w:sz="0" w:space="0" w:color="auto"/>
          </w:divBdr>
        </w:div>
        <w:div w:id="111898815">
          <w:marLeft w:val="0"/>
          <w:marRight w:val="0"/>
          <w:marTop w:val="0"/>
          <w:marBottom w:val="0"/>
          <w:divBdr>
            <w:top w:val="none" w:sz="0" w:space="0" w:color="auto"/>
            <w:left w:val="none" w:sz="0" w:space="0" w:color="auto"/>
            <w:bottom w:val="none" w:sz="0" w:space="0" w:color="auto"/>
            <w:right w:val="none" w:sz="0" w:space="0" w:color="auto"/>
          </w:divBdr>
        </w:div>
        <w:div w:id="1917979244">
          <w:marLeft w:val="0"/>
          <w:marRight w:val="0"/>
          <w:marTop w:val="0"/>
          <w:marBottom w:val="0"/>
          <w:divBdr>
            <w:top w:val="none" w:sz="0" w:space="0" w:color="auto"/>
            <w:left w:val="none" w:sz="0" w:space="0" w:color="auto"/>
            <w:bottom w:val="none" w:sz="0" w:space="0" w:color="auto"/>
            <w:right w:val="none" w:sz="0" w:space="0" w:color="auto"/>
          </w:divBdr>
        </w:div>
        <w:div w:id="1494449545">
          <w:marLeft w:val="0"/>
          <w:marRight w:val="0"/>
          <w:marTop w:val="0"/>
          <w:marBottom w:val="0"/>
          <w:divBdr>
            <w:top w:val="none" w:sz="0" w:space="0" w:color="auto"/>
            <w:left w:val="none" w:sz="0" w:space="0" w:color="auto"/>
            <w:bottom w:val="none" w:sz="0" w:space="0" w:color="auto"/>
            <w:right w:val="none" w:sz="0" w:space="0" w:color="auto"/>
          </w:divBdr>
        </w:div>
        <w:div w:id="643698517">
          <w:marLeft w:val="0"/>
          <w:marRight w:val="0"/>
          <w:marTop w:val="0"/>
          <w:marBottom w:val="0"/>
          <w:divBdr>
            <w:top w:val="none" w:sz="0" w:space="0" w:color="auto"/>
            <w:left w:val="none" w:sz="0" w:space="0" w:color="auto"/>
            <w:bottom w:val="none" w:sz="0" w:space="0" w:color="auto"/>
            <w:right w:val="none" w:sz="0" w:space="0" w:color="auto"/>
          </w:divBdr>
        </w:div>
        <w:div w:id="1111124071">
          <w:marLeft w:val="0"/>
          <w:marRight w:val="0"/>
          <w:marTop w:val="0"/>
          <w:marBottom w:val="0"/>
          <w:divBdr>
            <w:top w:val="none" w:sz="0" w:space="0" w:color="auto"/>
            <w:left w:val="none" w:sz="0" w:space="0" w:color="auto"/>
            <w:bottom w:val="none" w:sz="0" w:space="0" w:color="auto"/>
            <w:right w:val="none" w:sz="0" w:space="0" w:color="auto"/>
          </w:divBdr>
        </w:div>
        <w:div w:id="1681545434">
          <w:marLeft w:val="0"/>
          <w:marRight w:val="0"/>
          <w:marTop w:val="0"/>
          <w:marBottom w:val="0"/>
          <w:divBdr>
            <w:top w:val="none" w:sz="0" w:space="0" w:color="auto"/>
            <w:left w:val="none" w:sz="0" w:space="0" w:color="auto"/>
            <w:bottom w:val="none" w:sz="0" w:space="0" w:color="auto"/>
            <w:right w:val="none" w:sz="0" w:space="0" w:color="auto"/>
          </w:divBdr>
        </w:div>
        <w:div w:id="1244296757">
          <w:marLeft w:val="0"/>
          <w:marRight w:val="0"/>
          <w:marTop w:val="0"/>
          <w:marBottom w:val="0"/>
          <w:divBdr>
            <w:top w:val="none" w:sz="0" w:space="0" w:color="auto"/>
            <w:left w:val="none" w:sz="0" w:space="0" w:color="auto"/>
            <w:bottom w:val="none" w:sz="0" w:space="0" w:color="auto"/>
            <w:right w:val="none" w:sz="0" w:space="0" w:color="auto"/>
          </w:divBdr>
        </w:div>
        <w:div w:id="222303572">
          <w:marLeft w:val="0"/>
          <w:marRight w:val="0"/>
          <w:marTop w:val="0"/>
          <w:marBottom w:val="0"/>
          <w:divBdr>
            <w:top w:val="none" w:sz="0" w:space="0" w:color="auto"/>
            <w:left w:val="none" w:sz="0" w:space="0" w:color="auto"/>
            <w:bottom w:val="none" w:sz="0" w:space="0" w:color="auto"/>
            <w:right w:val="none" w:sz="0" w:space="0" w:color="auto"/>
          </w:divBdr>
        </w:div>
        <w:div w:id="1445348139">
          <w:marLeft w:val="0"/>
          <w:marRight w:val="0"/>
          <w:marTop w:val="0"/>
          <w:marBottom w:val="0"/>
          <w:divBdr>
            <w:top w:val="none" w:sz="0" w:space="0" w:color="auto"/>
            <w:left w:val="none" w:sz="0" w:space="0" w:color="auto"/>
            <w:bottom w:val="none" w:sz="0" w:space="0" w:color="auto"/>
            <w:right w:val="none" w:sz="0" w:space="0" w:color="auto"/>
          </w:divBdr>
        </w:div>
        <w:div w:id="1650672508">
          <w:marLeft w:val="0"/>
          <w:marRight w:val="0"/>
          <w:marTop w:val="0"/>
          <w:marBottom w:val="0"/>
          <w:divBdr>
            <w:top w:val="none" w:sz="0" w:space="0" w:color="auto"/>
            <w:left w:val="none" w:sz="0" w:space="0" w:color="auto"/>
            <w:bottom w:val="none" w:sz="0" w:space="0" w:color="auto"/>
            <w:right w:val="none" w:sz="0" w:space="0" w:color="auto"/>
          </w:divBdr>
        </w:div>
        <w:div w:id="311952274">
          <w:marLeft w:val="0"/>
          <w:marRight w:val="0"/>
          <w:marTop w:val="0"/>
          <w:marBottom w:val="0"/>
          <w:divBdr>
            <w:top w:val="none" w:sz="0" w:space="0" w:color="auto"/>
            <w:left w:val="none" w:sz="0" w:space="0" w:color="auto"/>
            <w:bottom w:val="none" w:sz="0" w:space="0" w:color="auto"/>
            <w:right w:val="none" w:sz="0" w:space="0" w:color="auto"/>
          </w:divBdr>
        </w:div>
        <w:div w:id="1879118629">
          <w:marLeft w:val="0"/>
          <w:marRight w:val="0"/>
          <w:marTop w:val="0"/>
          <w:marBottom w:val="0"/>
          <w:divBdr>
            <w:top w:val="none" w:sz="0" w:space="0" w:color="auto"/>
            <w:left w:val="none" w:sz="0" w:space="0" w:color="auto"/>
            <w:bottom w:val="none" w:sz="0" w:space="0" w:color="auto"/>
            <w:right w:val="none" w:sz="0" w:space="0" w:color="auto"/>
          </w:divBdr>
        </w:div>
        <w:div w:id="136386300">
          <w:marLeft w:val="0"/>
          <w:marRight w:val="0"/>
          <w:marTop w:val="0"/>
          <w:marBottom w:val="0"/>
          <w:divBdr>
            <w:top w:val="none" w:sz="0" w:space="0" w:color="auto"/>
            <w:left w:val="none" w:sz="0" w:space="0" w:color="auto"/>
            <w:bottom w:val="none" w:sz="0" w:space="0" w:color="auto"/>
            <w:right w:val="none" w:sz="0" w:space="0" w:color="auto"/>
          </w:divBdr>
        </w:div>
        <w:div w:id="1152717272">
          <w:marLeft w:val="0"/>
          <w:marRight w:val="0"/>
          <w:marTop w:val="0"/>
          <w:marBottom w:val="0"/>
          <w:divBdr>
            <w:top w:val="none" w:sz="0" w:space="0" w:color="auto"/>
            <w:left w:val="none" w:sz="0" w:space="0" w:color="auto"/>
            <w:bottom w:val="none" w:sz="0" w:space="0" w:color="auto"/>
            <w:right w:val="none" w:sz="0" w:space="0" w:color="auto"/>
          </w:divBdr>
        </w:div>
        <w:div w:id="307630248">
          <w:marLeft w:val="0"/>
          <w:marRight w:val="0"/>
          <w:marTop w:val="0"/>
          <w:marBottom w:val="0"/>
          <w:divBdr>
            <w:top w:val="none" w:sz="0" w:space="0" w:color="auto"/>
            <w:left w:val="none" w:sz="0" w:space="0" w:color="auto"/>
            <w:bottom w:val="none" w:sz="0" w:space="0" w:color="auto"/>
            <w:right w:val="none" w:sz="0" w:space="0" w:color="auto"/>
          </w:divBdr>
        </w:div>
        <w:div w:id="52898255">
          <w:marLeft w:val="0"/>
          <w:marRight w:val="0"/>
          <w:marTop w:val="0"/>
          <w:marBottom w:val="0"/>
          <w:divBdr>
            <w:top w:val="none" w:sz="0" w:space="0" w:color="auto"/>
            <w:left w:val="none" w:sz="0" w:space="0" w:color="auto"/>
            <w:bottom w:val="none" w:sz="0" w:space="0" w:color="auto"/>
            <w:right w:val="none" w:sz="0" w:space="0" w:color="auto"/>
          </w:divBdr>
        </w:div>
        <w:div w:id="2122601922">
          <w:marLeft w:val="0"/>
          <w:marRight w:val="0"/>
          <w:marTop w:val="0"/>
          <w:marBottom w:val="0"/>
          <w:divBdr>
            <w:top w:val="none" w:sz="0" w:space="0" w:color="auto"/>
            <w:left w:val="none" w:sz="0" w:space="0" w:color="auto"/>
            <w:bottom w:val="none" w:sz="0" w:space="0" w:color="auto"/>
            <w:right w:val="none" w:sz="0" w:space="0" w:color="auto"/>
          </w:divBdr>
        </w:div>
        <w:div w:id="118308359">
          <w:marLeft w:val="0"/>
          <w:marRight w:val="0"/>
          <w:marTop w:val="0"/>
          <w:marBottom w:val="0"/>
          <w:divBdr>
            <w:top w:val="none" w:sz="0" w:space="0" w:color="auto"/>
            <w:left w:val="none" w:sz="0" w:space="0" w:color="auto"/>
            <w:bottom w:val="none" w:sz="0" w:space="0" w:color="auto"/>
            <w:right w:val="none" w:sz="0" w:space="0" w:color="auto"/>
          </w:divBdr>
        </w:div>
        <w:div w:id="5987606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globalassets/sitedocuments/nmc-publications/nmc-code.pdf" TargetMode="External"/><Relationship Id="rId3" Type="http://schemas.openxmlformats.org/officeDocument/2006/relationships/settings" Target="settings.xml"/><Relationship Id="rId7" Type="http://schemas.openxmlformats.org/officeDocument/2006/relationships/hyperlink" Target="https://www.bacp.co.uk/media/3103/bacp-ethical-framework-for-the-counselling-professions-2018.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Noel Davies</dc:creator>
  <cp:keywords/>
  <dc:description/>
  <cp:lastModifiedBy>Noel Davies</cp:lastModifiedBy>
  <cp:revision>2</cp:revision>
  <dcterms:created xsi:type="dcterms:W3CDTF">2019-01-16T16:42:00Z</dcterms:created>
  <dcterms:modified xsi:type="dcterms:W3CDTF">2019-01-16T16:42:00Z</dcterms:modified>
</cp:coreProperties>
</file>