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15035E" wp14:paraId="05AB66E5" wp14:textId="5C0DA00C">
      <w:pPr>
        <w:spacing w:before="240" w:beforeAutospacing="off" w:after="240" w:afterAutospacing="off"/>
        <w:jc w:val="center"/>
      </w:pPr>
      <w:r w:rsidRPr="5115035E" w:rsidR="3F3F21DF">
        <w:rPr>
          <w:rFonts w:ascii="Arial" w:hAnsi="Arial" w:eastAsia="Arial" w:cs="Arial"/>
          <w:b w:val="1"/>
          <w:bCs w:val="1"/>
          <w:noProof w:val="0"/>
          <w:color w:val="000000" w:themeColor="text1" w:themeTint="FF" w:themeShade="FF"/>
          <w:sz w:val="32"/>
          <w:szCs w:val="32"/>
          <w:lang w:val="en-GB"/>
        </w:rPr>
        <w:t>Strategic Analysis and Sustainable Strategy Development: Unilever PLC</w:t>
      </w:r>
    </w:p>
    <w:p xmlns:wp14="http://schemas.microsoft.com/office/word/2010/wordml" w:rsidP="5115035E" wp14:paraId="55637A5B" wp14:textId="7FD39036">
      <w:pPr>
        <w:spacing w:before="240" w:beforeAutospacing="off" w:after="240" w:afterAutospacing="off"/>
        <w:jc w:val="right"/>
      </w:pPr>
      <w:r w:rsidRPr="5115035E" w:rsidR="3F3F21DF">
        <w:rPr>
          <w:rFonts w:ascii="Arial" w:hAnsi="Arial" w:eastAsia="Arial" w:cs="Arial"/>
          <w:noProof w:val="0"/>
          <w:color w:val="000000" w:themeColor="text1" w:themeTint="FF" w:themeShade="FF"/>
          <w:sz w:val="24"/>
          <w:szCs w:val="24"/>
          <w:lang w:val="en-GB"/>
        </w:rPr>
        <w:t>Nathan Barlow</w:t>
      </w:r>
    </w:p>
    <w:p xmlns:wp14="http://schemas.microsoft.com/office/word/2010/wordml" w:rsidP="5115035E" wp14:paraId="54884DD2" wp14:textId="0ED9B399">
      <w:pPr>
        <w:spacing w:before="240" w:beforeAutospacing="off" w:after="240" w:afterAutospacing="off"/>
        <w:jc w:val="right"/>
      </w:pPr>
      <w:r w:rsidRPr="5115035E" w:rsidR="3F3F21DF">
        <w:rPr>
          <w:rFonts w:ascii="Arial" w:hAnsi="Arial" w:eastAsia="Arial" w:cs="Arial"/>
          <w:b w:val="1"/>
          <w:bCs w:val="1"/>
          <w:noProof w:val="0"/>
          <w:color w:val="000000" w:themeColor="text1" w:themeTint="FF" w:themeShade="FF"/>
          <w:sz w:val="24"/>
          <w:szCs w:val="24"/>
          <w:lang w:val="en-GB"/>
        </w:rPr>
        <w:t>2318300</w:t>
      </w:r>
    </w:p>
    <w:p xmlns:wp14="http://schemas.microsoft.com/office/word/2010/wordml" wp14:paraId="0A65198E" wp14:textId="21BDCE3A"/>
    <w:p xmlns:wp14="http://schemas.microsoft.com/office/word/2010/wordml" wp14:paraId="0A441FEF" wp14:textId="1CCC9F99"/>
    <w:p xmlns:wp14="http://schemas.microsoft.com/office/word/2010/wordml" w:rsidP="5115035E" wp14:paraId="03FBC013" wp14:textId="5C751129">
      <w:pPr>
        <w:spacing w:before="0" w:beforeAutospacing="off" w:after="0" w:afterAutospacing="off"/>
      </w:pPr>
      <w:r w:rsidRPr="5115035E" w:rsidR="3F3F21DF">
        <w:rPr>
          <w:rFonts w:ascii="Arial" w:hAnsi="Arial" w:eastAsia="Arial" w:cs="Arial"/>
          <w:b w:val="1"/>
          <w:bCs w:val="1"/>
          <w:noProof w:val="0"/>
          <w:color w:val="000000" w:themeColor="text1" w:themeTint="FF" w:themeShade="FF"/>
          <w:sz w:val="30"/>
          <w:szCs w:val="30"/>
          <w:lang w:val="en-GB"/>
        </w:rPr>
        <w:t>Executive Summary</w:t>
      </w:r>
    </w:p>
    <w:p xmlns:wp14="http://schemas.microsoft.com/office/word/2010/wordml" w:rsidP="5115035E" wp14:paraId="1D125DF8" wp14:textId="7088B7D0">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Unilever PLC is a UK based global company in the fast moving consumer goods (FMCG) market. Its mission is to “make sustainable living commonplace” through brands that enhance health, wellbeing, and environmental sustainability. Its objectives include value creation, sustainable innovation and reducing environmental impacts together with the strategic alignment of its portfolio, regenerative sourcing and climate commitments.</w:t>
      </w:r>
    </w:p>
    <w:p xmlns:wp14="http://schemas.microsoft.com/office/word/2010/wordml" w:rsidP="5115035E" wp14:paraId="1B888ECD" wp14:textId="5E48EA59">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Following the sale of its profitable Ice Cream division on 6 December 2025, Unilever now concentrates on four aligned core Business Groups: Beauty and Wellbeing, Personal Care, Home Care, and Foods. In 2025, continuing operations generated £43 billion in turnover, delivering 3.5% underlying sales growth (USG), with Power Brands (78% of revenue) achieving 4.3% USG (Unilever, 2026).</w:t>
      </w:r>
    </w:p>
    <w:p xmlns:wp14="http://schemas.microsoft.com/office/word/2010/wordml" w:rsidP="5115035E" wp14:paraId="4893D92E" wp14:textId="5829CCB2">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 xml:space="preserve">This Strategic Analysis and Sustainable Strategy Development of Unilever PLC demonstrates how external pressures such as macroeconomic uncertainty, inflation, commodity fluctuation, increased sustainability regulation, and the escalating Gulf conflict combine with microeconomic factors including oligopolistic rivalry, buyer power, and price elasticity to affect the company’s competitive environment. Unilever has to continually review and adjust strategic options to maintain competitiveness and ensure long‑term resilience. </w:t>
      </w:r>
    </w:p>
    <w:p xmlns:wp14="http://schemas.microsoft.com/office/word/2010/wordml" w:rsidP="5115035E" wp14:paraId="5F496248" wp14:textId="5C39A3C0">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Internal analysis identifies the strength of Unilever’s valuable, rare, inimitable and non replaceable (VERIN) resources, particularly its Power Brands and regenerative agriculture growth, alongside the challenge from weaknesses such as Scope 3 emissions. Together, this analysis informs Unilever’s differentiation based strategy, supported by balanced growth, sustainability commitments under the Growth Action Plan 2030, and priorities informed by TOWS which include regenerative agriculture, circular packaging, supplier emissions reduction, and Mergers and Acquisitions with a sustainability focus.</w:t>
      </w:r>
    </w:p>
    <w:p xmlns:wp14="http://schemas.microsoft.com/office/word/2010/wordml" w:rsidP="5115035E" wp14:paraId="2B79D2CF" wp14:textId="1D2BFA03">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The analysis indicates that Unilever is well positioned for long term sustainable success, but it must continue to innovate, remain agile, and retain environmental and social priorities at the heart of strategic decisions.</w:t>
      </w:r>
    </w:p>
    <w:p xmlns:wp14="http://schemas.microsoft.com/office/word/2010/wordml" wp14:paraId="0CFA2755" wp14:textId="71589A48"/>
    <w:p xmlns:wp14="http://schemas.microsoft.com/office/word/2010/wordml" wp14:paraId="70B432FE" wp14:textId="44B5B2F3"/>
    <w:p xmlns:wp14="http://schemas.microsoft.com/office/word/2010/wordml" wp14:paraId="132F0887" wp14:textId="50E308B9"/>
    <w:p xmlns:wp14="http://schemas.microsoft.com/office/word/2010/wordml" wp14:paraId="54B72773" wp14:textId="16C16A33"/>
    <w:p xmlns:wp14="http://schemas.microsoft.com/office/word/2010/wordml" w:rsidP="5115035E" wp14:paraId="498B754D" wp14:textId="772C4706">
      <w:pPr>
        <w:spacing w:before="0" w:beforeAutospacing="off" w:after="0" w:afterAutospacing="off"/>
      </w:pPr>
      <w:r w:rsidRPr="5115035E" w:rsidR="3F3F21DF">
        <w:rPr>
          <w:rFonts w:ascii="Arial" w:hAnsi="Arial" w:eastAsia="Arial" w:cs="Arial"/>
          <w:b w:val="1"/>
          <w:bCs w:val="1"/>
          <w:noProof w:val="0"/>
          <w:color w:val="000000" w:themeColor="text1" w:themeTint="FF" w:themeShade="FF"/>
          <w:sz w:val="30"/>
          <w:szCs w:val="30"/>
          <w:lang w:val="en-GB"/>
        </w:rPr>
        <w:t>1. Introduction</w:t>
      </w:r>
      <w:r w:rsidRPr="5115035E" w:rsidR="3F3F21DF">
        <w:rPr>
          <w:rFonts w:ascii="Arial" w:hAnsi="Arial" w:eastAsia="Arial" w:cs="Arial"/>
          <w:noProof w:val="0"/>
          <w:color w:val="000000" w:themeColor="text1" w:themeTint="FF" w:themeShade="FF"/>
          <w:sz w:val="30"/>
          <w:szCs w:val="30"/>
          <w:lang w:val="en-GB"/>
        </w:rPr>
        <w:t xml:space="preserve"> </w:t>
      </w:r>
    </w:p>
    <w:p xmlns:wp14="http://schemas.microsoft.com/office/word/2010/wordml" wp14:paraId="65767D2F" wp14:textId="6AE8152A"/>
    <w:p xmlns:wp14="http://schemas.microsoft.com/office/word/2010/wordml" w:rsidP="5115035E" wp14:paraId="1F65242A" wp14:textId="1DD7EE7E">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Unilever PLC is a UK based global FMCG business. Its mission is to “make sustainable living commonplace” (Unilever, 2020) building growth through brands that improve health, wellbeing, and environmental outcomes. Its objectives focus on value creation, sustainable innovation, and reducing environmental impacts and making strategic decisions aligned to its portfolio focus, regenerative sourcing, and climate commitments (Unilever, 2020).</w:t>
      </w:r>
    </w:p>
    <w:p xmlns:wp14="http://schemas.microsoft.com/office/word/2010/wordml" wp14:paraId="1AA6BDD1" wp14:textId="1C276EE1"/>
    <w:p xmlns:wp14="http://schemas.microsoft.com/office/word/2010/wordml" w:rsidP="5115035E" wp14:paraId="5840E1B8" wp14:textId="2E3E3977">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Strategy is delivered through a decentralised structure that enables the four Business Groups (Beauty and Wellbeing, Personal Care, Home Care, and Foods) to adapt global priorities to local markets. Robust systems deliver productivity targets and brand investment. Sustainability indicators support delivery, while integrated supply chains, supplier capability programmes, and digital tools enhance international efficiency (Unilever, 2023).</w:t>
      </w:r>
    </w:p>
    <w:p xmlns:wp14="http://schemas.microsoft.com/office/word/2010/wordml" wp14:paraId="219A0213" wp14:textId="7700D958"/>
    <w:p xmlns:wp14="http://schemas.microsoft.com/office/word/2010/wordml" w:rsidP="5115035E" wp14:paraId="5768F63E" wp14:textId="0190D719">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The sale of the profitable Ice Cream division on 6 December 2025 was a strategic decision enabling the company to focus on four core well aligned Business Groups. Media reports indicate a further strategic action to more closely align 3 of the core divisions by selling the Foods division (Unilever, 2026).</w:t>
      </w:r>
    </w:p>
    <w:p xmlns:wp14="http://schemas.microsoft.com/office/word/2010/wordml" wp14:paraId="46C73B6E" wp14:textId="3DF6131D"/>
    <w:p xmlns:wp14="http://schemas.microsoft.com/office/word/2010/wordml" w:rsidP="5115035E" wp14:paraId="0BB4A542" wp14:textId="0E5C4229">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In 2025, Unilever reported £43 billion in revenue and 3.5% underlying sales growth, with Power Brands contributing 78% of turnover and achieving 4.3% underlying sales growth (Unilever, 2026). These results suggest that the company’s strategic decisions continue to support strong brand performance and sustain its market‑leading position.</w:t>
      </w:r>
    </w:p>
    <w:p xmlns:wp14="http://schemas.microsoft.com/office/word/2010/wordml" wp14:paraId="1F0236ED" wp14:textId="3C89CC06"/>
    <w:p xmlns:wp14="http://schemas.microsoft.com/office/word/2010/wordml" w:rsidP="5115035E" wp14:paraId="72B6D9A2" wp14:textId="636F325B">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Unilever PLC is a good case study for the analysis of strategic business behaviour as it operates in a highly competitive, oligopolistic FMCG market dominated by large global firms such as Procter and Gamble and Nestlé. The challenges of this competitive market are significant. Risks are identified and managed by Unilever as detailed in the Annual Report (Unilever, 2025). The company manages risks from fluctuating commodity and currency conditions, and increasing sustainability expectations, particularly regarding packaging, agricultural sourcing, and value chain emissions (Thompson et al., 2022). The Gulf conflict has exacerbated macroeconomic uncertainties.</w:t>
      </w:r>
    </w:p>
    <w:p xmlns:wp14="http://schemas.microsoft.com/office/word/2010/wordml" wp14:paraId="4F709F6A" wp14:textId="3D79E00F"/>
    <w:p xmlns:wp14="http://schemas.microsoft.com/office/word/2010/wordml" w:rsidP="5115035E" wp14:paraId="7CA33D00" wp14:textId="3CCCAEA9">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 xml:space="preserve">Sustainability is central to the strategic direction for Unilever. Increased consumer demand for ethical and environmentally responsible products, together with stronger regulatory frameworks, has made sustainability essential to competitive positioning and long term growth (Thompson et al., 2022; Unilever, 2026). Other market challenges that Unilever faces include cautious consumer spending, sluggish global growth of approximately 3.3%, currency fluctuations in emerging markets, commodity cost pressures, and competition from major FMCG competitors (Sloman et al., 2019; Morrison, 2020). </w:t>
      </w:r>
    </w:p>
    <w:p xmlns:wp14="http://schemas.microsoft.com/office/word/2010/wordml" wp14:paraId="47A3670B" wp14:textId="4EDC21D4"/>
    <w:p xmlns:wp14="http://schemas.microsoft.com/office/word/2010/wordml" w:rsidP="5115035E" wp14:paraId="2D7BACD7" wp14:textId="2F3C7872">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This report uses established analytical models to analyse Unilever’s external and internal environments, strategic positioning, and sustainability focus to assess economic challenges and inform sustainable strategic development recommendations.</w:t>
      </w:r>
    </w:p>
    <w:p xmlns:wp14="http://schemas.microsoft.com/office/word/2010/wordml" w:rsidP="5115035E" wp14:paraId="3AB0BCE3" wp14:textId="3623B4C7">
      <w:pPr>
        <w:pStyle w:val="Normal"/>
        <w:rPr>
          <w:rFonts w:ascii="Arial" w:hAnsi="Arial" w:eastAsia="Arial" w:cs="Arial"/>
          <w:b w:val="1"/>
          <w:bCs w:val="1"/>
          <w:noProof w:val="0"/>
          <w:color w:val="000000" w:themeColor="text1" w:themeTint="FF" w:themeShade="FF"/>
          <w:sz w:val="30"/>
          <w:szCs w:val="30"/>
          <w:lang w:val="en-GB"/>
        </w:rPr>
      </w:pPr>
    </w:p>
    <w:p xmlns:wp14="http://schemas.microsoft.com/office/word/2010/wordml" w:rsidP="5115035E" wp14:paraId="48E65394" wp14:textId="3C10F845">
      <w:pPr>
        <w:pStyle w:val="Normal"/>
      </w:pPr>
      <w:r w:rsidRPr="5115035E" w:rsidR="3F3F21DF">
        <w:rPr>
          <w:rFonts w:ascii="Arial" w:hAnsi="Arial" w:eastAsia="Arial" w:cs="Arial"/>
          <w:b w:val="1"/>
          <w:bCs w:val="1"/>
          <w:noProof w:val="0"/>
          <w:color w:val="000000" w:themeColor="text1" w:themeTint="FF" w:themeShade="FF"/>
          <w:sz w:val="30"/>
          <w:szCs w:val="30"/>
          <w:lang w:val="en-GB"/>
        </w:rPr>
        <w:t xml:space="preserve">2. External Analysis </w:t>
      </w:r>
    </w:p>
    <w:p xmlns:wp14="http://schemas.microsoft.com/office/word/2010/wordml" wp14:paraId="7704E814" wp14:textId="4BB96DBF"/>
    <w:p xmlns:wp14="http://schemas.microsoft.com/office/word/2010/wordml" w:rsidP="5115035E" wp14:paraId="7CBA03F4" wp14:textId="362AD8BE">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 xml:space="preserve">A PESTEL analysis (Morrison, 2020) of Unilever identifies the macroeconomic and regulatory context that influences its operation. </w:t>
      </w:r>
    </w:p>
    <w:p xmlns:wp14="http://schemas.microsoft.com/office/word/2010/wordml" wp14:paraId="5EB3A8EE" wp14:textId="4596A493"/>
    <w:p xmlns:wp14="http://schemas.microsoft.com/office/word/2010/wordml" w:rsidP="5115035E" wp14:paraId="5B4D67C1" wp14:textId="5FE04863">
      <w:pPr>
        <w:pStyle w:val="ListParagraph"/>
        <w:numPr>
          <w:ilvl w:val="0"/>
          <w:numId w:val="1"/>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Macroeconomic factors include subdued Global economic growth at around 3.3%, inflation was easing but may now rise and consumers are increasingly cautious - both as consequences of the escalating Gulf conflict (IMF, 2026; OECD, 2026)</w:t>
      </w:r>
    </w:p>
    <w:p xmlns:wp14="http://schemas.microsoft.com/office/word/2010/wordml" w:rsidP="5115035E" wp14:paraId="68299C50" wp14:textId="753BAEE2">
      <w:pPr>
        <w:pStyle w:val="ListParagraph"/>
        <w:spacing w:before="220" w:beforeAutospacing="off" w:after="220" w:afterAutospacing="off"/>
        <w:ind w:left="720"/>
        <w:rPr>
          <w:rFonts w:ascii="Arial" w:hAnsi="Arial" w:eastAsia="Arial" w:cs="Arial"/>
          <w:noProof w:val="0"/>
          <w:color w:val="000000" w:themeColor="text1" w:themeTint="FF" w:themeShade="FF"/>
          <w:sz w:val="22"/>
          <w:szCs w:val="22"/>
          <w:lang w:val="en-GB"/>
        </w:rPr>
      </w:pPr>
    </w:p>
    <w:p xmlns:wp14="http://schemas.microsoft.com/office/word/2010/wordml" w:rsidP="5115035E" wp14:paraId="0E61A50D" wp14:textId="07485CB0">
      <w:pPr>
        <w:pStyle w:val="ListParagraph"/>
        <w:spacing w:before="220" w:beforeAutospacing="off" w:after="220" w:afterAutospacing="off"/>
        <w:ind w:left="720"/>
        <w:rPr>
          <w:rFonts w:ascii="Arial" w:hAnsi="Arial" w:eastAsia="Arial" w:cs="Arial"/>
          <w:noProof w:val="0"/>
          <w:color w:val="000000" w:themeColor="text1" w:themeTint="FF" w:themeShade="FF"/>
          <w:sz w:val="22"/>
          <w:szCs w:val="22"/>
          <w:lang w:val="en-GB"/>
        </w:rPr>
      </w:pPr>
    </w:p>
    <w:p xmlns:wp14="http://schemas.microsoft.com/office/word/2010/wordml" w:rsidP="5115035E" wp14:paraId="3946A33D" wp14:textId="07897565">
      <w:pPr>
        <w:pStyle w:val="ListParagraph"/>
        <w:numPr>
          <w:ilvl w:val="0"/>
          <w:numId w:val="1"/>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The conflict will have unknown effects on Political factors that may worsen ongoing trade tensions with the United States. There are also implications of the European Union Green Deal legislation, while social trends continue to favour ethical consumption and sustainability led value initiatives which may change if global recession is caused by a protracted and widening Gulf conflict. </w:t>
      </w:r>
    </w:p>
    <w:p xmlns:wp14="http://schemas.microsoft.com/office/word/2010/wordml" wp14:paraId="4957128F" wp14:textId="57830B5A"/>
    <w:p xmlns:wp14="http://schemas.microsoft.com/office/word/2010/wordml" w:rsidP="5115035E" wp14:paraId="1BE2892D" wp14:textId="04695E2E">
      <w:pPr>
        <w:pStyle w:val="ListParagraph"/>
        <w:numPr>
          <w:ilvl w:val="0"/>
          <w:numId w:val="2"/>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AI is bringing forward new technological developments, particularly in digital commerce and supporting product development and operational efficiency. </w:t>
      </w:r>
    </w:p>
    <w:p xmlns:wp14="http://schemas.microsoft.com/office/word/2010/wordml" wp14:paraId="5A578326" wp14:textId="31446DEB"/>
    <w:p xmlns:wp14="http://schemas.microsoft.com/office/word/2010/wordml" w:rsidP="5115035E" wp14:paraId="4749EC21" wp14:textId="58373175">
      <w:pPr>
        <w:pStyle w:val="ListParagraph"/>
        <w:numPr>
          <w:ilvl w:val="0"/>
          <w:numId w:val="3"/>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Growing environmental and legal pressures in plastics regulations, extended producer responsibility, and deforestation compliance.</w:t>
      </w:r>
    </w:p>
    <w:p xmlns:wp14="http://schemas.microsoft.com/office/word/2010/wordml" wp14:paraId="47BEB339" wp14:textId="48EB57EC"/>
    <w:p xmlns:wp14="http://schemas.microsoft.com/office/word/2010/wordml" w:rsidP="5115035E" wp14:paraId="72978226" wp14:textId="5A0C2538">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 xml:space="preserve">Porter’s Five Forces (Whittington et al., 2019) identify the FMCG sector’s oligopolistic structure (Sloman et al., 2019). </w:t>
      </w:r>
    </w:p>
    <w:p xmlns:wp14="http://schemas.microsoft.com/office/word/2010/wordml" wp14:paraId="08B07A56" wp14:textId="1A93B05A"/>
    <w:p xmlns:wp14="http://schemas.microsoft.com/office/word/2010/wordml" w:rsidP="5115035E" wp14:paraId="161A1C4E" wp14:textId="5C7BE2C0">
      <w:pPr>
        <w:pStyle w:val="ListParagraph"/>
        <w:numPr>
          <w:ilvl w:val="0"/>
          <w:numId w:val="4"/>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Strong competitive rivalry among market leaders drives brand investment, sustainability commitments, and fast paced innovation. </w:t>
      </w:r>
    </w:p>
    <w:p xmlns:wp14="http://schemas.microsoft.com/office/word/2010/wordml" wp14:paraId="78AB9782" wp14:textId="3B88697D"/>
    <w:p xmlns:wp14="http://schemas.microsoft.com/office/word/2010/wordml" w:rsidP="5115035E" wp14:paraId="0A19A49D" wp14:textId="71B514E5">
      <w:pPr>
        <w:pStyle w:val="ListParagraph"/>
        <w:numPr>
          <w:ilvl w:val="0"/>
          <w:numId w:val="5"/>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Buyer power remains strong due to consolidated retail channels, while supplier power is limited, particularly in sensitive categories such as palm oil, though managed by Unilever’s sustainable sourcing programmes.</w:t>
      </w:r>
    </w:p>
    <w:p xmlns:wp14="http://schemas.microsoft.com/office/word/2010/wordml" w:rsidP="5115035E" wp14:paraId="4242BCC5" wp14:textId="0F594351">
      <w:pPr>
        <w:spacing w:before="0" w:beforeAutospacing="off" w:after="0" w:afterAutospacing="off"/>
        <w:ind w:left="720" w:right="0"/>
      </w:pPr>
      <w:r w:rsidRPr="5115035E" w:rsidR="3F3F21DF">
        <w:rPr>
          <w:rFonts w:ascii="Arial" w:hAnsi="Arial" w:eastAsia="Arial" w:cs="Arial"/>
          <w:noProof w:val="0"/>
          <w:color w:val="000000" w:themeColor="text1" w:themeTint="FF" w:themeShade="FF"/>
          <w:sz w:val="22"/>
          <w:szCs w:val="22"/>
          <w:lang w:val="en-GB"/>
        </w:rPr>
        <w:t xml:space="preserve"> </w:t>
      </w:r>
    </w:p>
    <w:p xmlns:wp14="http://schemas.microsoft.com/office/word/2010/wordml" w:rsidP="5115035E" wp14:paraId="2F727E68" wp14:textId="4F5B054F">
      <w:pPr>
        <w:pStyle w:val="ListParagraph"/>
        <w:numPr>
          <w:ilvl w:val="0"/>
          <w:numId w:val="6"/>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Barriers to competitor entry to the market remain high due to brand equity (the additional value created when consumers recognise, trust, and prefer a brand, supporting premium pricing, loyalty, and sustained competitive advantage) and scale advantages. Substitutes brands, such as “own brand” products (for example Supermarkets) and refill models are increasing competition. </w:t>
      </w:r>
    </w:p>
    <w:p xmlns:wp14="http://schemas.microsoft.com/office/word/2010/wordml" wp14:paraId="4C129418" wp14:textId="4534E0DE"/>
    <w:p xmlns:wp14="http://schemas.microsoft.com/office/word/2010/wordml" w:rsidP="5115035E" wp14:paraId="1A819E3D" wp14:textId="75AB73BB">
      <w:pPr>
        <w:pStyle w:val="ListParagraph"/>
        <w:numPr>
          <w:ilvl w:val="0"/>
          <w:numId w:val="7"/>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Economic conditions are playing a big part in how demand behaves. Everyday essentials generally have relatively inelastic demand and people keep buying even if prices rise. Premium sustainable products are much more price sensitive and demand can drop off quickly if costs rise as is likely as a result of the Gulf war. Further, ongoing pressure from commodity prices and currency fluctuations makes productivity improvements and tight cost control even more important (Griffiths and Wall, 2011). </w:t>
      </w:r>
    </w:p>
    <w:p xmlns:wp14="http://schemas.microsoft.com/office/word/2010/wordml" wp14:paraId="0BB02E94" wp14:textId="78504934"/>
    <w:p xmlns:wp14="http://schemas.microsoft.com/office/word/2010/wordml" w:rsidP="5115035E" wp14:paraId="276D1CBA" wp14:textId="1DC24774">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PESTEL identifies the need for differentiation and purpose‑led innovation but accuracy is questioned because its static structure does not fully capture how unpredictable and fast‑moving the current business environment has become (Hamilton and Webster, 2019)</w:t>
      </w:r>
    </w:p>
    <w:p xmlns:wp14="http://schemas.microsoft.com/office/word/2010/wordml" w:rsidP="5115035E" wp14:paraId="5EBF5A91" wp14:textId="6544452D">
      <w:pPr>
        <w:spacing w:before="0" w:beforeAutospacing="off" w:after="0" w:afterAutospacing="off"/>
        <w:rPr>
          <w:rFonts w:ascii="Arial" w:hAnsi="Arial" w:eastAsia="Arial" w:cs="Arial"/>
          <w:b w:val="1"/>
          <w:bCs w:val="1"/>
          <w:noProof w:val="0"/>
          <w:color w:val="000000" w:themeColor="text1" w:themeTint="FF" w:themeShade="FF"/>
          <w:sz w:val="30"/>
          <w:szCs w:val="30"/>
          <w:lang w:val="en-GB"/>
        </w:rPr>
      </w:pPr>
    </w:p>
    <w:p xmlns:wp14="http://schemas.microsoft.com/office/word/2010/wordml" w:rsidP="5115035E" wp14:paraId="42A51182" wp14:textId="4F0A57DF">
      <w:pPr>
        <w:spacing w:before="0" w:beforeAutospacing="off" w:after="0" w:afterAutospacing="off"/>
        <w:rPr>
          <w:rFonts w:ascii="Arial" w:hAnsi="Arial" w:eastAsia="Arial" w:cs="Arial"/>
          <w:b w:val="1"/>
          <w:bCs w:val="1"/>
          <w:noProof w:val="0"/>
          <w:color w:val="000000" w:themeColor="text1" w:themeTint="FF" w:themeShade="FF"/>
          <w:sz w:val="30"/>
          <w:szCs w:val="30"/>
          <w:lang w:val="en-GB"/>
        </w:rPr>
      </w:pPr>
    </w:p>
    <w:p xmlns:wp14="http://schemas.microsoft.com/office/word/2010/wordml" w:rsidP="5115035E" wp14:paraId="015DF28F" wp14:textId="2C709BD1">
      <w:pPr>
        <w:spacing w:before="0" w:beforeAutospacing="off" w:after="0" w:afterAutospacing="off"/>
      </w:pPr>
      <w:r w:rsidRPr="5115035E" w:rsidR="3F3F21DF">
        <w:rPr>
          <w:rFonts w:ascii="Arial" w:hAnsi="Arial" w:eastAsia="Arial" w:cs="Arial"/>
          <w:b w:val="1"/>
          <w:bCs w:val="1"/>
          <w:noProof w:val="0"/>
          <w:color w:val="000000" w:themeColor="text1" w:themeTint="FF" w:themeShade="FF"/>
          <w:sz w:val="30"/>
          <w:szCs w:val="30"/>
          <w:lang w:val="en-GB"/>
        </w:rPr>
        <w:t xml:space="preserve">3. Internal Analysis </w:t>
      </w:r>
    </w:p>
    <w:p xmlns:wp14="http://schemas.microsoft.com/office/word/2010/wordml" wp14:paraId="3E6CCE31" wp14:textId="37AAA82B"/>
    <w:p xmlns:wp14="http://schemas.microsoft.com/office/word/2010/wordml" w:rsidP="5115035E" wp14:paraId="0804CEFD" wp14:textId="0A15DA55">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The Resource Based View (RBV) draws out key VRIN resources that give Unilever an ongoing competitive edge (Thompson et al., 2022). The most important being the Power Brands portfolio such as Dove, Hellmann’s, Knorr, and Vaseline, which together drove 4.3% Underlying Sales Growth (USG) and 2.2% volume growth in 2025 (Unilever, 2026). These brands have had many years of marketing spend, building an emotional connection with consumers, supported with marketing and purpose driven “storytelling” building strong loyalty and enabling Unilever to charge premium prices without losing custom. In the FMCG market, where a few big companies dominate and competition is driven by brand strength rather than price wars, the Unilever portfolio is hard for anyone else to copy (Sloman et al., 2019).</w:t>
      </w:r>
    </w:p>
    <w:p xmlns:wp14="http://schemas.microsoft.com/office/word/2010/wordml" wp14:paraId="4E9A80BD" wp14:textId="19777A64"/>
    <w:p xmlns:wp14="http://schemas.microsoft.com/office/word/2010/wordml" w:rsidP="5115035E" wp14:paraId="299A7195" wp14:textId="33E0C2C5">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Unilever’s strategic growth and expertise in regenerative agriculture is a strong and expanding VRIN resource. The company has set a target of 1 million hectares under regenerative practices by 2030. Progress to achieve the goal is good, achieving 130,000 hectares by the end of 2024, 200,000 hectares in 2025 and aims to reach 550,000 to 650,000 hectares in the Foods division by 2027 (Unilever, 2025; Unilever, 2026). These programmes improve soil health, cut emissions, and make the supply chain much more resilient, benefitting stable costs, lower risks from weather or shortages, and a stronger reputation. Very few competitors are doing this at an equivalent scale and it’s becoming almost unique and very challenging to imitate (Thompson et al., 2022; Morrison, 2020).</w:t>
      </w:r>
    </w:p>
    <w:p xmlns:wp14="http://schemas.microsoft.com/office/word/2010/wordml" wp14:paraId="366D0FD1" wp14:textId="31306CF7"/>
    <w:p xmlns:wp14="http://schemas.microsoft.com/office/word/2010/wordml" w:rsidP="5115035E" wp14:paraId="7FCD63D8" wp14:textId="0A6BCCFE">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Value Chain analysis (Porter, 2004) demonstrates how regenerative agriculture resources turn into actual day to day operational strengths. Inbound logistics are strong thanks to low deforestation free sourcing and the regenerative partnerships that are coming online. Operations have built cumulative productivity savings of £580 million by 2025, aided by rationalisation of Stock Keeping Units (the process of reviewing, reducing, or simplifying the number of products and removing low/no profit products and waste) and simpler manufacturing setups (Unilever, 2026).</w:t>
      </w:r>
    </w:p>
    <w:p xmlns:wp14="http://schemas.microsoft.com/office/word/2010/wordml" wp14:paraId="40DEED83" wp14:textId="35AE0EDE"/>
    <w:p xmlns:wp14="http://schemas.microsoft.com/office/word/2010/wordml" w:rsidP="5115035E" wp14:paraId="7D16EF69" wp14:textId="2C4EF2C3">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Marketing is a Unilever strength. The purpose driven campaigns like Dove’s Real Beauty and Hellmann’s push on food waste have built strong brand loyalty and nudged customers towards higher end, premium lines.</w:t>
      </w:r>
    </w:p>
    <w:p xmlns:wp14="http://schemas.microsoft.com/office/word/2010/wordml" wp14:paraId="50894BCE" wp14:textId="11D16B54"/>
    <w:p xmlns:wp14="http://schemas.microsoft.com/office/word/2010/wordml" w:rsidP="5115035E" wp14:paraId="0EB648F0" wp14:textId="0CD92ECC">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Technological innovation and AI have enabled improved outbound logistics and after sales service, applying digital tools to bring quicker reactions to what consumers want.</w:t>
      </w:r>
    </w:p>
    <w:p xmlns:wp14="http://schemas.microsoft.com/office/word/2010/wordml" wp14:paraId="194658E1" wp14:textId="71D1B430"/>
    <w:p xmlns:wp14="http://schemas.microsoft.com/office/word/2010/wordml" w:rsidP="5115035E" wp14:paraId="32DDAA7C" wp14:textId="0D8AB1D8">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 xml:space="preserve">Investment in support functions helps tie Unilever together. Procurement is building longer term and more sustainable supplier relationships, while technology investments benefit Research and Development and demand forecasting and improving efficiency and fuelling innovation. Concerns remain for Scope 3 emissions which create the largest share of Unilever’s carbon footprint. These are a challenge to manage because the emissions arise from external partners in agricultural supply chains (Unilever, 2026; Thompson et al., 2022) and are being addressed with the Supplier Capability initiative (Unilever, n.d.). </w:t>
      </w:r>
    </w:p>
    <w:p xmlns:wp14="http://schemas.microsoft.com/office/word/2010/wordml" w:rsidP="5115035E" wp14:paraId="58121831" wp14:textId="4E0DA84F">
      <w:pPr>
        <w:spacing w:before="0" w:beforeAutospacing="off" w:after="0" w:afterAutospacing="off"/>
      </w:pPr>
      <w:r w:rsidRPr="5115035E" w:rsidR="3F3F21DF">
        <w:rPr>
          <w:rFonts w:ascii="Arial" w:hAnsi="Arial" w:eastAsia="Arial" w:cs="Arial"/>
          <w:noProof w:val="0"/>
          <w:color w:val="000000" w:themeColor="text1" w:themeTint="FF" w:themeShade="FF"/>
          <w:sz w:val="22"/>
          <w:szCs w:val="22"/>
          <w:lang w:val="en-GB"/>
        </w:rPr>
        <w:t>Unilever may experience regulatory pressures, reputational risks, and operational challenges (Hamilton and Webster, 2019)</w:t>
      </w:r>
    </w:p>
    <w:p xmlns:wp14="http://schemas.microsoft.com/office/word/2010/wordml" w:rsidP="5115035E" wp14:paraId="07D363CB" wp14:textId="221D884E">
      <w:pPr>
        <w:spacing w:before="0" w:beforeAutospacing="off" w:after="0" w:afterAutospacing="off"/>
      </w:pPr>
      <w:r w:rsidRPr="5115035E" w:rsidR="3F3F21DF">
        <w:rPr>
          <w:rFonts w:ascii="Arial" w:hAnsi="Arial" w:eastAsia="Arial" w:cs="Arial"/>
          <w:b w:val="1"/>
          <w:bCs w:val="1"/>
          <w:noProof w:val="0"/>
          <w:color w:val="000000" w:themeColor="text1" w:themeTint="FF" w:themeShade="FF"/>
          <w:sz w:val="22"/>
          <w:szCs w:val="22"/>
          <w:lang w:val="en-GB"/>
        </w:rPr>
        <w:t>SWOT</w:t>
      </w:r>
      <w:r w:rsidRPr="5115035E" w:rsidR="3F3F21DF">
        <w:rPr>
          <w:rFonts w:ascii="Arial" w:hAnsi="Arial" w:eastAsia="Arial" w:cs="Arial"/>
          <w:noProof w:val="0"/>
          <w:color w:val="000000" w:themeColor="text1" w:themeTint="FF" w:themeShade="FF"/>
          <w:sz w:val="22"/>
          <w:szCs w:val="22"/>
          <w:lang w:val="en-GB"/>
        </w:rPr>
        <w:t xml:space="preserve"> analysis (Thompson et al., 2022) of Unilever shows:</w:t>
      </w:r>
    </w:p>
    <w:p xmlns:wp14="http://schemas.microsoft.com/office/word/2010/wordml" wp14:paraId="6FDBFB0A" wp14:textId="1467AF26"/>
    <w:p xmlns:wp14="http://schemas.microsoft.com/office/word/2010/wordml" w:rsidP="5115035E" wp14:paraId="5BB712DF" wp14:textId="6549332E">
      <w:pPr>
        <w:pStyle w:val="ListParagraph"/>
        <w:numPr>
          <w:ilvl w:val="0"/>
          <w:numId w:val="8"/>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b w:val="1"/>
          <w:bCs w:val="1"/>
          <w:noProof w:val="0"/>
          <w:color w:val="000000" w:themeColor="text1" w:themeTint="FF" w:themeShade="FF"/>
          <w:sz w:val="22"/>
          <w:szCs w:val="22"/>
          <w:lang w:val="en-GB"/>
        </w:rPr>
        <w:t>Strengths</w:t>
      </w:r>
      <w:r w:rsidRPr="5115035E" w:rsidR="3F3F21DF">
        <w:rPr>
          <w:rFonts w:ascii="Arial" w:hAnsi="Arial" w:eastAsia="Arial" w:cs="Arial"/>
          <w:noProof w:val="0"/>
          <w:color w:val="000000" w:themeColor="text1" w:themeTint="FF" w:themeShade="FF"/>
          <w:sz w:val="22"/>
          <w:szCs w:val="22"/>
          <w:lang w:val="en-GB"/>
        </w:rPr>
        <w:t>: Power Brands leadership, 20.0% underlying operating margin, regenerative agriculture progress, strong productivity record.</w:t>
      </w:r>
    </w:p>
    <w:p xmlns:wp14="http://schemas.microsoft.com/office/word/2010/wordml" w:rsidP="5115035E" wp14:paraId="56C51D1F" wp14:textId="7D445632">
      <w:pPr>
        <w:pStyle w:val="ListParagraph"/>
        <w:numPr>
          <w:ilvl w:val="0"/>
          <w:numId w:val="8"/>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b w:val="1"/>
          <w:bCs w:val="1"/>
          <w:noProof w:val="0"/>
          <w:color w:val="000000" w:themeColor="text1" w:themeTint="FF" w:themeShade="FF"/>
          <w:sz w:val="22"/>
          <w:szCs w:val="22"/>
          <w:lang w:val="en-GB"/>
        </w:rPr>
        <w:t>Weaknesses</w:t>
      </w:r>
      <w:r w:rsidRPr="5115035E" w:rsidR="3F3F21DF">
        <w:rPr>
          <w:rFonts w:ascii="Arial" w:hAnsi="Arial" w:eastAsia="Arial" w:cs="Arial"/>
          <w:noProof w:val="0"/>
          <w:color w:val="000000" w:themeColor="text1" w:themeTint="FF" w:themeShade="FF"/>
          <w:sz w:val="22"/>
          <w:szCs w:val="22"/>
          <w:lang w:val="en-GB"/>
        </w:rPr>
        <w:t>: Emerging‑market currency exposure, reliance on virgin plastics in some categories, persistent Scope 3 emissions.</w:t>
      </w:r>
    </w:p>
    <w:p xmlns:wp14="http://schemas.microsoft.com/office/word/2010/wordml" w:rsidP="5115035E" wp14:paraId="5BF204D9" wp14:textId="092984FC">
      <w:pPr>
        <w:pStyle w:val="ListParagraph"/>
        <w:numPr>
          <w:ilvl w:val="0"/>
          <w:numId w:val="8"/>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b w:val="1"/>
          <w:bCs w:val="1"/>
          <w:noProof w:val="0"/>
          <w:color w:val="000000" w:themeColor="text1" w:themeTint="FF" w:themeShade="FF"/>
          <w:sz w:val="22"/>
          <w:szCs w:val="22"/>
          <w:lang w:val="en-GB"/>
        </w:rPr>
        <w:t>Opportunities</w:t>
      </w:r>
      <w:r w:rsidRPr="5115035E" w:rsidR="3F3F21DF">
        <w:rPr>
          <w:rFonts w:ascii="Arial" w:hAnsi="Arial" w:eastAsia="Arial" w:cs="Arial"/>
          <w:noProof w:val="0"/>
          <w:color w:val="000000" w:themeColor="text1" w:themeTint="FF" w:themeShade="FF"/>
          <w:sz w:val="22"/>
          <w:szCs w:val="22"/>
          <w:lang w:val="en-GB"/>
        </w:rPr>
        <w:t>: Premium product growth, AI‑led innovation, and momentum behind circular and regenerative models.</w:t>
      </w:r>
    </w:p>
    <w:p xmlns:wp14="http://schemas.microsoft.com/office/word/2010/wordml" w:rsidP="5115035E" wp14:paraId="747A8041" wp14:textId="1C0D300D">
      <w:pPr>
        <w:pStyle w:val="ListParagraph"/>
        <w:numPr>
          <w:ilvl w:val="0"/>
          <w:numId w:val="8"/>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b w:val="1"/>
          <w:bCs w:val="1"/>
          <w:noProof w:val="0"/>
          <w:color w:val="000000" w:themeColor="text1" w:themeTint="FF" w:themeShade="FF"/>
          <w:sz w:val="22"/>
          <w:szCs w:val="22"/>
          <w:lang w:val="en-GB"/>
        </w:rPr>
        <w:t>Threat</w:t>
      </w:r>
      <w:r w:rsidRPr="5115035E" w:rsidR="3F3F21DF">
        <w:rPr>
          <w:rFonts w:ascii="Arial" w:hAnsi="Arial" w:eastAsia="Arial" w:cs="Arial"/>
          <w:noProof w:val="0"/>
          <w:color w:val="000000" w:themeColor="text1" w:themeTint="FF" w:themeShade="FF"/>
          <w:sz w:val="22"/>
          <w:szCs w:val="22"/>
          <w:lang w:val="en-GB"/>
        </w:rPr>
        <w:t>s: Inflation, stricter environmental regulation, political instability and risk of global recession as a consequence of wars, strong competitors in P&amp;G and Nestlé.</w:t>
      </w:r>
    </w:p>
    <w:p xmlns:wp14="http://schemas.microsoft.com/office/word/2010/wordml" wp14:paraId="58455353" wp14:textId="41DB17CF"/>
    <w:p xmlns:wp14="http://schemas.microsoft.com/office/word/2010/wordml" w:rsidP="5115035E" wp14:paraId="3ABA47EA" wp14:textId="4021A1C3">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 xml:space="preserve">Using </w:t>
      </w:r>
      <w:r w:rsidRPr="5115035E" w:rsidR="3F3F21DF">
        <w:rPr>
          <w:rFonts w:ascii="Arial" w:hAnsi="Arial" w:eastAsia="Arial" w:cs="Arial"/>
          <w:b w:val="1"/>
          <w:bCs w:val="1"/>
          <w:noProof w:val="0"/>
          <w:color w:val="000000" w:themeColor="text1" w:themeTint="FF" w:themeShade="FF"/>
          <w:sz w:val="22"/>
          <w:szCs w:val="22"/>
          <w:lang w:val="en-GB"/>
        </w:rPr>
        <w:t>TOWS matrix</w:t>
      </w:r>
      <w:r w:rsidRPr="5115035E" w:rsidR="3F3F21DF">
        <w:rPr>
          <w:rFonts w:ascii="Arial" w:hAnsi="Arial" w:eastAsia="Arial" w:cs="Arial"/>
          <w:noProof w:val="0"/>
          <w:color w:val="000000" w:themeColor="text1" w:themeTint="FF" w:themeShade="FF"/>
          <w:sz w:val="22"/>
          <w:szCs w:val="22"/>
          <w:lang w:val="en-GB"/>
        </w:rPr>
        <w:t xml:space="preserve"> enables this analysis to identify practical strategic actions. For Unilever, this includes:</w:t>
      </w:r>
    </w:p>
    <w:p xmlns:wp14="http://schemas.microsoft.com/office/word/2010/wordml" w:rsidP="5115035E" wp14:paraId="2CAF371A" wp14:textId="4399307B">
      <w:pPr>
        <w:pStyle w:val="ListParagraph"/>
        <w:numPr>
          <w:ilvl w:val="0"/>
          <w:numId w:val="9"/>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 using the strength of its brands and regenerative initiatives to expand premium sustainable products,</w:t>
      </w:r>
    </w:p>
    <w:p xmlns:wp14="http://schemas.microsoft.com/office/word/2010/wordml" w:rsidP="5115035E" wp14:paraId="3230CB25" wp14:textId="4C36B403">
      <w:pPr>
        <w:pStyle w:val="ListParagraph"/>
        <w:numPr>
          <w:ilvl w:val="0"/>
          <w:numId w:val="9"/>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 using productivity gains to offset inflation,</w:t>
      </w:r>
    </w:p>
    <w:p xmlns:wp14="http://schemas.microsoft.com/office/word/2010/wordml" w:rsidP="5115035E" wp14:paraId="366127EC" wp14:textId="712D87C9">
      <w:pPr>
        <w:pStyle w:val="ListParagraph"/>
        <w:numPr>
          <w:ilvl w:val="0"/>
          <w:numId w:val="9"/>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investing in better plastic alternatives, </w:t>
      </w:r>
    </w:p>
    <w:p xmlns:wp14="http://schemas.microsoft.com/office/word/2010/wordml" w:rsidP="5115035E" wp14:paraId="2798D568" wp14:textId="4ED6D942">
      <w:pPr>
        <w:pStyle w:val="ListParagraph"/>
        <w:numPr>
          <w:ilvl w:val="0"/>
          <w:numId w:val="9"/>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 xml:space="preserve">increase local production to limit currency exposure, </w:t>
      </w:r>
    </w:p>
    <w:p xmlns:wp14="http://schemas.microsoft.com/office/word/2010/wordml" w:rsidP="5115035E" wp14:paraId="20A7A370" wp14:textId="16EBC922">
      <w:pPr>
        <w:pStyle w:val="ListParagraph"/>
        <w:numPr>
          <w:ilvl w:val="0"/>
          <w:numId w:val="9"/>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remove unprofitable products efficiently</w:t>
      </w:r>
    </w:p>
    <w:p xmlns:wp14="http://schemas.microsoft.com/office/word/2010/wordml" w:rsidP="5115035E" wp14:paraId="7087D4AA" wp14:textId="5DA01533">
      <w:pPr>
        <w:pStyle w:val="ListParagraph"/>
        <w:numPr>
          <w:ilvl w:val="0"/>
          <w:numId w:val="9"/>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reducing Scope 3 emissions through its Supplier Climate Programme, which builds suppliers’ capacity to measure and lower product‑level carbon footprints.”supported by supplier capability programmes.</w:t>
      </w:r>
    </w:p>
    <w:p xmlns:wp14="http://schemas.microsoft.com/office/word/2010/wordml" w:rsidP="5115035E" wp14:paraId="4B6AF358" wp14:textId="2543ACF2">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Unilever’s internal strengths align well with the external challenges. Maintaining that advantage will depend on staying adaptable, particularly in tackling value chain emissions and sustaining differentiation in a very competitive market (Collinson et al., 2020; Griffiths and Wall, 2011)</w:t>
      </w:r>
    </w:p>
    <w:p xmlns:wp14="http://schemas.microsoft.com/office/word/2010/wordml" wp14:paraId="50A62533" wp14:textId="150384AA"/>
    <w:p xmlns:wp14="http://schemas.microsoft.com/office/word/2010/wordml" w:rsidP="5115035E" wp14:paraId="0CC2EFD5" wp14:textId="1D5B96BD">
      <w:pPr>
        <w:spacing w:before="240" w:beforeAutospacing="off" w:after="240" w:afterAutospacing="off"/>
        <w:rPr>
          <w:rFonts w:ascii="Arial" w:hAnsi="Arial" w:eastAsia="Arial" w:cs="Arial"/>
          <w:b w:val="1"/>
          <w:bCs w:val="1"/>
          <w:noProof w:val="0"/>
          <w:color w:val="000000" w:themeColor="text1" w:themeTint="FF" w:themeShade="FF"/>
          <w:sz w:val="30"/>
          <w:szCs w:val="30"/>
          <w:lang w:val="en-GB"/>
        </w:rPr>
      </w:pPr>
      <w:r w:rsidRPr="5115035E" w:rsidR="3F3F21DF">
        <w:rPr>
          <w:rFonts w:ascii="Arial" w:hAnsi="Arial" w:eastAsia="Arial" w:cs="Arial"/>
          <w:b w:val="1"/>
          <w:bCs w:val="1"/>
          <w:noProof w:val="0"/>
          <w:color w:val="000000" w:themeColor="text1" w:themeTint="FF" w:themeShade="FF"/>
          <w:sz w:val="30"/>
          <w:szCs w:val="30"/>
          <w:lang w:val="en-GB"/>
        </w:rPr>
        <w:t>4. Strategy Formulation &amp; Competitive Positioning</w:t>
      </w:r>
    </w:p>
    <w:p xmlns:wp14="http://schemas.microsoft.com/office/word/2010/wordml" w:rsidP="5115035E" wp14:paraId="14722F29" wp14:textId="718D2948">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Unilever’s competitive approach is built on differentiation. Porter’s Generic Strategies and the Strategy Clock identify how it positions its brands effectively (Whittington et al., 2019; Johnson et al., 2015). Unilever's portfolio remains closely aligned to the company’s core purpose and rationalisation of the portfolio is ongoing as the Food division may follow the Ice Cream division out of the company. Premium brands continue to deliver value in an oligopolistic market structure (Sloman et al., 2019), helping to generate margin expansion to 20.0% (Unilever, 2026).</w:t>
      </w:r>
    </w:p>
    <w:p xmlns:wp14="http://schemas.microsoft.com/office/word/2010/wordml" w:rsidP="5115035E" wp14:paraId="0F59586A" wp14:textId="1A46D4AB">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Ansoff’s Matrix (Whittington et al., 2019) indicates a balanced growth based on:</w:t>
      </w:r>
    </w:p>
    <w:p xmlns:wp14="http://schemas.microsoft.com/office/word/2010/wordml" w:rsidP="5115035E" wp14:paraId="401EAB27" wp14:textId="744AB26E">
      <w:pPr>
        <w:pStyle w:val="ListParagraph"/>
        <w:numPr>
          <w:ilvl w:val="0"/>
          <w:numId w:val="10"/>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Unilever's Power Brands,</w:t>
      </w:r>
    </w:p>
    <w:p xmlns:wp14="http://schemas.microsoft.com/office/word/2010/wordml" w:rsidP="5115035E" wp14:paraId="666B4081" wp14:textId="677A8F3C">
      <w:pPr>
        <w:pStyle w:val="ListParagraph"/>
        <w:numPr>
          <w:ilvl w:val="0"/>
          <w:numId w:val="10"/>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ongoing product development using more sustainable formulations.</w:t>
      </w:r>
    </w:p>
    <w:p xmlns:wp14="http://schemas.microsoft.com/office/word/2010/wordml" w:rsidP="5115035E" wp14:paraId="529B1BE2" wp14:textId="4F75D46C">
      <w:pPr>
        <w:pStyle w:val="ListParagraph"/>
        <w:numPr>
          <w:ilvl w:val="0"/>
          <w:numId w:val="10"/>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market growth from expansion in the US and India,</w:t>
      </w:r>
    </w:p>
    <w:p xmlns:wp14="http://schemas.microsoft.com/office/word/2010/wordml" w:rsidP="5115035E" wp14:paraId="3BC93118" wp14:textId="5CA6E1BD">
      <w:pPr>
        <w:pStyle w:val="ListParagraph"/>
        <w:numPr>
          <w:ilvl w:val="0"/>
          <w:numId w:val="10"/>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targeted business acquisitions for example Dr. Squatch,</w:t>
      </w:r>
    </w:p>
    <w:p xmlns:wp14="http://schemas.microsoft.com/office/word/2010/wordml" w:rsidP="5115035E" wp14:paraId="5B04F9D5" wp14:textId="349E0F0F">
      <w:pPr>
        <w:pStyle w:val="ListParagraph"/>
        <w:numPr>
          <w:ilvl w:val="0"/>
          <w:numId w:val="10"/>
        </w:numPr>
        <w:spacing w:before="220" w:beforeAutospacing="off" w:after="220" w:afterAutospacing="off"/>
        <w:rPr>
          <w:rFonts w:ascii="Arial" w:hAnsi="Arial" w:eastAsia="Arial" w:cs="Arial"/>
          <w:noProof w:val="0"/>
          <w:color w:val="000000" w:themeColor="text1" w:themeTint="FF" w:themeShade="FF"/>
          <w:sz w:val="22"/>
          <w:szCs w:val="22"/>
          <w:lang w:val="en-GB"/>
        </w:rPr>
      </w:pPr>
      <w:r w:rsidRPr="5115035E" w:rsidR="3F3F21DF">
        <w:rPr>
          <w:rFonts w:ascii="Arial" w:hAnsi="Arial" w:eastAsia="Arial" w:cs="Arial"/>
          <w:noProof w:val="0"/>
          <w:color w:val="000000" w:themeColor="text1" w:themeTint="FF" w:themeShade="FF"/>
          <w:sz w:val="22"/>
          <w:szCs w:val="22"/>
          <w:lang w:val="en-GB"/>
        </w:rPr>
        <w:t>limited diversification following the Ice Cream division demerger.</w:t>
      </w:r>
    </w:p>
    <w:p xmlns:wp14="http://schemas.microsoft.com/office/word/2010/wordml" w:rsidP="5115035E" wp14:paraId="3054A12F" wp14:textId="2C592E1B">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At the corporate level, the strategy centres on streamlining the business and focusing on what it does well (Collinson et al., 2020). However, Ansoff’s assumption of a relatively stable environment is increasingly difficult to justify given the growing uncertainty shaping 2026 (Morrison, 2020). Differentiation remains an appropriate strategy in an oligopolistic market, but it now requires continuous innovation and sustained brand investment to maintain relevance.</w:t>
      </w:r>
    </w:p>
    <w:p xmlns:wp14="http://schemas.microsoft.com/office/word/2010/wordml" w:rsidP="5115035E" wp14:paraId="208290D7" wp14:textId="45E6F1C8">
      <w:pPr>
        <w:spacing w:before="240" w:beforeAutospacing="off" w:after="240" w:afterAutospacing="off"/>
        <w:rPr>
          <w:rFonts w:ascii="Arial" w:hAnsi="Arial" w:eastAsia="Arial" w:cs="Arial"/>
          <w:b w:val="1"/>
          <w:bCs w:val="1"/>
          <w:noProof w:val="0"/>
          <w:color w:val="000000" w:themeColor="text1" w:themeTint="FF" w:themeShade="FF"/>
          <w:sz w:val="30"/>
          <w:szCs w:val="30"/>
          <w:lang w:val="en-GB"/>
        </w:rPr>
      </w:pPr>
    </w:p>
    <w:p xmlns:wp14="http://schemas.microsoft.com/office/word/2010/wordml" w:rsidP="5115035E" wp14:paraId="46DF721C" wp14:textId="04268DC7">
      <w:pPr>
        <w:spacing w:before="240" w:beforeAutospacing="off" w:after="240" w:afterAutospacing="off"/>
      </w:pPr>
      <w:r w:rsidRPr="5115035E" w:rsidR="3F3F21DF">
        <w:rPr>
          <w:rFonts w:ascii="Arial" w:hAnsi="Arial" w:eastAsia="Arial" w:cs="Arial"/>
          <w:b w:val="1"/>
          <w:bCs w:val="1"/>
          <w:noProof w:val="0"/>
          <w:color w:val="000000" w:themeColor="text1" w:themeTint="FF" w:themeShade="FF"/>
          <w:sz w:val="30"/>
          <w:szCs w:val="30"/>
          <w:lang w:val="en-GB"/>
        </w:rPr>
        <w:t>5. War</w:t>
      </w:r>
    </w:p>
    <w:p xmlns:wp14="http://schemas.microsoft.com/office/word/2010/wordml" w:rsidP="5115035E" wp14:paraId="3DF7B502" wp14:textId="620D8F5A">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The Gulf conflict 2026 initially created another global headwind for business, but it has now escalated into a potential global shock that requires urgent reassessment of strategic plans (World Economic Forum, 2026). Unilever, alongside governments and businesses worldwide, will be prioritising a review of key macroeconomic factors (using PESTEL), microeconomic market dynamics (elasticity, oligopoly behaviour, substitutes), and internal strategic capabilities (VRIN resources, Value Chain strengths, Power Brands). These analyses will inform updated SWOT and TOWS assessments, scenario planning, and the development of strategic options to manage effectively at a time of heightened uncertainty (McKinsey and Company, 2026).</w:t>
      </w:r>
    </w:p>
    <w:p xmlns:wp14="http://schemas.microsoft.com/office/word/2010/wordml" w:rsidP="5115035E" wp14:paraId="58A408FC" wp14:textId="38E868CB">
      <w:pPr>
        <w:spacing w:before="240" w:beforeAutospacing="off" w:after="240" w:afterAutospacing="off"/>
        <w:rPr>
          <w:rFonts w:ascii="Arial" w:hAnsi="Arial" w:eastAsia="Arial" w:cs="Arial"/>
          <w:b w:val="1"/>
          <w:bCs w:val="1"/>
          <w:noProof w:val="0"/>
          <w:color w:val="000000" w:themeColor="text1" w:themeTint="FF" w:themeShade="FF"/>
          <w:sz w:val="30"/>
          <w:szCs w:val="30"/>
          <w:lang w:val="en-GB"/>
        </w:rPr>
      </w:pPr>
    </w:p>
    <w:p xmlns:wp14="http://schemas.microsoft.com/office/word/2010/wordml" w:rsidP="5115035E" wp14:paraId="0AC9E9B2" wp14:textId="4A98755D">
      <w:pPr>
        <w:spacing w:before="240" w:beforeAutospacing="off" w:after="240" w:afterAutospacing="off"/>
      </w:pPr>
      <w:r w:rsidRPr="5115035E" w:rsidR="3F3F21DF">
        <w:rPr>
          <w:rFonts w:ascii="Arial" w:hAnsi="Arial" w:eastAsia="Arial" w:cs="Arial"/>
          <w:b w:val="1"/>
          <w:bCs w:val="1"/>
          <w:noProof w:val="0"/>
          <w:color w:val="000000" w:themeColor="text1" w:themeTint="FF" w:themeShade="FF"/>
          <w:sz w:val="30"/>
          <w:szCs w:val="30"/>
          <w:lang w:val="en-GB"/>
        </w:rPr>
        <w:t>6. Sustainability &amp; Strategic Recommendations</w:t>
      </w:r>
    </w:p>
    <w:p xmlns:wp14="http://schemas.microsoft.com/office/word/2010/wordml" w:rsidP="5115035E" wp14:paraId="51250FE9" wp14:textId="6C642984">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Sustainability is a cornerstone of the Growth Action Plan 2030 (Thompson et al., 2022), with good progress in regenerative agriculture and plastic reduction (Unilever, 2026). These initiatives support cost efficiencies and really help strengthen brand loyalty and reinforce competitive advantage within a monopolistic market. Scope 3 emissions remain a significant challenge.</w:t>
      </w:r>
    </w:p>
    <w:p xmlns:wp14="http://schemas.microsoft.com/office/word/2010/wordml" w:rsidP="5115035E" wp14:paraId="501311D4" wp14:textId="4CBEE6A2">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 xml:space="preserve">TOWS derived changes (as above) will build resilience in increasingly unpredictable markets (Sloman et al., 2019; Collinson et al., 2020). </w:t>
      </w:r>
    </w:p>
    <w:p xmlns:wp14="http://schemas.microsoft.com/office/word/2010/wordml" w:rsidP="5115035E" wp14:paraId="117C163E" wp14:textId="5C72A543">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Unilever’s recent strategy changes show how making sustainability core to strategic decisions can help maintain competitive advantage in the face of ongoing economic, political and environmental pressures (Unilever, 2026a). While these actions build on existing strengths, they must be balanced against the risk that over investment in premium sustainable lines could alienate price sensitive consumers in emerging markets. Strategic review and adjustment to meet the new challenges created by the Gulf conflict will be essential to maintain its market position (Euromonitor, 2025).</w:t>
      </w:r>
    </w:p>
    <w:p xmlns:wp14="http://schemas.microsoft.com/office/word/2010/wordml" wp14:paraId="3A4467DC" wp14:textId="3FAC54AF"/>
    <w:p xmlns:wp14="http://schemas.microsoft.com/office/word/2010/wordml" wp14:paraId="602C1316" wp14:textId="78ADC81C"/>
    <w:p xmlns:wp14="http://schemas.microsoft.com/office/word/2010/wordml" wp14:paraId="251D1660" wp14:textId="73E87217"/>
    <w:p xmlns:wp14="http://schemas.microsoft.com/office/word/2010/wordml" w:rsidP="5115035E" wp14:paraId="6F87970B" wp14:textId="01B89740">
      <w:pPr>
        <w:pStyle w:val="Normal"/>
      </w:pPr>
      <w:r w:rsidRPr="5115035E" w:rsidR="3F3F21DF">
        <w:rPr>
          <w:rFonts w:ascii="Arial" w:hAnsi="Arial" w:eastAsia="Arial" w:cs="Arial"/>
          <w:b w:val="1"/>
          <w:bCs w:val="1"/>
          <w:noProof w:val="0"/>
          <w:color w:val="000000" w:themeColor="text1" w:themeTint="FF" w:themeShade="FF"/>
          <w:sz w:val="30"/>
          <w:szCs w:val="30"/>
          <w:lang w:val="en-GB"/>
        </w:rPr>
        <w:t>Conclusion</w:t>
      </w:r>
    </w:p>
    <w:p xmlns:wp14="http://schemas.microsoft.com/office/word/2010/wordml" w:rsidP="5115035E" wp14:paraId="14C8C2AF" wp14:textId="5122AA72">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Unilever PLC operates in a complex global environment of macroeconomic uncertainty and geopolitical instability. Increasing sustainability regulation influences strategic decisions across the organisation. External analysis indicates that these factors are compounded by the escalating conflict in the Gulf region, requiring disciplined cost control and sustained investment in innovation. At the microeconomic level, competitive conditions, particularly oligopolistic rivalry, buyer power, and price elasticity evidence the importance of maintaining strong brand equity and customer loyalty.</w:t>
      </w:r>
    </w:p>
    <w:p xmlns:wp14="http://schemas.microsoft.com/office/word/2010/wordml" w:rsidP="5115035E" wp14:paraId="6690CAD1" wp14:textId="396ED0B4">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 xml:space="preserve">Internal analysis shows that Unilever has important competitive strengths from VRIN resources with its Power Brands, regenerative agriculture capabilities, productivity improvements, and digital tools.The company’s decentralised structure and integrated supply chain and adaptability are strengths and strategically critical. Unilever's weaknesses are Scope 3 emissions and exposure to currency fluctuations in emerging markets, which are ongoing risks. </w:t>
      </w:r>
    </w:p>
    <w:p xmlns:wp14="http://schemas.microsoft.com/office/word/2010/wordml" w:rsidP="5115035E" wp14:paraId="1EF23EFE" wp14:textId="07A675E1">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Unilever’s differentiation strategy is important in this oligopolistic FMCG market and supported by balanced growth across product development.The Growth Action Plan 2030 keeps a sustainability focus across the value chain, and progress in regenerative sourcing, plastics reduction, and climate commitments strengthens prospects longer term. TOWS informed priorities include expanding regenerative agriculture, advancing circular packaging, reducing supplier related emissions, and pursuing sustainability focussed mergers, acquisitions and possible demergers are potential pathways to retain competitive advantage.</w:t>
      </w:r>
    </w:p>
    <w:p xmlns:wp14="http://schemas.microsoft.com/office/word/2010/wordml" w:rsidP="5115035E" wp14:paraId="40607A71" wp14:textId="6E8166A5">
      <w:pPr>
        <w:spacing w:before="240" w:beforeAutospacing="off" w:after="240" w:afterAutospacing="off"/>
      </w:pPr>
      <w:r w:rsidRPr="5115035E" w:rsidR="3F3F21DF">
        <w:rPr>
          <w:rFonts w:ascii="Arial" w:hAnsi="Arial" w:eastAsia="Arial" w:cs="Arial"/>
          <w:noProof w:val="0"/>
          <w:color w:val="000000" w:themeColor="text1" w:themeTint="FF" w:themeShade="FF"/>
          <w:sz w:val="22"/>
          <w:szCs w:val="22"/>
          <w:lang w:val="en-GB"/>
        </w:rPr>
        <w:t>It is concluded, Unilever is well positioned for sustainable success. Its ability to integrate environmental and social priorities into core strategy, maintain financial discipline, and respond quickly to increasing global uncertainties will determine its ability to lead in a market increasingly impacted by sustainability expectations and geopolitical volatility. Continued innovation and purpose led brand investment will be critical to sustaining competitive advantage.</w:t>
      </w:r>
    </w:p>
    <w:p xmlns:wp14="http://schemas.microsoft.com/office/word/2010/wordml" w:rsidP="5115035E" wp14:paraId="3E823049" wp14:textId="3A85A51C">
      <w:pPr>
        <w:pStyle w:val="Normal"/>
      </w:pPr>
    </w:p>
    <w:p xmlns:wp14="http://schemas.microsoft.com/office/word/2010/wordml" w:rsidP="5115035E" wp14:paraId="5944AE66" wp14:textId="40BB6921">
      <w:pPr>
        <w:spacing w:before="0" w:beforeAutospacing="off" w:after="0" w:afterAutospacing="off"/>
      </w:pPr>
      <w:r w:rsidRPr="5115035E" w:rsidR="35CB7C0B">
        <w:rPr>
          <w:rFonts w:ascii="Arial" w:hAnsi="Arial" w:eastAsia="Arial" w:cs="Arial"/>
          <w:b w:val="1"/>
          <w:bCs w:val="1"/>
          <w:noProof w:val="0"/>
          <w:color w:val="000000" w:themeColor="text1" w:themeTint="FF" w:themeShade="FF"/>
          <w:sz w:val="30"/>
          <w:szCs w:val="30"/>
          <w:lang w:val="en-GB"/>
        </w:rPr>
        <w:t>References</w:t>
      </w:r>
    </w:p>
    <w:p xmlns:wp14="http://schemas.microsoft.com/office/word/2010/wordml" w:rsidP="5115035E" wp14:paraId="0F87DE99" wp14:textId="484AF437">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Collinson, S., Narula, R. and Rugman, A. 2020. </w:t>
      </w:r>
      <w:r w:rsidRPr="5115035E" w:rsidR="35CB7C0B">
        <w:rPr>
          <w:rFonts w:ascii="Arial" w:hAnsi="Arial" w:eastAsia="Arial" w:cs="Arial"/>
          <w:i w:val="1"/>
          <w:iCs w:val="1"/>
          <w:noProof w:val="0"/>
          <w:color w:val="000000" w:themeColor="text1" w:themeTint="FF" w:themeShade="FF"/>
          <w:sz w:val="22"/>
          <w:szCs w:val="22"/>
          <w:lang w:val="en-GB"/>
        </w:rPr>
        <w:t>International Business</w:t>
      </w:r>
      <w:r w:rsidRPr="5115035E" w:rsidR="35CB7C0B">
        <w:rPr>
          <w:rFonts w:ascii="Arial" w:hAnsi="Arial" w:eastAsia="Arial" w:cs="Arial"/>
          <w:noProof w:val="0"/>
          <w:color w:val="000000" w:themeColor="text1" w:themeTint="FF" w:themeShade="FF"/>
          <w:sz w:val="22"/>
          <w:szCs w:val="22"/>
          <w:lang w:val="en-GB"/>
        </w:rPr>
        <w:t>. 8th edn. Harlow: Pearson.</w:t>
      </w:r>
    </w:p>
    <w:p xmlns:wp14="http://schemas.microsoft.com/office/word/2010/wordml" w:rsidP="5115035E" wp14:paraId="4073237D" wp14:textId="737EECB6">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Euromonitor International. 2025. FMCG Sustainability 2025: Building Purpose Amid Volatility. Available at: </w:t>
      </w:r>
      <w:hyperlink r:id="Rbcca40c6f3cf485a">
        <w:r w:rsidRPr="5115035E" w:rsidR="35CB7C0B">
          <w:rPr>
            <w:rStyle w:val="Hyperlink"/>
            <w:rFonts w:ascii="Arial" w:hAnsi="Arial" w:eastAsia="Arial" w:cs="Arial"/>
            <w:noProof w:val="0"/>
            <w:sz w:val="22"/>
            <w:szCs w:val="22"/>
            <w:lang w:val="en-GB"/>
          </w:rPr>
          <w:t>https://www.euromonitor.com/article/fmcg-sustainability-navigating-volatility-with-purpose</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rsidP="5115035E" wp14:paraId="73DC2CF2" wp14:textId="3A61079E">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Griffiths, A. and Wall, A. 2011. </w:t>
      </w:r>
      <w:r w:rsidRPr="5115035E" w:rsidR="35CB7C0B">
        <w:rPr>
          <w:rFonts w:ascii="Arial" w:hAnsi="Arial" w:eastAsia="Arial" w:cs="Arial"/>
          <w:i w:val="1"/>
          <w:iCs w:val="1"/>
          <w:noProof w:val="0"/>
          <w:color w:val="000000" w:themeColor="text1" w:themeTint="FF" w:themeShade="FF"/>
          <w:sz w:val="22"/>
          <w:szCs w:val="22"/>
          <w:lang w:val="en-GB"/>
        </w:rPr>
        <w:t>Economics for Business and Management</w:t>
      </w:r>
      <w:r w:rsidRPr="5115035E" w:rsidR="35CB7C0B">
        <w:rPr>
          <w:rFonts w:ascii="Arial" w:hAnsi="Arial" w:eastAsia="Arial" w:cs="Arial"/>
          <w:noProof w:val="0"/>
          <w:color w:val="000000" w:themeColor="text1" w:themeTint="FF" w:themeShade="FF"/>
          <w:sz w:val="22"/>
          <w:szCs w:val="22"/>
          <w:lang w:val="en-GB"/>
        </w:rPr>
        <w:t>. Harlow: Pearson.</w:t>
      </w:r>
    </w:p>
    <w:p xmlns:wp14="http://schemas.microsoft.com/office/word/2010/wordml" w:rsidP="5115035E" wp14:paraId="32ADA9F3" wp14:textId="64915DBA">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Hamilton, L. and Webster, P. 2019. </w:t>
      </w:r>
      <w:r w:rsidRPr="5115035E" w:rsidR="35CB7C0B">
        <w:rPr>
          <w:rFonts w:ascii="Arial" w:hAnsi="Arial" w:eastAsia="Arial" w:cs="Arial"/>
          <w:i w:val="1"/>
          <w:iCs w:val="1"/>
          <w:noProof w:val="0"/>
          <w:color w:val="000000" w:themeColor="text1" w:themeTint="FF" w:themeShade="FF"/>
          <w:sz w:val="22"/>
          <w:szCs w:val="22"/>
          <w:lang w:val="en-GB"/>
        </w:rPr>
        <w:t>The International Business Environment</w:t>
      </w:r>
      <w:r w:rsidRPr="5115035E" w:rsidR="35CB7C0B">
        <w:rPr>
          <w:rFonts w:ascii="Arial" w:hAnsi="Arial" w:eastAsia="Arial" w:cs="Arial"/>
          <w:noProof w:val="0"/>
          <w:color w:val="000000" w:themeColor="text1" w:themeTint="FF" w:themeShade="FF"/>
          <w:sz w:val="22"/>
          <w:szCs w:val="22"/>
          <w:lang w:val="en-GB"/>
        </w:rPr>
        <w:t>. 4th edn. Oxford: Oxford University Press.</w:t>
      </w:r>
    </w:p>
    <w:p xmlns:wp14="http://schemas.microsoft.com/office/word/2010/wordml" w:rsidP="5115035E" wp14:paraId="778D110A" wp14:textId="373A3D93">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International Monetary Fund (IMF). 2026. </w:t>
      </w:r>
      <w:r w:rsidRPr="5115035E" w:rsidR="35CB7C0B">
        <w:rPr>
          <w:rFonts w:ascii="Arial" w:hAnsi="Arial" w:eastAsia="Arial" w:cs="Arial"/>
          <w:i w:val="1"/>
          <w:iCs w:val="1"/>
          <w:noProof w:val="0"/>
          <w:color w:val="000000" w:themeColor="text1" w:themeTint="FF" w:themeShade="FF"/>
          <w:sz w:val="22"/>
          <w:szCs w:val="22"/>
          <w:lang w:val="en-GB"/>
        </w:rPr>
        <w:t>World Economic Outlook Update, January 2026</w:t>
      </w:r>
      <w:r w:rsidRPr="5115035E" w:rsidR="35CB7C0B">
        <w:rPr>
          <w:rFonts w:ascii="Arial" w:hAnsi="Arial" w:eastAsia="Arial" w:cs="Arial"/>
          <w:noProof w:val="0"/>
          <w:color w:val="000000" w:themeColor="text1" w:themeTint="FF" w:themeShade="FF"/>
          <w:sz w:val="22"/>
          <w:szCs w:val="22"/>
          <w:lang w:val="en-GB"/>
        </w:rPr>
        <w:t>. Available at:</w:t>
      </w:r>
      <w:hyperlink r:id="Rb6334df989034a15">
        <w:r w:rsidRPr="5115035E" w:rsidR="35CB7C0B">
          <w:rPr>
            <w:rStyle w:val="Hyperlink"/>
            <w:rFonts w:ascii="Arial" w:hAnsi="Arial" w:eastAsia="Arial" w:cs="Arial"/>
            <w:noProof w:val="0"/>
            <w:color w:val="000000" w:themeColor="text1" w:themeTint="FF" w:themeShade="FF"/>
            <w:sz w:val="22"/>
            <w:szCs w:val="22"/>
            <w:lang w:val="en-GB"/>
          </w:rPr>
          <w:t xml:space="preserve"> </w:t>
        </w:r>
        <w:r w:rsidRPr="5115035E" w:rsidR="35CB7C0B">
          <w:rPr>
            <w:rStyle w:val="Hyperlink"/>
            <w:rFonts w:ascii="Arial" w:hAnsi="Arial" w:eastAsia="Arial" w:cs="Arial"/>
            <w:strike w:val="0"/>
            <w:dstrike w:val="0"/>
            <w:noProof w:val="0"/>
            <w:color w:val="1155CC"/>
            <w:sz w:val="22"/>
            <w:szCs w:val="22"/>
            <w:u w:val="none"/>
            <w:lang w:val="en-GB"/>
          </w:rPr>
          <w:t>https://www.imf.org/en/publications/weo/issues/2026/01/19/world-economic-outlook-update-january-2026</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rsidP="5115035E" wp14:paraId="2971CC84" wp14:textId="46358128">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Johnson, G., Scholes, K. and Whittington, R. 2015 </w:t>
      </w:r>
      <w:r w:rsidRPr="5115035E" w:rsidR="35CB7C0B">
        <w:rPr>
          <w:rFonts w:ascii="Arial" w:hAnsi="Arial" w:eastAsia="Arial" w:cs="Arial"/>
          <w:i w:val="1"/>
          <w:iCs w:val="1"/>
          <w:noProof w:val="0"/>
          <w:color w:val="000000" w:themeColor="text1" w:themeTint="FF" w:themeShade="FF"/>
          <w:sz w:val="22"/>
          <w:szCs w:val="22"/>
          <w:lang w:val="en-GB"/>
        </w:rPr>
        <w:t>Exploring Corporate Strategy: Text and Cases</w:t>
      </w:r>
      <w:r w:rsidRPr="5115035E" w:rsidR="35CB7C0B">
        <w:rPr>
          <w:rFonts w:ascii="Arial" w:hAnsi="Arial" w:eastAsia="Arial" w:cs="Arial"/>
          <w:noProof w:val="0"/>
          <w:color w:val="000000" w:themeColor="text1" w:themeTint="FF" w:themeShade="FF"/>
          <w:sz w:val="22"/>
          <w:szCs w:val="22"/>
          <w:lang w:val="en-GB"/>
        </w:rPr>
        <w:t>. Harlow: Prentice Hall.</w:t>
      </w:r>
    </w:p>
    <w:p xmlns:wp14="http://schemas.microsoft.com/office/word/2010/wordml" w:rsidP="5115035E" wp14:paraId="4D7E8374" wp14:textId="4B3A3A7C">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McKinsey and Company. 2026. Geopolitical volatility and corporate strategy: How companies are responding to the 2026 Gulf crisis. McKinsey Quarterly, March. Available at: </w:t>
      </w:r>
      <w:hyperlink r:id="R1192609e9b174799">
        <w:r w:rsidRPr="5115035E" w:rsidR="35CB7C0B">
          <w:rPr>
            <w:rStyle w:val="Hyperlink"/>
            <w:rFonts w:ascii="Arial" w:hAnsi="Arial" w:eastAsia="Arial" w:cs="Arial"/>
            <w:noProof w:val="0"/>
            <w:sz w:val="22"/>
            <w:szCs w:val="22"/>
            <w:lang w:val="en-GB"/>
          </w:rPr>
          <w:t>https://www.mckinsey.com/featured-insights/geopolitical-volatility</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rsidP="5115035E" wp14:paraId="5BAEA27A" wp14:textId="7A30BD4C">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Morrison, J. 2020. </w:t>
      </w:r>
      <w:r w:rsidRPr="5115035E" w:rsidR="35CB7C0B">
        <w:rPr>
          <w:rFonts w:ascii="Arial" w:hAnsi="Arial" w:eastAsia="Arial" w:cs="Arial"/>
          <w:i w:val="1"/>
          <w:iCs w:val="1"/>
          <w:noProof w:val="0"/>
          <w:color w:val="000000" w:themeColor="text1" w:themeTint="FF" w:themeShade="FF"/>
          <w:sz w:val="22"/>
          <w:szCs w:val="22"/>
          <w:lang w:val="en-GB"/>
        </w:rPr>
        <w:t>The Global Business Environment</w:t>
      </w:r>
      <w:r w:rsidRPr="5115035E" w:rsidR="35CB7C0B">
        <w:rPr>
          <w:rFonts w:ascii="Arial" w:hAnsi="Arial" w:eastAsia="Arial" w:cs="Arial"/>
          <w:noProof w:val="0"/>
          <w:color w:val="000000" w:themeColor="text1" w:themeTint="FF" w:themeShade="FF"/>
          <w:sz w:val="22"/>
          <w:szCs w:val="22"/>
          <w:lang w:val="en-GB"/>
        </w:rPr>
        <w:t>. 5th edn. London: Palgrave Macmillan.</w:t>
      </w:r>
    </w:p>
    <w:p xmlns:wp14="http://schemas.microsoft.com/office/word/2010/wordml" w:rsidP="5115035E" wp14:paraId="16586065" wp14:textId="569213A0">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Organisation for Economic Co-operation and Development (OECD). 2026. </w:t>
      </w:r>
      <w:r w:rsidRPr="5115035E" w:rsidR="35CB7C0B">
        <w:rPr>
          <w:rFonts w:ascii="Arial" w:hAnsi="Arial" w:eastAsia="Arial" w:cs="Arial"/>
          <w:i w:val="1"/>
          <w:iCs w:val="1"/>
          <w:noProof w:val="0"/>
          <w:color w:val="000000" w:themeColor="text1" w:themeTint="FF" w:themeShade="FF"/>
          <w:sz w:val="22"/>
          <w:szCs w:val="22"/>
          <w:lang w:val="en-GB"/>
        </w:rPr>
        <w:t>OECD Economic Outlook, Interim Report March 2026</w:t>
      </w:r>
      <w:r w:rsidRPr="5115035E" w:rsidR="35CB7C0B">
        <w:rPr>
          <w:rFonts w:ascii="Arial" w:hAnsi="Arial" w:eastAsia="Arial" w:cs="Arial"/>
          <w:noProof w:val="0"/>
          <w:color w:val="000000" w:themeColor="text1" w:themeTint="FF" w:themeShade="FF"/>
          <w:sz w:val="22"/>
          <w:szCs w:val="22"/>
          <w:lang w:val="en-GB"/>
        </w:rPr>
        <w:t>. Paris: OECD Publishing.</w:t>
      </w:r>
    </w:p>
    <w:p xmlns:wp14="http://schemas.microsoft.com/office/word/2010/wordml" w:rsidP="5115035E" wp14:paraId="18122C9C" wp14:textId="0CA8526D">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Porter, M.E. 2004. </w:t>
      </w:r>
      <w:r w:rsidRPr="5115035E" w:rsidR="35CB7C0B">
        <w:rPr>
          <w:rFonts w:ascii="Arial" w:hAnsi="Arial" w:eastAsia="Arial" w:cs="Arial"/>
          <w:i w:val="1"/>
          <w:iCs w:val="1"/>
          <w:noProof w:val="0"/>
          <w:color w:val="000000" w:themeColor="text1" w:themeTint="FF" w:themeShade="FF"/>
          <w:sz w:val="22"/>
          <w:szCs w:val="22"/>
          <w:lang w:val="en-GB"/>
        </w:rPr>
        <w:t>Competitive Advantage: Creating and Sustaining Superior Performance</w:t>
      </w:r>
      <w:r w:rsidRPr="5115035E" w:rsidR="35CB7C0B">
        <w:rPr>
          <w:rFonts w:ascii="Arial" w:hAnsi="Arial" w:eastAsia="Arial" w:cs="Arial"/>
          <w:noProof w:val="0"/>
          <w:color w:val="000000" w:themeColor="text1" w:themeTint="FF" w:themeShade="FF"/>
          <w:sz w:val="22"/>
          <w:szCs w:val="22"/>
          <w:lang w:val="en-GB"/>
        </w:rPr>
        <w:t>. London: Harper Collins.</w:t>
      </w:r>
    </w:p>
    <w:p xmlns:wp14="http://schemas.microsoft.com/office/word/2010/wordml" w:rsidP="5115035E" wp14:paraId="7DA92E6A" wp14:textId="6E3118EA">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Sloman, J., Garratt, D., Guest, J. and Jones, E. 2019. </w:t>
      </w:r>
      <w:r w:rsidRPr="5115035E" w:rsidR="35CB7C0B">
        <w:rPr>
          <w:rFonts w:ascii="Arial" w:hAnsi="Arial" w:eastAsia="Arial" w:cs="Arial"/>
          <w:i w:val="1"/>
          <w:iCs w:val="1"/>
          <w:noProof w:val="0"/>
          <w:color w:val="000000" w:themeColor="text1" w:themeTint="FF" w:themeShade="FF"/>
          <w:sz w:val="22"/>
          <w:szCs w:val="22"/>
          <w:lang w:val="en-GB"/>
        </w:rPr>
        <w:t>Economics for Business</w:t>
      </w:r>
      <w:r w:rsidRPr="5115035E" w:rsidR="35CB7C0B">
        <w:rPr>
          <w:rFonts w:ascii="Arial" w:hAnsi="Arial" w:eastAsia="Arial" w:cs="Arial"/>
          <w:noProof w:val="0"/>
          <w:color w:val="000000" w:themeColor="text1" w:themeTint="FF" w:themeShade="FF"/>
          <w:sz w:val="22"/>
          <w:szCs w:val="22"/>
          <w:lang w:val="en-GB"/>
        </w:rPr>
        <w:t>. Harlow: Pearson.</w:t>
      </w:r>
    </w:p>
    <w:p xmlns:wp14="http://schemas.microsoft.com/office/word/2010/wordml" w:rsidP="5115035E" wp14:paraId="08B454AF" wp14:textId="4EE7586D">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Thompson, J., Scott, J. and Martin, F. 2022. </w:t>
      </w:r>
      <w:r w:rsidRPr="5115035E" w:rsidR="35CB7C0B">
        <w:rPr>
          <w:rFonts w:ascii="Arial" w:hAnsi="Arial" w:eastAsia="Arial" w:cs="Arial"/>
          <w:i w:val="1"/>
          <w:iCs w:val="1"/>
          <w:noProof w:val="0"/>
          <w:color w:val="000000" w:themeColor="text1" w:themeTint="FF" w:themeShade="FF"/>
          <w:sz w:val="22"/>
          <w:szCs w:val="22"/>
          <w:lang w:val="en-GB"/>
        </w:rPr>
        <w:t>Strategic Management and Sustainability: Awareness and Change</w:t>
      </w:r>
      <w:r w:rsidRPr="5115035E" w:rsidR="35CB7C0B">
        <w:rPr>
          <w:rFonts w:ascii="Arial" w:hAnsi="Arial" w:eastAsia="Arial" w:cs="Arial"/>
          <w:noProof w:val="0"/>
          <w:color w:val="000000" w:themeColor="text1" w:themeTint="FF" w:themeShade="FF"/>
          <w:sz w:val="22"/>
          <w:szCs w:val="22"/>
          <w:lang w:val="en-GB"/>
        </w:rPr>
        <w:t>. 10th edn. London: Cengage Learning EMEA.</w:t>
      </w:r>
    </w:p>
    <w:p xmlns:wp14="http://schemas.microsoft.com/office/word/2010/wordml" w:rsidP="5115035E" wp14:paraId="61895464" wp14:textId="2070A288">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Unilever. n.d. </w:t>
      </w:r>
      <w:r w:rsidRPr="5115035E" w:rsidR="35CB7C0B">
        <w:rPr>
          <w:rFonts w:ascii="Arial" w:hAnsi="Arial" w:eastAsia="Arial" w:cs="Arial"/>
          <w:i w:val="1"/>
          <w:iCs w:val="1"/>
          <w:noProof w:val="0"/>
          <w:color w:val="000000" w:themeColor="text1" w:themeTint="FF" w:themeShade="FF"/>
          <w:sz w:val="22"/>
          <w:szCs w:val="22"/>
          <w:lang w:val="en-GB"/>
        </w:rPr>
        <w:t>Supplier Climate Programme</w:t>
      </w:r>
      <w:r w:rsidRPr="5115035E" w:rsidR="35CB7C0B">
        <w:rPr>
          <w:rFonts w:ascii="Arial" w:hAnsi="Arial" w:eastAsia="Arial" w:cs="Arial"/>
          <w:noProof w:val="0"/>
          <w:color w:val="000000" w:themeColor="text1" w:themeTint="FF" w:themeShade="FF"/>
          <w:sz w:val="22"/>
          <w:szCs w:val="22"/>
          <w:lang w:val="en-GB"/>
        </w:rPr>
        <w:t>. Available at:</w:t>
      </w:r>
      <w:hyperlink r:id="Rd3dbe0b744274aee">
        <w:r w:rsidRPr="5115035E" w:rsidR="35CB7C0B">
          <w:rPr>
            <w:rStyle w:val="Hyperlink"/>
            <w:rFonts w:ascii="Arial" w:hAnsi="Arial" w:eastAsia="Arial" w:cs="Arial"/>
            <w:noProof w:val="0"/>
            <w:color w:val="000000" w:themeColor="text1" w:themeTint="FF" w:themeShade="FF"/>
            <w:sz w:val="22"/>
            <w:szCs w:val="22"/>
            <w:lang w:val="en-GB"/>
          </w:rPr>
          <w:t xml:space="preserve"> </w:t>
        </w:r>
        <w:r w:rsidRPr="5115035E" w:rsidR="35CB7C0B">
          <w:rPr>
            <w:rStyle w:val="Hyperlink"/>
            <w:rFonts w:ascii="Arial" w:hAnsi="Arial" w:eastAsia="Arial" w:cs="Arial"/>
            <w:strike w:val="0"/>
            <w:dstrike w:val="0"/>
            <w:noProof w:val="0"/>
            <w:color w:val="1155CC"/>
            <w:sz w:val="22"/>
            <w:szCs w:val="22"/>
            <w:u w:val="none"/>
            <w:lang w:val="en-GB"/>
          </w:rPr>
          <w:t>https://www.unilever.com/suppliers/supplier-climate-programme/</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rsidP="5115035E" wp14:paraId="166A4BB7" wp14:textId="4D2EB32D">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Unilever. 2020. </w:t>
      </w:r>
      <w:r w:rsidRPr="5115035E" w:rsidR="35CB7C0B">
        <w:rPr>
          <w:rFonts w:ascii="Arial" w:hAnsi="Arial" w:eastAsia="Arial" w:cs="Arial"/>
          <w:i w:val="1"/>
          <w:iCs w:val="1"/>
          <w:noProof w:val="0"/>
          <w:color w:val="000000" w:themeColor="text1" w:themeTint="FF" w:themeShade="FF"/>
          <w:sz w:val="22"/>
          <w:szCs w:val="22"/>
          <w:lang w:val="en-GB"/>
        </w:rPr>
        <w:t>Making sustainable living commonplace for 8 billion people</w:t>
      </w:r>
      <w:r w:rsidRPr="5115035E" w:rsidR="35CB7C0B">
        <w:rPr>
          <w:rFonts w:ascii="Arial" w:hAnsi="Arial" w:eastAsia="Arial" w:cs="Arial"/>
          <w:noProof w:val="0"/>
          <w:color w:val="000000" w:themeColor="text1" w:themeTint="FF" w:themeShade="FF"/>
          <w:sz w:val="22"/>
          <w:szCs w:val="22"/>
          <w:lang w:val="en-GB"/>
        </w:rPr>
        <w:t>. Available at:</w:t>
      </w:r>
      <w:hyperlink r:id="R51f7cdb4395a45df">
        <w:r w:rsidRPr="5115035E" w:rsidR="35CB7C0B">
          <w:rPr>
            <w:rStyle w:val="Hyperlink"/>
            <w:rFonts w:ascii="Arial" w:hAnsi="Arial" w:eastAsia="Arial" w:cs="Arial"/>
            <w:noProof w:val="0"/>
            <w:color w:val="000000" w:themeColor="text1" w:themeTint="FF" w:themeShade="FF"/>
            <w:sz w:val="22"/>
            <w:szCs w:val="22"/>
            <w:lang w:val="en-GB"/>
          </w:rPr>
          <w:t xml:space="preserve"> </w:t>
        </w:r>
        <w:r w:rsidRPr="5115035E" w:rsidR="35CB7C0B">
          <w:rPr>
            <w:rStyle w:val="Hyperlink"/>
            <w:rFonts w:ascii="Arial" w:hAnsi="Arial" w:eastAsia="Arial" w:cs="Arial"/>
            <w:strike w:val="0"/>
            <w:dstrike w:val="0"/>
            <w:noProof w:val="0"/>
            <w:color w:val="1155CC"/>
            <w:sz w:val="22"/>
            <w:szCs w:val="22"/>
            <w:u w:val="none"/>
            <w:lang w:val="en-GB"/>
          </w:rPr>
          <w:t>https://www.unilever.com/news/news-search/2020/making-sustainable-living-commonplace-for-8-billion-people/</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rsidP="5115035E" wp14:paraId="12624E9C" wp14:textId="04A9BDC0">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Unilever. 2023. </w:t>
      </w:r>
      <w:r w:rsidRPr="5115035E" w:rsidR="35CB7C0B">
        <w:rPr>
          <w:rFonts w:ascii="Arial" w:hAnsi="Arial" w:eastAsia="Arial" w:cs="Arial"/>
          <w:i w:val="1"/>
          <w:iCs w:val="1"/>
          <w:noProof w:val="0"/>
          <w:color w:val="000000" w:themeColor="text1" w:themeTint="FF" w:themeShade="FF"/>
          <w:sz w:val="22"/>
          <w:szCs w:val="22"/>
          <w:lang w:val="en-GB"/>
        </w:rPr>
        <w:t>Unilever’s supply chain</w:t>
      </w:r>
      <w:r w:rsidRPr="5115035E" w:rsidR="35CB7C0B">
        <w:rPr>
          <w:rFonts w:ascii="Arial" w:hAnsi="Arial" w:eastAsia="Arial" w:cs="Arial"/>
          <w:noProof w:val="0"/>
          <w:color w:val="000000" w:themeColor="text1" w:themeTint="FF" w:themeShade="FF"/>
          <w:sz w:val="22"/>
          <w:szCs w:val="22"/>
          <w:lang w:val="en-GB"/>
        </w:rPr>
        <w:t>. June. Available at:</w:t>
      </w:r>
      <w:hyperlink r:id="R6cb872e6de764e15">
        <w:r w:rsidRPr="5115035E" w:rsidR="35CB7C0B">
          <w:rPr>
            <w:rStyle w:val="Hyperlink"/>
            <w:rFonts w:ascii="Arial" w:hAnsi="Arial" w:eastAsia="Arial" w:cs="Arial"/>
            <w:noProof w:val="0"/>
            <w:color w:val="000000" w:themeColor="text1" w:themeTint="FF" w:themeShade="FF"/>
            <w:sz w:val="22"/>
            <w:szCs w:val="22"/>
            <w:lang w:val="en-GB"/>
          </w:rPr>
          <w:t xml:space="preserve"> </w:t>
        </w:r>
        <w:r w:rsidRPr="5115035E" w:rsidR="35CB7C0B">
          <w:rPr>
            <w:rStyle w:val="Hyperlink"/>
            <w:rFonts w:ascii="Arial" w:hAnsi="Arial" w:eastAsia="Arial" w:cs="Arial"/>
            <w:strike w:val="0"/>
            <w:dstrike w:val="0"/>
            <w:noProof w:val="0"/>
            <w:color w:val="1155CC"/>
            <w:sz w:val="22"/>
            <w:szCs w:val="22"/>
            <w:u w:val="none"/>
            <w:lang w:val="en-GB"/>
          </w:rPr>
          <w:t>https://www.unilever.com/files/92ui5egz/production/4c69873f6914a405c83ff0e62a20328dc25e0d8a.pdf</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rsidP="5115035E" wp14:paraId="75198C02" wp14:textId="2107D3F2">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Unilever. 2025. </w:t>
      </w:r>
      <w:r w:rsidRPr="5115035E" w:rsidR="35CB7C0B">
        <w:rPr>
          <w:rFonts w:ascii="Arial" w:hAnsi="Arial" w:eastAsia="Arial" w:cs="Arial"/>
          <w:i w:val="1"/>
          <w:iCs w:val="1"/>
          <w:noProof w:val="0"/>
          <w:color w:val="000000" w:themeColor="text1" w:themeTint="FF" w:themeShade="FF"/>
          <w:sz w:val="22"/>
          <w:szCs w:val="22"/>
          <w:lang w:val="en-GB"/>
        </w:rPr>
        <w:t>Sustainability Progress Update / Regenerative Agriculture Report 2025</w:t>
      </w:r>
      <w:r w:rsidRPr="5115035E" w:rsidR="35CB7C0B">
        <w:rPr>
          <w:rFonts w:ascii="Arial" w:hAnsi="Arial" w:eastAsia="Arial" w:cs="Arial"/>
          <w:noProof w:val="0"/>
          <w:color w:val="000000" w:themeColor="text1" w:themeTint="FF" w:themeShade="FF"/>
          <w:sz w:val="22"/>
          <w:szCs w:val="22"/>
          <w:lang w:val="en-GB"/>
        </w:rPr>
        <w:t>. Available at:</w:t>
      </w:r>
      <w:hyperlink r:id="Rfbca9b9e7dbd4cb9">
        <w:r w:rsidRPr="5115035E" w:rsidR="35CB7C0B">
          <w:rPr>
            <w:rStyle w:val="Hyperlink"/>
            <w:rFonts w:ascii="Arial" w:hAnsi="Arial" w:eastAsia="Arial" w:cs="Arial"/>
            <w:noProof w:val="0"/>
            <w:color w:val="000000" w:themeColor="text1" w:themeTint="FF" w:themeShade="FF"/>
            <w:sz w:val="22"/>
            <w:szCs w:val="22"/>
            <w:lang w:val="en-GB"/>
          </w:rPr>
          <w:t xml:space="preserve"> </w:t>
        </w:r>
        <w:r w:rsidRPr="5115035E" w:rsidR="35CB7C0B">
          <w:rPr>
            <w:rStyle w:val="Hyperlink"/>
            <w:rFonts w:ascii="Arial" w:hAnsi="Arial" w:eastAsia="Arial" w:cs="Arial"/>
            <w:strike w:val="0"/>
            <w:dstrike w:val="0"/>
            <w:noProof w:val="0"/>
            <w:color w:val="1155CC"/>
            <w:sz w:val="22"/>
            <w:szCs w:val="22"/>
            <w:u w:val="none"/>
            <w:lang w:val="en-GB"/>
          </w:rPr>
          <w:t>https://www.unilever.com/sustainability/regenerative-agriculture/</w:t>
        </w:r>
      </w:hyperlink>
      <w:r w:rsidRPr="5115035E" w:rsidR="35CB7C0B">
        <w:rPr>
          <w:rFonts w:ascii="Arial" w:hAnsi="Arial" w:eastAsia="Arial" w:cs="Arial"/>
          <w:noProof w:val="0"/>
          <w:color w:val="000000" w:themeColor="text1" w:themeTint="FF" w:themeShade="FF"/>
          <w:sz w:val="22"/>
          <w:szCs w:val="22"/>
          <w:lang w:val="en-GB"/>
        </w:rPr>
        <w:t xml:space="preserve"> (Accessed: 17 March 2026).</w:t>
      </w:r>
    </w:p>
    <w:p xmlns:wp14="http://schemas.microsoft.com/office/word/2010/wordml" w:rsidP="5115035E" wp14:paraId="574B2069" wp14:textId="3087FD9C">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Unilever. 2026. </w:t>
      </w:r>
      <w:r w:rsidRPr="5115035E" w:rsidR="35CB7C0B">
        <w:rPr>
          <w:rFonts w:ascii="Arial" w:hAnsi="Arial" w:eastAsia="Arial" w:cs="Arial"/>
          <w:i w:val="1"/>
          <w:iCs w:val="1"/>
          <w:noProof w:val="0"/>
          <w:color w:val="000000" w:themeColor="text1" w:themeTint="FF" w:themeShade="FF"/>
          <w:sz w:val="22"/>
          <w:szCs w:val="22"/>
          <w:lang w:val="en-GB"/>
        </w:rPr>
        <w:t>Annual Report and Accounts 2025</w:t>
      </w:r>
      <w:r w:rsidRPr="5115035E" w:rsidR="35CB7C0B">
        <w:rPr>
          <w:rFonts w:ascii="Arial" w:hAnsi="Arial" w:eastAsia="Arial" w:cs="Arial"/>
          <w:noProof w:val="0"/>
          <w:color w:val="000000" w:themeColor="text1" w:themeTint="FF" w:themeShade="FF"/>
          <w:sz w:val="22"/>
          <w:szCs w:val="22"/>
          <w:lang w:val="en-GB"/>
        </w:rPr>
        <w:t>. Available at:</w:t>
      </w:r>
      <w:hyperlink r:id="R4b44b99e97c34292">
        <w:r w:rsidRPr="5115035E" w:rsidR="35CB7C0B">
          <w:rPr>
            <w:rStyle w:val="Hyperlink"/>
            <w:rFonts w:ascii="Arial" w:hAnsi="Arial" w:eastAsia="Arial" w:cs="Arial"/>
            <w:noProof w:val="0"/>
            <w:color w:val="000000" w:themeColor="text1" w:themeTint="FF" w:themeShade="FF"/>
            <w:sz w:val="22"/>
            <w:szCs w:val="22"/>
            <w:lang w:val="en-GB"/>
          </w:rPr>
          <w:t xml:space="preserve"> </w:t>
        </w:r>
        <w:r w:rsidRPr="5115035E" w:rsidR="35CB7C0B">
          <w:rPr>
            <w:rStyle w:val="Hyperlink"/>
            <w:rFonts w:ascii="Arial" w:hAnsi="Arial" w:eastAsia="Arial" w:cs="Arial"/>
            <w:strike w:val="0"/>
            <w:dstrike w:val="0"/>
            <w:noProof w:val="0"/>
            <w:color w:val="1155CC"/>
            <w:sz w:val="22"/>
            <w:szCs w:val="22"/>
            <w:u w:val="none"/>
            <w:lang w:val="en-GB"/>
          </w:rPr>
          <w:t>https://www.unilever.com/files/unilever-annual-report-and-accounts-2025.pdf</w:t>
        </w:r>
      </w:hyperlink>
      <w:r w:rsidRPr="5115035E" w:rsidR="35CB7C0B">
        <w:rPr>
          <w:rFonts w:ascii="Arial" w:hAnsi="Arial" w:eastAsia="Arial" w:cs="Arial"/>
          <w:noProof w:val="0"/>
          <w:color w:val="000000" w:themeColor="text1" w:themeTint="FF" w:themeShade="FF"/>
          <w:sz w:val="22"/>
          <w:szCs w:val="22"/>
          <w:lang w:val="en-GB"/>
        </w:rPr>
        <w:t xml:space="preserve"> (Accessed: 17 March 2026).</w:t>
      </w:r>
    </w:p>
    <w:p xmlns:wp14="http://schemas.microsoft.com/office/word/2010/wordml" w:rsidP="5115035E" wp14:paraId="0EB9A80E" wp14:textId="09108BB5">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Unilever. 2026a. </w:t>
      </w:r>
      <w:r w:rsidRPr="5115035E" w:rsidR="35CB7C0B">
        <w:rPr>
          <w:rFonts w:ascii="Arial" w:hAnsi="Arial" w:eastAsia="Arial" w:cs="Arial"/>
          <w:i w:val="1"/>
          <w:iCs w:val="1"/>
          <w:noProof w:val="0"/>
          <w:color w:val="000000" w:themeColor="text1" w:themeTint="FF" w:themeShade="FF"/>
          <w:sz w:val="22"/>
          <w:szCs w:val="22"/>
          <w:lang w:val="en-GB"/>
        </w:rPr>
        <w:t>Sharper focus and disciplined execution driving competitive performance</w:t>
      </w:r>
      <w:r w:rsidRPr="5115035E" w:rsidR="35CB7C0B">
        <w:rPr>
          <w:rFonts w:ascii="Arial" w:hAnsi="Arial" w:eastAsia="Arial" w:cs="Arial"/>
          <w:noProof w:val="0"/>
          <w:color w:val="000000" w:themeColor="text1" w:themeTint="FF" w:themeShade="FF"/>
          <w:sz w:val="22"/>
          <w:szCs w:val="22"/>
          <w:lang w:val="en-GB"/>
        </w:rPr>
        <w:t xml:space="preserve">. Press release, 12 February. Available at: </w:t>
      </w:r>
      <w:hyperlink r:id="R4efdd9f2ac92455f">
        <w:r w:rsidRPr="5115035E" w:rsidR="35CB7C0B">
          <w:rPr>
            <w:rStyle w:val="Hyperlink"/>
            <w:rFonts w:ascii="Arial" w:hAnsi="Arial" w:eastAsia="Arial" w:cs="Arial"/>
            <w:strike w:val="0"/>
            <w:dstrike w:val="0"/>
            <w:noProof w:val="0"/>
            <w:color w:val="1155CC"/>
            <w:sz w:val="22"/>
            <w:szCs w:val="22"/>
            <w:u w:val="none"/>
            <w:lang w:val="en-GB"/>
          </w:rPr>
          <w:t>https://www.unilever.com/news/press-and-media/press-releases/2026/sharper-focus-and-disciplined-execution-driving-competitive-performance/</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rsidP="5115035E" wp14:paraId="464F091E" wp14:textId="4A20FC36">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Whittington, R., Regnér, P., Angwin, D., Johnson, G. and Scholes, K. 2019. </w:t>
      </w:r>
      <w:r w:rsidRPr="5115035E" w:rsidR="35CB7C0B">
        <w:rPr>
          <w:rFonts w:ascii="Arial" w:hAnsi="Arial" w:eastAsia="Arial" w:cs="Arial"/>
          <w:i w:val="1"/>
          <w:iCs w:val="1"/>
          <w:noProof w:val="0"/>
          <w:color w:val="000000" w:themeColor="text1" w:themeTint="FF" w:themeShade="FF"/>
          <w:sz w:val="22"/>
          <w:szCs w:val="22"/>
          <w:lang w:val="en-GB"/>
        </w:rPr>
        <w:t>Exploring Strategy: Text and Cases</w:t>
      </w:r>
      <w:r w:rsidRPr="5115035E" w:rsidR="35CB7C0B">
        <w:rPr>
          <w:rFonts w:ascii="Arial" w:hAnsi="Arial" w:eastAsia="Arial" w:cs="Arial"/>
          <w:noProof w:val="0"/>
          <w:color w:val="000000" w:themeColor="text1" w:themeTint="FF" w:themeShade="FF"/>
          <w:sz w:val="22"/>
          <w:szCs w:val="22"/>
          <w:lang w:val="en-GB"/>
        </w:rPr>
        <w:t>. 12th edn. Harlow: Pearson.</w:t>
      </w:r>
    </w:p>
    <w:p xmlns:wp14="http://schemas.microsoft.com/office/word/2010/wordml" w:rsidP="5115035E" wp14:paraId="2D6F7CF7" wp14:textId="52C018E7">
      <w:pPr>
        <w:spacing w:before="240" w:beforeAutospacing="off" w:after="240" w:afterAutospacing="off"/>
      </w:pPr>
      <w:r w:rsidRPr="5115035E" w:rsidR="35CB7C0B">
        <w:rPr>
          <w:rFonts w:ascii="Arial" w:hAnsi="Arial" w:eastAsia="Arial" w:cs="Arial"/>
          <w:noProof w:val="0"/>
          <w:color w:val="000000" w:themeColor="text1" w:themeTint="FF" w:themeShade="FF"/>
          <w:sz w:val="22"/>
          <w:szCs w:val="22"/>
          <w:lang w:val="en-GB"/>
        </w:rPr>
        <w:t xml:space="preserve">World Economic Forum. 2026. Global Risks Report 2026. Geneva: World Economic Forum. Available at: </w:t>
      </w:r>
      <w:hyperlink r:id="R32194479e0fa4bcc">
        <w:r w:rsidRPr="5115035E" w:rsidR="35CB7C0B">
          <w:rPr>
            <w:rStyle w:val="Hyperlink"/>
            <w:rFonts w:ascii="Arial" w:hAnsi="Arial" w:eastAsia="Arial" w:cs="Arial"/>
            <w:noProof w:val="0"/>
            <w:sz w:val="22"/>
            <w:szCs w:val="22"/>
            <w:lang w:val="en-GB"/>
          </w:rPr>
          <w:t>https://www.weforum.org/publications/global-risks-report-2026/</w:t>
        </w:r>
      </w:hyperlink>
      <w:r w:rsidRPr="5115035E" w:rsidR="35CB7C0B">
        <w:rPr>
          <w:rFonts w:ascii="Arial" w:hAnsi="Arial" w:eastAsia="Arial" w:cs="Arial"/>
          <w:noProof w:val="0"/>
          <w:color w:val="000000" w:themeColor="text1" w:themeTint="FF" w:themeShade="FF"/>
          <w:sz w:val="22"/>
          <w:szCs w:val="22"/>
          <w:lang w:val="en-GB"/>
        </w:rPr>
        <w:t xml:space="preserve"> (Accessed: 24 March 2026).</w:t>
      </w:r>
    </w:p>
    <w:p xmlns:wp14="http://schemas.microsoft.com/office/word/2010/wordml" wp14:paraId="3F904DE1" wp14:textId="509D5167"/>
    <w:p xmlns:wp14="http://schemas.microsoft.com/office/word/2010/wordml" wp14:paraId="5E5787A5" wp14:textId="2BFF399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377693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4b4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d5c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2fd2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4604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6360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de1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42b1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5a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c6c2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B0CDF"/>
    <w:rsid w:val="332B2E47"/>
    <w:rsid w:val="35CB7C0B"/>
    <w:rsid w:val="3F3F21DF"/>
    <w:rsid w:val="48945822"/>
    <w:rsid w:val="4D40913B"/>
    <w:rsid w:val="5115035E"/>
    <w:rsid w:val="57FB0CDF"/>
    <w:rsid w:val="7E126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95873"/>
  <w15:chartTrackingRefBased/>
  <w15:docId w15:val="{7ACA71A6-9920-4829-880F-31D33A4A5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115035E"/>
    <w:rPr>
      <w:color w:val="467886"/>
      <w:u w:val="single"/>
    </w:rPr>
  </w:style>
  <w:style w:type="paragraph" w:styleId="ListParagraph">
    <w:uiPriority w:val="34"/>
    <w:name w:val="List Paragraph"/>
    <w:basedOn w:val="Normal"/>
    <w:qFormat/>
    <w:rsid w:val="5115035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uromonitor.com/article/fmcg-sustainability-navigating-volatility-with-purpose" TargetMode="External" Id="Rbcca40c6f3cf485a" /><Relationship Type="http://schemas.openxmlformats.org/officeDocument/2006/relationships/hyperlink" Target="https://www.imf.org/en/publications/weo/issues/2026/01/19/world-economic-outlook-update-january-2026" TargetMode="External" Id="Rb6334df989034a15" /><Relationship Type="http://schemas.openxmlformats.org/officeDocument/2006/relationships/hyperlink" Target="https://www.mckinsey.com/featured-insights/geopolitical-volatility" TargetMode="External" Id="R1192609e9b174799" /><Relationship Type="http://schemas.openxmlformats.org/officeDocument/2006/relationships/hyperlink" Target="https://www.unilever.com/suppliers/supplier-climate-programme/" TargetMode="External" Id="Rd3dbe0b744274aee" /><Relationship Type="http://schemas.openxmlformats.org/officeDocument/2006/relationships/hyperlink" Target="https://www.unilever.com/news/news-search/2020/making-sustainable-living-commonplace-for-8-billion-people/" TargetMode="External" Id="R51f7cdb4395a45df" /><Relationship Type="http://schemas.openxmlformats.org/officeDocument/2006/relationships/hyperlink" Target="https://www.unilever.com/files/92ui5egz/production/4c69873f6914a405c83ff0e62a20328dc25e0d8a.pdf" TargetMode="External" Id="R6cb872e6de764e15" /><Relationship Type="http://schemas.openxmlformats.org/officeDocument/2006/relationships/hyperlink" Target="https://www.unilever.com/sustainability/regenerative-agriculture/" TargetMode="External" Id="Rfbca9b9e7dbd4cb9" /><Relationship Type="http://schemas.openxmlformats.org/officeDocument/2006/relationships/hyperlink" Target="https://www.unilever.com/files/unilever-annual-report-and-accounts-2025.pdf" TargetMode="External" Id="R4b44b99e97c34292" /><Relationship Type="http://schemas.openxmlformats.org/officeDocument/2006/relationships/hyperlink" Target="https://www.unilever.com/news/press-and-media/press-releases/2026/sharper-focus-and-disciplined-execution-driving-competitive-performance/" TargetMode="External" Id="R4efdd9f2ac92455f" /><Relationship Type="http://schemas.openxmlformats.org/officeDocument/2006/relationships/hyperlink" Target="https://www.weforum.org/publications/global-risks-report-2026/" TargetMode="External" Id="R32194479e0fa4bcc" /><Relationship Type="http://schemas.openxmlformats.org/officeDocument/2006/relationships/numbering" Target="/word/numbering.xml" Id="R2736021c6e7943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Barlow (2318300)</dc:creator>
  <keywords/>
  <dc:description/>
  <lastModifiedBy>Nathan Barlow (2318300)</lastModifiedBy>
  <revision>2</revision>
  <dcterms:created xsi:type="dcterms:W3CDTF">2026-03-27T20:32:37.0671681Z</dcterms:created>
  <dcterms:modified xsi:type="dcterms:W3CDTF">2026-03-27T20:36:00.1237390Z</dcterms:modified>
</coreProperties>
</file>