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24242" w14:textId="34490A2C" w:rsidR="000F2BE5" w:rsidRDefault="000F2BE5" w:rsidP="000F2BE5"/>
    <w:p w14:paraId="71180D9F" w14:textId="77777777" w:rsidR="003E2A19" w:rsidRPr="005351BA" w:rsidRDefault="003E2A19" w:rsidP="00F6331C">
      <w:pPr>
        <w:jc w:val="center"/>
        <w:rPr>
          <w:rFonts w:ascii="Arial Black" w:hAnsi="Arial Black"/>
          <w:b/>
          <w:bCs/>
          <w:sz w:val="44"/>
          <w:szCs w:val="44"/>
        </w:rPr>
      </w:pPr>
      <w:r w:rsidRPr="005351BA">
        <w:rPr>
          <w:rFonts w:ascii="Arial Black" w:hAnsi="Arial Black"/>
          <w:b/>
          <w:bCs/>
          <w:sz w:val="44"/>
          <w:szCs w:val="44"/>
        </w:rPr>
        <w:t xml:space="preserve">NESTLÉ’S Key Functions and Organizational Culture </w:t>
      </w:r>
    </w:p>
    <w:p w14:paraId="42CF7A0B" w14:textId="77777777" w:rsidR="003E2A19" w:rsidRDefault="003E2A19" w:rsidP="00F6331C">
      <w:pPr>
        <w:rPr>
          <w:rFonts w:ascii="Arial Black" w:hAnsi="Arial Black"/>
          <w:b/>
          <w:bCs/>
          <w:sz w:val="40"/>
          <w:szCs w:val="40"/>
        </w:rPr>
      </w:pPr>
    </w:p>
    <w:p w14:paraId="2C89E205" w14:textId="77777777" w:rsidR="003E2A19" w:rsidRDefault="003E2A19" w:rsidP="00F6331C">
      <w:pPr>
        <w:rPr>
          <w:rFonts w:ascii="Arial Black" w:hAnsi="Arial Black"/>
          <w:b/>
          <w:bCs/>
          <w:sz w:val="40"/>
          <w:szCs w:val="40"/>
        </w:rPr>
      </w:pPr>
    </w:p>
    <w:p w14:paraId="40B0B47B" w14:textId="77777777" w:rsidR="003E2A19" w:rsidRDefault="003E2A19" w:rsidP="00F6331C">
      <w:pPr>
        <w:rPr>
          <w:rFonts w:ascii="Arial Black" w:hAnsi="Arial Black"/>
          <w:b/>
          <w:bCs/>
          <w:sz w:val="40"/>
          <w:szCs w:val="40"/>
        </w:rPr>
      </w:pPr>
    </w:p>
    <w:p w14:paraId="5608A448" w14:textId="77777777" w:rsidR="003E2A19" w:rsidRDefault="003E2A19" w:rsidP="00F6331C">
      <w:pPr>
        <w:rPr>
          <w:rFonts w:ascii="Arial Black" w:hAnsi="Arial Black"/>
          <w:b/>
          <w:bCs/>
          <w:sz w:val="40"/>
          <w:szCs w:val="40"/>
        </w:rPr>
      </w:pPr>
    </w:p>
    <w:p w14:paraId="24933094" w14:textId="77777777" w:rsidR="003E2A19" w:rsidRDefault="003E2A19" w:rsidP="00F6331C">
      <w:pPr>
        <w:rPr>
          <w:rFonts w:ascii="Arial Black" w:hAnsi="Arial Black"/>
          <w:b/>
          <w:bCs/>
          <w:sz w:val="40"/>
          <w:szCs w:val="40"/>
        </w:rPr>
      </w:pPr>
    </w:p>
    <w:p w14:paraId="3DBB701D" w14:textId="77777777" w:rsidR="003E2A19" w:rsidRDefault="003E2A19" w:rsidP="00F6331C">
      <w:pPr>
        <w:rPr>
          <w:rFonts w:ascii="Arial Black" w:hAnsi="Arial Black"/>
          <w:b/>
          <w:bCs/>
          <w:sz w:val="40"/>
          <w:szCs w:val="40"/>
        </w:rPr>
      </w:pPr>
    </w:p>
    <w:p w14:paraId="5AC8D3E9" w14:textId="77777777" w:rsidR="003E2A19" w:rsidRDefault="003E2A19" w:rsidP="00F6331C">
      <w:pPr>
        <w:rPr>
          <w:rFonts w:ascii="Arial Black" w:hAnsi="Arial Black"/>
          <w:b/>
          <w:bCs/>
          <w:sz w:val="40"/>
          <w:szCs w:val="40"/>
        </w:rPr>
      </w:pPr>
    </w:p>
    <w:p w14:paraId="65768781" w14:textId="77777777" w:rsidR="003E2A19" w:rsidRPr="00F94083" w:rsidRDefault="003E2A19" w:rsidP="00F6331C">
      <w:pPr>
        <w:spacing w:line="360" w:lineRule="auto"/>
        <w:rPr>
          <w:rFonts w:ascii="Arial Black" w:hAnsi="Arial Black"/>
          <w:b/>
          <w:bCs/>
          <w:sz w:val="36"/>
          <w:szCs w:val="36"/>
        </w:rPr>
      </w:pPr>
      <w:r w:rsidRPr="00F94083">
        <w:rPr>
          <w:rFonts w:ascii="Arial Black" w:hAnsi="Arial Black"/>
          <w:b/>
          <w:bCs/>
          <w:sz w:val="36"/>
          <w:szCs w:val="36"/>
        </w:rPr>
        <w:t xml:space="preserve">Name:Cosmin Constantin Darlea </w:t>
      </w:r>
    </w:p>
    <w:p w14:paraId="0F39555B" w14:textId="77777777" w:rsidR="003E2A19" w:rsidRPr="00F94083" w:rsidRDefault="003E2A19" w:rsidP="00F6331C">
      <w:pPr>
        <w:spacing w:line="360" w:lineRule="auto"/>
        <w:rPr>
          <w:rFonts w:ascii="Arial Black" w:hAnsi="Arial Black"/>
          <w:b/>
          <w:bCs/>
          <w:sz w:val="36"/>
          <w:szCs w:val="36"/>
        </w:rPr>
      </w:pPr>
      <w:r w:rsidRPr="00F94083">
        <w:rPr>
          <w:rFonts w:ascii="Arial Black" w:hAnsi="Arial Black"/>
          <w:b/>
          <w:bCs/>
          <w:sz w:val="36"/>
          <w:szCs w:val="36"/>
        </w:rPr>
        <w:t>Student ID:2244620</w:t>
      </w:r>
    </w:p>
    <w:p w14:paraId="258C3058" w14:textId="77777777" w:rsidR="003E2A19" w:rsidRPr="00F94083" w:rsidRDefault="003E2A19" w:rsidP="00F6331C">
      <w:pPr>
        <w:spacing w:line="360" w:lineRule="auto"/>
        <w:rPr>
          <w:rFonts w:ascii="Arial Black" w:hAnsi="Arial Black"/>
          <w:b/>
          <w:bCs/>
          <w:sz w:val="36"/>
          <w:szCs w:val="36"/>
        </w:rPr>
      </w:pPr>
      <w:r w:rsidRPr="00F94083">
        <w:rPr>
          <w:rFonts w:ascii="Arial Black" w:hAnsi="Arial Black"/>
          <w:b/>
          <w:bCs/>
          <w:sz w:val="36"/>
          <w:szCs w:val="36"/>
        </w:rPr>
        <w:t>Module code:LCBB4007</w:t>
      </w:r>
    </w:p>
    <w:p w14:paraId="0E2760DC" w14:textId="77777777" w:rsidR="003E2A19" w:rsidRPr="00F94083" w:rsidRDefault="003E2A19" w:rsidP="00F6331C">
      <w:pPr>
        <w:spacing w:line="360" w:lineRule="auto"/>
        <w:rPr>
          <w:rFonts w:ascii="Arial Black" w:hAnsi="Arial Black"/>
          <w:b/>
          <w:bCs/>
          <w:sz w:val="36"/>
          <w:szCs w:val="36"/>
        </w:rPr>
      </w:pPr>
      <w:r w:rsidRPr="00F94083">
        <w:rPr>
          <w:rFonts w:ascii="Arial Black" w:hAnsi="Arial Black"/>
          <w:b/>
          <w:bCs/>
          <w:sz w:val="36"/>
          <w:szCs w:val="36"/>
        </w:rPr>
        <w:t>Module name:</w:t>
      </w:r>
      <w:r w:rsidRPr="00F94083">
        <w:rPr>
          <w:rFonts w:ascii="Arial Black" w:eastAsia="Times New Roman" w:hAnsi="Arial Black"/>
          <w:b/>
          <w:bCs/>
          <w:color w:val="242130"/>
          <w:sz w:val="36"/>
          <w:szCs w:val="36"/>
          <w:shd w:val="clear" w:color="auto" w:fill="FFFFFF"/>
        </w:rPr>
        <w:t xml:space="preserve"> Introduction to Business</w:t>
      </w:r>
    </w:p>
    <w:p w14:paraId="17BB96F0" w14:textId="77777777" w:rsidR="003E2A19" w:rsidRPr="00F94083" w:rsidRDefault="003E2A19" w:rsidP="00F6331C">
      <w:pPr>
        <w:spacing w:line="360" w:lineRule="auto"/>
        <w:rPr>
          <w:rFonts w:ascii="Arial Black" w:hAnsi="Arial Black"/>
          <w:b/>
          <w:bCs/>
          <w:sz w:val="36"/>
          <w:szCs w:val="36"/>
        </w:rPr>
      </w:pPr>
      <w:r w:rsidRPr="00F94083">
        <w:rPr>
          <w:rFonts w:ascii="Arial Black" w:hAnsi="Arial Black"/>
          <w:b/>
          <w:bCs/>
          <w:sz w:val="36"/>
          <w:szCs w:val="36"/>
        </w:rPr>
        <w:t>Lecturer:Toyin Adisa</w:t>
      </w:r>
    </w:p>
    <w:p w14:paraId="129A45D0" w14:textId="77777777" w:rsidR="003E2A19" w:rsidRDefault="003E2A19" w:rsidP="00F6331C">
      <w:pPr>
        <w:rPr>
          <w:rFonts w:ascii="Arial Black" w:hAnsi="Arial Black"/>
          <w:b/>
          <w:bCs/>
          <w:sz w:val="40"/>
          <w:szCs w:val="40"/>
        </w:rPr>
      </w:pPr>
    </w:p>
    <w:p w14:paraId="4375011F" w14:textId="77777777" w:rsidR="003E2A19" w:rsidRDefault="003E2A19" w:rsidP="00F6331C">
      <w:pPr>
        <w:rPr>
          <w:rFonts w:ascii="Arial Black" w:hAnsi="Arial Black"/>
          <w:b/>
          <w:bCs/>
          <w:sz w:val="40"/>
          <w:szCs w:val="40"/>
        </w:rPr>
      </w:pPr>
    </w:p>
    <w:p w14:paraId="7AB8E3D1" w14:textId="77777777" w:rsidR="003E2A19" w:rsidRDefault="003E2A19" w:rsidP="00F6331C">
      <w:pPr>
        <w:rPr>
          <w:rFonts w:ascii="Arial Black" w:hAnsi="Arial Black"/>
          <w:b/>
          <w:bCs/>
          <w:sz w:val="40"/>
          <w:szCs w:val="40"/>
        </w:rPr>
      </w:pPr>
    </w:p>
    <w:p w14:paraId="2208B5CC" w14:textId="77777777" w:rsidR="003E2A19" w:rsidRDefault="003E2A19" w:rsidP="00F6331C">
      <w:pPr>
        <w:rPr>
          <w:rFonts w:ascii="Arial Black" w:hAnsi="Arial Black"/>
          <w:b/>
          <w:bCs/>
          <w:sz w:val="40"/>
          <w:szCs w:val="40"/>
        </w:rPr>
      </w:pPr>
      <w:r>
        <w:rPr>
          <w:rFonts w:ascii="Arial Black" w:hAnsi="Arial Black"/>
          <w:b/>
          <w:bCs/>
          <w:sz w:val="40"/>
          <w:szCs w:val="40"/>
        </w:rPr>
        <w:t xml:space="preserve">TABLE OF CONTENT </w:t>
      </w:r>
    </w:p>
    <w:p w14:paraId="43332A1A" w14:textId="77777777" w:rsidR="003E2A19" w:rsidRPr="004575FD" w:rsidRDefault="003E2A19" w:rsidP="00F6331C">
      <w:pPr>
        <w:spacing w:line="360" w:lineRule="auto"/>
        <w:rPr>
          <w:rFonts w:ascii="Arial" w:hAnsi="Arial" w:cs="Arial"/>
          <w:b/>
          <w:bCs/>
        </w:rPr>
      </w:pPr>
    </w:p>
    <w:p w14:paraId="1CE2FCDE" w14:textId="77777777" w:rsidR="003E2A19" w:rsidRPr="008D5FF9" w:rsidRDefault="003E2A19" w:rsidP="00F6331C">
      <w:pPr>
        <w:pStyle w:val="Listparagraf"/>
        <w:numPr>
          <w:ilvl w:val="0"/>
          <w:numId w:val="1"/>
        </w:numPr>
        <w:spacing w:line="360" w:lineRule="auto"/>
        <w:rPr>
          <w:rFonts w:ascii="Arial" w:hAnsi="Arial" w:cs="Arial"/>
          <w:b/>
          <w:bCs/>
        </w:rPr>
      </w:pPr>
      <w:r w:rsidRPr="004575FD">
        <w:rPr>
          <w:rFonts w:ascii="Arial" w:hAnsi="Arial" w:cs="Arial"/>
          <w:b/>
          <w:bCs/>
        </w:rPr>
        <w:t>Introduction</w:t>
      </w:r>
      <w:r>
        <w:rPr>
          <w:rFonts w:ascii="Arial" w:hAnsi="Arial" w:cs="Arial"/>
          <w:b/>
          <w:bCs/>
        </w:rPr>
        <w:t xml:space="preserve"> of Nestle company </w:t>
      </w:r>
    </w:p>
    <w:p w14:paraId="4B0B86D2" w14:textId="77777777" w:rsidR="003E2A19" w:rsidRPr="008D5FF9" w:rsidRDefault="003E2A19" w:rsidP="00F6331C">
      <w:pPr>
        <w:pStyle w:val="Listparagraf"/>
        <w:numPr>
          <w:ilvl w:val="0"/>
          <w:numId w:val="1"/>
        </w:numPr>
        <w:spacing w:line="360" w:lineRule="auto"/>
        <w:rPr>
          <w:rFonts w:ascii="Arial" w:hAnsi="Arial" w:cs="Arial"/>
          <w:b/>
          <w:bCs/>
        </w:rPr>
      </w:pPr>
      <w:r w:rsidRPr="004575FD">
        <w:rPr>
          <w:rFonts w:ascii="Arial" w:hAnsi="Arial" w:cs="Arial"/>
          <w:b/>
          <w:bCs/>
        </w:rPr>
        <w:t xml:space="preserve"> </w:t>
      </w:r>
      <w:r>
        <w:rPr>
          <w:rFonts w:ascii="Arial" w:hAnsi="Arial" w:cs="Arial"/>
          <w:b/>
          <w:bCs/>
        </w:rPr>
        <w:t>Key functions of Nestle</w:t>
      </w:r>
    </w:p>
    <w:p w14:paraId="14400CA5" w14:textId="77777777" w:rsidR="003E2A19" w:rsidRPr="00C35722" w:rsidRDefault="003E2A19" w:rsidP="00F6331C">
      <w:pPr>
        <w:pStyle w:val="Listparagraf"/>
        <w:numPr>
          <w:ilvl w:val="0"/>
          <w:numId w:val="1"/>
        </w:numPr>
        <w:spacing w:line="360" w:lineRule="auto"/>
        <w:rPr>
          <w:rFonts w:ascii="Arial" w:hAnsi="Arial" w:cs="Arial"/>
          <w:b/>
          <w:bCs/>
        </w:rPr>
      </w:pPr>
      <w:r>
        <w:rPr>
          <w:rFonts w:ascii="Arial" w:hAnsi="Arial" w:cs="Arial"/>
          <w:b/>
          <w:bCs/>
        </w:rPr>
        <w:t xml:space="preserve">Organizational culture of Nestle </w:t>
      </w:r>
    </w:p>
    <w:p w14:paraId="7831CE0F" w14:textId="77777777" w:rsidR="003E2A19" w:rsidRPr="008D5FF9" w:rsidRDefault="003E2A19" w:rsidP="00F6331C">
      <w:pPr>
        <w:pStyle w:val="Listparagraf"/>
        <w:numPr>
          <w:ilvl w:val="0"/>
          <w:numId w:val="1"/>
        </w:numPr>
        <w:spacing w:line="360" w:lineRule="auto"/>
        <w:rPr>
          <w:rFonts w:ascii="Arial" w:hAnsi="Arial" w:cs="Arial"/>
          <w:b/>
          <w:bCs/>
        </w:rPr>
      </w:pPr>
      <w:r w:rsidRPr="004575FD">
        <w:rPr>
          <w:rFonts w:ascii="Arial" w:hAnsi="Arial" w:cs="Arial"/>
          <w:b/>
          <w:bCs/>
        </w:rPr>
        <w:t>Conclusion</w:t>
      </w:r>
    </w:p>
    <w:p w14:paraId="29BB1787" w14:textId="77777777" w:rsidR="003E2A19" w:rsidRPr="004575FD" w:rsidRDefault="003E2A19" w:rsidP="00F6331C">
      <w:pPr>
        <w:pStyle w:val="Listparagraf"/>
        <w:numPr>
          <w:ilvl w:val="0"/>
          <w:numId w:val="1"/>
        </w:numPr>
        <w:spacing w:line="360" w:lineRule="auto"/>
        <w:rPr>
          <w:rFonts w:ascii="Arial" w:hAnsi="Arial" w:cs="Arial"/>
          <w:b/>
          <w:bCs/>
        </w:rPr>
      </w:pPr>
      <w:r w:rsidRPr="004575FD">
        <w:rPr>
          <w:rFonts w:ascii="Arial" w:hAnsi="Arial" w:cs="Arial"/>
          <w:b/>
          <w:bCs/>
        </w:rPr>
        <w:t>References</w:t>
      </w:r>
    </w:p>
    <w:p w14:paraId="28B4987F" w14:textId="77777777" w:rsidR="000F2BE5" w:rsidRDefault="000F2BE5" w:rsidP="000F2BE5"/>
    <w:p w14:paraId="334B14A8" w14:textId="77777777" w:rsidR="000F2BE5" w:rsidRDefault="000F2BE5" w:rsidP="000F2BE5"/>
    <w:p w14:paraId="626446AC" w14:textId="77777777" w:rsidR="000F2BE5" w:rsidRPr="002B471C" w:rsidRDefault="000F2BE5" w:rsidP="000F2BE5">
      <w:pPr>
        <w:rPr>
          <w:rFonts w:ascii="Arial Black" w:hAnsi="Arial Black"/>
          <w:b/>
          <w:bCs/>
          <w:sz w:val="40"/>
          <w:szCs w:val="40"/>
        </w:rPr>
      </w:pPr>
      <w:r w:rsidRPr="002B471C">
        <w:rPr>
          <w:rFonts w:ascii="Arial Black" w:hAnsi="Arial Black"/>
          <w:b/>
          <w:bCs/>
          <w:sz w:val="40"/>
          <w:szCs w:val="40"/>
        </w:rPr>
        <w:t>Introduction</w:t>
      </w:r>
    </w:p>
    <w:p w14:paraId="3BF825ED" w14:textId="26FDD10F" w:rsidR="000F2BE5" w:rsidRPr="00AE34D4" w:rsidRDefault="00833CEE" w:rsidP="00AE34D4">
      <w:pPr>
        <w:spacing w:line="360" w:lineRule="auto"/>
        <w:rPr>
          <w:rFonts w:ascii="Arial" w:hAnsi="Arial" w:cs="Arial"/>
        </w:rPr>
      </w:pPr>
      <w:r>
        <w:rPr>
          <w:rFonts w:ascii="Arial" w:hAnsi="Arial" w:cs="Arial"/>
        </w:rPr>
        <w:t>Nestlé was created in 1905 by the merger of the Anglo-Swiss Milk Company founded in 1866 by brothers George and Charles Page and Farine Lactée Henri Nestlé in 1867 by Henri Nestlé.</w:t>
      </w:r>
    </w:p>
    <w:p w14:paraId="39D3CF16" w14:textId="77777777" w:rsidR="000F2BE5" w:rsidRPr="00AE34D4" w:rsidRDefault="000F2BE5" w:rsidP="00AE34D4">
      <w:pPr>
        <w:spacing w:line="360" w:lineRule="auto"/>
        <w:rPr>
          <w:rFonts w:ascii="Arial" w:hAnsi="Arial" w:cs="Arial"/>
        </w:rPr>
      </w:pPr>
      <w:r w:rsidRPr="00AE34D4">
        <w:rPr>
          <w:rFonts w:ascii="Arial" w:hAnsi="Arial" w:cs="Arial"/>
        </w:rPr>
        <w:t>Nestlé, a prominent global food and beverage giant based in Vevey, Switzerland, has established itself as one of the most recognized brands worldwide since its inception in 1867. Operating within the private sector and publicly traded on multiple stock exchanges, including the SIX Swiss Exchange, the company is driven by a mission to "unlock the power of food to improve lives, both today and for future generations." Nestlé is committed to offering products that are safe, of superior quality, and that contribute to a well-rounded diet. Its expansive product range spans over 2,000 brands, covering categories like dairy, coffee, bottled water, nutrition, health science, pet care, and confectionery. With a presence in over 190 countries, Nestlé is a major force in shaping the global food and beverage landscape.</w:t>
      </w:r>
    </w:p>
    <w:p w14:paraId="0DBC5E9B" w14:textId="77777777" w:rsidR="000F2BE5" w:rsidRPr="003D326B" w:rsidRDefault="000F2BE5" w:rsidP="00AE34D4">
      <w:pPr>
        <w:spacing w:line="360" w:lineRule="auto"/>
        <w:rPr>
          <w:rFonts w:ascii="Arial Black" w:hAnsi="Arial Black" w:cs="Arial"/>
          <w:b/>
          <w:bCs/>
          <w:sz w:val="40"/>
          <w:szCs w:val="40"/>
        </w:rPr>
      </w:pPr>
    </w:p>
    <w:p w14:paraId="0E860B19" w14:textId="77777777" w:rsidR="000F2BE5" w:rsidRPr="003D326B" w:rsidRDefault="000F2BE5" w:rsidP="000F2BE5">
      <w:pPr>
        <w:rPr>
          <w:rFonts w:ascii="Arial Black" w:hAnsi="Arial Black"/>
          <w:b/>
          <w:bCs/>
          <w:sz w:val="40"/>
          <w:szCs w:val="40"/>
        </w:rPr>
      </w:pPr>
      <w:r w:rsidRPr="003D326B">
        <w:rPr>
          <w:rFonts w:ascii="Arial Black" w:hAnsi="Arial Black"/>
          <w:b/>
          <w:bCs/>
          <w:sz w:val="40"/>
          <w:szCs w:val="40"/>
        </w:rPr>
        <w:t>Core Functions of the Organization</w:t>
      </w:r>
    </w:p>
    <w:p w14:paraId="476466B1" w14:textId="77777777" w:rsidR="000F2BE5" w:rsidRDefault="000F2BE5" w:rsidP="000F2BE5"/>
    <w:p w14:paraId="71C47F5F" w14:textId="77777777" w:rsidR="000F2BE5" w:rsidRPr="003D326B" w:rsidRDefault="000F2BE5" w:rsidP="000F2BE5">
      <w:pPr>
        <w:rPr>
          <w:rFonts w:ascii="Arial Black" w:hAnsi="Arial Black"/>
          <w:b/>
          <w:bCs/>
          <w:sz w:val="36"/>
          <w:szCs w:val="36"/>
        </w:rPr>
      </w:pPr>
      <w:r w:rsidRPr="003D326B">
        <w:rPr>
          <w:rFonts w:ascii="Arial Black" w:hAnsi="Arial Black"/>
          <w:b/>
          <w:bCs/>
          <w:sz w:val="36"/>
          <w:szCs w:val="36"/>
        </w:rPr>
        <w:t>Accounting and Finance</w:t>
      </w:r>
    </w:p>
    <w:p w14:paraId="1A574F02" w14:textId="77777777" w:rsidR="000F2BE5" w:rsidRPr="001953B7" w:rsidRDefault="000F2BE5" w:rsidP="001953B7">
      <w:pPr>
        <w:spacing w:line="360" w:lineRule="auto"/>
        <w:rPr>
          <w:rFonts w:ascii="Arial" w:hAnsi="Arial" w:cs="Arial"/>
        </w:rPr>
      </w:pPr>
    </w:p>
    <w:p w14:paraId="227EBDFE" w14:textId="77777777" w:rsidR="000F2BE5" w:rsidRPr="001953B7" w:rsidRDefault="000F2BE5" w:rsidP="001953B7">
      <w:pPr>
        <w:spacing w:line="360" w:lineRule="auto"/>
        <w:rPr>
          <w:rFonts w:ascii="Arial" w:hAnsi="Arial" w:cs="Arial"/>
        </w:rPr>
      </w:pPr>
      <w:r w:rsidRPr="001953B7">
        <w:rPr>
          <w:rFonts w:ascii="Arial" w:hAnsi="Arial" w:cs="Arial"/>
        </w:rPr>
        <w:t xml:space="preserve">The accounting and finance departments are crucial in sustaining Nestlé's financial integrity and long-term viability. These departments are responsible for the careful management of the company's financial assets, adherence to financial regulations, and the accuracy of financial reporting. Accounting involves the recording and reporting of </w:t>
      </w:r>
      <w:r w:rsidRPr="001953B7">
        <w:rPr>
          <w:rFonts w:ascii="Arial" w:hAnsi="Arial" w:cs="Arial"/>
        </w:rPr>
        <w:lastRenderedPageBreak/>
        <w:t>financial transactions, while finance is concerned with managing the company's capital structure, investments, and budgeting. In a global enterprise like Nestlé, adept financial management is essential, involving the handling of currency fluctuations, tax laws across various jurisdictions, and ensuring that the company's financial strategies are aligned with its long-term objectives. Sound financial practices enable Nestlé to invest in research and development, expand its product lines, and enter new markets—key factors in maintaining its competitive advantage globally.</w:t>
      </w:r>
    </w:p>
    <w:p w14:paraId="734B90F0" w14:textId="77777777" w:rsidR="000F2BE5" w:rsidRDefault="000F2BE5" w:rsidP="000F2BE5"/>
    <w:p w14:paraId="350434F5" w14:textId="77777777" w:rsidR="000F2BE5" w:rsidRPr="001953B7" w:rsidRDefault="000F2BE5" w:rsidP="000F2BE5">
      <w:pPr>
        <w:rPr>
          <w:rFonts w:ascii="Arial Black" w:hAnsi="Arial Black"/>
          <w:b/>
          <w:bCs/>
          <w:sz w:val="36"/>
          <w:szCs w:val="36"/>
        </w:rPr>
      </w:pPr>
      <w:r w:rsidRPr="001953B7">
        <w:rPr>
          <w:rFonts w:ascii="Arial Black" w:hAnsi="Arial Black"/>
          <w:b/>
          <w:bCs/>
          <w:sz w:val="36"/>
          <w:szCs w:val="36"/>
        </w:rPr>
        <w:t>Marketing</w:t>
      </w:r>
    </w:p>
    <w:p w14:paraId="7D7078E3" w14:textId="77777777" w:rsidR="000F2BE5" w:rsidRPr="00085495" w:rsidRDefault="000F2BE5" w:rsidP="00085495">
      <w:pPr>
        <w:spacing w:line="360" w:lineRule="auto"/>
        <w:rPr>
          <w:rFonts w:ascii="Arial" w:hAnsi="Arial" w:cs="Arial"/>
        </w:rPr>
      </w:pPr>
    </w:p>
    <w:p w14:paraId="5EDA8D28" w14:textId="77777777" w:rsidR="000F2BE5" w:rsidRPr="00085495" w:rsidRDefault="000F2BE5" w:rsidP="00085495">
      <w:pPr>
        <w:spacing w:line="360" w:lineRule="auto"/>
        <w:rPr>
          <w:rFonts w:ascii="Arial" w:hAnsi="Arial" w:cs="Arial"/>
        </w:rPr>
      </w:pPr>
      <w:r w:rsidRPr="00085495">
        <w:rPr>
          <w:rFonts w:ascii="Arial" w:hAnsi="Arial" w:cs="Arial"/>
        </w:rPr>
        <w:t>Marketing is another vital function contributing significantly to Nestlé's success. The marketing team is tasked with understanding consumer needs, crafting marketing strategies, and promoting the company's products. This encompasses market research, product development, advertising, and brand reputation management. Given the wide array of products Nestlé offers, effective marketing is crucial for reaching diverse consumer segments globally. The company utilizes a mix of traditional and digital marketing techniques to engage with its audience. By leveraging its strong brand reputation and tailoring marketing efforts to fit local cultures and preferences, Nestlé can effectively market its products, boost market share, and sustain its leadership in the market.</w:t>
      </w:r>
    </w:p>
    <w:p w14:paraId="01661891" w14:textId="77777777" w:rsidR="000F2BE5" w:rsidRDefault="000F2BE5" w:rsidP="000F2BE5"/>
    <w:p w14:paraId="44C92EC5" w14:textId="77777777" w:rsidR="000F2BE5" w:rsidRPr="00085495" w:rsidRDefault="000F2BE5" w:rsidP="000F2BE5">
      <w:pPr>
        <w:rPr>
          <w:rFonts w:ascii="Arial Black" w:hAnsi="Arial Black"/>
          <w:b/>
          <w:bCs/>
          <w:sz w:val="36"/>
          <w:szCs w:val="36"/>
        </w:rPr>
      </w:pPr>
      <w:r w:rsidRPr="00085495">
        <w:rPr>
          <w:rFonts w:ascii="Arial Black" w:hAnsi="Arial Black"/>
          <w:b/>
          <w:bCs/>
          <w:sz w:val="36"/>
          <w:szCs w:val="36"/>
        </w:rPr>
        <w:t>Human Resource Management (HRM)</w:t>
      </w:r>
    </w:p>
    <w:p w14:paraId="751408F7" w14:textId="77777777" w:rsidR="000F2BE5" w:rsidRDefault="000F2BE5" w:rsidP="000F2BE5"/>
    <w:p w14:paraId="1CA8E963" w14:textId="77777777" w:rsidR="000F2BE5" w:rsidRPr="000D21E7" w:rsidRDefault="000F2BE5" w:rsidP="000D21E7">
      <w:pPr>
        <w:spacing w:line="360" w:lineRule="auto"/>
        <w:rPr>
          <w:rFonts w:ascii="Arial" w:hAnsi="Arial" w:cs="Arial"/>
        </w:rPr>
      </w:pPr>
      <w:r w:rsidRPr="000D21E7">
        <w:rPr>
          <w:rFonts w:ascii="Arial" w:hAnsi="Arial" w:cs="Arial"/>
        </w:rPr>
        <w:t>Human Resource Management is vital for Nestlé as it ensures that the company attracts, nurtures, and retains top talent. HRM at Nestlé includes recruitment, training, performance management, employee engagement, and compliance with labor laws. Nestlé’s HRM strategies are aligned with its commitment to fostering a positive work environment and promoting a culture of continuous learning and development. The company provides various training programs and career growth opportunities to its employees. Moreover, Nestlé places a strong emphasis on diversity and inclusion, recognizing that a diverse workforce drives innovation and better decision-making. Effective HRM allows Nestlé to maintain a motivated and productive workforce, which is essential for driving the company's growth and achieving its strategic goals.</w:t>
      </w:r>
    </w:p>
    <w:p w14:paraId="170E45F9" w14:textId="77777777" w:rsidR="000F2BE5" w:rsidRPr="000D21E7" w:rsidRDefault="000F2BE5" w:rsidP="000D21E7">
      <w:pPr>
        <w:spacing w:line="360" w:lineRule="auto"/>
        <w:rPr>
          <w:rFonts w:ascii="Arial" w:hAnsi="Arial" w:cs="Arial"/>
        </w:rPr>
      </w:pPr>
    </w:p>
    <w:p w14:paraId="199F0E1E" w14:textId="77777777" w:rsidR="000F2BE5" w:rsidRPr="000D21E7" w:rsidRDefault="000F2BE5" w:rsidP="000F2BE5">
      <w:pPr>
        <w:rPr>
          <w:b/>
          <w:bCs/>
          <w:sz w:val="40"/>
          <w:szCs w:val="40"/>
        </w:rPr>
      </w:pPr>
      <w:r w:rsidRPr="000D21E7">
        <w:rPr>
          <w:b/>
          <w:bCs/>
          <w:sz w:val="40"/>
          <w:szCs w:val="40"/>
        </w:rPr>
        <w:t>Organizational Culture</w:t>
      </w:r>
    </w:p>
    <w:p w14:paraId="05ED5245" w14:textId="77777777" w:rsidR="000F2BE5" w:rsidRPr="004B1B68" w:rsidRDefault="000F2BE5" w:rsidP="004B1B68">
      <w:pPr>
        <w:spacing w:line="360" w:lineRule="auto"/>
        <w:rPr>
          <w:rFonts w:ascii="Arial" w:hAnsi="Arial" w:cs="Arial"/>
        </w:rPr>
      </w:pPr>
    </w:p>
    <w:p w14:paraId="677FD9D0" w14:textId="1B4CDE92" w:rsidR="000F2BE5" w:rsidRPr="004B1B68" w:rsidRDefault="000F2BE5" w:rsidP="004B1B68">
      <w:pPr>
        <w:spacing w:line="360" w:lineRule="auto"/>
        <w:rPr>
          <w:rFonts w:ascii="Arial" w:hAnsi="Arial" w:cs="Arial"/>
        </w:rPr>
      </w:pPr>
      <w:r w:rsidRPr="004B1B68">
        <w:rPr>
          <w:rFonts w:ascii="Arial" w:hAnsi="Arial" w:cs="Arial"/>
        </w:rPr>
        <w:lastRenderedPageBreak/>
        <w:t xml:space="preserve">Nestlé’s organizational culture is deeply embedded in its core values, which emphasize respect for individuals, diversity, sustainability, and a commitment to quality. The company's culture revolves around a "Nestlé Continuous Excellence" philosophy, which promotes ongoing improvement across all areas of the business, from product development to operational efficiency. </w:t>
      </w:r>
    </w:p>
    <w:p w14:paraId="161CF1A7" w14:textId="4137F8B4" w:rsidR="000F2BE5" w:rsidRPr="004B1B68" w:rsidRDefault="000F2BE5" w:rsidP="004B1B68">
      <w:pPr>
        <w:spacing w:line="360" w:lineRule="auto"/>
        <w:rPr>
          <w:rFonts w:ascii="Arial" w:hAnsi="Arial" w:cs="Arial"/>
        </w:rPr>
      </w:pPr>
      <w:r w:rsidRPr="004B1B68">
        <w:rPr>
          <w:rFonts w:ascii="Arial" w:hAnsi="Arial" w:cs="Arial"/>
        </w:rPr>
        <w:t>Sustainability is a cornerstone of Nestlé’s culture, with the company integrating sustainable practices into its operations to address environmental and social challenges. This includes initiatives like reducing carbon emissions, promoting responsible sourcing, and improving water management. Nestlé’s dedication to sustainability is not only a reflection of its corporate values but also a response to growing consumer demand for environmentally responsible products.</w:t>
      </w:r>
    </w:p>
    <w:p w14:paraId="1EAC7E37" w14:textId="4A51DA7E" w:rsidR="000F2BE5" w:rsidRPr="004B1B68" w:rsidRDefault="000F2BE5" w:rsidP="004B1B68">
      <w:pPr>
        <w:spacing w:line="360" w:lineRule="auto"/>
        <w:rPr>
          <w:rFonts w:ascii="Arial" w:hAnsi="Arial" w:cs="Arial"/>
        </w:rPr>
      </w:pPr>
      <w:r w:rsidRPr="004B1B68">
        <w:rPr>
          <w:rFonts w:ascii="Arial" w:hAnsi="Arial" w:cs="Arial"/>
        </w:rPr>
        <w:t>Additionally, Nestlé fosters a collaborative and inclusive work environment, encouraging open communication and the sharing of ideas. This collaborative culture is reinforced by the company’s decentralized management structure, which empowers local teams to make decisions that are best suited to their markets, enabling Nestlé to remain agile and responsive to shifts in consumer preferences and market conditions.</w:t>
      </w:r>
    </w:p>
    <w:p w14:paraId="7F030904" w14:textId="537BAABC" w:rsidR="000F2BE5" w:rsidRPr="004B1B68" w:rsidRDefault="000F2BE5" w:rsidP="004B1B68">
      <w:pPr>
        <w:spacing w:line="360" w:lineRule="auto"/>
        <w:rPr>
          <w:rFonts w:ascii="Arial" w:hAnsi="Arial" w:cs="Arial"/>
        </w:rPr>
      </w:pPr>
      <w:r w:rsidRPr="004B1B68">
        <w:rPr>
          <w:rFonts w:ascii="Arial" w:hAnsi="Arial" w:cs="Arial"/>
        </w:rPr>
        <w:t>Innovation is also a key aspect of Nestlé's culture. The company invests heavily in research and development to drive product innovation and meet evolving consumer needs. This innovation-driven culture is supported by a strong emphasis on quality, ensuring that all products meet the highest standards of safety and efficacy.</w:t>
      </w:r>
    </w:p>
    <w:p w14:paraId="2132AC06" w14:textId="24A7C6A0" w:rsidR="000F2BE5" w:rsidRPr="004B1B68" w:rsidRDefault="000F2BE5" w:rsidP="004B1B68">
      <w:pPr>
        <w:spacing w:line="360" w:lineRule="auto"/>
        <w:rPr>
          <w:rFonts w:ascii="Arial" w:hAnsi="Arial" w:cs="Arial"/>
        </w:rPr>
      </w:pPr>
      <w:r w:rsidRPr="004B1B68">
        <w:rPr>
          <w:rFonts w:ascii="Arial" w:hAnsi="Arial" w:cs="Arial"/>
        </w:rPr>
        <w:t>Ethical business practices are another fundamental component of Nestlé’s organizational culture. The company has established a code of conduct that outlines ethical guidelines for employees and business partners. This commitment to ethics is integral to Nestlé’s reputation as a trusted brand and is crucial for building consumer trust and loyalty.</w:t>
      </w:r>
    </w:p>
    <w:p w14:paraId="2FFE1CC6" w14:textId="77777777" w:rsidR="000F2BE5" w:rsidRPr="004B1B68" w:rsidRDefault="000F2BE5" w:rsidP="004B1B68">
      <w:pPr>
        <w:spacing w:line="360" w:lineRule="auto"/>
        <w:rPr>
          <w:rFonts w:ascii="Arial" w:hAnsi="Arial" w:cs="Arial"/>
        </w:rPr>
      </w:pPr>
      <w:r w:rsidRPr="004B1B68">
        <w:rPr>
          <w:rFonts w:ascii="Arial" w:hAnsi="Arial" w:cs="Arial"/>
        </w:rPr>
        <w:t>Nestlé’s culture not only influences its internal operations but also extends to its external stakeholders, including consumers, suppliers, and communities. By promoting values like sustainability, innovation, and ethics, Nestlé positively impacts its external environment, helping to build strong relationships with stakeholders, enhance its brand reputation, and drive long-term success.</w:t>
      </w:r>
    </w:p>
    <w:p w14:paraId="42A2B36B" w14:textId="77777777" w:rsidR="000F2BE5" w:rsidRPr="004B1B68" w:rsidRDefault="000F2BE5" w:rsidP="004B1B68">
      <w:pPr>
        <w:spacing w:line="360" w:lineRule="auto"/>
        <w:rPr>
          <w:rFonts w:ascii="Arial" w:hAnsi="Arial" w:cs="Arial"/>
        </w:rPr>
      </w:pPr>
    </w:p>
    <w:p w14:paraId="76C9E164" w14:textId="77777777" w:rsidR="000F2BE5" w:rsidRPr="00132D06" w:rsidRDefault="000F2BE5" w:rsidP="000F2BE5">
      <w:pPr>
        <w:rPr>
          <w:rFonts w:ascii="Arial Black" w:hAnsi="Arial Black"/>
          <w:b/>
          <w:bCs/>
          <w:sz w:val="40"/>
          <w:szCs w:val="40"/>
        </w:rPr>
      </w:pPr>
      <w:r w:rsidRPr="00132D06">
        <w:rPr>
          <w:rFonts w:ascii="Arial Black" w:hAnsi="Arial Black"/>
          <w:b/>
          <w:bCs/>
          <w:sz w:val="40"/>
          <w:szCs w:val="40"/>
        </w:rPr>
        <w:lastRenderedPageBreak/>
        <w:t>Conclusion</w:t>
      </w:r>
    </w:p>
    <w:p w14:paraId="39D8AB25" w14:textId="77777777" w:rsidR="000F2BE5" w:rsidRPr="00AF05CA" w:rsidRDefault="000F2BE5" w:rsidP="00AF05CA">
      <w:pPr>
        <w:spacing w:line="360" w:lineRule="auto"/>
        <w:rPr>
          <w:rFonts w:ascii="Arial" w:hAnsi="Arial" w:cs="Arial"/>
        </w:rPr>
      </w:pPr>
    </w:p>
    <w:p w14:paraId="482A80FC" w14:textId="77777777" w:rsidR="000F2BE5" w:rsidRDefault="000F2BE5" w:rsidP="00AF05CA">
      <w:pPr>
        <w:spacing w:line="360" w:lineRule="auto"/>
      </w:pPr>
      <w:r w:rsidRPr="00AF05CA">
        <w:rPr>
          <w:rFonts w:ascii="Arial" w:hAnsi="Arial" w:cs="Arial"/>
        </w:rPr>
        <w:t>In conclusion, Nestlé's core functions, such as accounting and finance, marketing, and human resource management, are essential to its operations and global success. These functions ensure the company's financial stability, effective product promotion, and the attraction and retention of top talent. Nestlé's organizational culture, characterized by a strong commitment to sustainability, innovation, and ethical practices, plays a crucial role in shaping both the internal and external environments of the company. Together, effective management of key functions and a robust organizational culture significantly contribute to Nestlé's overall performance, enabling it to maintain its leadership position in the food and beverage industry</w:t>
      </w:r>
      <w:r>
        <w:t>.</w:t>
      </w:r>
    </w:p>
    <w:p w14:paraId="0213716B" w14:textId="77777777" w:rsidR="005E5F5D" w:rsidRDefault="005E5F5D"/>
    <w:p w14:paraId="5DAADAC0" w14:textId="77777777" w:rsidR="005E5F5D" w:rsidRPr="00AF05CA" w:rsidRDefault="005E5F5D">
      <w:pPr>
        <w:rPr>
          <w:rFonts w:ascii="Arial Black" w:hAnsi="Arial Black"/>
          <w:b/>
          <w:bCs/>
          <w:sz w:val="40"/>
          <w:szCs w:val="40"/>
        </w:rPr>
      </w:pPr>
      <w:r w:rsidRPr="00AF05CA">
        <w:rPr>
          <w:rFonts w:ascii="Arial Black" w:hAnsi="Arial Black"/>
          <w:b/>
          <w:bCs/>
          <w:sz w:val="40"/>
          <w:szCs w:val="40"/>
        </w:rPr>
        <w:t>References</w:t>
      </w:r>
    </w:p>
    <w:p w14:paraId="7E96D362" w14:textId="77777777" w:rsidR="005E5F5D" w:rsidRDefault="005E5F5D"/>
    <w:p w14:paraId="7B385C6C" w14:textId="77777777" w:rsidR="005E5F5D" w:rsidRDefault="005E5F5D"/>
    <w:p w14:paraId="3C3E84CF" w14:textId="77777777" w:rsidR="005E5F5D" w:rsidRDefault="005E5F5D"/>
    <w:p w14:paraId="4579D07E" w14:textId="51F0739A" w:rsidR="005E5F5D" w:rsidRDefault="005E5F5D" w:rsidP="005E5F5D">
      <w:pPr>
        <w:pStyle w:val="Listparagraf"/>
        <w:numPr>
          <w:ilvl w:val="0"/>
          <w:numId w:val="2"/>
        </w:numPr>
      </w:pPr>
      <w:r>
        <w:t xml:space="preserve">Liem Gai Sin et al. (2022) ‘Fostering A Culture of Business Ethics: A Case Study of Nestlé’, Society (Bangka. Online), 10(2). Available at: </w:t>
      </w:r>
      <w:hyperlink r:id="rId5" w:history="1">
        <w:r w:rsidRPr="003F4F8E">
          <w:rPr>
            <w:rStyle w:val="Hyperlink"/>
          </w:rPr>
          <w:t>https://doi.org/10.33019/society.v10i2.496</w:t>
        </w:r>
      </w:hyperlink>
      <w:r>
        <w:t>.</w:t>
      </w:r>
    </w:p>
    <w:p w14:paraId="6D403CB3" w14:textId="77777777" w:rsidR="005E5F5D" w:rsidRDefault="005E5F5D"/>
    <w:p w14:paraId="54659171" w14:textId="108FB0D1" w:rsidR="005E5F5D" w:rsidRDefault="005E5F5D" w:rsidP="005E5F5D">
      <w:pPr>
        <w:pStyle w:val="Listparagraf"/>
        <w:numPr>
          <w:ilvl w:val="0"/>
          <w:numId w:val="2"/>
        </w:numPr>
      </w:pPr>
      <w:r>
        <w:t>Li, T., 2015. Nestle employee recruitment research. International Journal of Business and Social Science, 6(4).</w:t>
      </w:r>
    </w:p>
    <w:p w14:paraId="2CE0E571" w14:textId="77777777" w:rsidR="005E5F5D" w:rsidRDefault="005E5F5D" w:rsidP="005E5F5D">
      <w:pPr>
        <w:pStyle w:val="Listparagraf"/>
      </w:pPr>
    </w:p>
    <w:p w14:paraId="578983FA" w14:textId="77777777" w:rsidR="005E5F5D" w:rsidRDefault="005E5F5D"/>
    <w:p w14:paraId="5198E530" w14:textId="4ACEEDD3" w:rsidR="005E5F5D" w:rsidRDefault="005E5F5D" w:rsidP="005E5F5D">
      <w:pPr>
        <w:pStyle w:val="Listparagraf"/>
        <w:numPr>
          <w:ilvl w:val="0"/>
          <w:numId w:val="2"/>
        </w:numPr>
      </w:pPr>
      <w:r>
        <w:t>Neves, J.M.D.N.G.V., 2013. Creating shared value: The case of Nestle (Doctoral dissertation).</w:t>
      </w:r>
    </w:p>
    <w:p w14:paraId="719D3455" w14:textId="77777777" w:rsidR="005E5F5D" w:rsidRDefault="005E5F5D"/>
    <w:p w14:paraId="36ED8F2D" w14:textId="2410326F" w:rsidR="005E5F5D" w:rsidRDefault="005E5F5D" w:rsidP="005E5F5D">
      <w:pPr>
        <w:pStyle w:val="Listparagraf"/>
        <w:numPr>
          <w:ilvl w:val="0"/>
          <w:numId w:val="2"/>
        </w:numPr>
      </w:pPr>
      <w:r>
        <w:t xml:space="preserve">Udokwu, S.T.C., Oshioste, E.E., Okoye, C.C., Nwankwo, E.F., Azubuike, N.U. and Uzougbo, N.S., 2023. Impact of human resources management on organizational performance: A case study. Corporate Sustainable Management Journal (CSMJ). DOI: </w:t>
      </w:r>
      <w:hyperlink r:id="rId6" w:history="1">
        <w:r w:rsidRPr="003F4F8E">
          <w:rPr>
            <w:rStyle w:val="Hyperlink"/>
          </w:rPr>
          <w:t>http://doi</w:t>
        </w:r>
      </w:hyperlink>
      <w:r>
        <w:t>. Org/10.26480/csmj, 2(91.102).</w:t>
      </w:r>
    </w:p>
    <w:p w14:paraId="1C6B9F6C" w14:textId="77777777" w:rsidR="005E5F5D" w:rsidRDefault="005E5F5D" w:rsidP="005E5F5D">
      <w:pPr>
        <w:pStyle w:val="Listparagraf"/>
      </w:pPr>
    </w:p>
    <w:p w14:paraId="529A7335" w14:textId="77777777" w:rsidR="005E5F5D" w:rsidRDefault="005E5F5D"/>
    <w:p w14:paraId="0A42AB7F" w14:textId="67CFB691" w:rsidR="005E5F5D" w:rsidRDefault="005E5F5D" w:rsidP="005E5F5D">
      <w:pPr>
        <w:pStyle w:val="Listparagraf"/>
        <w:numPr>
          <w:ilvl w:val="0"/>
          <w:numId w:val="2"/>
        </w:numPr>
      </w:pPr>
      <w:r>
        <w:t>Iskandar, F., 2021. The Impact of Strategic Change Management on Attaining Organizational Goals in Modern Business Environment. Webster University.</w:t>
      </w:r>
    </w:p>
    <w:p w14:paraId="3AB9E88D" w14:textId="77777777" w:rsidR="005E5F5D" w:rsidRDefault="005E5F5D"/>
    <w:p w14:paraId="091B32A8" w14:textId="77777777" w:rsidR="005E5F5D" w:rsidRDefault="005E5F5D"/>
    <w:p w14:paraId="009F49FB" w14:textId="77777777" w:rsidR="005E5F5D" w:rsidRDefault="005E5F5D"/>
    <w:sectPr w:rsidR="005E5F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96474"/>
    <w:multiLevelType w:val="hybridMultilevel"/>
    <w:tmpl w:val="6AFCE072"/>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66F21712"/>
    <w:multiLevelType w:val="hybridMultilevel"/>
    <w:tmpl w:val="E938AAE8"/>
    <w:lvl w:ilvl="0" w:tplc="FFFFFFFF">
      <w:start w:val="1"/>
      <w:numFmt w:val="decimal"/>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185485167">
    <w:abstractNumId w:val="1"/>
  </w:num>
  <w:num w:numId="2" w16cid:durableId="299655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BE5"/>
    <w:rsid w:val="00085495"/>
    <w:rsid w:val="000D21E7"/>
    <w:rsid w:val="000F2BE5"/>
    <w:rsid w:val="00132D06"/>
    <w:rsid w:val="001953B7"/>
    <w:rsid w:val="002B471C"/>
    <w:rsid w:val="002D07C6"/>
    <w:rsid w:val="003A1130"/>
    <w:rsid w:val="003D326B"/>
    <w:rsid w:val="003E2A19"/>
    <w:rsid w:val="004B1B68"/>
    <w:rsid w:val="005E5F5D"/>
    <w:rsid w:val="00833CEE"/>
    <w:rsid w:val="00A974D2"/>
    <w:rsid w:val="00AE34D4"/>
    <w:rsid w:val="00AF05CA"/>
    <w:rsid w:val="00B03A9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354B6C7B"/>
  <w15:chartTrackingRefBased/>
  <w15:docId w15:val="{34B880D0-31B9-DA43-B703-45184BD05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0F2B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0F2B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0F2BE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0F2BE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0F2BE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0F2BE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F2BE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F2BE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F2BE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F2BE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0F2BE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0F2BE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0F2BE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0F2BE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0F2BE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F2BE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F2BE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F2BE5"/>
    <w:rPr>
      <w:rFonts w:eastAsiaTheme="majorEastAsia" w:cstheme="majorBidi"/>
      <w:color w:val="272727" w:themeColor="text1" w:themeTint="D8"/>
    </w:rPr>
  </w:style>
  <w:style w:type="paragraph" w:styleId="Titlu">
    <w:name w:val="Title"/>
    <w:basedOn w:val="Normal"/>
    <w:next w:val="Normal"/>
    <w:link w:val="TitluCaracter"/>
    <w:uiPriority w:val="10"/>
    <w:qFormat/>
    <w:rsid w:val="000F2B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F2BE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F2BE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F2BE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F2BE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F2BE5"/>
    <w:rPr>
      <w:i/>
      <w:iCs/>
      <w:color w:val="404040" w:themeColor="text1" w:themeTint="BF"/>
    </w:rPr>
  </w:style>
  <w:style w:type="paragraph" w:styleId="Listparagraf">
    <w:name w:val="List Paragraph"/>
    <w:basedOn w:val="Normal"/>
    <w:uiPriority w:val="34"/>
    <w:qFormat/>
    <w:rsid w:val="000F2BE5"/>
    <w:pPr>
      <w:ind w:left="720"/>
      <w:contextualSpacing/>
    </w:pPr>
  </w:style>
  <w:style w:type="character" w:styleId="Accentuareintens">
    <w:name w:val="Intense Emphasis"/>
    <w:basedOn w:val="Fontdeparagrafimplicit"/>
    <w:uiPriority w:val="21"/>
    <w:qFormat/>
    <w:rsid w:val="000F2BE5"/>
    <w:rPr>
      <w:i/>
      <w:iCs/>
      <w:color w:val="0F4761" w:themeColor="accent1" w:themeShade="BF"/>
    </w:rPr>
  </w:style>
  <w:style w:type="paragraph" w:styleId="Citatintens">
    <w:name w:val="Intense Quote"/>
    <w:basedOn w:val="Normal"/>
    <w:next w:val="Normal"/>
    <w:link w:val="CitatintensCaracter"/>
    <w:uiPriority w:val="30"/>
    <w:qFormat/>
    <w:rsid w:val="000F2B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F2BE5"/>
    <w:rPr>
      <w:i/>
      <w:iCs/>
      <w:color w:val="0F4761" w:themeColor="accent1" w:themeShade="BF"/>
    </w:rPr>
  </w:style>
  <w:style w:type="character" w:styleId="Referireintens">
    <w:name w:val="Intense Reference"/>
    <w:basedOn w:val="Fontdeparagrafimplicit"/>
    <w:uiPriority w:val="32"/>
    <w:qFormat/>
    <w:rsid w:val="000F2BE5"/>
    <w:rPr>
      <w:b/>
      <w:bCs/>
      <w:smallCaps/>
      <w:color w:val="0F4761" w:themeColor="accent1" w:themeShade="BF"/>
      <w:spacing w:val="5"/>
    </w:rPr>
  </w:style>
  <w:style w:type="character" w:styleId="Hyperlink">
    <w:name w:val="Hyperlink"/>
    <w:basedOn w:val="Fontdeparagrafimplicit"/>
    <w:uiPriority w:val="99"/>
    <w:unhideWhenUsed/>
    <w:rsid w:val="005E5F5D"/>
    <w:rPr>
      <w:color w:val="467886" w:themeColor="hyperlink"/>
      <w:u w:val="single"/>
    </w:rPr>
  </w:style>
  <w:style w:type="character" w:styleId="MeniuneNerezolvat">
    <w:name w:val="Unresolved Mention"/>
    <w:basedOn w:val="Fontdeparagrafimplicit"/>
    <w:uiPriority w:val="99"/>
    <w:semiHidden/>
    <w:unhideWhenUsed/>
    <w:rsid w:val="005E5F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doi" TargetMode="External" /><Relationship Id="rId5" Type="http://schemas.openxmlformats.org/officeDocument/2006/relationships/hyperlink" Target="https://doi.org/10.33019/society.v10i2.496" TargetMode="External" /><Relationship Id="rId4" Type="http://schemas.openxmlformats.org/officeDocument/2006/relationships/webSettings" Target="webSettings.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1173</Words>
  <Characters>6810</Characters>
  <Application>Microsoft Office Word</Application>
  <DocSecurity>0</DocSecurity>
  <Lines>56</Lines>
  <Paragraphs>15</Paragraphs>
  <ScaleCrop>false</ScaleCrop>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darlea</dc:creator>
  <cp:keywords/>
  <dc:description/>
  <cp:lastModifiedBy>cosmin darlea</cp:lastModifiedBy>
  <cp:revision>2</cp:revision>
  <dcterms:created xsi:type="dcterms:W3CDTF">2024-08-28T19:23:00Z</dcterms:created>
  <dcterms:modified xsi:type="dcterms:W3CDTF">2024-08-28T19:23:00Z</dcterms:modified>
</cp:coreProperties>
</file>