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4BD71" w14:textId="77777777" w:rsidR="002E1D5B" w:rsidRDefault="002E1D5B" w:rsidP="002E1D5B">
      <w:pPr>
        <w:spacing w:line="276" w:lineRule="auto"/>
        <w:jc w:val="center"/>
      </w:pPr>
      <w:r>
        <w:rPr>
          <w:noProof/>
        </w:rPr>
        <w:drawing>
          <wp:inline distT="0" distB="0" distL="0" distR="0" wp14:anchorId="154526C7" wp14:editId="18ED62FB">
            <wp:extent cx="2523809" cy="961905"/>
            <wp:effectExtent l="0" t="0" r="0" b="0"/>
            <wp:docPr id="346312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312342" name=""/>
                    <pic:cNvPicPr/>
                  </pic:nvPicPr>
                  <pic:blipFill>
                    <a:blip r:embed="rId6"/>
                    <a:stretch>
                      <a:fillRect/>
                    </a:stretch>
                  </pic:blipFill>
                  <pic:spPr>
                    <a:xfrm>
                      <a:off x="0" y="0"/>
                      <a:ext cx="2523809" cy="961905"/>
                    </a:xfrm>
                    <a:prstGeom prst="rect">
                      <a:avLst/>
                    </a:prstGeom>
                  </pic:spPr>
                </pic:pic>
              </a:graphicData>
            </a:graphic>
          </wp:inline>
        </w:drawing>
      </w:r>
    </w:p>
    <w:p w14:paraId="21EF907A" w14:textId="77777777" w:rsidR="002E1D5B" w:rsidRPr="004766CC" w:rsidRDefault="002E1D5B" w:rsidP="004766CC">
      <w:pPr>
        <w:pBdr>
          <w:bottom w:val="single" w:sz="4" w:space="1" w:color="auto"/>
        </w:pBdr>
        <w:spacing w:line="276" w:lineRule="auto"/>
        <w:jc w:val="center"/>
        <w:rPr>
          <w:b/>
          <w:bCs/>
          <w:sz w:val="32"/>
          <w:szCs w:val="28"/>
        </w:rPr>
      </w:pPr>
      <w:r w:rsidRPr="004766CC">
        <w:rPr>
          <w:b/>
          <w:bCs/>
          <w:sz w:val="32"/>
          <w:szCs w:val="28"/>
        </w:rPr>
        <w:t>Programme: BSc (Hons) Health and Social Care</w:t>
      </w:r>
    </w:p>
    <w:p w14:paraId="23DE3EBC" w14:textId="373102E4" w:rsidR="002E1D5B" w:rsidRPr="004766CC" w:rsidRDefault="002E1D5B" w:rsidP="002E1D5B">
      <w:pPr>
        <w:spacing w:line="276" w:lineRule="auto"/>
        <w:jc w:val="center"/>
        <w:rPr>
          <w:b/>
          <w:bCs/>
          <w:sz w:val="32"/>
          <w:szCs w:val="28"/>
        </w:rPr>
      </w:pPr>
      <w:r w:rsidRPr="004766CC">
        <w:rPr>
          <w:b/>
          <w:bCs/>
          <w:sz w:val="32"/>
          <w:szCs w:val="28"/>
        </w:rPr>
        <w:t>Module: Principles of Health and Social Care Practice</w:t>
      </w:r>
    </w:p>
    <w:p w14:paraId="747A5DD0" w14:textId="4EE6A701" w:rsidR="002E1D5B" w:rsidRPr="004766CC" w:rsidRDefault="002E1D5B" w:rsidP="002E1D5B">
      <w:pPr>
        <w:spacing w:line="276" w:lineRule="auto"/>
        <w:jc w:val="center"/>
        <w:rPr>
          <w:b/>
          <w:bCs/>
          <w:sz w:val="32"/>
          <w:szCs w:val="28"/>
        </w:rPr>
      </w:pPr>
      <w:r w:rsidRPr="004766CC">
        <w:rPr>
          <w:b/>
          <w:bCs/>
          <w:sz w:val="32"/>
          <w:szCs w:val="28"/>
        </w:rPr>
        <w:t>Module code: BMHP5016</w:t>
      </w:r>
    </w:p>
    <w:p w14:paraId="357635EE" w14:textId="6027BC53" w:rsidR="002E1D5B" w:rsidRPr="004766CC" w:rsidRDefault="002E1D5B" w:rsidP="002E1D5B">
      <w:pPr>
        <w:spacing w:line="276" w:lineRule="auto"/>
        <w:jc w:val="center"/>
        <w:rPr>
          <w:b/>
          <w:bCs/>
          <w:sz w:val="32"/>
          <w:szCs w:val="28"/>
        </w:rPr>
      </w:pPr>
      <w:r w:rsidRPr="004766CC">
        <w:rPr>
          <w:b/>
          <w:bCs/>
          <w:sz w:val="32"/>
          <w:szCs w:val="28"/>
        </w:rPr>
        <w:t>Assignment Title: Component 2</w:t>
      </w:r>
      <w:r w:rsidR="004766CC" w:rsidRPr="004766CC">
        <w:rPr>
          <w:b/>
          <w:bCs/>
          <w:sz w:val="32"/>
          <w:szCs w:val="28"/>
        </w:rPr>
        <w:t xml:space="preserve"> </w:t>
      </w:r>
      <w:r w:rsidRPr="004766CC">
        <w:rPr>
          <w:b/>
          <w:bCs/>
          <w:sz w:val="32"/>
          <w:szCs w:val="28"/>
        </w:rPr>
        <w:t>- Written Assignment (Essay)</w:t>
      </w:r>
    </w:p>
    <w:p w14:paraId="5C200AF8" w14:textId="05504789" w:rsidR="007D39AC" w:rsidRPr="004766CC" w:rsidRDefault="007D39AC" w:rsidP="0094593E">
      <w:pPr>
        <w:spacing w:line="276" w:lineRule="auto"/>
        <w:jc w:val="center"/>
        <w:rPr>
          <w:b/>
          <w:bCs/>
          <w:sz w:val="32"/>
          <w:szCs w:val="28"/>
        </w:rPr>
      </w:pPr>
      <w:r>
        <w:rPr>
          <w:b/>
          <w:bCs/>
          <w:sz w:val="32"/>
          <w:szCs w:val="28"/>
        </w:rPr>
        <w:t xml:space="preserve">Lecturer:  </w:t>
      </w:r>
      <w:r w:rsidRPr="007D39AC">
        <w:rPr>
          <w:b/>
          <w:bCs/>
          <w:sz w:val="32"/>
          <w:szCs w:val="28"/>
        </w:rPr>
        <w:t>Mark Kane</w:t>
      </w:r>
    </w:p>
    <w:p w14:paraId="7A29441A" w14:textId="20A13312" w:rsidR="004766CC" w:rsidRPr="004766CC" w:rsidRDefault="004766CC" w:rsidP="004766CC">
      <w:pPr>
        <w:spacing w:line="276" w:lineRule="auto"/>
        <w:jc w:val="center"/>
        <w:rPr>
          <w:b/>
          <w:bCs/>
          <w:sz w:val="32"/>
          <w:szCs w:val="28"/>
        </w:rPr>
      </w:pPr>
      <w:r w:rsidRPr="004766CC">
        <w:rPr>
          <w:b/>
          <w:bCs/>
          <w:sz w:val="32"/>
          <w:szCs w:val="28"/>
        </w:rPr>
        <w:t>Student Name:</w:t>
      </w:r>
      <w:r w:rsidR="00FB6BCC">
        <w:rPr>
          <w:b/>
          <w:bCs/>
          <w:sz w:val="32"/>
          <w:szCs w:val="28"/>
        </w:rPr>
        <w:t xml:space="preserve"> Bilonda</w:t>
      </w:r>
      <w:r w:rsidRPr="004766CC">
        <w:rPr>
          <w:b/>
          <w:bCs/>
          <w:sz w:val="32"/>
          <w:szCs w:val="28"/>
        </w:rPr>
        <w:t xml:space="preserve"> Kanyiki</w:t>
      </w:r>
    </w:p>
    <w:p w14:paraId="0AB230B4" w14:textId="5154D5BD" w:rsidR="004766CC" w:rsidRPr="004766CC" w:rsidRDefault="004766CC" w:rsidP="004766CC">
      <w:pPr>
        <w:spacing w:line="276" w:lineRule="auto"/>
        <w:jc w:val="center"/>
        <w:rPr>
          <w:b/>
          <w:bCs/>
          <w:sz w:val="32"/>
          <w:szCs w:val="28"/>
        </w:rPr>
      </w:pPr>
      <w:r w:rsidRPr="004766CC">
        <w:rPr>
          <w:b/>
          <w:bCs/>
          <w:sz w:val="32"/>
          <w:szCs w:val="28"/>
        </w:rPr>
        <w:t xml:space="preserve">Student ID: </w:t>
      </w:r>
      <w:r w:rsidR="00C13110">
        <w:rPr>
          <w:b/>
          <w:bCs/>
          <w:sz w:val="32"/>
          <w:szCs w:val="28"/>
        </w:rPr>
        <w:t>2427696</w:t>
      </w:r>
    </w:p>
    <w:p w14:paraId="6A9E7E28" w14:textId="6298FB5A" w:rsidR="009D6087" w:rsidRDefault="009D6087" w:rsidP="002E1D5B">
      <w:pPr>
        <w:spacing w:line="276" w:lineRule="auto"/>
        <w:jc w:val="center"/>
      </w:pPr>
      <w:r>
        <w:br w:type="page"/>
      </w:r>
    </w:p>
    <w:p w14:paraId="2F25A17B" w14:textId="39E0475F" w:rsidR="007D39AC" w:rsidRPr="00603969" w:rsidRDefault="00603969" w:rsidP="00603969">
      <w:pPr>
        <w:ind w:firstLine="720"/>
        <w:jc w:val="center"/>
        <w:rPr>
          <w:b/>
          <w:bCs/>
          <w:i/>
          <w:iCs/>
          <w:sz w:val="28"/>
          <w:szCs w:val="28"/>
          <w:u w:val="single"/>
          <w:lang w:val="en-IN"/>
        </w:rPr>
      </w:pPr>
      <w:r w:rsidRPr="00603969">
        <w:rPr>
          <w:b/>
          <w:bCs/>
          <w:i/>
          <w:iCs/>
          <w:sz w:val="28"/>
          <w:szCs w:val="28"/>
          <w:u w:val="single"/>
          <w:lang w:val="en-IN"/>
        </w:rPr>
        <w:t>Critical discussion of the concept of the social model of disability in person-centred care</w:t>
      </w:r>
    </w:p>
    <w:p w14:paraId="258B133F" w14:textId="38444C08" w:rsidR="009E2C2B" w:rsidRPr="009E2C2B" w:rsidRDefault="009E2C2B" w:rsidP="009E2C2B">
      <w:pPr>
        <w:ind w:firstLine="720"/>
        <w:rPr>
          <w:lang w:val="en-IN"/>
        </w:rPr>
      </w:pPr>
      <w:r w:rsidRPr="009E2C2B">
        <w:rPr>
          <w:lang w:val="en-IN"/>
        </w:rPr>
        <w:t xml:space="preserve">The study encompasses </w:t>
      </w:r>
      <w:r w:rsidRPr="009E2C2B">
        <w:rPr>
          <w:b/>
          <w:bCs/>
          <w:lang w:val="en-IN"/>
        </w:rPr>
        <w:t>the social model of disability</w:t>
      </w:r>
      <w:r w:rsidRPr="009E2C2B">
        <w:rPr>
          <w:lang w:val="en-IN"/>
        </w:rPr>
        <w:t xml:space="preserve"> as one of the foundational concepts to underpin the purpose of person-centred care. The introduction and outlining area regarding the emergence of the student concept will be critically evaluated to estimate its responses properly. The study will also examine the way to evaluate the concept which is applied to the purpose of Health and social care practices and policies. The overall involved problem will also carry out the purpose of relevant recommendations for health and social care policy, which will be estimated in terms of practice and including its proper area of suitable culmination of the study. </w:t>
      </w:r>
    </w:p>
    <w:p w14:paraId="636E2762" w14:textId="3FCD7BD7" w:rsidR="009E2C2B" w:rsidRPr="009E2C2B" w:rsidRDefault="009E2C2B" w:rsidP="00A54DB8">
      <w:pPr>
        <w:ind w:firstLine="720"/>
      </w:pPr>
      <w:r w:rsidRPr="009E2C2B">
        <w:rPr>
          <w:b/>
          <w:bCs/>
          <w:lang w:val="en-IN"/>
        </w:rPr>
        <w:t>The social model of disability</w:t>
      </w:r>
      <w:r w:rsidRPr="009E2C2B">
        <w:rPr>
          <w:lang w:val="en-IN"/>
        </w:rPr>
        <w:t xml:space="preserve"> is the understanding of disability which is created by society. The model emerged in 1970 for the purpose of disability activism following the interaction between living people with impairment and the environment, followed by physical, attitudinal and social barriers</w:t>
      </w:r>
      <w:r w:rsidR="00A54DB8">
        <w:rPr>
          <w:lang w:val="en-IN"/>
        </w:rPr>
        <w:t xml:space="preserve"> (</w:t>
      </w:r>
      <w:r w:rsidR="00A54DB8" w:rsidRPr="00EA4F12">
        <w:rPr>
          <w:rFonts w:cs="Arial"/>
        </w:rPr>
        <w:t>Sharkiya,</w:t>
      </w:r>
      <w:r w:rsidR="00A54DB8">
        <w:rPr>
          <w:rFonts w:cs="Arial"/>
        </w:rPr>
        <w:t xml:space="preserve"> 2023)</w:t>
      </w:r>
      <w:r w:rsidRPr="009E2C2B">
        <w:rPr>
          <w:lang w:val="en-IN"/>
        </w:rPr>
        <w:t>. The perspective of this model is related to the concept of carrying the implications of physical, attitudinal and communication within the social environment to enable the purpose of impairment and participation in society. The core principles of this model encompass the clear distinction between impairment and disability. Disability was initially understood through a medical model where the problem was located within the individual's body or mind</w:t>
      </w:r>
      <w:r w:rsidR="00A54DB8">
        <w:rPr>
          <w:lang w:val="en-IN"/>
        </w:rPr>
        <w:t xml:space="preserve"> (</w:t>
      </w:r>
      <w:r w:rsidR="00A54DB8" w:rsidRPr="00EA4F12">
        <w:rPr>
          <w:rFonts w:cs="Arial"/>
        </w:rPr>
        <w:t>Ahmed</w:t>
      </w:r>
      <w:r w:rsidR="00A54DB8">
        <w:rPr>
          <w:rFonts w:cs="Arial"/>
        </w:rPr>
        <w:t xml:space="preserve"> </w:t>
      </w:r>
      <w:r w:rsidR="00A54DB8">
        <w:rPr>
          <w:rFonts w:cs="Arial"/>
          <w:i/>
          <w:iCs/>
        </w:rPr>
        <w:t xml:space="preserve">et al., </w:t>
      </w:r>
      <w:r w:rsidR="00A54DB8">
        <w:rPr>
          <w:rFonts w:cs="Arial"/>
        </w:rPr>
        <w:t>2022).</w:t>
      </w:r>
      <w:r w:rsidRPr="009E2C2B">
        <w:rPr>
          <w:lang w:val="en-IN"/>
        </w:rPr>
        <w:t xml:space="preserve"> The emergence and development of the social model was incepted from this focusing the influence by the civil rights movement. The emergence of the concept and its critical area of levelling up relate to the system of estimating disability not by impairment but by failure of society to accommodate the difference. The critical area of disability rights movement and legislation informs the framework, such as the </w:t>
      </w:r>
      <w:r w:rsidRPr="009E2C2B">
        <w:rPr>
          <w:b/>
          <w:bCs/>
          <w:lang w:val="en-IN"/>
        </w:rPr>
        <w:t>Equality Act 2010</w:t>
      </w:r>
      <w:r w:rsidRPr="009E2C2B">
        <w:rPr>
          <w:lang w:val="en-IN"/>
        </w:rPr>
        <w:t>, which legally recognises discrimination against disabled people</w:t>
      </w:r>
      <w:r w:rsidR="00A54DB8">
        <w:rPr>
          <w:lang w:val="en-IN"/>
        </w:rPr>
        <w:t xml:space="preserve"> (</w:t>
      </w:r>
      <w:r w:rsidR="00A54DB8" w:rsidRPr="00EA4F12">
        <w:rPr>
          <w:rFonts w:cs="Arial"/>
        </w:rPr>
        <w:t xml:space="preserve">Ahnand </w:t>
      </w:r>
      <w:r w:rsidR="00A54DB8">
        <w:rPr>
          <w:rFonts w:cs="Arial"/>
        </w:rPr>
        <w:t xml:space="preserve">and </w:t>
      </w:r>
      <w:r w:rsidR="00A54DB8" w:rsidRPr="00EA4F12">
        <w:rPr>
          <w:rFonts w:cs="Arial"/>
        </w:rPr>
        <w:t>Yi</w:t>
      </w:r>
      <w:r w:rsidR="00A54DB8">
        <w:rPr>
          <w:rFonts w:cs="Arial"/>
        </w:rPr>
        <w:t>, 2022).</w:t>
      </w:r>
    </w:p>
    <w:p w14:paraId="13E9D018" w14:textId="63025B2E" w:rsidR="009E2C2B" w:rsidRPr="009E2C2B" w:rsidRDefault="009E2C2B" w:rsidP="009E2C2B">
      <w:pPr>
        <w:ind w:firstLine="720"/>
        <w:rPr>
          <w:lang w:val="en-IN"/>
        </w:rPr>
      </w:pPr>
      <w:r w:rsidRPr="009E2C2B">
        <w:rPr>
          <w:lang w:val="en-IN"/>
        </w:rPr>
        <w:t xml:space="preserve">The </w:t>
      </w:r>
      <w:r w:rsidRPr="009E2C2B">
        <w:rPr>
          <w:b/>
          <w:bCs/>
          <w:lang w:val="en-IN"/>
        </w:rPr>
        <w:t>concept of impairment</w:t>
      </w:r>
      <w:r w:rsidRPr="009E2C2B">
        <w:rPr>
          <w:lang w:val="en-IN"/>
        </w:rPr>
        <w:t xml:space="preserve"> is a physical or mental health condition, while disability relates to the purpose of social exclusion and disadvantage caused by systematic barriers. The clear distinction between impairment and disability helped to proceed with the disability activist movement in response to civil rights in the late 20th century. The emergence of the situation and development of the social model relate to the area of emphasising the purpose of autonomy, participation and non-discrimination</w:t>
      </w:r>
      <w:r w:rsidR="00416C16">
        <w:rPr>
          <w:lang w:val="en-IN"/>
        </w:rPr>
        <w:t xml:space="preserve"> (</w:t>
      </w:r>
      <w:r w:rsidR="00416C16" w:rsidRPr="00EA4F12">
        <w:rPr>
          <w:rFonts w:cs="Arial"/>
        </w:rPr>
        <w:t>Ekman,</w:t>
      </w:r>
      <w:r w:rsidR="00416C16">
        <w:rPr>
          <w:rFonts w:cs="Arial"/>
        </w:rPr>
        <w:t xml:space="preserve"> 2022)</w:t>
      </w:r>
      <w:r w:rsidRPr="009E2C2B">
        <w:rPr>
          <w:lang w:val="en-IN"/>
        </w:rPr>
        <w:t>. </w:t>
      </w:r>
    </w:p>
    <w:p w14:paraId="0BE0D501" w14:textId="220A5D88" w:rsidR="009E2C2B" w:rsidRPr="009E2C2B" w:rsidRDefault="009E2C2B" w:rsidP="009E2C2B">
      <w:pPr>
        <w:ind w:firstLine="720"/>
        <w:rPr>
          <w:lang w:val="en-IN"/>
        </w:rPr>
      </w:pPr>
      <w:r w:rsidRPr="009E2C2B">
        <w:rPr>
          <w:lang w:val="en-IN"/>
        </w:rPr>
        <w:t xml:space="preserve">The estimation of the critical study relates to the </w:t>
      </w:r>
      <w:r w:rsidRPr="009E2C2B">
        <w:rPr>
          <w:b/>
          <w:bCs/>
          <w:lang w:val="en-IN"/>
        </w:rPr>
        <w:t>critical evaluation of the model</w:t>
      </w:r>
      <w:r w:rsidRPr="009E2C2B">
        <w:rPr>
          <w:lang w:val="en-IN"/>
        </w:rPr>
        <w:t xml:space="preserve"> that underlies the reality of chronic pain, fatigue and fluctuation of conditions. There are possibilities of inherent impairment that affect daily life, and look into regardless of the purpose of social barriers. It is also observed from the study that the binary distinction between impairment and disability can lead to oversimplification of the complex interaction between biological and social factors that eventually create hazards. There are limitations that lead to the area of clinical context that sometimes struggles for the perspective of necessary treatment. To respond to the area proposed and integrity approach of criticism, it is associated with the essentials of the political and ethical framework, while being followed by attention to deal with embodied experience</w:t>
      </w:r>
      <w:r w:rsidR="00A54DB8">
        <w:rPr>
          <w:lang w:val="en-IN"/>
        </w:rPr>
        <w:t xml:space="preserve"> (</w:t>
      </w:r>
      <w:r w:rsidR="00A54DB8" w:rsidRPr="00EA4F12">
        <w:rPr>
          <w:rFonts w:cs="Arial"/>
        </w:rPr>
        <w:t>Patel</w:t>
      </w:r>
      <w:r w:rsidR="00A54DB8">
        <w:rPr>
          <w:rFonts w:cs="Arial"/>
        </w:rPr>
        <w:t xml:space="preserve"> </w:t>
      </w:r>
      <w:r w:rsidR="00A54DB8">
        <w:rPr>
          <w:rFonts w:cs="Arial"/>
          <w:i/>
          <w:iCs/>
        </w:rPr>
        <w:t xml:space="preserve">et al., </w:t>
      </w:r>
      <w:r w:rsidR="00A54DB8">
        <w:rPr>
          <w:rFonts w:cs="Arial"/>
        </w:rPr>
        <w:t>2023)</w:t>
      </w:r>
      <w:r w:rsidRPr="009E2C2B">
        <w:rPr>
          <w:lang w:val="en-IN"/>
        </w:rPr>
        <w:t>.</w:t>
      </w:r>
    </w:p>
    <w:p w14:paraId="4B584840" w14:textId="012CC462" w:rsidR="009E2C2B" w:rsidRPr="009E2C2B" w:rsidRDefault="009E2C2B" w:rsidP="009E2C2B">
      <w:pPr>
        <w:ind w:firstLine="720"/>
        <w:rPr>
          <w:lang w:val="en-IN"/>
        </w:rPr>
      </w:pPr>
      <w:r w:rsidRPr="009E2C2B">
        <w:rPr>
          <w:lang w:val="en-IN"/>
        </w:rPr>
        <w:t xml:space="preserve">The </w:t>
      </w:r>
      <w:r w:rsidRPr="009E2C2B">
        <w:rPr>
          <w:b/>
          <w:bCs/>
          <w:lang w:val="en-IN"/>
        </w:rPr>
        <w:t>contemporary adaptation</w:t>
      </w:r>
      <w:r w:rsidRPr="009E2C2B">
        <w:rPr>
          <w:lang w:val="en-IN"/>
        </w:rPr>
        <w:t xml:space="preserve"> to integrate the purpose of impairment is followed by the effect that requires attention. The acknowledgement of social barriers, along with overall estimation, relates to the system of applicability to diverse conditions. The applicability of this model to diverse condition refer to the suggested area to deal with cognitive, intellectual or conditions of Mental Health. Different types of complex needs may also require therapeutic intervention alongside social changes</w:t>
      </w:r>
      <w:r w:rsidR="008B631E">
        <w:rPr>
          <w:lang w:val="en-IN"/>
        </w:rPr>
        <w:t xml:space="preserve"> (</w:t>
      </w:r>
      <w:r w:rsidR="008B631E" w:rsidRPr="00EA4F12">
        <w:rPr>
          <w:rFonts w:cs="Arial"/>
        </w:rPr>
        <w:t>Isler</w:t>
      </w:r>
      <w:r w:rsidR="008B631E">
        <w:rPr>
          <w:rFonts w:cs="Arial"/>
        </w:rPr>
        <w:t xml:space="preserve"> </w:t>
      </w:r>
      <w:r w:rsidR="008B631E">
        <w:rPr>
          <w:rFonts w:cs="Arial"/>
          <w:i/>
          <w:iCs/>
        </w:rPr>
        <w:t>et al.,</w:t>
      </w:r>
      <w:r w:rsidR="008B631E">
        <w:rPr>
          <w:rFonts w:cs="Arial"/>
        </w:rPr>
        <w:t>2025)</w:t>
      </w:r>
      <w:r w:rsidRPr="009E2C2B">
        <w:rPr>
          <w:lang w:val="en-IN"/>
        </w:rPr>
        <w:t>. This criticism is followed by the argument where stigma, exclusion or lack of reasonable adjustment remain Central to the disabling factor. Different types of clinical support are associated with the co-existence of these models to avoid the problems of paternalism. The incorporation of this model into the mainstream policy is also criticised with the claim of inclusion and empowerment that becomes problematic without structural transformation. Disability activists support the process of co-production and positive participation of disabled people in policy-making to prevent the issues of tokenism</w:t>
      </w:r>
      <w:r w:rsidR="008B631E">
        <w:rPr>
          <w:lang w:val="en-IN"/>
        </w:rPr>
        <w:t xml:space="preserve"> (</w:t>
      </w:r>
      <w:r w:rsidR="008B631E" w:rsidRPr="00EA4F12">
        <w:rPr>
          <w:rFonts w:cs="Arial"/>
        </w:rPr>
        <w:t>Grover</w:t>
      </w:r>
      <w:r w:rsidR="008B631E">
        <w:rPr>
          <w:rFonts w:cs="Arial"/>
        </w:rPr>
        <w:t xml:space="preserve"> </w:t>
      </w:r>
      <w:r w:rsidR="008B631E">
        <w:rPr>
          <w:rFonts w:cs="Arial"/>
          <w:i/>
          <w:iCs/>
        </w:rPr>
        <w:t>et al. ,</w:t>
      </w:r>
      <w:r w:rsidR="008B631E">
        <w:rPr>
          <w:rFonts w:cs="Arial"/>
        </w:rPr>
        <w:t>2022)</w:t>
      </w:r>
      <w:r w:rsidRPr="009E2C2B">
        <w:rPr>
          <w:lang w:val="en-IN"/>
        </w:rPr>
        <w:t>. </w:t>
      </w:r>
    </w:p>
    <w:p w14:paraId="14D8A4A2" w14:textId="68E5ADD5" w:rsidR="009E2C2B" w:rsidRPr="009E2C2B" w:rsidRDefault="009E2C2B" w:rsidP="009E2C2B">
      <w:pPr>
        <w:ind w:firstLine="720"/>
        <w:rPr>
          <w:lang w:val="en-IN"/>
        </w:rPr>
      </w:pPr>
      <w:r w:rsidRPr="009E2C2B">
        <w:rPr>
          <w:lang w:val="en-IN"/>
        </w:rPr>
        <w:t xml:space="preserve">The concept of </w:t>
      </w:r>
      <w:r w:rsidRPr="009E2C2B">
        <w:rPr>
          <w:b/>
          <w:bCs/>
          <w:lang w:val="en-IN"/>
        </w:rPr>
        <w:t>person-centred care</w:t>
      </w:r>
      <w:r w:rsidRPr="009E2C2B">
        <w:rPr>
          <w:lang w:val="en-IN"/>
        </w:rPr>
        <w:t xml:space="preserve"> is built on respect, dignity, partnership and autonomy, while social models of disability support significant principles. The purpose of person-centred care emphasises the area to listen to the voice of individuals. The social model reinforces the purpose by recognising people with disabilities, and also looks into their system of dealing with expertise in their own lives</w:t>
      </w:r>
      <w:r w:rsidR="008B631E">
        <w:rPr>
          <w:lang w:val="en-IN"/>
        </w:rPr>
        <w:t xml:space="preserve"> (</w:t>
      </w:r>
      <w:r w:rsidR="008B631E" w:rsidRPr="00EA4F12">
        <w:rPr>
          <w:rFonts w:cs="Arial"/>
        </w:rPr>
        <w:t>Oliver,</w:t>
      </w:r>
      <w:r w:rsidR="008B631E">
        <w:rPr>
          <w:rFonts w:cs="Arial"/>
        </w:rPr>
        <w:t xml:space="preserve"> 2023)</w:t>
      </w:r>
      <w:r w:rsidRPr="009E2C2B">
        <w:rPr>
          <w:lang w:val="en-IN"/>
        </w:rPr>
        <w:t xml:space="preserve">. The purpose of care becomes collaborative and empowering through the execution of this theory. The purpose of underpinning person - </w:t>
      </w:r>
      <w:r w:rsidR="008B631E" w:rsidRPr="009E2C2B">
        <w:rPr>
          <w:lang w:val="en-IN"/>
        </w:rPr>
        <w:t>centred</w:t>
      </w:r>
      <w:r w:rsidRPr="009E2C2B">
        <w:rPr>
          <w:lang w:val="en-IN"/>
        </w:rPr>
        <w:t xml:space="preserve"> care relates to promoting the purpose of autonomy and choices to relate to the system of providing accessible communication formats and adapting the environment. The overall offering of flexible care routine and alignment with person-centred care looks into the commitment to support the purpose of informed choices and independence</w:t>
      </w:r>
      <w:r w:rsidR="008B631E">
        <w:rPr>
          <w:lang w:val="en-IN"/>
        </w:rPr>
        <w:t xml:space="preserve"> (</w:t>
      </w:r>
      <w:r w:rsidR="008B631E" w:rsidRPr="00EA4F12">
        <w:rPr>
          <w:rFonts w:cs="Arial"/>
        </w:rPr>
        <w:t>Zaks,</w:t>
      </w:r>
      <w:r w:rsidR="008B631E">
        <w:rPr>
          <w:rFonts w:cs="Arial"/>
        </w:rPr>
        <w:t xml:space="preserve"> 2024)</w:t>
      </w:r>
      <w:r w:rsidRPr="009E2C2B">
        <w:rPr>
          <w:lang w:val="en-IN"/>
        </w:rPr>
        <w:t>. </w:t>
      </w:r>
    </w:p>
    <w:p w14:paraId="5630851C" w14:textId="7F36AD7E" w:rsidR="009E2C2B" w:rsidRPr="009E2C2B" w:rsidRDefault="009E2C2B" w:rsidP="009E2C2B">
      <w:pPr>
        <w:ind w:firstLine="720"/>
        <w:rPr>
          <w:lang w:val="en-IN"/>
        </w:rPr>
      </w:pPr>
      <w:r w:rsidRPr="009E2C2B">
        <w:rPr>
          <w:lang w:val="en-IN"/>
        </w:rPr>
        <w:t xml:space="preserve">The application of the </w:t>
      </w:r>
      <w:r w:rsidRPr="009E2C2B">
        <w:rPr>
          <w:b/>
          <w:bCs/>
          <w:lang w:val="en-IN"/>
        </w:rPr>
        <w:t>social model of disability</w:t>
      </w:r>
      <w:r w:rsidRPr="009E2C2B">
        <w:rPr>
          <w:lang w:val="en-IN"/>
        </w:rPr>
        <w:t xml:space="preserve"> in health and social care shifts its focus from individual impairment to the removal of environmental, structural and attitudinal barriers that eventually lead to the issues of disability. The implementation of universal design in care homes, the assured area of accessible information, eventually leads to the process of fostering inclusive social participation. The promotion of individualised care planning, the purpose of environmental designing, the inclusive area of communication and person-centred care planning becomes impactful to address definite needs like social inclusion, employment and community participation</w:t>
      </w:r>
      <w:r w:rsidR="00622191">
        <w:rPr>
          <w:lang w:val="en-IN"/>
        </w:rPr>
        <w:t xml:space="preserve"> (</w:t>
      </w:r>
      <w:r w:rsidR="00622191" w:rsidRPr="00EA4F12">
        <w:rPr>
          <w:rFonts w:cs="Arial"/>
        </w:rPr>
        <w:t>Andrews</w:t>
      </w:r>
      <w:r w:rsidR="00622191">
        <w:rPr>
          <w:rFonts w:cs="Arial"/>
        </w:rPr>
        <w:t xml:space="preserve"> </w:t>
      </w:r>
      <w:r w:rsidR="00622191">
        <w:rPr>
          <w:rFonts w:cs="Arial"/>
          <w:i/>
          <w:iCs/>
        </w:rPr>
        <w:t>et al</w:t>
      </w:r>
      <w:r w:rsidR="001F2C39">
        <w:rPr>
          <w:rFonts w:cs="Arial"/>
          <w:i/>
          <w:iCs/>
        </w:rPr>
        <w:t xml:space="preserve"> </w:t>
      </w:r>
      <w:r w:rsidR="00622191">
        <w:rPr>
          <w:rFonts w:cs="Arial"/>
          <w:i/>
          <w:iCs/>
        </w:rPr>
        <w:t>,</w:t>
      </w:r>
      <w:r w:rsidR="00622191">
        <w:rPr>
          <w:rFonts w:cs="Arial"/>
        </w:rPr>
        <w:t>2022).</w:t>
      </w:r>
      <w:r w:rsidR="00622191">
        <w:rPr>
          <w:rFonts w:cs="Arial"/>
          <w:i/>
          <w:iCs/>
        </w:rPr>
        <w:t xml:space="preserve"> </w:t>
      </w:r>
      <w:r w:rsidRPr="009E2C2B">
        <w:rPr>
          <w:lang w:val="en-IN"/>
        </w:rPr>
        <w:t xml:space="preserve">The implementation of this model is found in the policy and practice of Health and social care that influence the anti-discrimination legislation, like </w:t>
      </w:r>
      <w:r w:rsidRPr="009E2C2B">
        <w:rPr>
          <w:b/>
          <w:bCs/>
          <w:lang w:val="en-IN"/>
        </w:rPr>
        <w:t xml:space="preserve">the Equality Act 2010. </w:t>
      </w:r>
      <w:r w:rsidRPr="009E2C2B">
        <w:rPr>
          <w:lang w:val="en-IN"/>
        </w:rPr>
        <w:t>Different types of personalisation agenda, directive purpose of payment and individual budget are designed to provide the service users with a greater level of control over care. The overall purpose of person-centred care planning, emphasis on independence and community living, multi-disciplinary collaboration and environmental accessibility standards are all associated with the implication of the model in the health and social care sector</w:t>
      </w:r>
      <w:r w:rsidR="001F2C39">
        <w:rPr>
          <w:lang w:val="en-IN"/>
        </w:rPr>
        <w:t xml:space="preserve"> (</w:t>
      </w:r>
      <w:r w:rsidR="001F2C39" w:rsidRPr="00EA4F12">
        <w:rPr>
          <w:rFonts w:cs="Arial"/>
        </w:rPr>
        <w:t>Kanagasingam</w:t>
      </w:r>
      <w:r w:rsidR="001F2C39">
        <w:rPr>
          <w:rFonts w:cs="Arial"/>
        </w:rPr>
        <w:t xml:space="preserve"> </w:t>
      </w:r>
      <w:r w:rsidR="001F2C39">
        <w:rPr>
          <w:rFonts w:cs="Arial"/>
          <w:i/>
          <w:iCs/>
        </w:rPr>
        <w:t>et al ,</w:t>
      </w:r>
      <w:r w:rsidR="001F2C39">
        <w:rPr>
          <w:rFonts w:cs="Arial"/>
        </w:rPr>
        <w:t>2023).</w:t>
      </w:r>
    </w:p>
    <w:p w14:paraId="1E6F6E19" w14:textId="0E2909D4" w:rsidR="009E2C2B" w:rsidRPr="009E2C2B" w:rsidRDefault="009E2C2B" w:rsidP="009E2C2B">
      <w:pPr>
        <w:ind w:firstLine="720"/>
        <w:rPr>
          <w:lang w:val="en-IN"/>
        </w:rPr>
      </w:pPr>
      <w:r w:rsidRPr="009E2C2B">
        <w:rPr>
          <w:lang w:val="en-IN"/>
        </w:rPr>
        <w:t xml:space="preserve">The </w:t>
      </w:r>
      <w:r w:rsidRPr="009E2C2B">
        <w:rPr>
          <w:b/>
          <w:bCs/>
          <w:lang w:val="en-IN"/>
        </w:rPr>
        <w:t>recognition of the model</w:t>
      </w:r>
      <w:r w:rsidRPr="009E2C2B">
        <w:rPr>
          <w:lang w:val="en-IN"/>
        </w:rPr>
        <w:t xml:space="preserve"> is a part of a broader level of societal shift that is moving away from the medical model towards the social model. In contrast to the medical model, social models frame disability as a product of social and environmental obstacles that hinder people with disabilities from being engaged fully with society</w:t>
      </w:r>
      <w:r w:rsidR="001F2C39">
        <w:rPr>
          <w:lang w:val="en-IN"/>
        </w:rPr>
        <w:t xml:space="preserve"> (</w:t>
      </w:r>
      <w:r w:rsidR="001F2C39" w:rsidRPr="00EA4F12">
        <w:rPr>
          <w:rFonts w:cs="Arial"/>
        </w:rPr>
        <w:t>Giri</w:t>
      </w:r>
      <w:r w:rsidR="001F2C39">
        <w:rPr>
          <w:lang w:val="en-IN"/>
        </w:rPr>
        <w:t xml:space="preserve"> </w:t>
      </w:r>
      <w:r w:rsidR="001F2C39">
        <w:rPr>
          <w:rFonts w:cs="Arial"/>
          <w:i/>
          <w:iCs/>
        </w:rPr>
        <w:t>et al ,</w:t>
      </w:r>
      <w:r w:rsidR="001F2C39">
        <w:rPr>
          <w:rFonts w:cs="Arial"/>
        </w:rPr>
        <w:t>2022).</w:t>
      </w:r>
      <w:r w:rsidRPr="009E2C2B">
        <w:rPr>
          <w:lang w:val="en-IN"/>
        </w:rPr>
        <w:t xml:space="preserve"> The implementation of social models emphasises the purpose of collective responsibility to remove the stigma and barrier in order to create an inclusive society for all. The overall system of policy making, the area of environmental changes and also the public health and equity focus on the area of rechecking the sustainable condition where people will be fully engaged with their community, irrespective of their physical obstacles</w:t>
      </w:r>
      <w:r w:rsidR="001F2C39">
        <w:rPr>
          <w:lang w:val="en-IN"/>
        </w:rPr>
        <w:t xml:space="preserve"> (</w:t>
      </w:r>
      <w:r w:rsidR="001F2C39" w:rsidRPr="00EA4F12">
        <w:rPr>
          <w:rFonts w:cs="Arial"/>
        </w:rPr>
        <w:t>Smith</w:t>
      </w:r>
      <w:r w:rsidR="001F2C39">
        <w:rPr>
          <w:rFonts w:cs="Arial"/>
          <w:i/>
          <w:iCs/>
        </w:rPr>
        <w:t xml:space="preserve"> et al ,</w:t>
      </w:r>
      <w:r w:rsidR="001F2C39">
        <w:rPr>
          <w:rFonts w:cs="Arial"/>
        </w:rPr>
        <w:t>2023)</w:t>
      </w:r>
      <w:r w:rsidRPr="009E2C2B">
        <w:rPr>
          <w:lang w:val="en-IN"/>
        </w:rPr>
        <w:t>.</w:t>
      </w:r>
    </w:p>
    <w:p w14:paraId="33DF7047" w14:textId="504B7E11" w:rsidR="009E2C2B" w:rsidRPr="009E2C2B" w:rsidRDefault="009E2C2B" w:rsidP="009E2C2B">
      <w:pPr>
        <w:ind w:firstLine="720"/>
        <w:rPr>
          <w:lang w:val="en-IN"/>
        </w:rPr>
      </w:pPr>
      <w:r w:rsidRPr="009E2C2B">
        <w:rPr>
          <w:lang w:val="en-IN"/>
        </w:rPr>
        <w:t xml:space="preserve">The overall purpose of </w:t>
      </w:r>
      <w:r w:rsidRPr="009E2C2B">
        <w:rPr>
          <w:b/>
          <w:bCs/>
          <w:lang w:val="en-IN"/>
        </w:rPr>
        <w:t>environmental adjustment</w:t>
      </w:r>
      <w:r w:rsidRPr="009E2C2B">
        <w:rPr>
          <w:lang w:val="en-IN"/>
        </w:rPr>
        <w:t xml:space="preserve"> is to create physical spaces to ensure accessibility, such as installing ramps for wheelchair users. The system to provide alternative information, the system of communication and information access, along with the use of sign language interpretation, are also impactful to ensure the full area of participation. The systematic term of treating a condition to support independence will eventually provide assistance for a person to learn the difficulties in order to stay in their own home instead of staying in a care home</w:t>
      </w:r>
      <w:r w:rsidR="001F2C39">
        <w:rPr>
          <w:lang w:val="en-IN"/>
        </w:rPr>
        <w:t xml:space="preserve"> (</w:t>
      </w:r>
      <w:r w:rsidR="001F2C39" w:rsidRPr="00EA4F12">
        <w:rPr>
          <w:rFonts w:cs="Arial"/>
        </w:rPr>
        <w:t>Hormazábal-Salgado</w:t>
      </w:r>
      <w:r w:rsidR="001F2C39" w:rsidRPr="001F2C39">
        <w:rPr>
          <w:rFonts w:cs="Arial"/>
          <w:i/>
          <w:iCs/>
        </w:rPr>
        <w:t xml:space="preserve"> </w:t>
      </w:r>
      <w:r w:rsidR="001F2C39">
        <w:rPr>
          <w:rFonts w:cs="Arial"/>
          <w:i/>
          <w:iCs/>
        </w:rPr>
        <w:t>et al ,</w:t>
      </w:r>
      <w:r w:rsidR="001F2C39">
        <w:rPr>
          <w:rFonts w:cs="Arial"/>
        </w:rPr>
        <w:t>2024</w:t>
      </w:r>
      <w:r w:rsidR="00AB2904">
        <w:rPr>
          <w:rFonts w:cs="Arial"/>
        </w:rPr>
        <w:t>).</w:t>
      </w:r>
      <w:r w:rsidR="00AB2904" w:rsidRPr="009E2C2B">
        <w:rPr>
          <w:lang w:val="en-IN"/>
        </w:rPr>
        <w:t xml:space="preserve"> The</w:t>
      </w:r>
      <w:r w:rsidRPr="009E2C2B">
        <w:rPr>
          <w:lang w:val="en-IN"/>
        </w:rPr>
        <w:t xml:space="preserve"> overall purpose of training healthcare professionals to recognise and remove societal barriers becomes impactful when considering a disabled person as a normal individual. The implementation of different policies protects the rights and promotes equity to ensure equal access to every service in society.</w:t>
      </w:r>
    </w:p>
    <w:p w14:paraId="1DE31A4E" w14:textId="419D5E55" w:rsidR="009E2C2B" w:rsidRPr="009E2C2B" w:rsidRDefault="009E2C2B" w:rsidP="009E2C2B">
      <w:pPr>
        <w:ind w:firstLine="720"/>
        <w:rPr>
          <w:lang w:val="en-IN"/>
        </w:rPr>
      </w:pPr>
      <w:r w:rsidRPr="009E2C2B">
        <w:rPr>
          <w:lang w:val="en-IN"/>
        </w:rPr>
        <w:t xml:space="preserve">There are some </w:t>
      </w:r>
      <w:r w:rsidRPr="009E2C2B">
        <w:rPr>
          <w:b/>
          <w:bCs/>
          <w:lang w:val="en-IN"/>
        </w:rPr>
        <w:t>practical challenges</w:t>
      </w:r>
      <w:r w:rsidRPr="009E2C2B">
        <w:rPr>
          <w:lang w:val="en-IN"/>
        </w:rPr>
        <w:t xml:space="preserve"> faced in the process of applying health and social care policy and practices. The area of austerity measurement and funding pressure limits the realisation of personalised support. The purpose of the policy promotes independence, while different kinds of restrictions are also faced due to a reduced budget</w:t>
      </w:r>
      <w:r w:rsidR="001F2C39">
        <w:rPr>
          <w:lang w:val="en-IN"/>
        </w:rPr>
        <w:t xml:space="preserve"> (</w:t>
      </w:r>
      <w:r w:rsidR="001F2C39" w:rsidRPr="00EA4F12">
        <w:rPr>
          <w:rFonts w:cs="Arial"/>
        </w:rPr>
        <w:t>Hurley</w:t>
      </w:r>
      <w:r w:rsidR="001F2C39">
        <w:rPr>
          <w:rFonts w:cs="Arial"/>
        </w:rPr>
        <w:t xml:space="preserve"> </w:t>
      </w:r>
      <w:r w:rsidR="001F2C39">
        <w:rPr>
          <w:rFonts w:cs="Arial"/>
          <w:i/>
          <w:iCs/>
        </w:rPr>
        <w:t xml:space="preserve">et al., </w:t>
      </w:r>
      <w:r w:rsidR="001F2C39">
        <w:rPr>
          <w:rFonts w:cs="Arial"/>
        </w:rPr>
        <w:t>2022)</w:t>
      </w:r>
      <w:r w:rsidRPr="009E2C2B">
        <w:rPr>
          <w:lang w:val="en-IN"/>
        </w:rPr>
        <w:t xml:space="preserve">. The shifting from the medical to the social systems often creates challenges in the maintenance of professional culture. A </w:t>
      </w:r>
      <w:r w:rsidRPr="009E2C2B">
        <w:rPr>
          <w:b/>
          <w:bCs/>
          <w:lang w:val="en-IN"/>
        </w:rPr>
        <w:t>risk-averse culture</w:t>
      </w:r>
      <w:r w:rsidRPr="009E2C2B">
        <w:rPr>
          <w:lang w:val="en-IN"/>
        </w:rPr>
        <w:t xml:space="preserve"> creates conflict with empowerment principles that eventually limit the autonomy in decision-making. Broader levels of social determinants create structural inequality, and that becomes challenging for the purpose of addressing the disabling barriers. Different types of cross-sector collaboration often become fragmented, focusing on the area of direct control of the health service. The shifting from the medical to the social model also faces conflict with the person-centred flexibility, where the health system relies on protocols and targeted performance</w:t>
      </w:r>
      <w:r w:rsidR="001F2C39">
        <w:rPr>
          <w:lang w:val="en-IN"/>
        </w:rPr>
        <w:t xml:space="preserve"> (</w:t>
      </w:r>
      <w:r w:rsidR="001F2C39" w:rsidRPr="00EA4F12">
        <w:rPr>
          <w:rFonts w:cs="Arial"/>
        </w:rPr>
        <w:t>Jesus</w:t>
      </w:r>
      <w:r w:rsidR="001F2C39">
        <w:rPr>
          <w:rFonts w:cs="Arial"/>
        </w:rPr>
        <w:t xml:space="preserve"> </w:t>
      </w:r>
      <w:r w:rsidR="001F2C39">
        <w:rPr>
          <w:rFonts w:cs="Arial"/>
          <w:i/>
          <w:iCs/>
        </w:rPr>
        <w:t xml:space="preserve">et al., </w:t>
      </w:r>
      <w:r w:rsidR="001F2C39">
        <w:rPr>
          <w:rFonts w:cs="Arial"/>
        </w:rPr>
        <w:t>2022)</w:t>
      </w:r>
      <w:r w:rsidRPr="009E2C2B">
        <w:rPr>
          <w:lang w:val="en-IN"/>
        </w:rPr>
        <w:t>. </w:t>
      </w:r>
    </w:p>
    <w:p w14:paraId="2C74D2E4" w14:textId="6BCE1F0A" w:rsidR="009E2C2B" w:rsidRPr="009E2C2B" w:rsidRDefault="009E2C2B" w:rsidP="009E2C2B">
      <w:pPr>
        <w:ind w:firstLine="720"/>
        <w:rPr>
          <w:lang w:val="en-IN"/>
        </w:rPr>
      </w:pPr>
      <w:r w:rsidRPr="009E2C2B">
        <w:rPr>
          <w:lang w:val="en-IN"/>
        </w:rPr>
        <w:t xml:space="preserve">It is recommended for health and social care to strengthen the application of the social model within the concept of person-centred care, following the adaptation of the </w:t>
      </w:r>
      <w:r w:rsidRPr="009E2C2B">
        <w:rPr>
          <w:b/>
          <w:bCs/>
          <w:lang w:val="en-IN"/>
        </w:rPr>
        <w:t>bio-psycho-social framework.</w:t>
      </w:r>
      <w:r w:rsidRPr="009E2C2B">
        <w:rPr>
          <w:lang w:val="en-IN"/>
        </w:rPr>
        <w:t xml:space="preserve"> The process to adapt this model will relate to the recognition of impairment and its effectiveness. The overall purpose to address social barriers, the system of promoting autonomy and also the purpose to avoid reductionism will eventually relate to the purpose of identifying the political strength of the social model. This process is associated with the concept of integrating medical and social perspectives instead of making them oppositional</w:t>
      </w:r>
      <w:r w:rsidR="001F2C39">
        <w:rPr>
          <w:lang w:val="en-IN"/>
        </w:rPr>
        <w:t xml:space="preserve"> (</w:t>
      </w:r>
      <w:r w:rsidR="001F2C39" w:rsidRPr="00EA4F12">
        <w:rPr>
          <w:rFonts w:cs="Arial"/>
        </w:rPr>
        <w:t>Hurley</w:t>
      </w:r>
      <w:r w:rsidR="001F2C39">
        <w:rPr>
          <w:rFonts w:cs="Arial"/>
        </w:rPr>
        <w:t xml:space="preserve"> </w:t>
      </w:r>
      <w:r w:rsidR="001F2C39">
        <w:rPr>
          <w:rFonts w:cs="Arial"/>
          <w:i/>
          <w:iCs/>
        </w:rPr>
        <w:t xml:space="preserve">et al., </w:t>
      </w:r>
      <w:r w:rsidR="001F2C39">
        <w:rPr>
          <w:rFonts w:cs="Arial"/>
        </w:rPr>
        <w:t>2022)</w:t>
      </w:r>
      <w:r w:rsidRPr="009E2C2B">
        <w:rPr>
          <w:lang w:val="en-IN"/>
        </w:rPr>
        <w:t>. </w:t>
      </w:r>
    </w:p>
    <w:p w14:paraId="18CB4348" w14:textId="240F7BA1" w:rsidR="009E2C2B" w:rsidRPr="009E2C2B" w:rsidRDefault="009E2C2B" w:rsidP="009E2C2B">
      <w:pPr>
        <w:ind w:firstLine="720"/>
        <w:rPr>
          <w:lang w:val="en-IN"/>
        </w:rPr>
      </w:pPr>
      <w:r w:rsidRPr="009E2C2B">
        <w:rPr>
          <w:lang w:val="en-IN"/>
        </w:rPr>
        <w:t xml:space="preserve">The </w:t>
      </w:r>
      <w:r w:rsidRPr="009E2C2B">
        <w:rPr>
          <w:b/>
          <w:bCs/>
          <w:lang w:val="en-IN"/>
        </w:rPr>
        <w:t>recommendation</w:t>
      </w:r>
      <w:r w:rsidRPr="009E2C2B">
        <w:rPr>
          <w:lang w:val="en-IN"/>
        </w:rPr>
        <w:t xml:space="preserve"> to strengthen the area of co-production will relate to the shared process of decision-making power, along with the inclusion of policy design. Remuneration for the experts, the purpose of dealing with genuine areas of structuring participation</w:t>
      </w:r>
      <w:r w:rsidR="001F2C39">
        <w:rPr>
          <w:lang w:val="en-IN"/>
        </w:rPr>
        <w:t xml:space="preserve"> (</w:t>
      </w:r>
      <w:r w:rsidR="001F2C39" w:rsidRPr="00EA4F12">
        <w:rPr>
          <w:rFonts w:cs="Arial"/>
        </w:rPr>
        <w:t>Jesus</w:t>
      </w:r>
      <w:r w:rsidR="001F2C39">
        <w:rPr>
          <w:rFonts w:cs="Arial"/>
        </w:rPr>
        <w:t xml:space="preserve"> </w:t>
      </w:r>
      <w:r w:rsidR="001F2C39">
        <w:rPr>
          <w:rFonts w:cs="Arial"/>
          <w:i/>
          <w:iCs/>
        </w:rPr>
        <w:t xml:space="preserve">et al., </w:t>
      </w:r>
      <w:r w:rsidR="001F2C39">
        <w:rPr>
          <w:rFonts w:cs="Arial"/>
        </w:rPr>
        <w:t>2022)</w:t>
      </w:r>
      <w:r w:rsidRPr="009E2C2B">
        <w:rPr>
          <w:lang w:val="en-IN"/>
        </w:rPr>
        <w:t>. </w:t>
      </w:r>
    </w:p>
    <w:p w14:paraId="48E0DB73" w14:textId="77777777" w:rsidR="009E2C2B" w:rsidRPr="009E2C2B" w:rsidRDefault="009E2C2B" w:rsidP="009E2C2B">
      <w:pPr>
        <w:ind w:firstLine="720"/>
        <w:rPr>
          <w:lang w:val="en-IN"/>
        </w:rPr>
      </w:pPr>
      <w:r w:rsidRPr="009E2C2B">
        <w:rPr>
          <w:lang w:val="en-IN"/>
        </w:rPr>
        <w:t xml:space="preserve">The purpose of investment, the system of accessibility, along with the estimation of workforce training become effective in terms of looking into healthcare professionals that require education and training. The </w:t>
      </w:r>
      <w:r w:rsidRPr="009E2C2B">
        <w:rPr>
          <w:b/>
          <w:bCs/>
          <w:lang w:val="en-IN"/>
        </w:rPr>
        <w:t>workforce training</w:t>
      </w:r>
      <w:r w:rsidRPr="009E2C2B">
        <w:rPr>
          <w:lang w:val="en-IN"/>
        </w:rPr>
        <w:t xml:space="preserve"> will help to challenge the assumption, promote the process of communication skills, along with the embedding of reasonable adjustment as a standard practice of Health and Social Care policy. The estimation of the social model of disability will be followed by the factors to promote accessibility and the area of proper work for training. The purpose of accessibility needs to be systematic instead of discretionary. </w:t>
      </w:r>
    </w:p>
    <w:p w14:paraId="754FB0C0" w14:textId="47AC76E3" w:rsidR="009E2C2B" w:rsidRPr="009E2C2B" w:rsidRDefault="009E2C2B" w:rsidP="009E2C2B">
      <w:pPr>
        <w:ind w:firstLine="720"/>
        <w:rPr>
          <w:lang w:val="en-IN"/>
        </w:rPr>
      </w:pPr>
      <w:r w:rsidRPr="009E2C2B">
        <w:rPr>
          <w:lang w:val="en-IN"/>
        </w:rPr>
        <w:t xml:space="preserve">It is advised by the </w:t>
      </w:r>
      <w:r w:rsidRPr="009E2C2B">
        <w:rPr>
          <w:b/>
          <w:bCs/>
          <w:lang w:val="en-IN"/>
        </w:rPr>
        <w:t>health and social care policy and practice</w:t>
      </w:r>
      <w:r w:rsidRPr="009E2C2B">
        <w:rPr>
          <w:lang w:val="en-IN"/>
        </w:rPr>
        <w:t xml:space="preserve"> to recognise the issues of disability that intersect with poverty, gender and ethnicity. The purpose of resource allocation needs to reflect the area of structural disadvantage rather than becoming solely individual for the purpose of assessment</w:t>
      </w:r>
      <w:r w:rsidR="00AB2904">
        <w:rPr>
          <w:lang w:val="en-IN"/>
        </w:rPr>
        <w:t xml:space="preserve"> (</w:t>
      </w:r>
      <w:r w:rsidR="00AB2904" w:rsidRPr="00EA4F12">
        <w:rPr>
          <w:rFonts w:cs="Arial"/>
        </w:rPr>
        <w:t>Gartner</w:t>
      </w:r>
      <w:r w:rsidR="00AB2904">
        <w:rPr>
          <w:rFonts w:cs="Arial"/>
        </w:rPr>
        <w:t xml:space="preserve"> </w:t>
      </w:r>
      <w:r w:rsidR="00AB2904">
        <w:rPr>
          <w:rFonts w:cs="Arial"/>
          <w:i/>
          <w:iCs/>
        </w:rPr>
        <w:t xml:space="preserve">et al., </w:t>
      </w:r>
      <w:r w:rsidR="00AB2904">
        <w:rPr>
          <w:rFonts w:cs="Arial"/>
        </w:rPr>
        <w:t>2022).</w:t>
      </w:r>
    </w:p>
    <w:p w14:paraId="0D3CBE1F" w14:textId="34865A0D" w:rsidR="009E2C2B" w:rsidRPr="009E2C2B" w:rsidRDefault="009E2C2B" w:rsidP="00AB2904">
      <w:pPr>
        <w:ind w:firstLine="720"/>
        <w:rPr>
          <w:lang w:val="en-IN"/>
        </w:rPr>
      </w:pPr>
      <w:r w:rsidRPr="009E2C2B">
        <w:rPr>
          <w:lang w:val="en-IN"/>
        </w:rPr>
        <w:t xml:space="preserve">The execution of </w:t>
      </w:r>
      <w:r w:rsidRPr="009E2C2B">
        <w:rPr>
          <w:b/>
          <w:bCs/>
          <w:lang w:val="en-IN"/>
        </w:rPr>
        <w:t>policy and framework,</w:t>
      </w:r>
      <w:r w:rsidRPr="009E2C2B">
        <w:rPr>
          <w:lang w:val="en-IN"/>
        </w:rPr>
        <w:t xml:space="preserve"> along with the practice of risk management, will be effective in terms of protecting rights within the risk management framework. The estimation of safeguarding, along with the maintenance of autonomy, should be reflected in the selection of policy to ensure the system of risk management in a proper way. It is also necessary to update the building codes and public service regulations to ensure the cognitive accessibility in hospitals and clinics, focusing on the well-being of physically disabled people</w:t>
      </w:r>
      <w:r w:rsidR="00AB2904">
        <w:rPr>
          <w:lang w:val="en-IN"/>
        </w:rPr>
        <w:t xml:space="preserve"> (</w:t>
      </w:r>
      <w:r w:rsidR="00AB2904" w:rsidRPr="00EA4F12">
        <w:rPr>
          <w:rFonts w:cs="Arial"/>
        </w:rPr>
        <w:t>Jesus</w:t>
      </w:r>
      <w:r w:rsidR="00AB2904">
        <w:rPr>
          <w:rFonts w:cs="Arial"/>
        </w:rPr>
        <w:t xml:space="preserve"> </w:t>
      </w:r>
      <w:r w:rsidR="00AB2904">
        <w:rPr>
          <w:rFonts w:cs="Arial"/>
          <w:i/>
          <w:iCs/>
        </w:rPr>
        <w:t xml:space="preserve">et al., </w:t>
      </w:r>
      <w:r w:rsidR="00AB2904">
        <w:rPr>
          <w:rFonts w:cs="Arial"/>
        </w:rPr>
        <w:t>2022)</w:t>
      </w:r>
      <w:r w:rsidRPr="009E2C2B">
        <w:rPr>
          <w:lang w:val="en-IN"/>
        </w:rPr>
        <w:t>. </w:t>
      </w:r>
    </w:p>
    <w:p w14:paraId="6E567537" w14:textId="241922DA" w:rsidR="009E2C2B" w:rsidRPr="009E2C2B" w:rsidRDefault="009E2C2B" w:rsidP="009E2C2B">
      <w:pPr>
        <w:ind w:firstLine="720"/>
        <w:rPr>
          <w:lang w:val="en-IN"/>
        </w:rPr>
      </w:pPr>
      <w:r w:rsidRPr="009E2C2B">
        <w:rPr>
          <w:lang w:val="en-IN"/>
        </w:rPr>
        <w:t xml:space="preserve">The enhancement of the </w:t>
      </w:r>
      <w:r w:rsidRPr="009E2C2B">
        <w:rPr>
          <w:b/>
          <w:bCs/>
          <w:lang w:val="en-IN"/>
        </w:rPr>
        <w:t>health care practices</w:t>
      </w:r>
      <w:r w:rsidRPr="009E2C2B">
        <w:rPr>
          <w:lang w:val="en-IN"/>
        </w:rPr>
        <w:t xml:space="preserve"> will be easier focusing the purpose to adopt person-centred care planning to look into the purpose of individualised and person-directed framework. The empowering purpose of self-determination, dignity of risk will be associated with the system of own care and lifestyle to practice the purpose of proper service delivery. The purpose of the </w:t>
      </w:r>
      <w:r w:rsidRPr="009E2C2B">
        <w:rPr>
          <w:b/>
          <w:bCs/>
          <w:lang w:val="en-IN"/>
        </w:rPr>
        <w:t xml:space="preserve">workforce and cultural </w:t>
      </w:r>
      <w:r w:rsidRPr="009E2C2B">
        <w:rPr>
          <w:lang w:val="en-IN"/>
        </w:rPr>
        <w:t>area will be enhanced through the implementation of social model training that relates to the purpose of showing distinction between impairment and disability. </w:t>
      </w:r>
    </w:p>
    <w:p w14:paraId="6398944F" w14:textId="77777777" w:rsidR="00AB2904" w:rsidRDefault="009E2C2B" w:rsidP="00AB2904">
      <w:pPr>
        <w:ind w:firstLine="720"/>
        <w:rPr>
          <w:lang w:val="en-IN"/>
        </w:rPr>
      </w:pPr>
      <w:r w:rsidRPr="009E2C2B">
        <w:rPr>
          <w:lang w:val="en-IN"/>
        </w:rPr>
        <w:t>It is culminated from the study that the social model of disability becomes transformative to reshape the understanding of disability from individual deficit to social oppression. The overall study helps in the estimation of the emergence of the concept along with the challenges to figure out the further way to develop the foundation and philosophy of person-centred care. The promoting area of autonomy, the part of participation and removal of the barriers are applied to the system of Health and social care policy to remove the challenges properly</w:t>
      </w:r>
      <w:r w:rsidR="00AB2904">
        <w:rPr>
          <w:lang w:val="en-IN"/>
        </w:rPr>
        <w:t xml:space="preserve"> (</w:t>
      </w:r>
      <w:r w:rsidR="00AB2904" w:rsidRPr="00EA4F12">
        <w:rPr>
          <w:rFonts w:cs="Arial"/>
        </w:rPr>
        <w:t>Hormazábal-Salgado</w:t>
      </w:r>
      <w:r w:rsidR="00AB2904" w:rsidRPr="001F2C39">
        <w:rPr>
          <w:rFonts w:cs="Arial"/>
          <w:i/>
          <w:iCs/>
        </w:rPr>
        <w:t xml:space="preserve"> </w:t>
      </w:r>
      <w:r w:rsidR="00AB2904">
        <w:rPr>
          <w:rFonts w:cs="Arial"/>
          <w:i/>
          <w:iCs/>
        </w:rPr>
        <w:t>et al ,</w:t>
      </w:r>
      <w:r w:rsidR="00AB2904">
        <w:rPr>
          <w:rFonts w:cs="Arial"/>
        </w:rPr>
        <w:t>2024)</w:t>
      </w:r>
      <w:r w:rsidRPr="009E2C2B">
        <w:rPr>
          <w:lang w:val="en-IN"/>
        </w:rPr>
        <w:t>. The overall estimation of the social model of disability remains as an essential framework to integrate the approach along with the maintenance of commitment to social justice. The proper implementation of Health and social care policy will be effective for the maintenance of person centre care with the right approach of practices.</w:t>
      </w:r>
    </w:p>
    <w:p w14:paraId="1853D6A1" w14:textId="6F7E8818" w:rsidR="004766CC" w:rsidRPr="00AB2904" w:rsidRDefault="004766CC" w:rsidP="00AB2904">
      <w:pPr>
        <w:ind w:firstLine="720"/>
        <w:rPr>
          <w:lang w:val="en-IN"/>
        </w:rPr>
      </w:pPr>
      <w:r>
        <w:br w:type="page"/>
      </w:r>
    </w:p>
    <w:p w14:paraId="73EE399C" w14:textId="58B44F52" w:rsidR="00130484" w:rsidRDefault="009D6087" w:rsidP="009D6087">
      <w:pPr>
        <w:pStyle w:val="Heading1"/>
      </w:pPr>
      <w:r>
        <w:t xml:space="preserve">References </w:t>
      </w:r>
    </w:p>
    <w:p w14:paraId="10B168DD" w14:textId="77777777" w:rsidR="009D6087" w:rsidRDefault="009D6087" w:rsidP="009D6087">
      <w:r w:rsidRPr="001B3514">
        <w:t xml:space="preserve">Ahmed, A., van den Muijsenbergh, M.E. and Vrijhoef, H.J. </w:t>
      </w:r>
      <w:r>
        <w:t>(</w:t>
      </w:r>
      <w:r w:rsidRPr="001B3514">
        <w:t>2022</w:t>
      </w:r>
      <w:r>
        <w:t>)</w:t>
      </w:r>
      <w:r w:rsidRPr="001B3514">
        <w:t xml:space="preserve"> </w:t>
      </w:r>
      <w:r>
        <w:t>‘</w:t>
      </w:r>
      <w:r w:rsidRPr="001B3514">
        <w:t>Person‐centred care in primary care: what works for whom, how and in what circumstances?</w:t>
      </w:r>
      <w:r>
        <w:t>’</w:t>
      </w:r>
      <w:r w:rsidRPr="001B3514">
        <w:t> </w:t>
      </w:r>
      <w:r w:rsidRPr="001B3514">
        <w:rPr>
          <w:i/>
          <w:iCs/>
        </w:rPr>
        <w:t>Health &amp; social care in the community</w:t>
      </w:r>
      <w:r w:rsidRPr="001B3514">
        <w:t>, </w:t>
      </w:r>
      <w:r w:rsidRPr="001B3514">
        <w:rPr>
          <w:i/>
          <w:iCs/>
        </w:rPr>
        <w:t>30</w:t>
      </w:r>
      <w:r w:rsidRPr="001B3514">
        <w:t xml:space="preserve">(6), pp. e3328-e3341. </w:t>
      </w:r>
      <w:r>
        <w:t xml:space="preserve">Available at: </w:t>
      </w:r>
      <w:r w:rsidRPr="001B3514">
        <w:rPr>
          <w:lang w:val="en-IN"/>
        </w:rPr>
        <w:t> </w:t>
      </w:r>
      <w:hyperlink r:id="rId7" w:history="1">
        <w:r w:rsidRPr="001B3514">
          <w:rPr>
            <w:rStyle w:val="Hyperlink"/>
            <w:b/>
            <w:bCs/>
            <w:lang w:val="en-IN"/>
          </w:rPr>
          <w:t>https://doi.org/10.1111/hsc.13913</w:t>
        </w:r>
      </w:hyperlink>
    </w:p>
    <w:p w14:paraId="011093FF" w14:textId="77777777" w:rsidR="009D6087" w:rsidRDefault="009D6087" w:rsidP="009D6087">
      <w:r w:rsidRPr="001B3514">
        <w:t xml:space="preserve">Ahn, S. and Yi, Y. </w:t>
      </w:r>
      <w:r>
        <w:t>(</w:t>
      </w:r>
      <w:r w:rsidRPr="001B3514">
        <w:t>2022</w:t>
      </w:r>
      <w:r>
        <w:t>)</w:t>
      </w:r>
      <w:r w:rsidRPr="001B3514">
        <w:t xml:space="preserve"> </w:t>
      </w:r>
      <w:r>
        <w:t>‘</w:t>
      </w:r>
      <w:r w:rsidRPr="001B3514">
        <w:t>Factors influencing mental health nurses in providing person-centred care.</w:t>
      </w:r>
      <w:r>
        <w:t>’</w:t>
      </w:r>
      <w:r w:rsidRPr="001B3514">
        <w:t> </w:t>
      </w:r>
      <w:r w:rsidRPr="001B3514">
        <w:rPr>
          <w:i/>
          <w:iCs/>
        </w:rPr>
        <w:t>Nursing ethics</w:t>
      </w:r>
      <w:r w:rsidRPr="001B3514">
        <w:t>, </w:t>
      </w:r>
      <w:r w:rsidRPr="001B3514">
        <w:rPr>
          <w:i/>
          <w:iCs/>
        </w:rPr>
        <w:t>29</w:t>
      </w:r>
      <w:r w:rsidRPr="001B3514">
        <w:t xml:space="preserve">(6), pp.1491-1502. </w:t>
      </w:r>
      <w:r>
        <w:t xml:space="preserve">Available at: </w:t>
      </w:r>
      <w:hyperlink r:id="rId8" w:history="1">
        <w:r w:rsidRPr="001B3514">
          <w:rPr>
            <w:rStyle w:val="Hyperlink"/>
          </w:rPr>
          <w:t>https://doi.org/10.1177/09697330221089076</w:t>
        </w:r>
      </w:hyperlink>
      <w:r>
        <w:t xml:space="preserve"> </w:t>
      </w:r>
    </w:p>
    <w:p w14:paraId="740A4978" w14:textId="77777777" w:rsidR="009D6087" w:rsidRDefault="009D6087" w:rsidP="009D6087">
      <w:r w:rsidRPr="00E417C5">
        <w:t xml:space="preserve">Andrews, E.E., Powell, R.M. and Ayers, K. </w:t>
      </w:r>
      <w:r>
        <w:t>(</w:t>
      </w:r>
      <w:r w:rsidRPr="00E417C5">
        <w:t>2022</w:t>
      </w:r>
      <w:r>
        <w:t>)</w:t>
      </w:r>
      <w:r w:rsidRPr="00E417C5">
        <w:t xml:space="preserve"> </w:t>
      </w:r>
      <w:r>
        <w:t>‘</w:t>
      </w:r>
      <w:r w:rsidRPr="00E417C5">
        <w:t>The evolution of disability language: Choosing terms to describe disability.</w:t>
      </w:r>
      <w:r>
        <w:t>’</w:t>
      </w:r>
      <w:r w:rsidRPr="00E417C5">
        <w:t> </w:t>
      </w:r>
      <w:r w:rsidRPr="00E417C5">
        <w:rPr>
          <w:i/>
          <w:iCs/>
        </w:rPr>
        <w:t>Disability and health journal</w:t>
      </w:r>
      <w:r w:rsidRPr="00E417C5">
        <w:t>, </w:t>
      </w:r>
      <w:r w:rsidRPr="00E417C5">
        <w:rPr>
          <w:i/>
          <w:iCs/>
        </w:rPr>
        <w:t>15</w:t>
      </w:r>
      <w:r w:rsidRPr="00E417C5">
        <w:t xml:space="preserve">(3), p.101328. </w:t>
      </w:r>
      <w:r>
        <w:t xml:space="preserve">Available at: </w:t>
      </w:r>
      <w:hyperlink r:id="rId9" w:tgtFrame="_blank" w:tooltip="Persistent link using digital object identifier" w:history="1">
        <w:r w:rsidRPr="00E417C5">
          <w:rPr>
            <w:rStyle w:val="Hyperlink"/>
          </w:rPr>
          <w:t>https://doi.org/10.1016/j.dhjo.2022.101328</w:t>
        </w:r>
      </w:hyperlink>
      <w:r>
        <w:t xml:space="preserve"> </w:t>
      </w:r>
    </w:p>
    <w:p w14:paraId="49B16466" w14:textId="77777777" w:rsidR="009D6087" w:rsidRDefault="009D6087" w:rsidP="009D6087">
      <w:r w:rsidRPr="00F35F6D">
        <w:t xml:space="preserve">Collins, A., Rentschler, R., Williams, K. and Azmat, F. </w:t>
      </w:r>
      <w:r>
        <w:t>(</w:t>
      </w:r>
      <w:r w:rsidRPr="00F35F6D">
        <w:t>2022</w:t>
      </w:r>
      <w:r>
        <w:t>)</w:t>
      </w:r>
      <w:r w:rsidRPr="00F35F6D">
        <w:t xml:space="preserve"> </w:t>
      </w:r>
      <w:r>
        <w:t>‘</w:t>
      </w:r>
      <w:r w:rsidRPr="00F35F6D">
        <w:t>Exploring barriers to social inclusion for disabled people: perspectives from the performing arts.</w:t>
      </w:r>
      <w:r>
        <w:t>’</w:t>
      </w:r>
      <w:r w:rsidRPr="00F35F6D">
        <w:t> </w:t>
      </w:r>
      <w:r w:rsidRPr="00F35F6D">
        <w:rPr>
          <w:i/>
          <w:iCs/>
        </w:rPr>
        <w:t>Journal of management &amp; organization</w:t>
      </w:r>
      <w:r w:rsidRPr="00F35F6D">
        <w:t>, </w:t>
      </w:r>
      <w:r w:rsidRPr="00F35F6D">
        <w:rPr>
          <w:i/>
          <w:iCs/>
        </w:rPr>
        <w:t>28</w:t>
      </w:r>
      <w:r w:rsidRPr="00F35F6D">
        <w:t xml:space="preserve">(2), pp.308-328. </w:t>
      </w:r>
      <w:r>
        <w:t xml:space="preserve">Available at: </w:t>
      </w:r>
      <w:hyperlink r:id="rId10" w:tgtFrame="_blank" w:history="1">
        <w:r w:rsidRPr="00F35F6D">
          <w:rPr>
            <w:rStyle w:val="Hyperlink"/>
          </w:rPr>
          <w:t>https://doi.org/10.1017/jmo.2021.48</w:t>
        </w:r>
      </w:hyperlink>
      <w:r>
        <w:t xml:space="preserve"> </w:t>
      </w:r>
    </w:p>
    <w:p w14:paraId="35658056" w14:textId="77777777" w:rsidR="009D6087" w:rsidRDefault="009D6087" w:rsidP="009D6087">
      <w:r w:rsidRPr="001B3514">
        <w:t xml:space="preserve">Ekman, I. </w:t>
      </w:r>
      <w:r>
        <w:t>(</w:t>
      </w:r>
      <w:r w:rsidRPr="001B3514">
        <w:t>2022</w:t>
      </w:r>
      <w:r>
        <w:t>)</w:t>
      </w:r>
      <w:r w:rsidRPr="001B3514">
        <w:t xml:space="preserve"> </w:t>
      </w:r>
      <w:r>
        <w:t>‘</w:t>
      </w:r>
      <w:r w:rsidRPr="001B3514">
        <w:t>Practising the ethics of person‐centred care balancing ethical conviction and moral obligations.</w:t>
      </w:r>
      <w:r>
        <w:t>’</w:t>
      </w:r>
      <w:r w:rsidRPr="001B3514">
        <w:t> </w:t>
      </w:r>
      <w:r w:rsidRPr="001B3514">
        <w:rPr>
          <w:i/>
          <w:iCs/>
        </w:rPr>
        <w:t>Nursing philosophy</w:t>
      </w:r>
      <w:r w:rsidRPr="001B3514">
        <w:t>, </w:t>
      </w:r>
      <w:r w:rsidRPr="001B3514">
        <w:rPr>
          <w:i/>
          <w:iCs/>
        </w:rPr>
        <w:t>23</w:t>
      </w:r>
      <w:r w:rsidRPr="001B3514">
        <w:t>(3), p.e12382.</w:t>
      </w:r>
      <w:r>
        <w:t xml:space="preserve"> Available at: </w:t>
      </w:r>
      <w:hyperlink r:id="rId11" w:history="1">
        <w:r w:rsidRPr="001B3514">
          <w:rPr>
            <w:rStyle w:val="Hyperlink"/>
            <w:b/>
            <w:bCs/>
          </w:rPr>
          <w:t>https://doi.org/10.1111/nup.12382Digital Object Identifier (DOI)</w:t>
        </w:r>
      </w:hyperlink>
    </w:p>
    <w:p w14:paraId="11F93092" w14:textId="77777777" w:rsidR="009D6087" w:rsidRPr="00522B03" w:rsidRDefault="009D6087" w:rsidP="009D6087">
      <w:pPr>
        <w:rPr>
          <w:lang w:val="en-IN"/>
        </w:rPr>
      </w:pPr>
      <w:r w:rsidRPr="003F609D">
        <w:t xml:space="preserve">Gartner, J.B., Abasse, K.S., Bergeron, F., Landa, P., Lemaire, C. and Cote, A. </w:t>
      </w:r>
      <w:r>
        <w:t>(</w:t>
      </w:r>
      <w:r w:rsidRPr="003F609D">
        <w:t>2022</w:t>
      </w:r>
      <w:r>
        <w:t>)</w:t>
      </w:r>
      <w:r w:rsidRPr="003F609D">
        <w:t xml:space="preserve"> </w:t>
      </w:r>
      <w:r>
        <w:t>‘</w:t>
      </w:r>
      <w:r w:rsidRPr="003F609D">
        <w:t>Definition and conceptualization of the patient-centered care pathway, a proposed integrative framework for consensus: a concept analysis and systematic review.</w:t>
      </w:r>
      <w:r>
        <w:t>’</w:t>
      </w:r>
      <w:r w:rsidRPr="003F609D">
        <w:t> </w:t>
      </w:r>
      <w:r w:rsidRPr="003F609D">
        <w:rPr>
          <w:i/>
          <w:iCs/>
        </w:rPr>
        <w:t>BMC health services research</w:t>
      </w:r>
      <w:r w:rsidRPr="003F609D">
        <w:t>, </w:t>
      </w:r>
      <w:r w:rsidRPr="003F609D">
        <w:rPr>
          <w:i/>
          <w:iCs/>
        </w:rPr>
        <w:t>22</w:t>
      </w:r>
      <w:r w:rsidRPr="003F609D">
        <w:t xml:space="preserve">(1), p.558. </w:t>
      </w:r>
      <w:r>
        <w:t xml:space="preserve">Available at: </w:t>
      </w:r>
      <w:hyperlink r:id="rId12" w:history="1">
        <w:r w:rsidRPr="007F0A9D">
          <w:rPr>
            <w:rStyle w:val="Hyperlink"/>
          </w:rPr>
          <w:t>https://link.springer.com/article/10.1186/s12913-022-07960-0</w:t>
        </w:r>
      </w:hyperlink>
      <w:r>
        <w:t xml:space="preserve"> </w:t>
      </w:r>
    </w:p>
    <w:p w14:paraId="1FC915E7" w14:textId="77777777" w:rsidR="009D6087" w:rsidRDefault="009D6087" w:rsidP="009D6087">
      <w:r w:rsidRPr="00522B03">
        <w:t xml:space="preserve">Giri, A., Aylott, J., Giri, P., Ferguson‐Wormley, S. and Evans, J. </w:t>
      </w:r>
      <w:r>
        <w:t>(</w:t>
      </w:r>
      <w:r w:rsidRPr="00522B03">
        <w:t>2022</w:t>
      </w:r>
      <w:r>
        <w:t>)</w:t>
      </w:r>
      <w:r w:rsidRPr="00522B03">
        <w:t xml:space="preserve"> </w:t>
      </w:r>
      <w:r>
        <w:t>‘</w:t>
      </w:r>
      <w:r w:rsidRPr="00522B03">
        <w:t>Lived experience and the social model of disability: conflicted and inter‐dependent ambitions for employment of people with a learning disability and their family carers.</w:t>
      </w:r>
      <w:r>
        <w:t>’</w:t>
      </w:r>
      <w:r w:rsidRPr="00522B03">
        <w:t> </w:t>
      </w:r>
      <w:r w:rsidRPr="00522B03">
        <w:rPr>
          <w:i/>
          <w:iCs/>
        </w:rPr>
        <w:t>British Journal of Learning Disabilities</w:t>
      </w:r>
      <w:r w:rsidRPr="00522B03">
        <w:t>, </w:t>
      </w:r>
      <w:r w:rsidRPr="00522B03">
        <w:rPr>
          <w:i/>
          <w:iCs/>
        </w:rPr>
        <w:t>50</w:t>
      </w:r>
      <w:r w:rsidRPr="00522B03">
        <w:t xml:space="preserve">(1), pp.98-106. </w:t>
      </w:r>
      <w:r>
        <w:t>Available at:</w:t>
      </w:r>
      <w:r w:rsidRPr="00522B03">
        <w:rPr>
          <w:lang w:val="en-IN"/>
        </w:rPr>
        <w:t> </w:t>
      </w:r>
      <w:hyperlink r:id="rId13" w:history="1">
        <w:r w:rsidRPr="00522B03">
          <w:rPr>
            <w:rStyle w:val="Hyperlink"/>
            <w:b/>
            <w:bCs/>
            <w:lang w:val="en-IN"/>
          </w:rPr>
          <w:t>https://doi.org/10.1111/bld.12378Digital Object Identifier (DOI)</w:t>
        </w:r>
      </w:hyperlink>
    </w:p>
    <w:p w14:paraId="0059EFA0" w14:textId="77777777" w:rsidR="009D6087" w:rsidRDefault="009D6087" w:rsidP="009D6087">
      <w:r w:rsidRPr="001B3514">
        <w:t xml:space="preserve">Grover, S., Fitzpatrick, A., Azim, F.T., Ariza-Vega, P., Bellwood, P., Burns, J., Burton, E., Fleig, L., Clemson, L., Hoppmann, C.A. and Madden, K.M. </w:t>
      </w:r>
      <w:r>
        <w:t>(</w:t>
      </w:r>
      <w:r w:rsidRPr="001B3514">
        <w:t>2022</w:t>
      </w:r>
      <w:r>
        <w:t>)</w:t>
      </w:r>
      <w:r w:rsidRPr="001B3514">
        <w:t xml:space="preserve"> </w:t>
      </w:r>
      <w:r>
        <w:t>‘</w:t>
      </w:r>
      <w:r w:rsidRPr="001B3514">
        <w:t>Defining and implementing patient-centered care: An umbrella review.</w:t>
      </w:r>
      <w:r>
        <w:t>’</w:t>
      </w:r>
      <w:r w:rsidRPr="001B3514">
        <w:t> </w:t>
      </w:r>
      <w:r w:rsidRPr="001B3514">
        <w:rPr>
          <w:i/>
          <w:iCs/>
        </w:rPr>
        <w:t>Patient education and counseling</w:t>
      </w:r>
      <w:r w:rsidRPr="001B3514">
        <w:t>, </w:t>
      </w:r>
      <w:r w:rsidRPr="001B3514">
        <w:rPr>
          <w:i/>
          <w:iCs/>
        </w:rPr>
        <w:t>105</w:t>
      </w:r>
      <w:r w:rsidRPr="001B3514">
        <w:t xml:space="preserve">(7), pp.1679-1688. </w:t>
      </w:r>
      <w:r>
        <w:t xml:space="preserve">Available at: </w:t>
      </w:r>
      <w:hyperlink r:id="rId14" w:tgtFrame="_blank" w:tooltip="Persistent link using digital object identifier" w:history="1">
        <w:r w:rsidRPr="001B3514">
          <w:rPr>
            <w:rStyle w:val="Hyperlink"/>
          </w:rPr>
          <w:t>https://doi.org/10.1016/j.pec.2021.11.004</w:t>
        </w:r>
      </w:hyperlink>
      <w:r>
        <w:t xml:space="preserve"> </w:t>
      </w:r>
    </w:p>
    <w:p w14:paraId="154A8327" w14:textId="77777777" w:rsidR="009D6087" w:rsidRPr="00EE1BD0" w:rsidRDefault="009D6087" w:rsidP="009D6087">
      <w:pPr>
        <w:rPr>
          <w:lang w:val="en-IN"/>
        </w:rPr>
      </w:pPr>
      <w:r w:rsidRPr="00EE1BD0">
        <w:t xml:space="preserve">Hormazábal-Salgado, R., Whitehead, D., Osman, A.D. and Hills, D. </w:t>
      </w:r>
      <w:r>
        <w:t>(</w:t>
      </w:r>
      <w:r w:rsidRPr="00EE1BD0">
        <w:t>2024</w:t>
      </w:r>
      <w:r>
        <w:t>)</w:t>
      </w:r>
      <w:r w:rsidRPr="00EE1BD0">
        <w:t xml:space="preserve"> </w:t>
      </w:r>
      <w:r>
        <w:t>‘</w:t>
      </w:r>
      <w:r w:rsidRPr="00EE1BD0">
        <w:t>Person-centred decision-making in mental health: A scoping review.</w:t>
      </w:r>
      <w:r>
        <w:t>’</w:t>
      </w:r>
      <w:r w:rsidRPr="00EE1BD0">
        <w:t> </w:t>
      </w:r>
      <w:r w:rsidRPr="00EE1BD0">
        <w:rPr>
          <w:i/>
          <w:iCs/>
        </w:rPr>
        <w:t>Issues in Mental Health Nursing</w:t>
      </w:r>
      <w:r w:rsidRPr="00EE1BD0">
        <w:t>, </w:t>
      </w:r>
      <w:r w:rsidRPr="00EE1BD0">
        <w:rPr>
          <w:i/>
          <w:iCs/>
        </w:rPr>
        <w:t>45</w:t>
      </w:r>
      <w:r w:rsidRPr="00EE1BD0">
        <w:t xml:space="preserve">(3), pp.294-310. </w:t>
      </w:r>
      <w:r>
        <w:t>Available at:</w:t>
      </w:r>
      <w:r>
        <w:rPr>
          <w:lang w:val="en-IN"/>
        </w:rPr>
        <w:t xml:space="preserve"> </w:t>
      </w:r>
      <w:hyperlink r:id="rId15" w:history="1">
        <w:r w:rsidRPr="00EE1BD0">
          <w:rPr>
            <w:rStyle w:val="Hyperlink"/>
            <w:lang w:val="en-IN"/>
          </w:rPr>
          <w:t>https://doi.org/10.1080/01612840.2023.2288181</w:t>
        </w:r>
      </w:hyperlink>
    </w:p>
    <w:p w14:paraId="66962138" w14:textId="77777777" w:rsidR="009D6087" w:rsidRDefault="009D6087" w:rsidP="009D6087">
      <w:pPr>
        <w:rPr>
          <w:lang w:val="en-IN"/>
        </w:rPr>
      </w:pPr>
      <w:r w:rsidRPr="00EE1BD0">
        <w:t xml:space="preserve">Hurley, J., Lakeman, R., Linsley, P., Ramsay, M. and Mckenna‐Lawson, S. </w:t>
      </w:r>
      <w:r>
        <w:t>(</w:t>
      </w:r>
      <w:r w:rsidRPr="00EE1BD0">
        <w:t>2022</w:t>
      </w:r>
      <w:r>
        <w:t>)</w:t>
      </w:r>
      <w:r w:rsidRPr="00EE1BD0">
        <w:t xml:space="preserve"> </w:t>
      </w:r>
      <w:r>
        <w:t>‘</w:t>
      </w:r>
      <w:r w:rsidRPr="00EE1BD0">
        <w:t>Utilizing the mental health nursing workforce: A scoping review of mental health nursing clinical roles and identities.</w:t>
      </w:r>
      <w:r>
        <w:t>’</w:t>
      </w:r>
      <w:r w:rsidRPr="00EE1BD0">
        <w:t> </w:t>
      </w:r>
      <w:r w:rsidRPr="00EE1BD0">
        <w:rPr>
          <w:i/>
          <w:iCs/>
        </w:rPr>
        <w:t>International journal of mental health nursing</w:t>
      </w:r>
      <w:r w:rsidRPr="00EE1BD0">
        <w:t>, </w:t>
      </w:r>
      <w:r w:rsidRPr="00EE1BD0">
        <w:rPr>
          <w:i/>
          <w:iCs/>
        </w:rPr>
        <w:t>31</w:t>
      </w:r>
      <w:r w:rsidRPr="00EE1BD0">
        <w:t xml:space="preserve">(4), pp.796-822. </w:t>
      </w:r>
      <w:r>
        <w:t xml:space="preserve">Available at: </w:t>
      </w:r>
      <w:hyperlink r:id="rId16" w:history="1">
        <w:r w:rsidRPr="00EE1BD0">
          <w:rPr>
            <w:rStyle w:val="Hyperlink"/>
            <w:b/>
            <w:bCs/>
          </w:rPr>
          <w:t>https://doi.org/10.1111/inm.12983Digital Object Identifier (DOI)</w:t>
        </w:r>
      </w:hyperlink>
    </w:p>
    <w:p w14:paraId="28855671" w14:textId="77777777" w:rsidR="009D6087" w:rsidRDefault="009D6087" w:rsidP="009D6087">
      <w:r w:rsidRPr="001B3514">
        <w:t xml:space="preserve">Isler, C., Maddigan, J., Moralejo, D., Gaudine, A., Burry, R., Deep, A. and Mariathas, H. </w:t>
      </w:r>
      <w:r>
        <w:t>(</w:t>
      </w:r>
      <w:r w:rsidRPr="001B3514">
        <w:t>2025</w:t>
      </w:r>
      <w:r>
        <w:t>)</w:t>
      </w:r>
      <w:r w:rsidRPr="001B3514">
        <w:t xml:space="preserve"> </w:t>
      </w:r>
      <w:r>
        <w:t>‘</w:t>
      </w:r>
      <w:r w:rsidRPr="001B3514">
        <w:t>The Person‐Centred Care Practices of Mental Health Nurses: A Cross‐Sectional Study.</w:t>
      </w:r>
      <w:r>
        <w:t>’</w:t>
      </w:r>
      <w:r w:rsidRPr="001B3514">
        <w:t> </w:t>
      </w:r>
      <w:r w:rsidRPr="001B3514">
        <w:rPr>
          <w:i/>
          <w:iCs/>
        </w:rPr>
        <w:t>Journal of Psychiatric and Mental Health Nursing</w:t>
      </w:r>
      <w:r w:rsidRPr="001B3514">
        <w:t>, </w:t>
      </w:r>
      <w:r w:rsidRPr="001B3514">
        <w:rPr>
          <w:i/>
          <w:iCs/>
        </w:rPr>
        <w:t>32</w:t>
      </w:r>
      <w:r w:rsidRPr="001B3514">
        <w:t xml:space="preserve">(6), pp.1392-1403. </w:t>
      </w:r>
      <w:r>
        <w:t xml:space="preserve">Available at: </w:t>
      </w:r>
      <w:hyperlink r:id="rId17" w:history="1">
        <w:r w:rsidRPr="001B3514">
          <w:rPr>
            <w:rStyle w:val="Hyperlink"/>
            <w:b/>
            <w:bCs/>
          </w:rPr>
          <w:t>https://doi.org/10.1111/jpm.70033</w:t>
        </w:r>
      </w:hyperlink>
      <w:r>
        <w:t xml:space="preserve"> </w:t>
      </w:r>
    </w:p>
    <w:p w14:paraId="1E51E4BA" w14:textId="77777777" w:rsidR="009D6087" w:rsidRDefault="009D6087" w:rsidP="009D6087">
      <w:r w:rsidRPr="00EE1BD0">
        <w:t xml:space="preserve">Jesus, T.S., Papadimitriou, C., Bright, F.A., Kayes, N.M., Pinho, C.S. and Cott, C.A. </w:t>
      </w:r>
      <w:r>
        <w:t>(</w:t>
      </w:r>
      <w:r w:rsidRPr="00EE1BD0">
        <w:t>2022</w:t>
      </w:r>
      <w:r>
        <w:t>)</w:t>
      </w:r>
      <w:r w:rsidRPr="00EE1BD0">
        <w:t xml:space="preserve"> </w:t>
      </w:r>
      <w:r>
        <w:t>‘</w:t>
      </w:r>
      <w:r w:rsidRPr="00EE1BD0">
        <w:t>Person-centered rehabilitation model: framing the concept and practice of person-centered adult physical rehabilitation based on a scoping review and thematic analysis of the literature.</w:t>
      </w:r>
      <w:r>
        <w:t>’</w:t>
      </w:r>
      <w:r w:rsidRPr="00EE1BD0">
        <w:t> </w:t>
      </w:r>
      <w:r w:rsidRPr="00EE1BD0">
        <w:rPr>
          <w:i/>
          <w:iCs/>
        </w:rPr>
        <w:t>Archives of Physical Medicine and Rehabilitation</w:t>
      </w:r>
      <w:r w:rsidRPr="00EE1BD0">
        <w:t>, </w:t>
      </w:r>
      <w:r w:rsidRPr="00EE1BD0">
        <w:rPr>
          <w:i/>
          <w:iCs/>
        </w:rPr>
        <w:t>103</w:t>
      </w:r>
      <w:r w:rsidRPr="00EE1BD0">
        <w:t xml:space="preserve">(1), pp.106-120. </w:t>
      </w:r>
      <w:r>
        <w:t xml:space="preserve">Available at: </w:t>
      </w:r>
      <w:hyperlink r:id="rId18" w:tgtFrame="_blank" w:tooltip="Persistent link using digital object identifier" w:history="1">
        <w:r w:rsidRPr="00EE1BD0">
          <w:rPr>
            <w:rStyle w:val="Hyperlink"/>
          </w:rPr>
          <w:t>https://doi.org/10.1016/j.apmr.2021.05.005</w:t>
        </w:r>
      </w:hyperlink>
      <w:r>
        <w:t xml:space="preserve"> </w:t>
      </w:r>
    </w:p>
    <w:p w14:paraId="46C06579" w14:textId="77777777" w:rsidR="009D6087" w:rsidRDefault="009D6087" w:rsidP="009D6087">
      <w:r w:rsidRPr="00522B03">
        <w:t xml:space="preserve">Kanagasingam, D., Hurd, L. and Norman, M. </w:t>
      </w:r>
      <w:r>
        <w:t>(</w:t>
      </w:r>
      <w:r w:rsidRPr="00522B03">
        <w:t>2023</w:t>
      </w:r>
      <w:r>
        <w:t>)</w:t>
      </w:r>
      <w:r w:rsidRPr="00522B03">
        <w:t xml:space="preserve"> </w:t>
      </w:r>
      <w:r>
        <w:t>‘</w:t>
      </w:r>
      <w:r w:rsidRPr="00522B03">
        <w:t>Integrating person-centred care and social justice: a model for practice with larger-bodied patients.</w:t>
      </w:r>
      <w:r>
        <w:t>’</w:t>
      </w:r>
      <w:r w:rsidRPr="00522B03">
        <w:t> </w:t>
      </w:r>
      <w:r w:rsidRPr="00522B03">
        <w:rPr>
          <w:i/>
          <w:iCs/>
        </w:rPr>
        <w:t>Medical Humanities</w:t>
      </w:r>
      <w:r w:rsidRPr="00522B03">
        <w:t>, </w:t>
      </w:r>
      <w:r w:rsidRPr="00522B03">
        <w:rPr>
          <w:i/>
          <w:iCs/>
        </w:rPr>
        <w:t>49</w:t>
      </w:r>
      <w:r w:rsidRPr="00522B03">
        <w:t xml:space="preserve">(3), pp.436-446. </w:t>
      </w:r>
      <w:r>
        <w:t xml:space="preserve">Available at: </w:t>
      </w:r>
      <w:hyperlink r:id="rId19" w:tgtFrame="_new" w:history="1">
        <w:r w:rsidRPr="00522B03">
          <w:rPr>
            <w:rStyle w:val="Hyperlink"/>
          </w:rPr>
          <w:t>https://doi.org/10.1136/medhum-2021-012351</w:t>
        </w:r>
      </w:hyperlink>
      <w:r>
        <w:t xml:space="preserve"> </w:t>
      </w:r>
    </w:p>
    <w:p w14:paraId="5E01ABBF" w14:textId="77777777" w:rsidR="009D6087" w:rsidRDefault="009D6087" w:rsidP="009D6087">
      <w:r w:rsidRPr="00F35F6D">
        <w:t xml:space="preserve">Oliver, M. </w:t>
      </w:r>
      <w:r>
        <w:t>(</w:t>
      </w:r>
      <w:r w:rsidRPr="00F35F6D">
        <w:t>2023</w:t>
      </w:r>
      <w:r>
        <w:t>)</w:t>
      </w:r>
      <w:r w:rsidRPr="00F35F6D">
        <w:t xml:space="preserve"> The social model of disability. In </w:t>
      </w:r>
      <w:r w:rsidRPr="00F35F6D">
        <w:rPr>
          <w:i/>
          <w:iCs/>
        </w:rPr>
        <w:t>Social work</w:t>
      </w:r>
      <w:r w:rsidRPr="00F35F6D">
        <w:t> (pp. 137-140). Routledge.</w:t>
      </w:r>
    </w:p>
    <w:p w14:paraId="0126A199" w14:textId="77777777" w:rsidR="009D6087" w:rsidRDefault="009D6087" w:rsidP="009D6087">
      <w:r w:rsidRPr="001B3514">
        <w:t xml:space="preserve">Patel, V., Saxena, S., Lund, C., Kohrt, B., Kieling, C., Sunkel, C., Kola, L., Chang, O., Charlson, F., O’Neill, K. and Herrman, H. </w:t>
      </w:r>
      <w:r>
        <w:t>(</w:t>
      </w:r>
      <w:r w:rsidRPr="001B3514">
        <w:t>2023</w:t>
      </w:r>
      <w:r>
        <w:t>)</w:t>
      </w:r>
      <w:r w:rsidRPr="001B3514">
        <w:t xml:space="preserve"> </w:t>
      </w:r>
      <w:r>
        <w:t>‘</w:t>
      </w:r>
      <w:r w:rsidRPr="001B3514">
        <w:t>Transforming mental health systems globally: principles and policy recommendations.</w:t>
      </w:r>
      <w:r>
        <w:t>’</w:t>
      </w:r>
      <w:r w:rsidRPr="001B3514">
        <w:t> </w:t>
      </w:r>
      <w:r w:rsidRPr="001B3514">
        <w:rPr>
          <w:i/>
          <w:iCs/>
        </w:rPr>
        <w:t>The Lancet</w:t>
      </w:r>
      <w:r w:rsidRPr="001B3514">
        <w:t>, </w:t>
      </w:r>
      <w:r w:rsidRPr="001B3514">
        <w:rPr>
          <w:i/>
          <w:iCs/>
        </w:rPr>
        <w:t>402</w:t>
      </w:r>
      <w:r w:rsidRPr="001B3514">
        <w:t xml:space="preserve">(10402), pp.656-666. </w:t>
      </w:r>
      <w:r>
        <w:t xml:space="preserve">Available at: </w:t>
      </w:r>
      <w:hyperlink r:id="rId20" w:history="1">
        <w:r w:rsidRPr="007F0A9D">
          <w:rPr>
            <w:rStyle w:val="Hyperlink"/>
          </w:rPr>
          <w:t>https://www.thelancet.com/journals/lancet/article/PIIS0140-6736(23)00918-2/abstract</w:t>
        </w:r>
      </w:hyperlink>
      <w:r>
        <w:t xml:space="preserve"> [Accessed on: 03.03.2026.]</w:t>
      </w:r>
    </w:p>
    <w:p w14:paraId="42120A94" w14:textId="77777777" w:rsidR="009D6087" w:rsidRDefault="009D6087" w:rsidP="009D6087">
      <w:r w:rsidRPr="001B3514">
        <w:t xml:space="preserve">Sharkiya, S.H. </w:t>
      </w:r>
      <w:r>
        <w:t>(</w:t>
      </w:r>
      <w:r w:rsidRPr="001B3514">
        <w:t>2023</w:t>
      </w:r>
      <w:r>
        <w:t>)</w:t>
      </w:r>
      <w:r w:rsidRPr="001B3514">
        <w:t xml:space="preserve"> </w:t>
      </w:r>
      <w:r>
        <w:t>‘</w:t>
      </w:r>
      <w:r w:rsidRPr="001B3514">
        <w:t>Quality communication can improve patient-centred health outcomes among older patients: a rapid review.</w:t>
      </w:r>
      <w:r>
        <w:t>’</w:t>
      </w:r>
      <w:r w:rsidRPr="001B3514">
        <w:t> </w:t>
      </w:r>
      <w:r w:rsidRPr="001B3514">
        <w:rPr>
          <w:i/>
          <w:iCs/>
        </w:rPr>
        <w:t>BMC health services research</w:t>
      </w:r>
      <w:r w:rsidRPr="001B3514">
        <w:t>, </w:t>
      </w:r>
      <w:r w:rsidRPr="001B3514">
        <w:rPr>
          <w:i/>
          <w:iCs/>
        </w:rPr>
        <w:t>23</w:t>
      </w:r>
      <w:r w:rsidRPr="001B3514">
        <w:t xml:space="preserve">(1), p.886. </w:t>
      </w:r>
      <w:r>
        <w:t xml:space="preserve">Available at: </w:t>
      </w:r>
      <w:hyperlink r:id="rId21" w:history="1">
        <w:r w:rsidRPr="007F0A9D">
          <w:rPr>
            <w:rStyle w:val="Hyperlink"/>
          </w:rPr>
          <w:t>https://link.springer.com/article/10.1186/s12913-023-09869-8</w:t>
        </w:r>
      </w:hyperlink>
      <w:r>
        <w:t xml:space="preserve"> </w:t>
      </w:r>
    </w:p>
    <w:p w14:paraId="492C98BF" w14:textId="77777777" w:rsidR="009D6087" w:rsidRDefault="009D6087" w:rsidP="009D6087">
      <w:pPr>
        <w:rPr>
          <w:lang w:val="en-IN"/>
        </w:rPr>
      </w:pPr>
      <w:r w:rsidRPr="00522B03">
        <w:t xml:space="preserve">Smith, J.B., Willis, E.M. and Hopkins‐Walsh, J. </w:t>
      </w:r>
      <w:r>
        <w:t>(</w:t>
      </w:r>
      <w:r w:rsidRPr="00522B03">
        <w:t>2022</w:t>
      </w:r>
      <w:r>
        <w:t>)</w:t>
      </w:r>
      <w:r w:rsidRPr="00522B03">
        <w:t xml:space="preserve"> </w:t>
      </w:r>
      <w:r>
        <w:t>‘</w:t>
      </w:r>
      <w:r w:rsidRPr="00522B03">
        <w:t>What does person‐centred care mean, if you weren't considered a person anyway: An engagement with person‐centred care and Black, queer, feminist, and posthuman approaches.</w:t>
      </w:r>
      <w:r>
        <w:t>’</w:t>
      </w:r>
      <w:r w:rsidRPr="00522B03">
        <w:t> </w:t>
      </w:r>
      <w:r w:rsidRPr="00522B03">
        <w:rPr>
          <w:i/>
          <w:iCs/>
        </w:rPr>
        <w:t>Nursing Philosophy</w:t>
      </w:r>
      <w:r w:rsidRPr="00522B03">
        <w:t>, </w:t>
      </w:r>
      <w:r w:rsidRPr="00522B03">
        <w:rPr>
          <w:i/>
          <w:iCs/>
        </w:rPr>
        <w:t>23</w:t>
      </w:r>
      <w:r w:rsidRPr="00522B03">
        <w:t xml:space="preserve">(3), p.e12401. </w:t>
      </w:r>
      <w:r>
        <w:t>Available at:</w:t>
      </w:r>
      <w:r w:rsidRPr="00522B03">
        <w:rPr>
          <w:lang w:val="en-IN"/>
        </w:rPr>
        <w:t> </w:t>
      </w:r>
      <w:hyperlink r:id="rId22" w:history="1">
        <w:r w:rsidRPr="00522B03">
          <w:rPr>
            <w:rStyle w:val="Hyperlink"/>
            <w:b/>
            <w:bCs/>
          </w:rPr>
          <w:t>https://doi.org/10.1111/nup.12401</w:t>
        </w:r>
      </w:hyperlink>
    </w:p>
    <w:p w14:paraId="4EECB98B" w14:textId="77777777" w:rsidR="009D6087" w:rsidRDefault="009D6087" w:rsidP="009D6087">
      <w:r w:rsidRPr="00F35F6D">
        <w:t xml:space="preserve">Zaks, Z. </w:t>
      </w:r>
      <w:r>
        <w:t>(</w:t>
      </w:r>
      <w:r w:rsidRPr="00F35F6D">
        <w:t>2024</w:t>
      </w:r>
      <w:r>
        <w:t>)</w:t>
      </w:r>
      <w:r w:rsidRPr="00F35F6D">
        <w:t xml:space="preserve"> </w:t>
      </w:r>
      <w:r>
        <w:t>‘</w:t>
      </w:r>
      <w:r w:rsidRPr="00F35F6D">
        <w:t>Changing the medical model of disability to the normalization model of disability: Clarifying the past to create a new future direction.</w:t>
      </w:r>
      <w:r>
        <w:t>’</w:t>
      </w:r>
      <w:r w:rsidRPr="00F35F6D">
        <w:t> </w:t>
      </w:r>
      <w:r w:rsidRPr="00F35F6D">
        <w:rPr>
          <w:i/>
          <w:iCs/>
        </w:rPr>
        <w:t>Disability &amp; Society</w:t>
      </w:r>
      <w:r w:rsidRPr="00F35F6D">
        <w:t>, </w:t>
      </w:r>
      <w:r w:rsidRPr="00F35F6D">
        <w:rPr>
          <w:i/>
          <w:iCs/>
        </w:rPr>
        <w:t>39</w:t>
      </w:r>
      <w:r w:rsidRPr="00F35F6D">
        <w:t xml:space="preserve">(12), pp.3233-3260. </w:t>
      </w:r>
      <w:r>
        <w:t xml:space="preserve">Available at: </w:t>
      </w:r>
      <w:hyperlink r:id="rId23" w:history="1">
        <w:r w:rsidRPr="00F35F6D">
          <w:rPr>
            <w:rStyle w:val="Hyperlink"/>
            <w:lang w:val="en-IN"/>
          </w:rPr>
          <w:t>https://doi.org/10.1080/09687599.2023.2255926</w:t>
        </w:r>
      </w:hyperlink>
    </w:p>
    <w:p w14:paraId="61461680" w14:textId="77777777" w:rsidR="009D6087" w:rsidRPr="00F35F6D" w:rsidRDefault="009D6087" w:rsidP="009D6087">
      <w:pPr>
        <w:rPr>
          <w:lang w:val="en-IN"/>
        </w:rPr>
      </w:pPr>
    </w:p>
    <w:p w14:paraId="58DA2236" w14:textId="77777777" w:rsidR="009D6087" w:rsidRPr="001B3514" w:rsidRDefault="009D6087" w:rsidP="009D6087">
      <w:pPr>
        <w:rPr>
          <w:lang w:val="en-IN"/>
        </w:rPr>
      </w:pPr>
    </w:p>
    <w:p w14:paraId="435F592B" w14:textId="77777777" w:rsidR="009D6087" w:rsidRDefault="009D6087" w:rsidP="009D6087"/>
    <w:p w14:paraId="0A6B0E8F" w14:textId="77777777" w:rsidR="009D6087" w:rsidRPr="009D6087" w:rsidRDefault="009D6087" w:rsidP="009D6087">
      <w:pPr>
        <w:rPr>
          <w:lang w:val="en-IN"/>
        </w:rPr>
      </w:pPr>
    </w:p>
    <w:sectPr w:rsidR="009D6087" w:rsidRPr="009D6087" w:rsidSect="00130484">
      <w:footerReference w:type="default" r:id="rId2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F20217" w14:textId="77777777" w:rsidR="0063435A" w:rsidRDefault="0063435A" w:rsidP="002E1D5B">
      <w:pPr>
        <w:spacing w:after="0" w:line="240" w:lineRule="auto"/>
      </w:pPr>
      <w:r>
        <w:separator/>
      </w:r>
    </w:p>
  </w:endnote>
  <w:endnote w:type="continuationSeparator" w:id="0">
    <w:p w14:paraId="23EE130C" w14:textId="77777777" w:rsidR="0063435A" w:rsidRDefault="0063435A" w:rsidP="002E1D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3463636"/>
      <w:docPartObj>
        <w:docPartGallery w:val="Page Numbers (Bottom of Page)"/>
        <w:docPartUnique/>
      </w:docPartObj>
    </w:sdtPr>
    <w:sdtEndPr>
      <w:rPr>
        <w:noProof/>
      </w:rPr>
    </w:sdtEndPr>
    <w:sdtContent>
      <w:p w14:paraId="721DA0BA" w14:textId="6077D828" w:rsidR="002E1D5B" w:rsidRDefault="002E1D5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32509D" w14:textId="77777777" w:rsidR="002E1D5B" w:rsidRDefault="002E1D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50F83" w14:textId="77777777" w:rsidR="0063435A" w:rsidRDefault="0063435A" w:rsidP="002E1D5B">
      <w:pPr>
        <w:spacing w:after="0" w:line="240" w:lineRule="auto"/>
      </w:pPr>
      <w:r>
        <w:separator/>
      </w:r>
    </w:p>
  </w:footnote>
  <w:footnote w:type="continuationSeparator" w:id="0">
    <w:p w14:paraId="491121D7" w14:textId="77777777" w:rsidR="0063435A" w:rsidRDefault="0063435A" w:rsidP="002E1D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087"/>
    <w:rsid w:val="000279BC"/>
    <w:rsid w:val="000327D5"/>
    <w:rsid w:val="000535B3"/>
    <w:rsid w:val="00081480"/>
    <w:rsid w:val="000919E5"/>
    <w:rsid w:val="000B7894"/>
    <w:rsid w:val="000C4C63"/>
    <w:rsid w:val="000C5F28"/>
    <w:rsid w:val="000D1DF4"/>
    <w:rsid w:val="000F0147"/>
    <w:rsid w:val="001008A3"/>
    <w:rsid w:val="00130484"/>
    <w:rsid w:val="00164836"/>
    <w:rsid w:val="001F2C39"/>
    <w:rsid w:val="00224125"/>
    <w:rsid w:val="00226670"/>
    <w:rsid w:val="002E1D5B"/>
    <w:rsid w:val="0031461E"/>
    <w:rsid w:val="0037560D"/>
    <w:rsid w:val="00380E22"/>
    <w:rsid w:val="003878A0"/>
    <w:rsid w:val="003A0F09"/>
    <w:rsid w:val="003E1DFB"/>
    <w:rsid w:val="00416C16"/>
    <w:rsid w:val="004766CC"/>
    <w:rsid w:val="00480052"/>
    <w:rsid w:val="004A37E6"/>
    <w:rsid w:val="00513924"/>
    <w:rsid w:val="0054143C"/>
    <w:rsid w:val="005700F2"/>
    <w:rsid w:val="00603969"/>
    <w:rsid w:val="00620576"/>
    <w:rsid w:val="0062154D"/>
    <w:rsid w:val="00622191"/>
    <w:rsid w:val="0063435A"/>
    <w:rsid w:val="00664F5F"/>
    <w:rsid w:val="00666DED"/>
    <w:rsid w:val="00683BE5"/>
    <w:rsid w:val="006A2310"/>
    <w:rsid w:val="006B38A8"/>
    <w:rsid w:val="00707929"/>
    <w:rsid w:val="0071289E"/>
    <w:rsid w:val="00730062"/>
    <w:rsid w:val="007C6E8A"/>
    <w:rsid w:val="007D39AC"/>
    <w:rsid w:val="00814210"/>
    <w:rsid w:val="008253E9"/>
    <w:rsid w:val="00855BA7"/>
    <w:rsid w:val="00865659"/>
    <w:rsid w:val="008872D5"/>
    <w:rsid w:val="008B631E"/>
    <w:rsid w:val="008E69EB"/>
    <w:rsid w:val="00917161"/>
    <w:rsid w:val="0094593E"/>
    <w:rsid w:val="00946C77"/>
    <w:rsid w:val="0095553F"/>
    <w:rsid w:val="00973736"/>
    <w:rsid w:val="009A2FFF"/>
    <w:rsid w:val="009B63DE"/>
    <w:rsid w:val="009D6087"/>
    <w:rsid w:val="009E2C2B"/>
    <w:rsid w:val="009E3880"/>
    <w:rsid w:val="009F610A"/>
    <w:rsid w:val="00A530B4"/>
    <w:rsid w:val="00A54DB8"/>
    <w:rsid w:val="00A9773A"/>
    <w:rsid w:val="00AB2904"/>
    <w:rsid w:val="00AE3056"/>
    <w:rsid w:val="00AF32AE"/>
    <w:rsid w:val="00AF4D81"/>
    <w:rsid w:val="00B613E8"/>
    <w:rsid w:val="00BA3DBC"/>
    <w:rsid w:val="00BE321A"/>
    <w:rsid w:val="00C13110"/>
    <w:rsid w:val="00C5607A"/>
    <w:rsid w:val="00C63C14"/>
    <w:rsid w:val="00C72AAA"/>
    <w:rsid w:val="00C82150"/>
    <w:rsid w:val="00CE68C0"/>
    <w:rsid w:val="00D77CF0"/>
    <w:rsid w:val="00DC2F84"/>
    <w:rsid w:val="00E06720"/>
    <w:rsid w:val="00E22029"/>
    <w:rsid w:val="00E25307"/>
    <w:rsid w:val="00EA67A5"/>
    <w:rsid w:val="00F60601"/>
    <w:rsid w:val="00F65DC2"/>
    <w:rsid w:val="00FB6BC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E52DD"/>
  <w15:chartTrackingRefBased/>
  <w15:docId w15:val="{624ED074-BCD7-4B4C-AF00-D21726403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C14"/>
    <w:pPr>
      <w:spacing w:line="360" w:lineRule="auto"/>
      <w:jc w:val="both"/>
    </w:pPr>
    <w:rPr>
      <w:rFonts w:ascii="Arial" w:hAnsi="Arial"/>
      <w:kern w:val="0"/>
      <w:lang w:val="en-GB"/>
    </w:rPr>
  </w:style>
  <w:style w:type="paragraph" w:styleId="Heading1">
    <w:name w:val="heading 1"/>
    <w:basedOn w:val="Normal"/>
    <w:next w:val="Normal"/>
    <w:link w:val="Heading1Char"/>
    <w:autoRedefine/>
    <w:uiPriority w:val="9"/>
    <w:qFormat/>
    <w:rsid w:val="00664F5F"/>
    <w:pPr>
      <w:spacing w:after="0" w:afterAutospacing="1"/>
      <w:contextualSpacing/>
      <w:outlineLvl w:val="0"/>
    </w:pPr>
    <w:rPr>
      <w:rFonts w:eastAsia="Arial" w:cs="Times New Roman"/>
      <w:b/>
      <w:bCs/>
      <w:noProof/>
      <w:sz w:val="28"/>
      <w:lang w:val="en-IN"/>
    </w:rPr>
  </w:style>
  <w:style w:type="paragraph" w:styleId="Heading2">
    <w:name w:val="heading 2"/>
    <w:basedOn w:val="Normal"/>
    <w:next w:val="Normal"/>
    <w:link w:val="Heading2Char"/>
    <w:qFormat/>
    <w:rsid w:val="00730062"/>
    <w:pPr>
      <w:keepNext/>
      <w:keepLines/>
      <w:spacing w:after="0"/>
      <w:outlineLvl w:val="1"/>
    </w:pPr>
    <w:rPr>
      <w:rFonts w:eastAsia="Arial" w:cs="Arial"/>
      <w:b/>
      <w:color w:val="000000" w:themeColor="text1"/>
      <w:sz w:val="26"/>
      <w:szCs w:val="32"/>
      <w:lang w:val="en"/>
    </w:rPr>
  </w:style>
  <w:style w:type="paragraph" w:styleId="Heading3">
    <w:name w:val="heading 3"/>
    <w:basedOn w:val="Normal"/>
    <w:next w:val="Normal"/>
    <w:link w:val="Heading3Char"/>
    <w:uiPriority w:val="9"/>
    <w:unhideWhenUsed/>
    <w:qFormat/>
    <w:rsid w:val="00730062"/>
    <w:pPr>
      <w:keepNext/>
      <w:keepLines/>
      <w:spacing w:before="160" w:after="80"/>
      <w:outlineLvl w:val="2"/>
    </w:pPr>
    <w:rPr>
      <w:rFonts w:eastAsiaTheme="majorEastAsia" w:cstheme="majorBidi"/>
      <w:b/>
      <w:szCs w:val="28"/>
      <w:lang w:val="en"/>
    </w:rPr>
  </w:style>
  <w:style w:type="paragraph" w:styleId="Heading4">
    <w:name w:val="heading 4"/>
    <w:basedOn w:val="Normal"/>
    <w:next w:val="Normal"/>
    <w:link w:val="Heading4Char"/>
    <w:uiPriority w:val="9"/>
    <w:semiHidden/>
    <w:unhideWhenUsed/>
    <w:qFormat/>
    <w:rsid w:val="00707929"/>
    <w:pPr>
      <w:keepNext/>
      <w:keepLines/>
      <w:spacing w:before="80" w:after="40"/>
      <w:outlineLvl w:val="3"/>
    </w:pPr>
    <w:rPr>
      <w:rFonts w:eastAsiaTheme="majorEastAsia" w:cstheme="majorBidi"/>
      <w:b/>
      <w:iCs/>
    </w:rPr>
  </w:style>
  <w:style w:type="paragraph" w:styleId="Heading5">
    <w:name w:val="heading 5"/>
    <w:basedOn w:val="Normal"/>
    <w:next w:val="Normal"/>
    <w:link w:val="Heading5Char"/>
    <w:uiPriority w:val="9"/>
    <w:semiHidden/>
    <w:unhideWhenUsed/>
    <w:qFormat/>
    <w:rsid w:val="009D6087"/>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9D608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D608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D608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D608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4F5F"/>
    <w:rPr>
      <w:rFonts w:ascii="Times New Roman" w:eastAsia="Arial" w:hAnsi="Times New Roman" w:cs="Times New Roman"/>
      <w:b/>
      <w:bCs/>
      <w:noProof/>
      <w:kern w:val="0"/>
      <w:sz w:val="28"/>
      <w:lang w:val="en-IN"/>
    </w:rPr>
  </w:style>
  <w:style w:type="character" w:customStyle="1" w:styleId="Heading2Char">
    <w:name w:val="Heading 2 Char"/>
    <w:basedOn w:val="DefaultParagraphFont"/>
    <w:link w:val="Heading2"/>
    <w:rsid w:val="00730062"/>
    <w:rPr>
      <w:rFonts w:ascii="Times New Roman" w:eastAsia="Arial" w:hAnsi="Times New Roman" w:cs="Arial"/>
      <w:b/>
      <w:color w:val="000000" w:themeColor="text1"/>
      <w:kern w:val="0"/>
      <w:sz w:val="26"/>
      <w:szCs w:val="32"/>
      <w:lang w:val="en"/>
    </w:rPr>
  </w:style>
  <w:style w:type="character" w:customStyle="1" w:styleId="Heading3Char">
    <w:name w:val="Heading 3 Char"/>
    <w:basedOn w:val="DefaultParagraphFont"/>
    <w:link w:val="Heading3"/>
    <w:uiPriority w:val="9"/>
    <w:rsid w:val="00730062"/>
    <w:rPr>
      <w:rFonts w:ascii="Times New Roman" w:eastAsiaTheme="majorEastAsia" w:hAnsi="Times New Roman" w:cstheme="majorBidi"/>
      <w:b/>
      <w:kern w:val="0"/>
      <w:szCs w:val="28"/>
      <w:lang w:val="en"/>
    </w:rPr>
  </w:style>
  <w:style w:type="character" w:customStyle="1" w:styleId="Heading4Char">
    <w:name w:val="Heading 4 Char"/>
    <w:basedOn w:val="DefaultParagraphFont"/>
    <w:link w:val="Heading4"/>
    <w:uiPriority w:val="9"/>
    <w:semiHidden/>
    <w:rsid w:val="00707929"/>
    <w:rPr>
      <w:rFonts w:ascii="Times New Roman" w:eastAsiaTheme="majorEastAsia" w:hAnsi="Times New Roman" w:cstheme="majorBidi"/>
      <w:b/>
      <w:iCs/>
      <w:kern w:val="0"/>
      <w:sz w:val="24"/>
      <w:lang w:val="en-GB"/>
    </w:rPr>
  </w:style>
  <w:style w:type="character" w:customStyle="1" w:styleId="Heading5Char">
    <w:name w:val="Heading 5 Char"/>
    <w:basedOn w:val="DefaultParagraphFont"/>
    <w:link w:val="Heading5"/>
    <w:uiPriority w:val="9"/>
    <w:semiHidden/>
    <w:rsid w:val="009D6087"/>
    <w:rPr>
      <w:rFonts w:eastAsiaTheme="majorEastAsia" w:cstheme="majorBidi"/>
      <w:color w:val="365F91" w:themeColor="accent1" w:themeShade="BF"/>
      <w:kern w:val="0"/>
      <w:sz w:val="24"/>
      <w:lang w:val="en-GB"/>
    </w:rPr>
  </w:style>
  <w:style w:type="character" w:customStyle="1" w:styleId="Heading6Char">
    <w:name w:val="Heading 6 Char"/>
    <w:basedOn w:val="DefaultParagraphFont"/>
    <w:link w:val="Heading6"/>
    <w:uiPriority w:val="9"/>
    <w:semiHidden/>
    <w:rsid w:val="009D6087"/>
    <w:rPr>
      <w:rFonts w:eastAsiaTheme="majorEastAsia" w:cstheme="majorBidi"/>
      <w:i/>
      <w:iCs/>
      <w:color w:val="595959" w:themeColor="text1" w:themeTint="A6"/>
      <w:kern w:val="0"/>
      <w:sz w:val="24"/>
      <w:lang w:val="en-GB"/>
    </w:rPr>
  </w:style>
  <w:style w:type="character" w:customStyle="1" w:styleId="Heading7Char">
    <w:name w:val="Heading 7 Char"/>
    <w:basedOn w:val="DefaultParagraphFont"/>
    <w:link w:val="Heading7"/>
    <w:uiPriority w:val="9"/>
    <w:semiHidden/>
    <w:rsid w:val="009D6087"/>
    <w:rPr>
      <w:rFonts w:eastAsiaTheme="majorEastAsia" w:cstheme="majorBidi"/>
      <w:color w:val="595959" w:themeColor="text1" w:themeTint="A6"/>
      <w:kern w:val="0"/>
      <w:sz w:val="24"/>
      <w:lang w:val="en-GB"/>
    </w:rPr>
  </w:style>
  <w:style w:type="character" w:customStyle="1" w:styleId="Heading8Char">
    <w:name w:val="Heading 8 Char"/>
    <w:basedOn w:val="DefaultParagraphFont"/>
    <w:link w:val="Heading8"/>
    <w:uiPriority w:val="9"/>
    <w:semiHidden/>
    <w:rsid w:val="009D6087"/>
    <w:rPr>
      <w:rFonts w:eastAsiaTheme="majorEastAsia" w:cstheme="majorBidi"/>
      <w:i/>
      <w:iCs/>
      <w:color w:val="272727" w:themeColor="text1" w:themeTint="D8"/>
      <w:kern w:val="0"/>
      <w:sz w:val="24"/>
      <w:lang w:val="en-GB"/>
    </w:rPr>
  </w:style>
  <w:style w:type="character" w:customStyle="1" w:styleId="Heading9Char">
    <w:name w:val="Heading 9 Char"/>
    <w:basedOn w:val="DefaultParagraphFont"/>
    <w:link w:val="Heading9"/>
    <w:uiPriority w:val="9"/>
    <w:semiHidden/>
    <w:rsid w:val="009D6087"/>
    <w:rPr>
      <w:rFonts w:eastAsiaTheme="majorEastAsia" w:cstheme="majorBidi"/>
      <w:color w:val="272727" w:themeColor="text1" w:themeTint="D8"/>
      <w:kern w:val="0"/>
      <w:sz w:val="24"/>
      <w:lang w:val="en-GB"/>
    </w:rPr>
  </w:style>
  <w:style w:type="paragraph" w:styleId="Title">
    <w:name w:val="Title"/>
    <w:basedOn w:val="Normal"/>
    <w:next w:val="Normal"/>
    <w:link w:val="TitleChar"/>
    <w:uiPriority w:val="10"/>
    <w:qFormat/>
    <w:rsid w:val="009D60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6087"/>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D608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6087"/>
    <w:rPr>
      <w:rFonts w:eastAsiaTheme="majorEastAsia" w:cstheme="majorBidi"/>
      <w:color w:val="595959" w:themeColor="text1" w:themeTint="A6"/>
      <w:spacing w:val="15"/>
      <w:kern w:val="0"/>
      <w:sz w:val="28"/>
      <w:szCs w:val="28"/>
      <w:lang w:val="en-GB"/>
    </w:rPr>
  </w:style>
  <w:style w:type="paragraph" w:styleId="Quote">
    <w:name w:val="Quote"/>
    <w:basedOn w:val="Normal"/>
    <w:next w:val="Normal"/>
    <w:link w:val="QuoteChar"/>
    <w:uiPriority w:val="29"/>
    <w:qFormat/>
    <w:rsid w:val="009D608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D6087"/>
    <w:rPr>
      <w:rFonts w:ascii="Times New Roman" w:hAnsi="Times New Roman"/>
      <w:i/>
      <w:iCs/>
      <w:color w:val="404040" w:themeColor="text1" w:themeTint="BF"/>
      <w:kern w:val="0"/>
      <w:sz w:val="24"/>
      <w:lang w:val="en-GB"/>
    </w:rPr>
  </w:style>
  <w:style w:type="paragraph" w:styleId="ListParagraph">
    <w:name w:val="List Paragraph"/>
    <w:basedOn w:val="Normal"/>
    <w:uiPriority w:val="34"/>
    <w:qFormat/>
    <w:rsid w:val="009D6087"/>
    <w:pPr>
      <w:ind w:left="720"/>
      <w:contextualSpacing/>
    </w:pPr>
  </w:style>
  <w:style w:type="character" w:styleId="IntenseEmphasis">
    <w:name w:val="Intense Emphasis"/>
    <w:basedOn w:val="DefaultParagraphFont"/>
    <w:uiPriority w:val="21"/>
    <w:qFormat/>
    <w:rsid w:val="009D6087"/>
    <w:rPr>
      <w:i/>
      <w:iCs/>
      <w:color w:val="365F91" w:themeColor="accent1" w:themeShade="BF"/>
    </w:rPr>
  </w:style>
  <w:style w:type="paragraph" w:styleId="IntenseQuote">
    <w:name w:val="Intense Quote"/>
    <w:basedOn w:val="Normal"/>
    <w:next w:val="Normal"/>
    <w:link w:val="IntenseQuoteChar"/>
    <w:uiPriority w:val="30"/>
    <w:qFormat/>
    <w:rsid w:val="009D608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D6087"/>
    <w:rPr>
      <w:rFonts w:ascii="Times New Roman" w:hAnsi="Times New Roman"/>
      <w:i/>
      <w:iCs/>
      <w:color w:val="365F91" w:themeColor="accent1" w:themeShade="BF"/>
      <w:kern w:val="0"/>
      <w:sz w:val="24"/>
      <w:lang w:val="en-GB"/>
    </w:rPr>
  </w:style>
  <w:style w:type="character" w:styleId="IntenseReference">
    <w:name w:val="Intense Reference"/>
    <w:basedOn w:val="DefaultParagraphFont"/>
    <w:uiPriority w:val="32"/>
    <w:qFormat/>
    <w:rsid w:val="009D6087"/>
    <w:rPr>
      <w:b/>
      <w:bCs/>
      <w:smallCaps/>
      <w:color w:val="365F91" w:themeColor="accent1" w:themeShade="BF"/>
      <w:spacing w:val="5"/>
    </w:rPr>
  </w:style>
  <w:style w:type="character" w:styleId="Hyperlink">
    <w:name w:val="Hyperlink"/>
    <w:basedOn w:val="DefaultParagraphFont"/>
    <w:uiPriority w:val="99"/>
    <w:unhideWhenUsed/>
    <w:rsid w:val="009D6087"/>
    <w:rPr>
      <w:color w:val="0000FF" w:themeColor="hyperlink"/>
      <w:u w:val="single"/>
    </w:rPr>
  </w:style>
  <w:style w:type="paragraph" w:styleId="Header">
    <w:name w:val="header"/>
    <w:basedOn w:val="Normal"/>
    <w:link w:val="HeaderChar"/>
    <w:uiPriority w:val="99"/>
    <w:unhideWhenUsed/>
    <w:rsid w:val="002E1D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1D5B"/>
    <w:rPr>
      <w:rFonts w:ascii="Times New Roman" w:hAnsi="Times New Roman"/>
      <w:kern w:val="0"/>
      <w:sz w:val="24"/>
      <w:lang w:val="en-GB"/>
    </w:rPr>
  </w:style>
  <w:style w:type="paragraph" w:styleId="Footer">
    <w:name w:val="footer"/>
    <w:basedOn w:val="Normal"/>
    <w:link w:val="FooterChar"/>
    <w:uiPriority w:val="99"/>
    <w:unhideWhenUsed/>
    <w:rsid w:val="002E1D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1D5B"/>
    <w:rPr>
      <w:rFonts w:ascii="Times New Roman" w:hAnsi="Times New Roman"/>
      <w:kern w:val="0"/>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9697330221089076" TargetMode="External"/><Relationship Id="rId13" Type="http://schemas.openxmlformats.org/officeDocument/2006/relationships/hyperlink" Target="https://doi.org/10.1111/bld.12378" TargetMode="External"/><Relationship Id="rId18" Type="http://schemas.openxmlformats.org/officeDocument/2006/relationships/hyperlink" Target="https://doi.org/10.1016/j.apmr.2021.05.005"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link.springer.com/article/10.1186/s12913-023-09869-8" TargetMode="External"/><Relationship Id="rId7" Type="http://schemas.openxmlformats.org/officeDocument/2006/relationships/hyperlink" Target="https://doi.org/10.1111/hsc.13913" TargetMode="External"/><Relationship Id="rId12" Type="http://schemas.openxmlformats.org/officeDocument/2006/relationships/hyperlink" Target="https://link.springer.com/article/10.1186/s12913-022-07960-0" TargetMode="External"/><Relationship Id="rId17" Type="http://schemas.openxmlformats.org/officeDocument/2006/relationships/hyperlink" Target="https://doi.org/10.1111/jpm.70033"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i.org/10.1111/inm.12983" TargetMode="External"/><Relationship Id="rId20" Type="http://schemas.openxmlformats.org/officeDocument/2006/relationships/hyperlink" Target="https://www.thelancet.com/journals/lancet/article/PIIS0140-6736(23)00918-2/abstract"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1111/nup.12382"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doi.org/10.1080/01612840.2023.2288181" TargetMode="External"/><Relationship Id="rId23" Type="http://schemas.openxmlformats.org/officeDocument/2006/relationships/hyperlink" Target="https://doi.org/10.1080/09687599.2023.2255926" TargetMode="External"/><Relationship Id="rId10" Type="http://schemas.openxmlformats.org/officeDocument/2006/relationships/hyperlink" Target="https://doi.org/10.1017/jmo.2021.48" TargetMode="External"/><Relationship Id="rId19" Type="http://schemas.openxmlformats.org/officeDocument/2006/relationships/hyperlink" Target="https://doi.org/10.1136/medhum-2021-012351" TargetMode="External"/><Relationship Id="rId4" Type="http://schemas.openxmlformats.org/officeDocument/2006/relationships/footnotes" Target="footnotes.xml"/><Relationship Id="rId9" Type="http://schemas.openxmlformats.org/officeDocument/2006/relationships/hyperlink" Target="https://doi.org/10.1016/j.dhjo.2022.101328" TargetMode="External"/><Relationship Id="rId14" Type="http://schemas.openxmlformats.org/officeDocument/2006/relationships/hyperlink" Target="https://doi.org/10.1016/j.pec.2021.11.004" TargetMode="External"/><Relationship Id="rId22" Type="http://schemas.openxmlformats.org/officeDocument/2006/relationships/hyperlink" Target="https://doi.org/10.1111/nup.124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3039</Words>
  <Characters>17328</Characters>
  <Application>Microsoft Office Word</Application>
  <DocSecurity>0</DocSecurity>
  <Lines>144</Lines>
  <Paragraphs>40</Paragraphs>
  <ScaleCrop>false</ScaleCrop>
  <Company/>
  <LinksUpToDate>false</LinksUpToDate>
  <CharactersWithSpaces>20327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Bilonda Rosy Kanyiki (2427696)</cp:lastModifiedBy>
  <cp:revision>2</cp:revision>
  <dcterms:created xsi:type="dcterms:W3CDTF">2026-04-25T14:24:00Z</dcterms:created>
  <dcterms:modified xsi:type="dcterms:W3CDTF">2026-04-25T14:24:00Z</dcterms:modified>
</cp:coreProperties>
</file>