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Title: The Challenge Faced by the Energy Sector</w:t>
      </w:r>
    </w:p>
    <w:p>
      <w:pPr>
        <w:spacing w:before="0" w:after="160" w:line="360"/>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Module: Problem Solving and Decision Making</w:t>
      </w:r>
    </w:p>
    <w:p>
      <w:pPr>
        <w:spacing w:before="0" w:after="16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16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Name</w:t>
        <w:tab/>
        <w:t xml:space="preserve">: Andrea Kandrova </w:t>
      </w:r>
    </w:p>
    <w:p>
      <w:pPr>
        <w:spacing w:before="0" w:after="16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Id</w:t>
        <w:tab/>
        <w:tab/>
        <w:t xml:space="preserve">: 2020051</w:t>
      </w:r>
    </w:p>
    <w:p>
      <w:pPr>
        <w:spacing w:before="0" w:after="16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Lecturer’s name</w:t>
        <w:tab/>
        <w:t xml:space="preserve">: James Squire-Wood</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tabs>
          <w:tab w:val="left" w:pos="5384" w:leader="none"/>
        </w:tabs>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ab/>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000000"/>
          <w:spacing w:val="0"/>
          <w:position w:val="0"/>
          <w:sz w:val="26"/>
          <w:shd w:fill="FFFFFF" w:val="clear"/>
        </w:rPr>
        <w:t xml:space="preserve">Energy is so important to everyone's day-to-day life and because it is a key part of the production processes that turn raw materials into goods and services, and because the energy sector is important from a macroeconomic, geopolitical, and environmental point of view, there are many issues and concerns about it, and they are often international, different in space, and always changing. In a world where profound political, social, economic, technological, and even ideological changes are shaping our lives and living conditions both now and in the future, changes in the energy scene are both inevitable and natural (</w:t>
      </w:r>
      <w:r>
        <w:rPr>
          <w:rFonts w:ascii="Times New Roman" w:hAnsi="Times New Roman" w:cs="Times New Roman" w:eastAsia="Times New Roman"/>
          <w:color w:val="222222"/>
          <w:spacing w:val="0"/>
          <w:position w:val="0"/>
          <w:sz w:val="26"/>
          <w:shd w:fill="FFFFFF" w:val="clear"/>
        </w:rPr>
        <w:t xml:space="preserve">Benders et al., 2016)</w:t>
      </w:r>
      <w:r>
        <w:rPr>
          <w:rFonts w:ascii="Times New Roman" w:hAnsi="Times New Roman" w:cs="Times New Roman" w:eastAsia="Times New Roman"/>
          <w:color w:val="000000"/>
          <w:spacing w:val="0"/>
          <w:position w:val="0"/>
          <w:sz w:val="26"/>
          <w:shd w:fill="FFFFFF" w:val="clear"/>
        </w:rPr>
        <w:t xml:space="preserve">. The demand and supply for energy, as well as the operation of the energy sector and the management of economic activities, have all been significantly impacted by these changes. The next energy transition will significantly alter both the energy sector and the structure of the global economy, even though we are unsure of when or how it will occur.</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Finding </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000000"/>
          <w:spacing w:val="0"/>
          <w:position w:val="0"/>
          <w:sz w:val="26"/>
          <w:shd w:fill="FFFFFF" w:val="clear"/>
        </w:rPr>
        <w:t xml:space="preserve">Most countries run on fossil fuels. European countries don't have many fossil fuels, but these analyses' outcomes could alter. This study examined 29 European countries' energy consumption and fossil fuel depletion, as well as their correlations with other characteristics like energy reliance and the fraction of renewable energy in gross final energy consumption (</w:t>
      </w:r>
      <w:r>
        <w:rPr>
          <w:rFonts w:ascii="Times New Roman" w:hAnsi="Times New Roman" w:cs="Times New Roman" w:eastAsia="Times New Roman"/>
          <w:color w:val="auto"/>
          <w:spacing w:val="0"/>
          <w:position w:val="0"/>
          <w:sz w:val="26"/>
          <w:shd w:fill="auto" w:val="clear"/>
        </w:rPr>
        <w:t xml:space="preserve">Brandon and Lewis, 2018)</w:t>
      </w:r>
      <w:r>
        <w:rPr>
          <w:rFonts w:ascii="Times New Roman" w:hAnsi="Times New Roman" w:cs="Times New Roman" w:eastAsia="Times New Roman"/>
          <w:color w:val="000000"/>
          <w:spacing w:val="0"/>
          <w:position w:val="0"/>
          <w:sz w:val="26"/>
          <w:shd w:fill="FFFFFF"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Many European countries rely heavily on fossil fuels. Gross inland consumption per person did not differ significantly using the Kruskal</w:t>
      </w:r>
      <w:r>
        <w:rPr>
          <w:rFonts w:ascii="Times New Roman" w:hAnsi="Times New Roman" w:cs="Times New Roman" w:eastAsia="Times New Roman"/>
          <w:color w:val="auto"/>
          <w:spacing w:val="0"/>
          <w:position w:val="0"/>
          <w:sz w:val="26"/>
          <w:shd w:fill="auto" w:val="clear"/>
        </w:rPr>
        <w:t xml:space="preserve">–</w:t>
      </w:r>
      <w:r>
        <w:rPr>
          <w:rFonts w:ascii="Times New Roman" w:hAnsi="Times New Roman" w:cs="Times New Roman" w:eastAsia="Times New Roman"/>
          <w:color w:val="auto"/>
          <w:spacing w:val="0"/>
          <w:position w:val="0"/>
          <w:sz w:val="26"/>
          <w:shd w:fill="auto" w:val="clear"/>
        </w:rPr>
        <w:t xml:space="preserve">Wallis test. According to the Jazz scenario, by 2050 there will be 14% proven oil reserves, 72% proven coal reserves, and 18% proven gas reserves. Since Europe has few fossil fuels, they'll disappear swiftly if needed today. Fossil fuels' domination as the dominant energy source has serious consequences (</w:t>
      </w:r>
      <w:r>
        <w:rPr>
          <w:rFonts w:ascii="Times New Roman" w:hAnsi="Times New Roman" w:cs="Times New Roman" w:eastAsia="Times New Roman"/>
          <w:color w:val="222222"/>
          <w:spacing w:val="0"/>
          <w:position w:val="0"/>
          <w:sz w:val="26"/>
          <w:shd w:fill="FFFFFF" w:val="clear"/>
        </w:rPr>
        <w:t xml:space="preserve">Longinos et al., 2020)</w:t>
      </w:r>
      <w:r>
        <w:rPr>
          <w:rFonts w:ascii="Times New Roman" w:hAnsi="Times New Roman" w:cs="Times New Roman" w:eastAsia="Times New Roman"/>
          <w:color w:val="auto"/>
          <w:spacing w:val="0"/>
          <w:position w:val="0"/>
          <w:sz w:val="26"/>
          <w:shd w:fill="auto" w:val="clear"/>
        </w:rPr>
        <w:t xml:space="preserve">.</w:t>
      </w:r>
    </w:p>
    <w:p>
      <w:pPr>
        <w:keepNext w:val="true"/>
        <w:keepLines w:val="true"/>
        <w:spacing w:before="240" w:after="0" w:line="259"/>
        <w:ind w:right="0" w:left="0" w:firstLine="0"/>
        <w:jc w:val="left"/>
        <w:rPr>
          <w:rFonts w:ascii="Times New Roman" w:hAnsi="Times New Roman" w:cs="Times New Roman" w:eastAsia="Times New Roman"/>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Description of Nature</w:t>
      </w:r>
    </w:p>
    <w:p>
      <w:pPr>
        <w:spacing w:before="0" w:after="160" w:line="259"/>
        <w:ind w:right="0" w:left="0" w:firstLine="0"/>
        <w:jc w:val="left"/>
        <w:rPr>
          <w:rFonts w:ascii="Arial" w:hAnsi="Arial" w:cs="Arial" w:eastAsia="Arial"/>
          <w:color w:val="auto"/>
          <w:spacing w:val="0"/>
          <w:position w:val="0"/>
          <w:sz w:val="26"/>
          <w:shd w:fill="auto" w:val="clear"/>
        </w:rPr>
      </w:pPr>
    </w:p>
    <w:p>
      <w:pPr>
        <w:numPr>
          <w:ilvl w:val="0"/>
          <w:numId w:val="19"/>
        </w:numPr>
        <w:spacing w:before="0" w:after="160" w:line="360"/>
        <w:ind w:right="0" w:left="720" w:hanging="36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Decarburisation</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This trend refers to the transition towards a clean, carbon-free future, facilitated in large part by an increase in renewable energy use and an increase in the price of fossil fuels. Electrification is frequently cited as a significant carbon-reduction strategy (switching to electric cars, for example). Unfortunately, fossil fuels continue to account for a significant portion of power output in many countries, including the United States, where fossil fuels account for 60.3% of electricity generation. To achieve emission-free electricity, we must increase our use of renewable energy sources such as wind, sun, and biofuels. This alone might reduce up to seven million annual fatalities from air pollution and halt (or reverse) global warming (</w:t>
      </w:r>
      <w:r>
        <w:rPr>
          <w:rFonts w:ascii="Times New Roman" w:hAnsi="Times New Roman" w:cs="Times New Roman" w:eastAsia="Times New Roman"/>
          <w:color w:val="222222"/>
          <w:spacing w:val="0"/>
          <w:position w:val="0"/>
          <w:sz w:val="26"/>
          <w:shd w:fill="FFFFFF" w:val="clear"/>
        </w:rPr>
        <w:t xml:space="preserve">Davis, 2018)</w:t>
      </w:r>
      <w:r>
        <w:rPr>
          <w:rFonts w:ascii="Times New Roman" w:hAnsi="Times New Roman" w:cs="Times New Roman" w:eastAsia="Times New Roman"/>
          <w:color w:val="auto"/>
          <w:spacing w:val="0"/>
          <w:position w:val="0"/>
          <w:sz w:val="26"/>
          <w:shd w:fill="auto" w:val="clear"/>
        </w:rPr>
        <w:t xml:space="preserve">.</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Obviously, renewable energy solutions have their limitations, not the least of which is the fact that we require energy 24 hours a day, yet the sun and wind are not available 24 hours a day. Therefore, we must spend more in energy storage projects in order to store the energy generated by renewable sources.</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p>
    <w:p>
      <w:pPr>
        <w:numPr>
          <w:ilvl w:val="0"/>
          <w:numId w:val="21"/>
        </w:numPr>
        <w:spacing w:before="0" w:after="160" w:line="360"/>
        <w:ind w:right="0" w:left="720" w:hanging="36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Decentralisation </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This trend is, in a nutshell, the shift from our current system of highly centralized energy networks operated by monopolistic energy suppliers to distributed energy production systems. In other words, users can create their own electricity for their own requirements thanks to a combination of renewable energy and localized "microgrids." In addition to considering their own localized energy generation on new constructions, the city is encouraging housing developers to create shared energy resources with surrounding development.</w:t>
      </w:r>
    </w:p>
    <w:p>
      <w:pPr>
        <w:numPr>
          <w:ilvl w:val="0"/>
          <w:numId w:val="23"/>
        </w:numPr>
        <w:spacing w:before="0" w:after="160" w:line="360"/>
        <w:ind w:right="0" w:left="720" w:hanging="36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Digitisation</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This movement emphasizes the use of digital equipment, gadgets, and technologies to optimize energy production, infrastructure, and consumption. Everything is "intelligent" these days, from vacuum cleaners to coffee makers, so why not energy networks? This trend is intricately connected to the two preceding ones. As the number of zero-carbon energy sources increases, the complexity of our energy networks will increase. In addition, decentralized grids would require intelligence monitoring and management of variable demand. Digital tools will assist us in overcoming these obstacles and implementing much-needed improvements in the energy industry (</w:t>
      </w:r>
      <w:r>
        <w:rPr>
          <w:rFonts w:ascii="Times New Roman" w:hAnsi="Times New Roman" w:cs="Times New Roman" w:eastAsia="Times New Roman"/>
          <w:color w:val="222222"/>
          <w:spacing w:val="0"/>
          <w:position w:val="0"/>
          <w:sz w:val="26"/>
          <w:shd w:fill="FFFFFF" w:val="clear"/>
        </w:rPr>
        <w:t xml:space="preserve">Ranieri et al., 2018)</w:t>
      </w:r>
      <w:r>
        <w:rPr>
          <w:rFonts w:ascii="Times New Roman" w:hAnsi="Times New Roman" w:cs="Times New Roman" w:eastAsia="Times New Roman"/>
          <w:color w:val="auto"/>
          <w:spacing w:val="0"/>
          <w:position w:val="0"/>
          <w:sz w:val="26"/>
          <w:shd w:fill="auto" w:val="clear"/>
        </w:rPr>
        <w:t xml:space="preserve">.</w:t>
      </w: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SWOT Analysis </w:t>
      </w:r>
    </w:p>
    <w:p>
      <w:pPr>
        <w:spacing w:before="0" w:after="160" w:line="259"/>
        <w:ind w:right="0" w:left="0" w:firstLine="0"/>
        <w:jc w:val="left"/>
        <w:rPr>
          <w:rFonts w:ascii="Arial" w:hAnsi="Arial" w:cs="Arial" w:eastAsia="Arial"/>
          <w:color w:val="auto"/>
          <w:spacing w:val="0"/>
          <w:position w:val="0"/>
          <w:sz w:val="26"/>
          <w:shd w:fill="auto" w:val="clear"/>
        </w:rPr>
      </w:pPr>
    </w:p>
    <w:p>
      <w:pPr>
        <w:numPr>
          <w:ilvl w:val="0"/>
          <w:numId w:val="28"/>
        </w:numPr>
        <w:spacing w:before="0" w:after="160" w:line="360"/>
        <w:ind w:right="0" w:left="720" w:hanging="36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Strengths</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There is no question that power is one of the primary factors that drives human advancement. A Strengths, Weaknesses, Opportunities, and Threats (SWOT) analysis of the power sector identifies aspects of the industry that are indicative of success.(Toman, 2002) These characteristics ought to be representative of domains over which the business sector exercises a significant amount of control. The following is a list of some of the power sector's strengths: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numPr>
          <w:ilvl w:val="0"/>
          <w:numId w:val="31"/>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Increasing amounts being invested in alternative forms of energy</w:t>
      </w:r>
    </w:p>
    <w:p>
      <w:pPr>
        <w:numPr>
          <w:ilvl w:val="0"/>
          <w:numId w:val="31"/>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Infrastructure that has been established</w:t>
      </w:r>
    </w:p>
    <w:p>
      <w:pPr>
        <w:numPr>
          <w:ilvl w:val="0"/>
          <w:numId w:val="31"/>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 rise in the use of technology that is both superior and more efficient in its use of energy</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numPr>
          <w:ilvl w:val="0"/>
          <w:numId w:val="34"/>
        </w:numPr>
        <w:spacing w:before="0" w:after="160" w:line="360"/>
        <w:ind w:right="0" w:left="720" w:hanging="36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Weakness</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When conducting a SWOT analysis, looking at a company's vulnerabilities can assist pinpoint aspects of the business that are ineffective or underperforming (Mata et al., 2019). The ever-increasing global populations as well as the burgeoning rate of industrialization in the world’s less developed nations have driven up the demand for energy to levels that have never been seen before. Companies operating in the power industry frequently suffer from the following types of weaknesses:</w:t>
      </w:r>
    </w:p>
    <w:p>
      <w:pPr>
        <w:numPr>
          <w:ilvl w:val="0"/>
          <w:numId w:val="36"/>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Growing demand for energy</w:t>
      </w:r>
    </w:p>
    <w:p>
      <w:pPr>
        <w:numPr>
          <w:ilvl w:val="0"/>
          <w:numId w:val="36"/>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steadily increasing prices of electric grids</w:t>
      </w:r>
    </w:p>
    <w:p>
      <w:pPr>
        <w:numPr>
          <w:ilvl w:val="0"/>
          <w:numId w:val="36"/>
        </w:numPr>
        <w:spacing w:before="0" w:after="160" w:line="360"/>
        <w:ind w:right="0" w:left="720" w:hanging="36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Opportunities</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With the use of the SWOT analysis, businesses operating in the power industry can locate numerous untapped growth opportunities (Mataet al., 2019). The rate at which data is collected and exchanged is increasing, which means that new opportunities are becoming available in the energy market. Opportunities can be found at every stage of the value chain in the power industry, beginning with generation and continuing with customer relationship management. Some of the more important Opportunities for companies in the power sector include the following:</w:t>
      </w:r>
    </w:p>
    <w:p>
      <w:pPr>
        <w:numPr>
          <w:ilvl w:val="0"/>
          <w:numId w:val="39"/>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Enhanced financial incentives for the purchase of fuel-efficient autos</w:t>
      </w:r>
    </w:p>
    <w:p>
      <w:pPr>
        <w:numPr>
          <w:ilvl w:val="0"/>
          <w:numId w:val="39"/>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An increase in the average number of sunny days per month has resulted in the removal of restrictions on offshore drilling.</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numPr>
          <w:ilvl w:val="0"/>
          <w:numId w:val="42"/>
        </w:numPr>
        <w:spacing w:before="0" w:after="160" w:line="360"/>
        <w:ind w:right="0" w:left="720" w:hanging="36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Threats</w:t>
      </w: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 SWOT analysis of the threats facing the power industry reveals aspects of the external environment that may pose challenges to the sector's capacity for further expansion (</w:t>
      </w:r>
      <w:r>
        <w:rPr>
          <w:rFonts w:ascii="Times New Roman" w:hAnsi="Times New Roman" w:cs="Times New Roman" w:eastAsia="Times New Roman"/>
          <w:color w:val="222222"/>
          <w:spacing w:val="0"/>
          <w:position w:val="0"/>
          <w:sz w:val="26"/>
          <w:shd w:fill="FFFFFF" w:val="clear"/>
        </w:rPr>
        <w:t xml:space="preserve">Singh et al., 2016</w:t>
      </w:r>
      <w:r>
        <w:rPr>
          <w:rFonts w:ascii="Times New Roman" w:hAnsi="Times New Roman" w:cs="Times New Roman" w:eastAsia="Times New Roman"/>
          <w:color w:val="auto"/>
          <w:spacing w:val="0"/>
          <w:position w:val="0"/>
          <w:sz w:val="26"/>
          <w:shd w:fill="auto" w:val="clear"/>
        </w:rPr>
        <w:t xml:space="preserve">) they frequently fall outside of the control of the companies that operate in the power sector. At the moment, as a consequence of the social and economic impact of the industry as a whole, businesses operating within the sector are being subjected to persistent pressure to boost their level of productivity and achieve greater cost competitiveness (</w:t>
      </w:r>
      <w:r>
        <w:rPr>
          <w:rFonts w:ascii="Times New Roman" w:hAnsi="Times New Roman" w:cs="Times New Roman" w:eastAsia="Times New Roman"/>
          <w:color w:val="222222"/>
          <w:spacing w:val="0"/>
          <w:position w:val="0"/>
          <w:sz w:val="26"/>
          <w:shd w:fill="FFFFFF" w:val="clear"/>
        </w:rPr>
        <w:t xml:space="preserve">Singh et al., 2016)</w:t>
      </w:r>
      <w:r>
        <w:rPr>
          <w:rFonts w:ascii="Times New Roman" w:hAnsi="Times New Roman" w:cs="Times New Roman" w:eastAsia="Times New Roman"/>
          <w:color w:val="auto"/>
          <w:spacing w:val="0"/>
          <w:position w:val="0"/>
          <w:sz w:val="26"/>
          <w:shd w:fill="auto" w:val="clear"/>
        </w:rPr>
        <w:t xml:space="preserve">. The following are the primary threats that power sector companies face:</w:t>
      </w:r>
    </w:p>
    <w:p>
      <w:pPr>
        <w:numPr>
          <w:ilvl w:val="0"/>
          <w:numId w:val="44"/>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Risks related to compliance and regulation</w:t>
      </w:r>
    </w:p>
    <w:p>
      <w:pPr>
        <w:numPr>
          <w:ilvl w:val="0"/>
          <w:numId w:val="44"/>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Lack of clarity regarding climate policy and the pricing of carbon</w:t>
      </w:r>
    </w:p>
    <w:p>
      <w:pPr>
        <w:numPr>
          <w:ilvl w:val="0"/>
          <w:numId w:val="44"/>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Price swings in various commodities</w:t>
      </w: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PESTLE Analysis </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Politics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By 2030, the UK government wants to cut emissions by 26-28% compared to 2005 levels. The necessity to switch to cleaner energy sources and the shutdown of coal-fired power plants are two ways that this aim is likely to have an influence on the energy sector. The Paris Agreement, which aims to keep the rise in global temperature this century well below 2 degrees Celsius, has also been endorsed by the government. Given that the requirement to cut emissions would need a massive transition away from fossil fuels; this pledge is likely to have a considerable influence on the energy sector (</w:t>
      </w:r>
      <w:r>
        <w:rPr>
          <w:rFonts w:ascii="Times New Roman" w:hAnsi="Times New Roman" w:cs="Times New Roman" w:eastAsia="Times New Roman"/>
          <w:color w:val="222222"/>
          <w:spacing w:val="0"/>
          <w:position w:val="0"/>
          <w:sz w:val="26"/>
          <w:shd w:fill="FFFFFF" w:val="clear"/>
        </w:rPr>
        <w:t xml:space="preserve">Achinas et al., 2019)</w:t>
      </w:r>
      <w:r>
        <w:rPr>
          <w:rFonts w:ascii="Times New Roman" w:hAnsi="Times New Roman" w:cs="Times New Roman" w:eastAsia="Times New Roman"/>
          <w:color w:val="auto"/>
          <w:spacing w:val="0"/>
          <w:position w:val="0"/>
          <w:sz w:val="26"/>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Numerous government agencies, including the UK Energy Market Commission (UEMC), the UK Energy Market Operator (UEMO), and the UK Competition and Consumer Commission, regulate the energy sector (UCCC). These organizations have a substantial influence on how the energy sector operates, and the rules they establish may have a large effect on the sector.</w:t>
      </w: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Economics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energy sector significantly contributes to the economy of Australia, which is a major producer and exporter of coal, gas, and uranium. As a result, the industry is susceptible to a number of economic variables, such as commodity pricing, currency exchange rates, and international demand. Consumers and businesses alike are very concerned about the price of energy, and this industry is impacted by fluctuating commodity costs. Both the affordability of energy for individuals and the competitiveness of enterprises may be impacted by this.</w:t>
      </w: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Social </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The public is worried about the effects of the energy sector on the environment and climate change. Several factors, like the need to switch to cleaner energy sources and the shutdown of coal-fired power plants, are anticipated to have an impact on the industry as a result of this worry.</w:t>
      </w:r>
    </w:p>
    <w:p>
      <w:pPr>
        <w:numPr>
          <w:ilvl w:val="0"/>
          <w:numId w:val="51"/>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Concerns exist over the industry's effects on health and safety, particularly those related to coal mining. This worry is probably going to have an effect on the industry in a number of ways, including the need to raise safety standards and shut down dangerous mines.</w:t>
      </w:r>
    </w:p>
    <w:p>
      <w:pPr>
        <w:numPr>
          <w:ilvl w:val="0"/>
          <w:numId w:val="51"/>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Renewable energy sources like solar and wind power are gaining popularity. The closure of coal-fired power plants and the necessity to invest in renewable energy sources are only two examples of how this interest is expected to have an impact on the industry (</w:t>
      </w:r>
      <w:r>
        <w:rPr>
          <w:rFonts w:ascii="Times New Roman" w:hAnsi="Times New Roman" w:cs="Times New Roman" w:eastAsia="Times New Roman"/>
          <w:color w:val="222222"/>
          <w:spacing w:val="0"/>
          <w:position w:val="0"/>
          <w:sz w:val="26"/>
          <w:shd w:fill="FFFFFF" w:val="clear"/>
        </w:rPr>
        <w:t xml:space="preserve">Almutairi et al., 2021)</w:t>
      </w:r>
      <w:r>
        <w:rPr>
          <w:rFonts w:ascii="Times New Roman" w:hAnsi="Times New Roman" w:cs="Times New Roman" w:eastAsia="Times New Roman"/>
          <w:color w:val="auto"/>
          <w:spacing w:val="0"/>
          <w:position w:val="0"/>
          <w:sz w:val="26"/>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Technology </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 shift from conventional fossil fuels to cleaner renewable energy sources is taking place in the energy sector. The necessity to invest in renewable energy and the shutdown of coal-fired power plants are two effects that this transformation is projected to have on the industry. The industry is also adopting cutting-edge innovations like smart meters and storage, which are enhancing productivity and bringing down prices. Due to their potential to lower emissions and increase the effectiveness of the energy system, these technologies are anticipated to have a substantial impact on the industry (</w:t>
      </w:r>
      <w:r>
        <w:rPr>
          <w:rFonts w:ascii="Times New Roman" w:hAnsi="Times New Roman" w:cs="Times New Roman" w:eastAsia="Times New Roman"/>
          <w:color w:val="222222"/>
          <w:spacing w:val="0"/>
          <w:position w:val="0"/>
          <w:sz w:val="26"/>
          <w:shd w:fill="FFFFFF" w:val="clear"/>
        </w:rPr>
        <w:t xml:space="preserve">Bostock et al., 2010)</w:t>
      </w:r>
      <w:r>
        <w:rPr>
          <w:rFonts w:ascii="Times New Roman" w:hAnsi="Times New Roman" w:cs="Times New Roman" w:eastAsia="Times New Roman"/>
          <w:color w:val="auto"/>
          <w:spacing w:val="0"/>
          <w:position w:val="0"/>
          <w:sz w:val="26"/>
          <w:shd w:fill="auto" w:val="clear"/>
        </w:rPr>
        <w:t xml:space="preserve">.</w:t>
      </w: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Legal</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A number of environmental restrictions apply to the energy sector. These rules, which are intended to safeguard the environment from the effects of the energy sector, could have a significant effect on the sector. Laws governing consumer protection and competition also apply to this industry. These regulations are meant to ensure that firms compete fairly and to safeguard consumers from deceptive business practices.</w:t>
      </w: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Environmental </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Environmental: Both in terms of emissions and land use, the energy sector has a substantial impact on the environment. The sector is thus vulnerable to the risk of climate change, which is anticipated to have an effect on resource availability and production costs. Additionally, the industry is at danger for environmental harm, including pollution and habitat degradation. The need to invest in environmental protection and the shutdown of coal-fired power plants are two ways that this risk is expected to have an influence on the sector.</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Recommendation</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000000"/>
          <w:spacing w:val="0"/>
          <w:position w:val="0"/>
          <w:sz w:val="26"/>
          <w:shd w:fill="FFFFFF" w:val="clear"/>
        </w:rPr>
        <w:t xml:space="preserve">There are serious uncertainties in the world's energy sector, and there is no clear course of action. The World Energy Council gives a summary of the problems that international energy governance should watch over and address. In essence, the world's energy sources will need to shift away from those that depend on sunlight trapped in the chemical bonds of fossil fuels and toward renewable energy sources. Directly converting sunlight into energy using manufactured technology and obtaining energy from biota through photosynthetic processes are two study areas that need further attention. Numerous academics in the energy field agree that fragmentation in policy, research, and education is a problem for global energy governance (</w:t>
      </w:r>
      <w:r>
        <w:rPr>
          <w:rFonts w:ascii="Times New Roman" w:hAnsi="Times New Roman" w:cs="Times New Roman" w:eastAsia="Times New Roman"/>
          <w:color w:val="222222"/>
          <w:spacing w:val="0"/>
          <w:position w:val="0"/>
          <w:sz w:val="26"/>
          <w:shd w:fill="FFFFFF" w:val="clear"/>
        </w:rPr>
        <w:t xml:space="preserve">Cabeza et al., 2018)</w:t>
      </w:r>
      <w:r>
        <w:rPr>
          <w:rFonts w:ascii="Times New Roman" w:hAnsi="Times New Roman" w:cs="Times New Roman" w:eastAsia="Times New Roman"/>
          <w:color w:val="000000"/>
          <w:spacing w:val="0"/>
          <w:position w:val="0"/>
          <w:sz w:val="26"/>
          <w:shd w:fill="FFFFFF" w:val="clear"/>
        </w:rPr>
        <w:t xml:space="preserve">.</w:t>
      </w: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Planning and reviewing the solution</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6"/>
          <w:shd w:fill="FFFFFF" w:val="clear"/>
        </w:rPr>
      </w:pPr>
      <w:r>
        <w:rPr>
          <w:rFonts w:ascii="Times New Roman" w:hAnsi="Times New Roman" w:cs="Times New Roman" w:eastAsia="Times New Roman"/>
          <w:color w:val="000000"/>
          <w:spacing w:val="0"/>
          <w:position w:val="0"/>
          <w:sz w:val="26"/>
          <w:shd w:fill="FFFFFF" w:val="clear"/>
        </w:rPr>
        <w:t xml:space="preserve">When it comes to reducing carbon emissions and guaranteeing sufficient, reliable energy for the future, the new energy review study lays out the enormity of the problem facing the United Kingdom (DTI 2006). It appears that many Energy Conservation Authorities' reporting methods are unreliable, overestimating levels of improvement in the energy efficiency of the housing stock, and hence are causing them to fall behind on progress towards their targets under the Home Energy Conservation Act. (New Perspectives, 2004)</w:t>
      </w:r>
    </w:p>
    <w:p>
      <w:pPr>
        <w:numPr>
          <w:ilvl w:val="0"/>
          <w:numId w:val="67"/>
        </w:numPr>
        <w:spacing w:before="0" w:after="160" w:line="360"/>
        <w:ind w:right="0" w:left="720" w:hanging="360"/>
        <w:jc w:val="both"/>
        <w:rPr>
          <w:rFonts w:ascii="Times New Roman" w:hAnsi="Times New Roman" w:cs="Times New Roman" w:eastAsia="Times New Roman"/>
          <w:color w:val="000000"/>
          <w:spacing w:val="0"/>
          <w:position w:val="0"/>
          <w:sz w:val="26"/>
          <w:shd w:fill="FFFFFF" w:val="clear"/>
        </w:rPr>
      </w:pPr>
      <w:r>
        <w:rPr>
          <w:rFonts w:ascii="Times New Roman" w:hAnsi="Times New Roman" w:cs="Times New Roman" w:eastAsia="Times New Roman"/>
          <w:color w:val="000000"/>
          <w:spacing w:val="0"/>
          <w:position w:val="0"/>
          <w:sz w:val="26"/>
          <w:shd w:fill="auto" w:val="clear"/>
        </w:rPr>
        <w:br/>
      </w:r>
      <w:r>
        <w:rPr>
          <w:rFonts w:ascii="Times New Roman" w:hAnsi="Times New Roman" w:cs="Times New Roman" w:eastAsia="Times New Roman"/>
          <w:color w:val="000000"/>
          <w:spacing w:val="0"/>
          <w:position w:val="0"/>
          <w:sz w:val="26"/>
          <w:shd w:fill="FFFFFF" w:val="clear"/>
        </w:rPr>
        <w:t xml:space="preserve">The bigger picture, including things like society, education, history, and the energy system</w:t>
      </w:r>
    </w:p>
    <w:p>
      <w:pPr>
        <w:numPr>
          <w:ilvl w:val="0"/>
          <w:numId w:val="67"/>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000000"/>
          <w:spacing w:val="0"/>
          <w:position w:val="0"/>
          <w:sz w:val="26"/>
          <w:shd w:fill="auto" w:val="clear"/>
        </w:rPr>
        <w:br/>
      </w:r>
      <w:r>
        <w:rPr>
          <w:rFonts w:ascii="Times New Roman" w:hAnsi="Times New Roman" w:cs="Times New Roman" w:eastAsia="Times New Roman"/>
          <w:color w:val="000000"/>
          <w:spacing w:val="0"/>
          <w:position w:val="0"/>
          <w:sz w:val="26"/>
          <w:shd w:fill="FFFFFF" w:val="clear"/>
        </w:rPr>
        <w:t xml:space="preserve">Usage frequency and volume. Long-term changes, such as those brought about by increased insulation, the installation of new appliances, the replacement of heating systems and appliances, the construction of an addition, or the addition of new members to the household, will be most readily apparent through billing or other periodic feedback (such as via a computer).</w:t>
      </w: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Conclusion</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000000"/>
          <w:spacing w:val="0"/>
          <w:position w:val="0"/>
          <w:sz w:val="26"/>
          <w:shd w:fill="FFFFFF" w:val="clear"/>
        </w:rPr>
        <w:t xml:space="preserve">The report argues that the lessons learned from previous energy transitions indicate that a replacement energy source will emerge before the physical depletion of oil, despite the fact that oil depletion has sparked heated discussion about the future of the energy transition. The energy landscape would change drastically in the future as a result of the price war strategy and the invention of an alternative to oil in transportation. Both renewable and conventional energy sources failed to make significant inroads into the energy market. In this case, there is no reason to expect that the experts will be correct. Since there is a lack of energy, countries that have plenty of resources have been thrust into the spotlight.</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259"/>
        <w:ind w:right="0" w:left="0" w:firstLine="0"/>
        <w:jc w:val="left"/>
        <w:rPr>
          <w:rFonts w:ascii="Arial" w:hAnsi="Arial" w:cs="Arial" w:eastAsia="Arial"/>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Appendix </w:t>
      </w:r>
    </w:p>
    <w:p>
      <w:pPr>
        <w:spacing w:before="0" w:after="160" w:line="259"/>
        <w:ind w:right="0" w:left="0" w:firstLine="0"/>
        <w:jc w:val="left"/>
        <w:rPr>
          <w:rFonts w:ascii="Arial" w:hAnsi="Arial" w:cs="Arial" w:eastAsia="Arial"/>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EC Energy Conservation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ECCJ Energy Conservation Center, Japan</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ECR Environment Conservation Rules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EEEMS Energy Management System</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SWOT -Strengths, Weaknesses, Opportunities and Threats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PESTELS - Political, Economic, Social, Technological, Legal and Environmental factors.</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6"/>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Reference </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Benders, R.M., Kok, R., Moll, H.C., Wiersma, G. and Noorman, K.J., 2016. New approaches for household energy conservation</w:t>
      </w:r>
      <w:r>
        <w:rPr>
          <w:rFonts w:ascii="Times New Roman" w:hAnsi="Times New Roman" w:cs="Times New Roman" w:eastAsia="Times New Roman"/>
          <w:color w:val="222222"/>
          <w:spacing w:val="0"/>
          <w:position w:val="0"/>
          <w:sz w:val="26"/>
          <w:shd w:fill="FFFFFF" w:val="clear"/>
        </w:rPr>
        <w:t xml:space="preserve">—</w:t>
      </w:r>
      <w:r>
        <w:rPr>
          <w:rFonts w:ascii="Times New Roman" w:hAnsi="Times New Roman" w:cs="Times New Roman" w:eastAsia="Times New Roman"/>
          <w:color w:val="222222"/>
          <w:spacing w:val="0"/>
          <w:position w:val="0"/>
          <w:sz w:val="26"/>
          <w:shd w:fill="FFFFFF" w:val="clear"/>
        </w:rPr>
        <w:t xml:space="preserve">In search of personal household energy budgets and energy reduction options.</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Energy policy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34</w:t>
      </w:r>
      <w:r>
        <w:rPr>
          <w:rFonts w:ascii="Times New Roman" w:hAnsi="Times New Roman" w:cs="Times New Roman" w:eastAsia="Times New Roman"/>
          <w:color w:val="222222"/>
          <w:spacing w:val="0"/>
          <w:position w:val="0"/>
          <w:sz w:val="26"/>
          <w:shd w:fill="FFFFFF" w:val="clear"/>
        </w:rPr>
        <w:t xml:space="preserve">(18), pp.3612-3622.</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auto"/>
          <w:spacing w:val="0"/>
          <w:position w:val="0"/>
          <w:sz w:val="26"/>
          <w:shd w:fill="auto" w:val="clear"/>
        </w:rPr>
        <w:t xml:space="preserve">Brandon G &amp; Lewis A (2018) Reducing Household Energy Consumption: a Qualitative and Quantitative Field Study, Journal of Environmental Psychology 19, 75-85. </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Achinas, S., Horjus, J., Achinas, V. and Euverink, G.J.W., 2019. A PESTLE analysis of biofuels energy industry in Europe. </w:t>
      </w:r>
      <w:r>
        <w:rPr>
          <w:rFonts w:ascii="Times New Roman" w:hAnsi="Times New Roman" w:cs="Times New Roman" w:eastAsia="Times New Roman"/>
          <w:i/>
          <w:color w:val="222222"/>
          <w:spacing w:val="0"/>
          <w:position w:val="0"/>
          <w:sz w:val="26"/>
          <w:shd w:fill="FFFFFF" w:val="clear"/>
        </w:rPr>
        <w:t xml:space="preserve">Sustainability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11</w:t>
      </w:r>
      <w:r>
        <w:rPr>
          <w:rFonts w:ascii="Times New Roman" w:hAnsi="Times New Roman" w:cs="Times New Roman" w:eastAsia="Times New Roman"/>
          <w:color w:val="222222"/>
          <w:spacing w:val="0"/>
          <w:position w:val="0"/>
          <w:sz w:val="26"/>
          <w:shd w:fill="FFFFFF" w:val="clear"/>
        </w:rPr>
        <w:t xml:space="preserve">(21), p.5981.</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Longinos, S.N., Longinou, D.D. and Achinas, S., 2020. Natural gas hydrates: Possible environmental issues. In </w:t>
      </w:r>
      <w:r>
        <w:rPr>
          <w:rFonts w:ascii="Times New Roman" w:hAnsi="Times New Roman" w:cs="Times New Roman" w:eastAsia="Times New Roman"/>
          <w:i/>
          <w:color w:val="222222"/>
          <w:spacing w:val="0"/>
          <w:position w:val="0"/>
          <w:sz w:val="26"/>
          <w:shd w:fill="FFFFFF" w:val="clear"/>
        </w:rPr>
        <w:t xml:space="preserve">Contemporary environmental issues and challenges in era of climate change</w:t>
      </w:r>
      <w:r>
        <w:rPr>
          <w:rFonts w:ascii="Times New Roman" w:hAnsi="Times New Roman" w:cs="Times New Roman" w:eastAsia="Times New Roman"/>
          <w:color w:val="222222"/>
          <w:spacing w:val="0"/>
          <w:position w:val="0"/>
          <w:sz w:val="26"/>
          <w:shd w:fill="FFFFFF" w:val="clear"/>
        </w:rPr>
        <w:t xml:space="preserve"> (pp. 277-293). Springer, Singapore.</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Davis, L.A., 2018. The shale oil and gas revolution. </w:t>
      </w:r>
      <w:r>
        <w:rPr>
          <w:rFonts w:ascii="Times New Roman" w:hAnsi="Times New Roman" w:cs="Times New Roman" w:eastAsia="Times New Roman"/>
          <w:i/>
          <w:color w:val="222222"/>
          <w:spacing w:val="0"/>
          <w:position w:val="0"/>
          <w:sz w:val="26"/>
          <w:shd w:fill="FFFFFF" w:val="clear"/>
        </w:rPr>
        <w:t xml:space="preserve">Engineering</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4</w:t>
      </w:r>
      <w:r>
        <w:rPr>
          <w:rFonts w:ascii="Times New Roman" w:hAnsi="Times New Roman" w:cs="Times New Roman" w:eastAsia="Times New Roman"/>
          <w:color w:val="222222"/>
          <w:spacing w:val="0"/>
          <w:position w:val="0"/>
          <w:sz w:val="26"/>
          <w:shd w:fill="FFFFFF" w:val="clear"/>
        </w:rPr>
        <w:t xml:space="preserve">(4), pp.438-439.</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Ranieri, L., Mossa, G., Pellegrino, R. and Digiesi, S., 2018. Energy recovery from the organic fraction of municipal solid waste: A real options-based facility assessment. </w:t>
      </w:r>
      <w:r>
        <w:rPr>
          <w:rFonts w:ascii="Times New Roman" w:hAnsi="Times New Roman" w:cs="Times New Roman" w:eastAsia="Times New Roman"/>
          <w:i/>
          <w:color w:val="222222"/>
          <w:spacing w:val="0"/>
          <w:position w:val="0"/>
          <w:sz w:val="26"/>
          <w:shd w:fill="FFFFFF" w:val="clear"/>
        </w:rPr>
        <w:t xml:space="preserve">Sustainability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10</w:t>
      </w:r>
      <w:r>
        <w:rPr>
          <w:rFonts w:ascii="Times New Roman" w:hAnsi="Times New Roman" w:cs="Times New Roman" w:eastAsia="Times New Roman"/>
          <w:color w:val="222222"/>
          <w:spacing w:val="0"/>
          <w:position w:val="0"/>
          <w:sz w:val="26"/>
          <w:shd w:fill="FFFFFF" w:val="clear"/>
        </w:rPr>
        <w:t xml:space="preserve">(2), p.368.</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Mata, É., Wanemark, J., Nik, V.M. and Kalagasidis, A.S., 2019. Economic feasibility of building retrofitting mitigation potentials: Climate change uncertainties for Swedish cities. </w:t>
      </w:r>
      <w:r>
        <w:rPr>
          <w:rFonts w:ascii="Times New Roman" w:hAnsi="Times New Roman" w:cs="Times New Roman" w:eastAsia="Times New Roman"/>
          <w:i/>
          <w:color w:val="222222"/>
          <w:spacing w:val="0"/>
          <w:position w:val="0"/>
          <w:sz w:val="26"/>
          <w:shd w:fill="FFFFFF" w:val="clear"/>
        </w:rPr>
        <w:t xml:space="preserve">Applied Energy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242</w:t>
      </w:r>
      <w:r>
        <w:rPr>
          <w:rFonts w:ascii="Times New Roman" w:hAnsi="Times New Roman" w:cs="Times New Roman" w:eastAsia="Times New Roman"/>
          <w:color w:val="222222"/>
          <w:spacing w:val="0"/>
          <w:position w:val="0"/>
          <w:sz w:val="26"/>
          <w:shd w:fill="FFFFFF" w:val="clear"/>
        </w:rPr>
        <w:t xml:space="preserve">, pp.1022-1035.</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Singh, R., Srivastava, M. and Shukla, A., 2016. Environmental sustainability of bioethanol production from rice straw in India: a review. </w:t>
      </w:r>
      <w:r>
        <w:rPr>
          <w:rFonts w:ascii="Times New Roman" w:hAnsi="Times New Roman" w:cs="Times New Roman" w:eastAsia="Times New Roman"/>
          <w:i/>
          <w:color w:val="222222"/>
          <w:spacing w:val="0"/>
          <w:position w:val="0"/>
          <w:sz w:val="26"/>
          <w:shd w:fill="FFFFFF" w:val="clear"/>
        </w:rPr>
        <w:t xml:space="preserve">Renewable and Sustainable Energy Reviews</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54</w:t>
      </w:r>
      <w:r>
        <w:rPr>
          <w:rFonts w:ascii="Times New Roman" w:hAnsi="Times New Roman" w:cs="Times New Roman" w:eastAsia="Times New Roman"/>
          <w:color w:val="222222"/>
          <w:spacing w:val="0"/>
          <w:position w:val="0"/>
          <w:sz w:val="26"/>
          <w:shd w:fill="FFFFFF" w:val="clear"/>
        </w:rPr>
        <w:t xml:space="preserve">, pp.202-216.</w:t>
      </w:r>
    </w:p>
    <w:p>
      <w:pPr>
        <w:numPr>
          <w:ilvl w:val="0"/>
          <w:numId w:val="78"/>
        </w:numPr>
        <w:spacing w:before="0" w:after="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Almutairi, K., Mostafaeipour, A., Jahanshahi, E., Jooyandeh, E., Himri, Y., Jahangiri, M., Issakhov, A., Chowdhury, S., Hosseini Dehshiri, S.J., Hosseini Dehshiri, S.S. and Techato, K., 2021. Ranking locations for hydrogen production using hybrid wind-solar: a case study. </w:t>
      </w:r>
      <w:r>
        <w:rPr>
          <w:rFonts w:ascii="Times New Roman" w:hAnsi="Times New Roman" w:cs="Times New Roman" w:eastAsia="Times New Roman"/>
          <w:i/>
          <w:color w:val="222222"/>
          <w:spacing w:val="0"/>
          <w:position w:val="0"/>
          <w:sz w:val="26"/>
          <w:shd w:fill="FFFFFF" w:val="clear"/>
        </w:rPr>
        <w:t xml:space="preserve">Sustainability</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13</w:t>
      </w:r>
      <w:r>
        <w:rPr>
          <w:rFonts w:ascii="Times New Roman" w:hAnsi="Times New Roman" w:cs="Times New Roman" w:eastAsia="Times New Roman"/>
          <w:color w:val="222222"/>
          <w:spacing w:val="0"/>
          <w:position w:val="0"/>
          <w:sz w:val="26"/>
          <w:shd w:fill="FFFFFF" w:val="clear"/>
        </w:rPr>
        <w:t xml:space="preserve">(8), p.4524.</w:t>
      </w:r>
    </w:p>
    <w:p>
      <w:pPr>
        <w:numPr>
          <w:ilvl w:val="0"/>
          <w:numId w:val="7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Bostock, J., McAndrew, B., Richards, R., Jauncey, K., Telfer, T., Lorenzen, K., Little, D., Ross, L., Handisyde, N., Gatward, I. and Corner, R., 2010. Aquaculture: global status and trends. </w:t>
      </w:r>
      <w:r>
        <w:rPr>
          <w:rFonts w:ascii="Times New Roman" w:hAnsi="Times New Roman" w:cs="Times New Roman" w:eastAsia="Times New Roman"/>
          <w:i/>
          <w:color w:val="222222"/>
          <w:spacing w:val="0"/>
          <w:position w:val="0"/>
          <w:sz w:val="26"/>
          <w:shd w:fill="FFFFFF" w:val="clear"/>
        </w:rPr>
        <w:t xml:space="preserve">Philosophical Transactions of the Royal Society B: Biological Sciences</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365</w:t>
      </w:r>
      <w:r>
        <w:rPr>
          <w:rFonts w:ascii="Times New Roman" w:hAnsi="Times New Roman" w:cs="Times New Roman" w:eastAsia="Times New Roman"/>
          <w:color w:val="222222"/>
          <w:spacing w:val="0"/>
          <w:position w:val="0"/>
          <w:sz w:val="26"/>
          <w:shd w:fill="FFFFFF" w:val="clear"/>
        </w:rPr>
        <w:t xml:space="preserve">(1554), pp.2897-2912.</w:t>
      </w:r>
    </w:p>
    <w:p>
      <w:pPr>
        <w:numPr>
          <w:ilvl w:val="0"/>
          <w:numId w:val="78"/>
        </w:numPr>
        <w:spacing w:before="0" w:after="160" w:line="360"/>
        <w:ind w:right="0" w:left="720" w:hanging="360"/>
        <w:jc w:val="both"/>
        <w:rPr>
          <w:rFonts w:ascii="Times New Roman" w:hAnsi="Times New Roman" w:cs="Times New Roman" w:eastAsia="Times New Roman"/>
          <w:color w:val="auto"/>
          <w:spacing w:val="0"/>
          <w:position w:val="0"/>
          <w:sz w:val="26"/>
          <w:shd w:fill="auto" w:val="clear"/>
        </w:rPr>
      </w:pPr>
      <w:r>
        <w:rPr>
          <w:rFonts w:ascii="Times New Roman" w:hAnsi="Times New Roman" w:cs="Times New Roman" w:eastAsia="Times New Roman"/>
          <w:color w:val="222222"/>
          <w:spacing w:val="0"/>
          <w:position w:val="0"/>
          <w:sz w:val="26"/>
          <w:shd w:fill="FFFFFF" w:val="clear"/>
        </w:rPr>
        <w:t xml:space="preserve">Cabeza, L.F., de Gracia, A. and Pisello, A.L., 2018. Integration of renewable technologies in historical and heritage buildings: A review. </w:t>
      </w:r>
      <w:r>
        <w:rPr>
          <w:rFonts w:ascii="Times New Roman" w:hAnsi="Times New Roman" w:cs="Times New Roman" w:eastAsia="Times New Roman"/>
          <w:i/>
          <w:color w:val="222222"/>
          <w:spacing w:val="0"/>
          <w:position w:val="0"/>
          <w:sz w:val="26"/>
          <w:shd w:fill="FFFFFF" w:val="clear"/>
        </w:rPr>
        <w:t xml:space="preserve">Energy and buildings</w:t>
      </w:r>
      <w:r>
        <w:rPr>
          <w:rFonts w:ascii="Times New Roman" w:hAnsi="Times New Roman" w:cs="Times New Roman" w:eastAsia="Times New Roman"/>
          <w:color w:val="222222"/>
          <w:spacing w:val="0"/>
          <w:position w:val="0"/>
          <w:sz w:val="26"/>
          <w:shd w:fill="FFFFFF" w:val="clear"/>
        </w:rPr>
        <w:t xml:space="preserve">, </w:t>
      </w:r>
      <w:r>
        <w:rPr>
          <w:rFonts w:ascii="Times New Roman" w:hAnsi="Times New Roman" w:cs="Times New Roman" w:eastAsia="Times New Roman"/>
          <w:i/>
          <w:color w:val="222222"/>
          <w:spacing w:val="0"/>
          <w:position w:val="0"/>
          <w:sz w:val="26"/>
          <w:shd w:fill="FFFFFF" w:val="clear"/>
        </w:rPr>
        <w:t xml:space="preserve">177</w:t>
      </w:r>
      <w:r>
        <w:rPr>
          <w:rFonts w:ascii="Times New Roman" w:hAnsi="Times New Roman" w:cs="Times New Roman" w:eastAsia="Times New Roman"/>
          <w:color w:val="222222"/>
          <w:spacing w:val="0"/>
          <w:position w:val="0"/>
          <w:sz w:val="26"/>
          <w:shd w:fill="FFFFFF" w:val="clear"/>
        </w:rPr>
        <w:t xml:space="preserve">, pp.96-111.</w:t>
      </w:r>
    </w:p>
    <w:p>
      <w:pPr>
        <w:spacing w:before="0" w:after="160" w:line="360"/>
        <w:ind w:right="0" w:left="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720" w:firstLine="0"/>
        <w:jc w:val="both"/>
        <w:rPr>
          <w:rFonts w:ascii="Times New Roman" w:hAnsi="Times New Roman" w:cs="Times New Roman" w:eastAsia="Times New Roman"/>
          <w:color w:val="auto"/>
          <w:spacing w:val="0"/>
          <w:position w:val="0"/>
          <w:sz w:val="26"/>
          <w:shd w:fill="auto" w:val="clear"/>
        </w:rPr>
      </w:pP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num w:numId="19">
    <w:abstractNumId w:val="72"/>
  </w:num>
  <w:num w:numId="21">
    <w:abstractNumId w:val="66"/>
  </w:num>
  <w:num w:numId="23">
    <w:abstractNumId w:val="60"/>
  </w:num>
  <w:num w:numId="28">
    <w:abstractNumId w:val="54"/>
  </w:num>
  <w:num w:numId="31">
    <w:abstractNumId w:val="48"/>
  </w:num>
  <w:num w:numId="34">
    <w:abstractNumId w:val="42"/>
  </w:num>
  <w:num w:numId="36">
    <w:abstractNumId w:val="36"/>
  </w:num>
  <w:num w:numId="39">
    <w:abstractNumId w:val="30"/>
  </w:num>
  <w:num w:numId="42">
    <w:abstractNumId w:val="24"/>
  </w:num>
  <w:num w:numId="44">
    <w:abstractNumId w:val="18"/>
  </w:num>
  <w:num w:numId="51">
    <w:abstractNumId w:val="12"/>
  </w:num>
  <w:num w:numId="67">
    <w:abstractNumId w:val="6"/>
  </w:num>
  <w:num w:numId="7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