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ink/ink1.xml" ContentType="application/inkml+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word/ink/ink2.xml" ContentType="application/inkml+xml"/>
  <Override PartName="/word/ink/ink4.xml" ContentType="application/inkml+xml"/>
  <Override PartName="/word/settings.xml" ContentType="application/vnd.openxmlformats-officedocument.wordprocessingml.settings+xml"/>
  <Override PartName="/docProps/custom.xml" ContentType="application/vnd.openxmlformats-officedocument.custom-properties+xml"/>
  <Override PartName="/word/ink/ink3.xml" ContentType="application/inkml+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after="158"/>
        <w:ind w:left="49"/>
        <w:jc w:val="center"/>
        <w:rPr/>
      </w:pPr>
      <w:r>
        <w:rPr>
          <w:rFonts w:ascii="Calibri" w:cs="Calibri" w:eastAsia="Calibri" w:hAnsi="Calibri"/>
        </w:rPr>
        <w:t xml:space="preserve"> </w:t>
      </w:r>
    </w:p>
    <w:p>
      <w:pPr>
        <w:pStyle w:val="style0"/>
        <w:ind w:left="49"/>
        <w:jc w:val="center"/>
        <w:rPr/>
      </w:pPr>
      <w:r>
        <w:rPr>
          <w:rFonts w:ascii="Calibri" w:cs="Calibri" w:eastAsia="Calibri" w:hAnsi="Calibri"/>
        </w:rPr>
        <w:t xml:space="preserve"> </w:t>
      </w:r>
    </w:p>
    <w:p>
      <w:pPr>
        <w:pStyle w:val="style0"/>
        <w:spacing w:after="158"/>
        <w:ind w:left="49"/>
        <w:jc w:val="center"/>
        <w:rPr/>
      </w:pPr>
      <w:r>
        <w:rPr>
          <w:noProof/>
          <w:lang w:eastAsia="en-US"/>
        </w:rPr>
        <w:drawing>
          <wp:inline distL="0" distT="0" distB="0" distR="0">
            <wp:extent cx="1979999" cy="824400"/>
            <wp:effectExtent l="0" t="0" r="1270" b="0"/>
            <wp:docPr id="1026"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1979999" cy="824400"/>
                    </a:xfrm>
                    <a:prstGeom prst="rect"/>
                  </pic:spPr>
                </pic:pic>
              </a:graphicData>
            </a:graphic>
          </wp:inline>
        </w:drawing>
      </w:r>
      <w:r>
        <w:rPr>
          <w:rFonts w:ascii="Calibri" w:cs="Calibri" w:eastAsia="Calibri" w:hAnsi="Calibri"/>
        </w:rPr>
        <w:t xml:space="preserve"> </w:t>
      </w:r>
    </w:p>
    <w:p>
      <w:pPr>
        <w:pStyle w:val="style0"/>
        <w:ind w:left="49"/>
        <w:jc w:val="center"/>
        <w:rPr/>
      </w:pPr>
      <w:r>
        <w:rPr>
          <w:rFonts w:ascii="Calibri" w:cs="Calibri" w:eastAsia="Calibri" w:hAnsi="Calibri"/>
        </w:rPr>
        <w:t xml:space="preserve"> </w:t>
      </w:r>
    </w:p>
    <w:p>
      <w:pPr>
        <w:pStyle w:val="style0"/>
        <w:spacing w:after="287"/>
        <w:ind w:left="49"/>
        <w:jc w:val="center"/>
        <w:rPr/>
      </w:pPr>
      <w:r>
        <w:rPr>
          <w:rFonts w:ascii="Calibri" w:cs="Calibri" w:eastAsia="Calibri" w:hAnsi="Calibri"/>
        </w:rPr>
        <w:t xml:space="preserve"> </w:t>
      </w:r>
    </w:p>
    <w:p>
      <w:pPr>
        <w:pStyle w:val="style0"/>
        <w:spacing w:after="157"/>
        <w:ind w:left="89"/>
        <w:jc w:val="center"/>
        <w:rPr/>
      </w:pPr>
      <w:r>
        <w:rPr>
          <w:sz w:val="36"/>
        </w:rPr>
        <w:t xml:space="preserve"> </w:t>
      </w:r>
      <w:r>
        <w:rPr>
          <w:b/>
          <w:bCs/>
          <w:sz w:val="36"/>
        </w:rPr>
        <w:t>UNDERSTANDING THE ROLE OF MICROBIAL INFECTION IN THE UK REHOSPITALISATION RATES OF ADULTS:   IMPLICATIONS FOR PUBLIC HEALTH AND SOCIAL CARE</w:t>
      </w:r>
    </w:p>
    <w:p>
      <w:pPr>
        <w:pStyle w:val="style0"/>
        <w:spacing w:after="42"/>
        <w:ind w:left="89"/>
        <w:jc w:val="center"/>
        <w:rPr/>
      </w:pPr>
      <w:r>
        <w:rPr>
          <w:sz w:val="36"/>
        </w:rPr>
        <w:t xml:space="preserve"> </w:t>
      </w:r>
    </w:p>
    <w:p>
      <w:pPr>
        <w:pStyle w:val="style0"/>
        <w:spacing w:after="157"/>
        <w:ind w:left="2367" w:right="2358"/>
        <w:jc w:val="center"/>
        <w:rPr/>
      </w:pPr>
      <w:r>
        <w:t xml:space="preserve">by </w:t>
      </w:r>
    </w:p>
    <w:p>
      <w:pPr>
        <w:pStyle w:val="style0"/>
        <w:spacing w:after="158"/>
        <w:ind w:left="59"/>
        <w:jc w:val="center"/>
        <w:rPr/>
      </w:pPr>
      <w:r>
        <w:t xml:space="preserve"> </w:t>
      </w:r>
    </w:p>
    <w:p>
      <w:pPr>
        <w:pStyle w:val="style0"/>
        <w:spacing w:after="157"/>
        <w:ind w:left="2367" w:right="2359"/>
        <w:jc w:val="center"/>
        <w:rPr/>
      </w:pPr>
      <w:r>
        <w:t>[</w:t>
      </w:r>
      <w:r>
        <w:t>Manishaben</w:t>
      </w:r>
      <w:r>
        <w:t xml:space="preserve"> </w:t>
      </w:r>
      <w:r>
        <w:t>Rajeshbhai</w:t>
      </w:r>
      <w:r>
        <w:t xml:space="preserve"> Patel] </w:t>
      </w:r>
    </w:p>
    <w:p>
      <w:pPr>
        <w:pStyle w:val="style0"/>
        <w:spacing w:after="158"/>
        <w:ind w:left="59"/>
        <w:jc w:val="center"/>
        <w:rPr/>
      </w:pPr>
      <w:r>
        <w:t xml:space="preserve"> </w:t>
      </w:r>
    </w:p>
    <w:p>
      <w:pPr>
        <w:pStyle w:val="style0"/>
        <w:spacing w:after="156"/>
        <w:ind w:left="59"/>
        <w:jc w:val="center"/>
        <w:rPr/>
      </w:pPr>
      <w:r>
        <w:t xml:space="preserve"> </w:t>
      </w:r>
    </w:p>
    <w:p>
      <w:pPr>
        <w:pStyle w:val="style0"/>
        <w:spacing w:after="158"/>
        <w:ind w:left="59"/>
        <w:jc w:val="center"/>
        <w:rPr/>
      </w:pPr>
      <w:r>
        <w:t xml:space="preserve"> </w:t>
      </w:r>
    </w:p>
    <w:p>
      <w:pPr>
        <w:pStyle w:val="style0"/>
        <w:spacing w:after="158"/>
        <w:ind w:left="59"/>
        <w:jc w:val="center"/>
        <w:rPr/>
      </w:pPr>
      <w:r>
        <w:t xml:space="preserve"> </w:t>
      </w:r>
    </w:p>
    <w:p>
      <w:pPr>
        <w:pStyle w:val="style0"/>
        <w:spacing w:after="158"/>
        <w:ind w:left="59"/>
        <w:jc w:val="center"/>
        <w:rPr/>
      </w:pPr>
      <w:r>
        <w:t xml:space="preserve"> </w:t>
      </w:r>
    </w:p>
    <w:p>
      <w:pPr>
        <w:pStyle w:val="style0"/>
        <w:spacing w:after="156"/>
        <w:ind w:left="59"/>
        <w:jc w:val="center"/>
        <w:rPr>
          <w:sz w:val="24"/>
          <w:szCs w:val="24"/>
        </w:rPr>
      </w:pPr>
      <w:r>
        <w:rPr>
          <w:sz w:val="24"/>
          <w:szCs w:val="24"/>
        </w:rPr>
        <w:t>A Dissertation submitted in partial fulfilment of the requirements for the degree of Masters of Science in Public Health and Social Care in Practice</w:t>
      </w:r>
    </w:p>
    <w:p>
      <w:pPr>
        <w:pStyle w:val="style0"/>
        <w:spacing w:after="156"/>
        <w:ind w:left="59"/>
        <w:rPr/>
      </w:pPr>
    </w:p>
    <w:p>
      <w:pPr>
        <w:pStyle w:val="style0"/>
        <w:spacing w:after="169"/>
        <w:jc w:val="center"/>
        <w:rPr>
          <w:b/>
          <w:bCs/>
        </w:rPr>
      </w:pPr>
    </w:p>
    <w:p>
      <w:pPr>
        <w:pStyle w:val="style0"/>
        <w:spacing w:after="169"/>
        <w:jc w:val="center"/>
        <w:rPr>
          <w:b/>
          <w:bCs/>
        </w:rPr>
      </w:pPr>
    </w:p>
    <w:p>
      <w:pPr>
        <w:pStyle w:val="style0"/>
        <w:spacing w:after="169"/>
        <w:jc w:val="center"/>
        <w:rPr>
          <w:b/>
          <w:bCs/>
          <w:sz w:val="24"/>
          <w:szCs w:val="24"/>
        </w:rPr>
      </w:pPr>
      <w:r>
        <w:rPr>
          <w:b/>
          <w:bCs/>
          <w:sz w:val="24"/>
          <w:szCs w:val="24"/>
        </w:rPr>
        <w:t>The Institute of Inner-City Learning</w:t>
      </w:r>
    </w:p>
    <w:p>
      <w:pPr>
        <w:pStyle w:val="style0"/>
        <w:spacing w:after="169"/>
        <w:jc w:val="center"/>
        <w:rPr>
          <w:b/>
          <w:bCs/>
          <w:sz w:val="24"/>
          <w:szCs w:val="24"/>
        </w:rPr>
      </w:pPr>
      <w:r>
        <w:rPr>
          <w:b/>
          <w:bCs/>
          <w:sz w:val="24"/>
          <w:szCs w:val="24"/>
        </w:rPr>
        <w:t>University of Wales Trinity Saint David – London Campus</w:t>
      </w:r>
    </w:p>
    <w:p>
      <w:pPr>
        <w:pStyle w:val="style0"/>
        <w:spacing w:after="157"/>
        <w:ind w:left="2367" w:right="2357"/>
        <w:jc w:val="center"/>
        <w:rPr>
          <w:b/>
          <w:bCs/>
          <w:sz w:val="24"/>
          <w:szCs w:val="24"/>
        </w:rPr>
      </w:pPr>
    </w:p>
    <w:p>
      <w:pPr>
        <w:pStyle w:val="style0"/>
        <w:spacing w:after="157"/>
        <w:ind w:left="2367" w:right="2357"/>
        <w:jc w:val="center"/>
        <w:rPr>
          <w:b/>
          <w:bCs/>
          <w:sz w:val="24"/>
          <w:szCs w:val="24"/>
        </w:rPr>
      </w:pPr>
    </w:p>
    <w:p>
      <w:pPr>
        <w:pStyle w:val="style0"/>
        <w:spacing w:after="157"/>
        <w:ind w:left="2367" w:right="2357"/>
        <w:jc w:val="center"/>
        <w:rPr>
          <w:b/>
          <w:bCs/>
          <w:sz w:val="24"/>
          <w:szCs w:val="24"/>
        </w:rPr>
      </w:pPr>
      <w:r>
        <w:rPr>
          <w:b/>
          <w:bCs/>
          <w:sz w:val="24"/>
          <w:szCs w:val="24"/>
          <w:highlight w:val="yellow"/>
        </w:rPr>
        <w:t>[Month Year</w:t>
      </w:r>
      <w:r>
        <w:rPr>
          <w:b/>
          <w:bCs/>
          <w:sz w:val="24"/>
          <w:szCs w:val="24"/>
        </w:rPr>
        <w:t xml:space="preserve">] </w:t>
      </w:r>
    </w:p>
    <w:p>
      <w:pPr>
        <w:pStyle w:val="style0"/>
        <w:rPr>
          <w:b/>
          <w:bCs/>
        </w:rPr>
      </w:pPr>
      <w:r>
        <w:rPr>
          <w:b/>
          <w:bCs/>
        </w:rPr>
        <w:br w:type="page"/>
      </w:r>
    </w:p>
    <w:p>
      <w:pPr>
        <w:pStyle w:val="style0"/>
        <w:spacing w:after="200" w:lineRule="auto" w:line="276"/>
        <w:rPr>
          <w:rFonts w:eastAsia="Times New Roman"/>
          <w:b/>
          <w:bCs/>
          <w:sz w:val="24"/>
          <w:szCs w:val="24"/>
        </w:rPr>
      </w:pPr>
      <w:r>
        <w:rPr>
          <w:rFonts w:eastAsia="Times New Roman"/>
          <w:b/>
          <w:bCs/>
          <w:sz w:val="24"/>
          <w:szCs w:val="24"/>
        </w:rPr>
        <w:t>DECLARATION</w:t>
      </w:r>
    </w:p>
    <w:p>
      <w:pPr>
        <w:pStyle w:val="style0"/>
        <w:spacing w:after="200" w:lineRule="auto" w:line="276"/>
        <w:rPr>
          <w:rFonts w:eastAsia="Times New Roman"/>
          <w:sz w:val="24"/>
          <w:szCs w:val="24"/>
        </w:rPr>
      </w:pPr>
    </w:p>
    <w:p>
      <w:pPr>
        <w:pStyle w:val="style0"/>
        <w:spacing w:after="200" w:lineRule="auto" w:line="276"/>
        <w:rPr>
          <w:rFonts w:eastAsia="Times New Roman"/>
          <w:sz w:val="24"/>
          <w:szCs w:val="24"/>
        </w:rPr>
      </w:pPr>
      <w:r>
        <w:rPr>
          <w:noProof/>
          <w:lang w:eastAsia="en-US"/>
        </w:rPr>
        <mc:AlternateContent>
          <mc:Choice Requires="wps">
            <w:drawing>
              <wp:anchor distT="0" distB="0" distL="0" distR="0" simplePos="false" relativeHeight="2" behindDoc="false" locked="false" layoutInCell="true" allowOverlap="true">
                <wp:simplePos x="0" y="0"/>
                <wp:positionH relativeFrom="column">
                  <wp:posOffset>-1623695</wp:posOffset>
                </wp:positionH>
                <wp:positionV relativeFrom="paragraph">
                  <wp:posOffset>235585</wp:posOffset>
                </wp:positionV>
                <wp:extent cx="18413" cy="18415"/>
                <wp:effectExtent l="62230" t="65405" r="52705" b="59055"/>
                <wp:wrapNone/>
                <wp:docPr id="1027" name="Ink 16"/>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3">
                      <w14:xfrm rot="0">
                        <a:off x="0" y="0"/>
                        <a:ext cx="18413" cy="18415"/>
                      </w14:xfrm>
                    </w14:contentPart>
                  </a:graphicData>
                </a:graphic>
                <wp14:sizeRelH relativeFrom="page">
                  <wp14:pctWidth>0</wp14:pctWidth>
                </wp14:sizeRelH>
                <wp14:sizeRelV relativeFrom="page">
                  <wp14:pctHeight>0</wp14:pctHeight>
                </wp14:sizeRelV>
              </wp:anchor>
            </w:drawing>
          </mc:Choice>
          <mc:Fallback>
            <w:pict>
              <v:shape id="1027" filled="f" stroked="f" style="position:absolute;margin-left:-127.85pt;margin-top:18.55pt;width:1.45pt;height:1.45pt;z-index:2;mso-position-horizontal-relative:text;mso-position-vertical-relative:text;mso-width-percent:0;mso-height-percent:0;mso-width-relative:page;mso-height-relative:page;mso-wrap-distance-left:0.0pt;mso-wrap-distance-right:0.0pt;visibility:visible;">
                <v:fill/>
                <o:ink i="AD8dBOQCmAQZCzgJAP7/AwAAAAAAAgsKSBFEAEUyRjJQABUAAIA/AACAPwAAAAAAAAAABQE4CgkB&#10;gwCDAIP+rsw=&#10;"/>
              </v:shape>
            </w:pict>
          </mc:Fallback>
        </mc:AlternateContent>
      </w:r>
      <w:r>
        <w:rPr>
          <w:noProof/>
          <w:lang w:eastAsia="en-US"/>
        </w:rPr>
        <mc:AlternateContent>
          <mc:Choice Requires="wps">
            <w:drawing>
              <wp:anchor distT="0" distB="0" distL="0" distR="0" simplePos="false" relativeHeight="3" behindDoc="false" locked="false" layoutInCell="true" allowOverlap="true">
                <wp:simplePos x="0" y="0"/>
                <wp:positionH relativeFrom="column">
                  <wp:posOffset>-1623695</wp:posOffset>
                </wp:positionH>
                <wp:positionV relativeFrom="paragraph">
                  <wp:posOffset>241934</wp:posOffset>
                </wp:positionV>
                <wp:extent cx="18413" cy="23495"/>
                <wp:effectExtent l="62230" t="62230" r="52705" b="47625"/>
                <wp:wrapNone/>
                <wp:docPr id="1028" name="Ink 15"/>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4">
                      <w14:xfrm rot="0">
                        <a:off x="0" y="0"/>
                        <a:ext cx="18413" cy="23495"/>
                      </w14:xfrm>
                    </w14:contentPart>
                  </a:graphicData>
                </a:graphic>
                <wp14:sizeRelH relativeFrom="page">
                  <wp14:pctWidth>0</wp14:pctWidth>
                </wp14:sizeRelH>
                <wp14:sizeRelV relativeFrom="page">
                  <wp14:pctHeight>0</wp14:pctHeight>
                </wp14:sizeRelV>
              </wp:anchor>
            </w:drawing>
          </mc:Choice>
          <mc:Fallback>
            <w:pict>
              <v:shape id="1028" filled="f" stroked="f" style="position:absolute;margin-left:-127.85pt;margin-top:19.05pt;width:1.45pt;height:1.85pt;z-index:3;mso-position-horizontal-relative:text;mso-position-vertical-relative:text;mso-width-percent:0;mso-height-percent:0;mso-width-relative:page;mso-height-relative:page;mso-wrap-distance-left:0.0pt;mso-wrap-distance-right:0.0pt;visibility:visible;">
                <v:fill/>
                <o:ink i="AEUdBOQCmAQZCzgJAP7/AwAAAAAAAgsKSBFEAEUyRjJQABUAAIA/AACAPwAAAAAAAAAABQE4Cg8C&#10;gwCD+UPtMIP+rsz+rs0=&#10;"/>
              </v:shape>
            </w:pict>
          </mc:Fallback>
        </mc:AlternateContent>
      </w:r>
      <w:r>
        <w:rPr>
          <w:noProof/>
          <w:lang w:eastAsia="en-US"/>
        </w:rPr>
        <mc:AlternateContent>
          <mc:Choice Requires="wps">
            <w:drawing>
              <wp:anchor distT="0" distB="0" distL="0" distR="0" simplePos="false" relativeHeight="4" behindDoc="false" locked="false" layoutInCell="true" allowOverlap="true">
                <wp:simplePos x="0" y="0"/>
                <wp:positionH relativeFrom="column">
                  <wp:posOffset>-1623695</wp:posOffset>
                </wp:positionH>
                <wp:positionV relativeFrom="paragraph">
                  <wp:posOffset>245745</wp:posOffset>
                </wp:positionV>
                <wp:extent cx="18413" cy="18415"/>
                <wp:effectExtent l="62230" t="66040" r="52705" b="58420"/>
                <wp:wrapNone/>
                <wp:docPr id="1029" name="Ink 14"/>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5">
                      <w14:xfrm rot="0">
                        <a:off x="0" y="0"/>
                        <a:ext cx="18413" cy="18415"/>
                      </w14:xfrm>
                    </w14:contentPart>
                  </a:graphicData>
                </a:graphic>
                <wp14:sizeRelH relativeFrom="page">
                  <wp14:pctWidth>0</wp14:pctWidth>
                </wp14:sizeRelH>
                <wp14:sizeRelV relativeFrom="page">
                  <wp14:pctHeight>0</wp14:pctHeight>
                </wp14:sizeRelV>
              </wp:anchor>
            </w:drawing>
          </mc:Choice>
          <mc:Fallback>
            <w:pict>
              <v:shape id="1029" filled="f" stroked="f" style="position:absolute;margin-left:-127.85pt;margin-top:19.35pt;width:1.45pt;height:1.45pt;z-index:4;mso-position-horizontal-relative:text;mso-position-vertical-relative:text;mso-width-percent:0;mso-height-percent:0;mso-width-relative:page;mso-height-relative:page;mso-wrap-distance-left:0.0pt;mso-wrap-distance-right:0.0pt;visibility:visible;">
                <v:fill/>
                <o:ink i="AD8dBOQCmAQZCzgJAP7/AwAAAAAAAgsKSBFEAEUyRjJQABUAAIA/AACAPwAAAAAAAAAABQE4CgkB&#10;gwCDAIP+rsw=&#10;"/>
              </v:shape>
            </w:pict>
          </mc:Fallback>
        </mc:AlternateContent>
      </w:r>
      <w:r>
        <w:rPr>
          <w:noProof/>
          <w:lang w:eastAsia="en-US"/>
        </w:rPr>
        <mc:AlternateContent>
          <mc:Choice Requires="wps">
            <w:drawing>
              <wp:anchor distT="0" distB="0" distL="0" distR="0" simplePos="false" relativeHeight="5" behindDoc="false" locked="false" layoutInCell="true" allowOverlap="true">
                <wp:simplePos x="0" y="0"/>
                <wp:positionH relativeFrom="column">
                  <wp:posOffset>-1935479</wp:posOffset>
                </wp:positionH>
                <wp:positionV relativeFrom="paragraph">
                  <wp:posOffset>243840</wp:posOffset>
                </wp:positionV>
                <wp:extent cx="18413" cy="18415"/>
                <wp:effectExtent l="64770" t="63500" r="50165" b="51434"/>
                <wp:wrapNone/>
                <wp:docPr id="1030" name="Ink 1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6">
                      <w14:xfrm rot="0">
                        <a:off x="0" y="0"/>
                        <a:ext cx="18413" cy="18415"/>
                      </w14:xfrm>
                    </w14:contentPart>
                  </a:graphicData>
                </a:graphic>
                <wp14:sizeRelH relativeFrom="page">
                  <wp14:pctWidth>0</wp14:pctWidth>
                </wp14:sizeRelH>
                <wp14:sizeRelV relativeFrom="page">
                  <wp14:pctHeight>0</wp14:pctHeight>
                </wp14:sizeRelV>
              </wp:anchor>
            </w:drawing>
          </mc:Choice>
          <mc:Fallback>
            <w:pict>
              <v:shape id="1030" filled="f" stroked="f" style="position:absolute;margin-left:-152.4pt;margin-top:19.2pt;width:1.45pt;height:1.45pt;z-index:5;mso-position-horizontal-relative:text;mso-position-vertical-relative:text;mso-width-percent:0;mso-height-percent:0;mso-width-relative:page;mso-height-relative:page;mso-wrap-distance-left:0.0pt;mso-wrap-distance-right:0.0pt;visibility:visible;">
                <v:fill/>
                <o:ink i="AD8dBOQCmAQZCzgJAP7/AwAAAAAAAgsKSBFEAEUyRjJQABUAAIA/AACAPwAAAAAAAAAABQE4CgkB&#10;gwCDAIP+rsw=&#10;"/>
              </v:shape>
            </w:pict>
          </mc:Fallback>
        </mc:AlternateContent>
      </w:r>
      <w:r>
        <w:rPr>
          <w:rFonts w:eastAsia="Times New Roman"/>
          <w:sz w:val="24"/>
          <w:szCs w:val="24"/>
        </w:rPr>
        <w:t>I, [INSERT NAME]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pPr>
        <w:pStyle w:val="style0"/>
        <w:spacing w:after="200" w:lineRule="auto" w:line="276"/>
        <w:rPr>
          <w:rFonts w:eastAsia="Times New Roman"/>
          <w:sz w:val="24"/>
          <w:szCs w:val="24"/>
        </w:rPr>
      </w:pPr>
    </w:p>
    <w:p>
      <w:pPr>
        <w:pStyle w:val="style0"/>
        <w:spacing w:after="200" w:lineRule="auto" w:line="276"/>
        <w:rPr>
          <w:rFonts w:eastAsia="Times New Roman"/>
          <w:sz w:val="24"/>
          <w:szCs w:val="24"/>
        </w:rPr>
      </w:pPr>
    </w:p>
    <w:p>
      <w:pPr>
        <w:pStyle w:val="style0"/>
        <w:spacing w:after="200" w:lineRule="auto" w:line="276"/>
        <w:rPr>
          <w:rFonts w:eastAsia="Times New Roman"/>
          <w:sz w:val="24"/>
          <w:szCs w:val="24"/>
        </w:rPr>
      </w:pPr>
      <w:r>
        <w:rPr>
          <w:rFonts w:eastAsia="Times New Roman"/>
          <w:sz w:val="24"/>
          <w:szCs w:val="24"/>
        </w:rPr>
        <w:t>Signed:………………………………………………</w:t>
      </w:r>
    </w:p>
    <w:p>
      <w:pPr>
        <w:pStyle w:val="style0"/>
        <w:spacing w:after="200" w:lineRule="auto" w:line="276"/>
        <w:rPr>
          <w:rFonts w:eastAsia="Times New Roman"/>
          <w:sz w:val="24"/>
          <w:szCs w:val="24"/>
        </w:rPr>
      </w:pPr>
    </w:p>
    <w:p>
      <w:pPr>
        <w:pStyle w:val="style0"/>
        <w:spacing w:after="200" w:lineRule="auto" w:line="276"/>
        <w:rPr>
          <w:rFonts w:eastAsia="Times New Roman"/>
          <w:sz w:val="24"/>
          <w:szCs w:val="24"/>
        </w:rPr>
      </w:pPr>
      <w:r>
        <w:rPr>
          <w:rFonts w:eastAsia="Times New Roman"/>
          <w:sz w:val="24"/>
          <w:szCs w:val="24"/>
        </w:rPr>
        <w:t>Date:...………………………………………………</w:t>
      </w:r>
    </w:p>
    <w:p>
      <w:pPr>
        <w:pStyle w:val="style0"/>
        <w:spacing w:after="157"/>
        <w:ind w:right="2357"/>
        <w:rPr>
          <w:b/>
          <w:bCs/>
        </w:rPr>
      </w:pPr>
    </w:p>
    <w:p>
      <w:pPr>
        <w:pStyle w:val="style0"/>
        <w:spacing w:after="0"/>
        <w:rPr/>
      </w:pPr>
      <w:r>
        <w:rPr>
          <w:color w:val="0070c0"/>
        </w:rPr>
        <w:t xml:space="preserve"> </w:t>
      </w:r>
      <w:r>
        <w:rPr>
          <w:color w:val="0070c0"/>
        </w:rPr>
        <w:tab/>
      </w:r>
      <w:r>
        <w:rPr>
          <w:color w:val="0070c0"/>
        </w:rPr>
        <w:t xml:space="preserve"> </w:t>
      </w:r>
    </w:p>
    <w:p>
      <w:pPr>
        <w:pStyle w:val="style0"/>
        <w:rPr>
          <w:rFonts w:ascii="Times New Roman" w:cs="Times New Roman" w:eastAsia="Times New Roman" w:hAnsi="Times New Roman"/>
          <w:b/>
          <w:sz w:val="24"/>
        </w:rPr>
      </w:pPr>
      <w:r>
        <w:br w:type="page"/>
      </w:r>
    </w:p>
    <w:bookmarkStart w:id="0" w:name="_Toc218894168"/>
    <w:p>
      <w:pPr>
        <w:pStyle w:val="style1"/>
        <w:rPr/>
      </w:pPr>
      <w:r>
        <w:t>Acknowledgements</w:t>
      </w:r>
      <w:bookmarkEnd w:id="0"/>
    </w:p>
    <w:p>
      <w:pPr>
        <w:pStyle w:val="style0"/>
        <w:rPr>
          <w:lang w:val="en-IN"/>
        </w:rPr>
      </w:pPr>
      <w:r>
        <w:rPr>
          <w:lang w:val="en-IN"/>
        </w:rPr>
        <w:t>I​‍​‌‍​‍‌ wish to thank my supervisor for their invaluable guidance, helpful suggestions, and unwavering support during the preparation of this thesis. Without their academic insight and encouragement, it would have been difficult to establish the direction, framework, and level of this research.</w:t>
      </w:r>
    </w:p>
    <w:p>
      <w:pPr>
        <w:pStyle w:val="style0"/>
        <w:rPr>
          <w:lang w:val="en-IN"/>
        </w:rPr>
      </w:pPr>
      <w:r>
        <w:rPr>
          <w:lang w:val="en-IN"/>
        </w:rPr>
        <w:t>Furthermore, I am thankful to the teaching staff and library services for enabling me to access the necessary resources and for their help with the research methodology which supported the systematic literature review process. Their support had a great impact on the thoroughness and successful completion of this work.</w:t>
      </w:r>
    </w:p>
    <w:p>
      <w:pPr>
        <w:pStyle w:val="style0"/>
        <w:rPr>
          <w:lang w:val="en-IN"/>
        </w:rPr>
      </w:pPr>
      <w:r>
        <w:rPr>
          <w:lang w:val="en-IN"/>
        </w:rPr>
        <w:t>I am very grateful to my friends for their encouragement, conversations, and moral support throughout the research. Exchanging ideas and experiences was helpful in keeping the motivation and perspective while writing.</w:t>
      </w:r>
    </w:p>
    <w:p>
      <w:pPr>
        <w:pStyle w:val="style0"/>
        <w:rPr>
          <w:lang w:val="en-IN"/>
        </w:rPr>
      </w:pPr>
      <w:r>
        <w:rPr>
          <w:lang w:val="en-IN"/>
        </w:rPr>
        <w:t>Last but not least, I am appreciative of my family and friends for their forbearance, understanding, and emotional support. Their motivation was a key factor in my successful completion of this ​‍​‌‍​‍‌work.</w:t>
      </w:r>
    </w:p>
    <w:p>
      <w:pPr>
        <w:pStyle w:val="style0"/>
        <w:rPr/>
      </w:pPr>
      <w:r>
        <w:rPr>
          <w:color w:val="0070c0"/>
        </w:rPr>
        <w:tab/>
      </w:r>
      <w:r>
        <w:rPr>
          <w:color w:val="0070c0"/>
        </w:rPr>
        <w:t xml:space="preserve"> </w:t>
      </w:r>
      <w:r>
        <w:br w:type="page"/>
      </w:r>
    </w:p>
    <w:bookmarkStart w:id="1" w:name="_Toc218894169"/>
    <w:p>
      <w:pPr>
        <w:pStyle w:val="style1"/>
        <w:rPr/>
      </w:pPr>
      <w:r>
        <w:t>Abstract</w:t>
      </w:r>
      <w:bookmarkEnd w:id="1"/>
    </w:p>
    <w:p>
      <w:pPr>
        <w:pStyle w:val="style0"/>
        <w:rPr>
          <w:lang w:val="en-IN"/>
        </w:rPr>
      </w:pPr>
      <w:r>
        <w:rPr>
          <w:lang w:val="en-IN"/>
        </w:rPr>
        <w:t xml:space="preserve">UK​‍​‌‍​‍‌ adult rehospitalisation is still a significant problem that the healthcare system has to keep on dealing with, and one of the major microbial infections contributing to undue re-admissions and the overuse of hospital services. </w:t>
      </w:r>
      <w:r>
        <w:t xml:space="preserve">This </w:t>
      </w:r>
      <w:r>
        <w:t>research</w:t>
      </w:r>
      <w:r>
        <w:t xml:space="preserve"> explored the extent to which microbial infections influence the rate of adult rehospitalisation in the UK and its associated implications on the areas of public health and adult social care. The aim of the work was to identify the connection between infection and readmissions, investigate issues about infection prevention and the use of antimicrobials, quantify the impact of social care systems, and propose the methods of reducing the impact of infections on rehospitalisation.</w:t>
      </w:r>
    </w:p>
    <w:p>
      <w:pPr>
        <w:pStyle w:val="style0"/>
        <w:rPr>
          <w:lang w:val="en-IN"/>
        </w:rPr>
      </w:pPr>
      <w:r>
        <w:rPr>
          <w:lang w:val="en-IN"/>
        </w:rPr>
        <w:t>Under the PRISMA guidelines, a systematic review of literature was performed. The team sourced peer-reviewed works released during the period 2015-2025 through Medline/PubMed, Google Scholar, and the websites of the relevant agencies. Eleven publications that fulfilled the selection criteria were evaluated using the CASP rubric and integrated into the-themes.</w:t>
      </w:r>
    </w:p>
    <w:p>
      <w:pPr>
        <w:pStyle w:val="style0"/>
        <w:rPr>
          <w:lang w:val="en-IN"/>
        </w:rPr>
      </w:pPr>
      <w:r>
        <w:rPr>
          <w:lang w:val="en-IN"/>
        </w:rPr>
        <w:t xml:space="preserve">Results pointed to respiratory tract infections, sepsis-related disorders, and post-surgery infections as the main reasons for unplanned rehospitalisation, which was more frequent in older persons and those having multiple illnesses. Rehospitalisation was found to be tightly linked to inadequate discharge planning, lack of antimicrobial continuity, poor infection surveillance, and somewhat disconnected health–social care coordination. Besides, infection-related readmissions caused dependency on family carers </w:t>
      </w:r>
      <w:r>
        <w:rPr>
          <w:lang w:val="en-IN"/>
        </w:rPr>
        <w:t>and</w:t>
      </w:r>
      <w:r>
        <w:rPr>
          <w:lang w:val="en-IN"/>
        </w:rPr>
        <w:t xml:space="preserve"> adult social care services, which were under persistent pressure.</w:t>
      </w:r>
    </w:p>
    <w:p>
      <w:pPr>
        <w:pStyle w:val="style0"/>
        <w:rPr>
          <w:lang w:val="en-IN"/>
        </w:rPr>
      </w:pPr>
      <w:r>
        <w:rPr>
          <w:lang w:val="en-IN"/>
        </w:rPr>
        <w:t>It can be said that the main issue leading to infection-related rehospitalisation is the failure of the system at large rather than that of individual clinical cases. To prevent avoidable readmissions, it is necessary to have a well-integrated discharge planning, enhanced antimicrobial stewardship, the provision of early follow-up, as well as a stronger collaboration between healthcare and social care ​‍​‌‍​‍‌teams.</w:t>
      </w:r>
    </w:p>
    <w:p>
      <w:pPr>
        <w:pStyle w:val="style0"/>
        <w:rPr/>
      </w:pPr>
      <w:r>
        <w:tab/>
      </w:r>
      <w:r>
        <w:t xml:space="preserve"> </w:t>
      </w:r>
    </w:p>
    <w:p>
      <w:pPr>
        <w:pStyle w:val="style0"/>
        <w:rPr/>
      </w:pPr>
      <w:r>
        <w:br w:type="page"/>
      </w:r>
    </w:p>
    <w:p>
      <w:pPr>
        <w:pStyle w:val="style0"/>
        <w:spacing w:after="14" w:lineRule="auto" w:line="249"/>
        <w:ind w:left="705"/>
        <w:rPr/>
      </w:pPr>
    </w:p>
    <w:p>
      <w:pPr>
        <w:pStyle w:val="style0"/>
        <w:jc w:val="center"/>
        <w:rPr>
          <w:b/>
          <w:bCs/>
          <w:sz w:val="24"/>
          <w:szCs w:val="24"/>
        </w:rPr>
      </w:pPr>
      <w:r>
        <w:rPr>
          <w:b/>
          <w:bCs/>
          <w:sz w:val="24"/>
          <w:szCs w:val="24"/>
        </w:rPr>
        <w:t xml:space="preserve">Table of Contents </w:t>
      </w:r>
    </w:p>
    <w:p>
      <w:pPr>
        <w:pStyle w:val="style19"/>
        <w:tabs>
          <w:tab w:val="right" w:leader="dot" w:pos="9016"/>
        </w:tabs>
        <w:rPr>
          <w:rFonts w:ascii="Calibri" w:cs="Arial" w:eastAsia="宋体" w:hAnsi="Calibri"/>
          <w:noProof/>
          <w:color w:val="auto"/>
          <w:szCs w:val="24"/>
          <w:lang w:val="en-IN" w:eastAsia="en-IN"/>
        </w:rPr>
      </w:pPr>
      <w:r>
        <w:rPr/>
        <w:fldChar w:fldCharType="begin"/>
      </w:r>
      <w:r>
        <w:instrText xml:space="preserve"> TOC \o "1-3" \h \z \u </w:instrText>
      </w:r>
      <w:r>
        <w:rPr/>
        <w:fldChar w:fldCharType="separate"/>
      </w:r>
      <w:r>
        <w:rPr/>
        <w:fldChar w:fldCharType="begin"/>
      </w:r>
      <w:r>
        <w:instrText xml:space="preserve"> HYPERLINK \l "_Toc218894168" </w:instrText>
      </w:r>
      <w:r>
        <w:rPr/>
        <w:fldChar w:fldCharType="separate"/>
      </w:r>
      <w:r>
        <w:rPr>
          <w:rStyle w:val="style85"/>
          <w:noProof/>
        </w:rPr>
        <w:t>Acknowledgements</w:t>
      </w:r>
      <w:r>
        <w:rPr>
          <w:noProof/>
          <w:webHidden/>
        </w:rPr>
        <w:tab/>
      </w:r>
      <w:r>
        <w:rPr>
          <w:noProof/>
          <w:webHidden/>
        </w:rPr>
        <w:fldChar w:fldCharType="begin"/>
      </w:r>
      <w:r>
        <w:rPr>
          <w:noProof/>
          <w:webHidden/>
        </w:rPr>
        <w:instrText xml:space="preserve"> PAGEREF _Toc218894168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ascii="Calibri" w:cs="Arial" w:eastAsia="宋体" w:hAnsi="Calibri"/>
          <w:noProof/>
          <w:color w:val="auto"/>
          <w:szCs w:val="24"/>
          <w:lang w:val="en-IN" w:eastAsia="en-IN"/>
        </w:rPr>
      </w:pPr>
      <w:r>
        <w:rPr/>
        <w:fldChar w:fldCharType="begin"/>
      </w:r>
      <w:r>
        <w:instrText xml:space="preserve"> HYPERLINK \l "_Toc218894169" </w:instrText>
      </w:r>
      <w:r>
        <w:rPr/>
        <w:fldChar w:fldCharType="separate"/>
      </w:r>
      <w:r>
        <w:rPr>
          <w:rStyle w:val="style85"/>
          <w:noProof/>
        </w:rPr>
        <w:t>Abstract</w:t>
      </w:r>
      <w:r>
        <w:rPr>
          <w:noProof/>
          <w:webHidden/>
        </w:rPr>
        <w:tab/>
      </w:r>
      <w:r>
        <w:rPr>
          <w:noProof/>
          <w:webHidden/>
        </w:rPr>
        <w:fldChar w:fldCharType="begin"/>
      </w:r>
      <w:r>
        <w:rPr>
          <w:noProof/>
          <w:webHidden/>
        </w:rPr>
        <w:instrText xml:space="preserve"> PAGEREF _Toc218894169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rFonts w:ascii="Calibri" w:cs="Arial" w:eastAsia="宋体" w:hAnsi="Calibri"/>
          <w:noProof/>
          <w:color w:val="auto"/>
          <w:szCs w:val="24"/>
          <w:lang w:val="en-IN" w:eastAsia="en-IN"/>
        </w:rPr>
      </w:pPr>
      <w:r>
        <w:rPr/>
        <w:fldChar w:fldCharType="begin"/>
      </w:r>
      <w:r>
        <w:instrText xml:space="preserve"> HYPERLINK \l "_Toc218894170" </w:instrText>
      </w:r>
      <w:r>
        <w:rPr/>
        <w:fldChar w:fldCharType="separate"/>
      </w:r>
      <w:r>
        <w:rPr>
          <w:rStyle w:val="style85"/>
          <w:rFonts w:cs="Arial"/>
          <w:noProof/>
        </w:rPr>
        <w:t>List of figures</w:t>
      </w:r>
      <w:r>
        <w:rPr>
          <w:noProof/>
          <w:webHidden/>
        </w:rPr>
        <w:tab/>
      </w:r>
      <w:r>
        <w:rPr>
          <w:noProof/>
          <w:webHidden/>
        </w:rPr>
        <w:fldChar w:fldCharType="begin"/>
      </w:r>
      <w:r>
        <w:rPr>
          <w:noProof/>
          <w:webHidden/>
        </w:rPr>
        <w:instrText xml:space="preserve"> PAGEREF _Toc218894170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6"/>
        </w:tabs>
        <w:rPr>
          <w:rFonts w:ascii="Calibri" w:cs="Arial" w:eastAsia="宋体" w:hAnsi="Calibri"/>
          <w:noProof/>
          <w:color w:val="auto"/>
          <w:szCs w:val="24"/>
          <w:lang w:val="en-IN" w:eastAsia="en-IN"/>
        </w:rPr>
      </w:pPr>
      <w:r>
        <w:rPr/>
        <w:fldChar w:fldCharType="begin"/>
      </w:r>
      <w:r>
        <w:instrText xml:space="preserve"> HYPERLINK \l "_Toc218894171" </w:instrText>
      </w:r>
      <w:r>
        <w:rPr/>
        <w:fldChar w:fldCharType="separate"/>
      </w:r>
      <w:r>
        <w:rPr>
          <w:rStyle w:val="style85"/>
          <w:rFonts w:cs="Arial"/>
          <w:noProof/>
        </w:rPr>
        <w:t>List of tables</w:t>
      </w:r>
      <w:r>
        <w:rPr>
          <w:noProof/>
          <w:webHidden/>
        </w:rPr>
        <w:tab/>
      </w:r>
      <w:r>
        <w:rPr>
          <w:noProof/>
          <w:webHidden/>
        </w:rPr>
        <w:fldChar w:fldCharType="begin"/>
      </w:r>
      <w:r>
        <w:rPr>
          <w:noProof/>
          <w:webHidden/>
        </w:rPr>
        <w:instrText xml:space="preserve"> PAGEREF _Toc218894171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6"/>
        </w:tabs>
        <w:rPr>
          <w:rFonts w:ascii="Calibri" w:cs="Arial" w:eastAsia="宋体" w:hAnsi="Calibri"/>
          <w:noProof/>
          <w:color w:val="auto"/>
          <w:szCs w:val="24"/>
          <w:lang w:val="en-IN" w:eastAsia="en-IN"/>
        </w:rPr>
      </w:pPr>
      <w:r>
        <w:rPr/>
        <w:fldChar w:fldCharType="begin"/>
      </w:r>
      <w:r>
        <w:instrText xml:space="preserve"> HYPERLINK \l "_Toc218894172" </w:instrText>
      </w:r>
      <w:r>
        <w:rPr/>
        <w:fldChar w:fldCharType="separate"/>
      </w:r>
      <w:r>
        <w:rPr>
          <w:rStyle w:val="style85"/>
          <w:noProof/>
        </w:rPr>
        <w:t>Chapter 1: Introduction</w:t>
      </w:r>
      <w:r>
        <w:rPr>
          <w:noProof/>
          <w:webHidden/>
        </w:rPr>
        <w:tab/>
      </w:r>
      <w:r>
        <w:rPr>
          <w:noProof/>
          <w:webHidden/>
        </w:rPr>
        <w:fldChar w:fldCharType="begin"/>
      </w:r>
      <w:r>
        <w:rPr>
          <w:noProof/>
          <w:webHidden/>
        </w:rPr>
        <w:instrText xml:space="preserve"> PAGEREF _Toc218894172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"_Toc218894173" </w:instrText>
      </w:r>
      <w:r>
        <w:rPr/>
        <w:fldChar w:fldCharType="separate"/>
      </w:r>
      <w:r>
        <w:rPr>
          <w:rStyle w:val="style85"/>
          <w:noProof/>
        </w:rPr>
        <w:t>1.1. Research background</w:t>
      </w:r>
      <w:r>
        <w:rPr>
          <w:noProof/>
          <w:webHidden/>
        </w:rPr>
        <w:tab/>
      </w:r>
      <w:r>
        <w:rPr>
          <w:noProof/>
          <w:webHidden/>
        </w:rPr>
        <w:fldChar w:fldCharType="begin"/>
      </w:r>
      <w:r>
        <w:rPr>
          <w:noProof/>
          <w:webHidden/>
        </w:rPr>
        <w:instrText xml:space="preserve"> PAGEREF _Toc218894173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"_Toc218894174" </w:instrText>
      </w:r>
      <w:r>
        <w:rPr/>
        <w:fldChar w:fldCharType="separate"/>
      </w:r>
      <w:r>
        <w:rPr>
          <w:rStyle w:val="style85"/>
          <w:noProof/>
        </w:rPr>
        <w:t>1.2 Research problem</w:t>
      </w:r>
      <w:r>
        <w:rPr>
          <w:noProof/>
          <w:webHidden/>
        </w:rPr>
        <w:tab/>
      </w:r>
      <w:r>
        <w:rPr>
          <w:noProof/>
          <w:webHidden/>
        </w:rPr>
        <w:fldChar w:fldCharType="begin"/>
      </w:r>
      <w:r>
        <w:rPr>
          <w:noProof/>
          <w:webHidden/>
        </w:rPr>
        <w:instrText xml:space="preserve"> PAGEREF _Toc218894174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"_Toc218894175" </w:instrText>
      </w:r>
      <w:r>
        <w:rPr/>
        <w:fldChar w:fldCharType="separate"/>
      </w:r>
      <w:r>
        <w:rPr>
          <w:rStyle w:val="style85"/>
          <w:noProof/>
        </w:rPr>
        <w:t>1.3 Rationale</w:t>
      </w:r>
      <w:r>
        <w:rPr>
          <w:noProof/>
          <w:webHidden/>
        </w:rPr>
        <w:tab/>
      </w:r>
      <w:r>
        <w:rPr>
          <w:noProof/>
          <w:webHidden/>
        </w:rPr>
        <w:fldChar w:fldCharType="begin"/>
      </w:r>
      <w:r>
        <w:rPr>
          <w:noProof/>
          <w:webHidden/>
        </w:rPr>
        <w:instrText xml:space="preserve"> PAGEREF _Toc218894175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"_Toc218894176" </w:instrText>
      </w:r>
      <w:r>
        <w:rPr/>
        <w:fldChar w:fldCharType="separate"/>
      </w:r>
      <w:r>
        <w:rPr>
          <w:rStyle w:val="style85"/>
          <w:noProof/>
        </w:rPr>
        <w:t>1.4 Research question</w:t>
      </w:r>
      <w:r>
        <w:rPr>
          <w:noProof/>
          <w:webHidden/>
        </w:rPr>
        <w:tab/>
      </w:r>
      <w:r>
        <w:rPr>
          <w:noProof/>
          <w:webHidden/>
        </w:rPr>
        <w:fldChar w:fldCharType="begin"/>
      </w:r>
      <w:r>
        <w:rPr>
          <w:noProof/>
          <w:webHidden/>
        </w:rPr>
        <w:instrText xml:space="preserve"> PAGEREF _Toc218894176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"_Toc218894177" </w:instrText>
      </w:r>
      <w:r>
        <w:rPr/>
        <w:fldChar w:fldCharType="separate"/>
      </w:r>
      <w:r>
        <w:rPr>
          <w:rStyle w:val="style85"/>
          <w:noProof/>
        </w:rPr>
        <w:t>1.5 Research aim and objectives</w:t>
      </w:r>
      <w:r>
        <w:rPr>
          <w:noProof/>
          <w:webHidden/>
        </w:rPr>
        <w:tab/>
      </w:r>
      <w:r>
        <w:rPr>
          <w:noProof/>
          <w:webHidden/>
        </w:rPr>
        <w:fldChar w:fldCharType="begin"/>
      </w:r>
      <w:r>
        <w:rPr>
          <w:noProof/>
          <w:webHidden/>
        </w:rPr>
        <w:instrText xml:space="preserve"> PAGEREF _Toc218894177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"_Toc218894178" </w:instrText>
      </w:r>
      <w:r>
        <w:rPr/>
        <w:fldChar w:fldCharType="separate"/>
      </w:r>
      <w:r>
        <w:rPr>
          <w:rStyle w:val="style85"/>
          <w:noProof/>
        </w:rPr>
        <w:t>1.6 Literature based background</w:t>
      </w:r>
      <w:r>
        <w:rPr>
          <w:noProof/>
          <w:webHidden/>
        </w:rPr>
        <w:tab/>
      </w:r>
      <w:r>
        <w:rPr>
          <w:noProof/>
          <w:webHidden/>
        </w:rPr>
        <w:fldChar w:fldCharType="begin"/>
      </w:r>
      <w:r>
        <w:rPr>
          <w:noProof/>
          <w:webHidden/>
        </w:rPr>
        <w:instrText xml:space="preserve"> PAGEREF _Toc218894178 \h </w:instrText>
      </w:r>
      <w:r>
        <w:rPr>
          <w:noProof/>
          <w:webHidden/>
        </w:rPr>
        <w:fldChar w:fldCharType="separate"/>
      </w:r>
      <w:r>
        <w:rPr>
          <w:noProof/>
          <w:webHidden/>
        </w:rPr>
        <w:t>11</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"_Toc218894179" </w:instrText>
      </w:r>
      <w:r>
        <w:rPr/>
        <w:fldChar w:fldCharType="separate"/>
      </w:r>
      <w:r>
        <w:rPr>
          <w:rStyle w:val="style85"/>
          <w:noProof/>
        </w:rPr>
        <w:t>1.6.1 Implications for public health and social care</w:t>
      </w:r>
      <w:r>
        <w:rPr>
          <w:noProof/>
          <w:webHidden/>
        </w:rPr>
        <w:tab/>
      </w:r>
      <w:r>
        <w:rPr>
          <w:noProof/>
          <w:webHidden/>
        </w:rPr>
        <w:fldChar w:fldCharType="begin"/>
      </w:r>
      <w:r>
        <w:rPr>
          <w:noProof/>
          <w:webHidden/>
        </w:rPr>
        <w:instrText xml:space="preserve"> PAGEREF _Toc218894179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"_Toc218894180" </w:instrText>
      </w:r>
      <w:r>
        <w:rPr/>
        <w:fldChar w:fldCharType="separate"/>
      </w:r>
      <w:r>
        <w:rPr>
          <w:rStyle w:val="style85"/>
          <w:noProof/>
        </w:rPr>
        <w:t>1.7 Dissertation Structure</w:t>
      </w:r>
      <w:r>
        <w:rPr>
          <w:noProof/>
          <w:webHidden/>
        </w:rPr>
        <w:tab/>
      </w:r>
      <w:r>
        <w:rPr>
          <w:noProof/>
          <w:webHidden/>
        </w:rPr>
        <w:fldChar w:fldCharType="begin"/>
      </w:r>
      <w:r>
        <w:rPr>
          <w:noProof/>
          <w:webHidden/>
        </w:rPr>
        <w:instrText xml:space="preserve"> PAGEREF _Toc218894180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016"/>
        </w:tabs>
        <w:rPr>
          <w:rFonts w:ascii="Calibri" w:cs="Arial" w:eastAsia="宋体" w:hAnsi="Calibri"/>
          <w:noProof/>
          <w:color w:val="auto"/>
          <w:szCs w:val="24"/>
          <w:lang w:val="en-IN" w:eastAsia="en-IN"/>
        </w:rPr>
      </w:pPr>
      <w:r>
        <w:rPr/>
        <w:fldChar w:fldCharType="begin"/>
      </w:r>
      <w:r>
        <w:instrText xml:space="preserve"> HYPERLINK \l "_Toc218894181" </w:instrText>
      </w:r>
      <w:r>
        <w:rPr/>
        <w:fldChar w:fldCharType="separate"/>
      </w:r>
      <w:r>
        <w:rPr>
          <w:rStyle w:val="style85"/>
          <w:noProof/>
        </w:rPr>
        <w:t>Chapter 2: Literature review/theoretical framework</w:t>
      </w:r>
      <w:r>
        <w:rPr>
          <w:noProof/>
          <w:webHidden/>
        </w:rPr>
        <w:tab/>
      </w:r>
      <w:r>
        <w:rPr>
          <w:noProof/>
          <w:webHidden/>
        </w:rPr>
        <w:fldChar w:fldCharType="begin"/>
      </w:r>
      <w:r>
        <w:rPr>
          <w:noProof/>
          <w:webHidden/>
        </w:rPr>
        <w:instrText xml:space="preserve"> PAGEREF _Toc218894181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"_Toc218894182" </w:instrText>
      </w:r>
      <w:r>
        <w:rPr/>
        <w:fldChar w:fldCharType="separate"/>
      </w:r>
      <w:r>
        <w:rPr>
          <w:rStyle w:val="style85"/>
          <w:noProof/>
        </w:rPr>
        <w:t>2.1 Introduction</w:t>
      </w:r>
      <w:r>
        <w:rPr>
          <w:noProof/>
          <w:webHidden/>
        </w:rPr>
        <w:tab/>
      </w:r>
      <w:r>
        <w:rPr>
          <w:noProof/>
          <w:webHidden/>
        </w:rPr>
        <w:fldChar w:fldCharType="begin"/>
      </w:r>
      <w:r>
        <w:rPr>
          <w:noProof/>
          <w:webHidden/>
        </w:rPr>
        <w:instrText xml:space="preserve"> PAGEREF _Toc218894182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"_Toc218894183" </w:instrText>
      </w:r>
      <w:r>
        <w:rPr/>
        <w:fldChar w:fldCharType="separate"/>
      </w:r>
      <w:r>
        <w:rPr>
          <w:rStyle w:val="style85"/>
          <w:noProof/>
        </w:rPr>
        <w:t>2.2 Conceptual and theoretical foundations</w:t>
      </w:r>
      <w:r>
        <w:rPr>
          <w:noProof/>
          <w:webHidden/>
        </w:rPr>
        <w:tab/>
      </w:r>
      <w:r>
        <w:rPr>
          <w:noProof/>
          <w:webHidden/>
        </w:rPr>
        <w:fldChar w:fldCharType="begin"/>
      </w:r>
      <w:r>
        <w:rPr>
          <w:noProof/>
          <w:webHidden/>
        </w:rPr>
        <w:instrText xml:space="preserve"> PAGEREF _Toc218894183 \h </w:instrText>
      </w:r>
      <w:r>
        <w:rPr>
          <w:noProof/>
          <w:webHidden/>
        </w:rPr>
        <w:fldChar w:fldCharType="separate"/>
      </w:r>
      <w:r>
        <w:rPr>
          <w:noProof/>
          <w:webHidden/>
        </w:rPr>
        <w:t>14</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"_Toc218894184" </w:instrText>
      </w:r>
      <w:r>
        <w:rPr/>
        <w:fldChar w:fldCharType="separate"/>
      </w:r>
      <w:r>
        <w:rPr>
          <w:rStyle w:val="style85"/>
          <w:noProof/>
        </w:rPr>
        <w:t>2.2.1 Definitions of key concepts</w:t>
      </w:r>
      <w:r>
        <w:rPr>
          <w:noProof/>
          <w:webHidden/>
        </w:rPr>
        <w:tab/>
      </w:r>
      <w:r>
        <w:rPr>
          <w:noProof/>
          <w:webHidden/>
        </w:rPr>
        <w:fldChar w:fldCharType="begin"/>
      </w:r>
      <w:r>
        <w:rPr>
          <w:noProof/>
          <w:webHidden/>
        </w:rPr>
        <w:instrText xml:space="preserve"> PAGEREF _Toc218894184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"_Toc218894185" </w:instrText>
      </w:r>
      <w:r>
        <w:rPr/>
        <w:fldChar w:fldCharType="separate"/>
      </w:r>
      <w:r>
        <w:rPr>
          <w:rStyle w:val="style85"/>
          <w:noProof/>
        </w:rPr>
        <w:t>2.3 Global overview of microbial infections and rehospitalisation</w:t>
      </w:r>
      <w:r>
        <w:rPr>
          <w:noProof/>
          <w:webHidden/>
        </w:rPr>
        <w:tab/>
      </w:r>
      <w:r>
        <w:rPr>
          <w:noProof/>
          <w:webHidden/>
        </w:rPr>
        <w:fldChar w:fldCharType="begin"/>
      </w:r>
      <w:r>
        <w:rPr>
          <w:noProof/>
          <w:webHidden/>
        </w:rPr>
        <w:instrText xml:space="preserve"> PAGEREF _Toc218894185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"_Toc218894186" </w:instrText>
      </w:r>
      <w:r>
        <w:rPr/>
        <w:fldChar w:fldCharType="separate"/>
      </w:r>
      <w:r>
        <w:rPr>
          <w:rStyle w:val="style85"/>
          <w:noProof/>
        </w:rPr>
        <w:t>2.4 UK overview on microbial infection and rehospitalisation</w:t>
      </w:r>
      <w:r>
        <w:rPr>
          <w:noProof/>
          <w:webHidden/>
        </w:rPr>
        <w:tab/>
      </w:r>
      <w:r>
        <w:rPr>
          <w:noProof/>
          <w:webHidden/>
        </w:rPr>
        <w:fldChar w:fldCharType="begin"/>
      </w:r>
      <w:r>
        <w:rPr>
          <w:noProof/>
          <w:webHidden/>
        </w:rPr>
        <w:instrText xml:space="preserve"> PAGEREF _Toc218894186 \h </w:instrText>
      </w:r>
      <w:r>
        <w:rPr>
          <w:noProof/>
          <w:webHidden/>
        </w:rPr>
        <w:fldChar w:fldCharType="separate"/>
      </w:r>
      <w:r>
        <w:rPr>
          <w:noProof/>
          <w:webHidden/>
        </w:rPr>
        <w:t>15</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"_Toc218894187" </w:instrText>
      </w:r>
      <w:r>
        <w:rPr/>
        <w:fldChar w:fldCharType="separate"/>
      </w:r>
      <w:r>
        <w:rPr>
          <w:rStyle w:val="style85"/>
          <w:noProof/>
        </w:rPr>
        <w:t>2.4.1 Prevalence and burden of infection-related readmission</w:t>
      </w:r>
      <w:r>
        <w:rPr>
          <w:noProof/>
          <w:webHidden/>
        </w:rPr>
        <w:tab/>
      </w:r>
      <w:r>
        <w:rPr>
          <w:noProof/>
          <w:webHidden/>
        </w:rPr>
        <w:fldChar w:fldCharType="begin"/>
      </w:r>
      <w:r>
        <w:rPr>
          <w:noProof/>
          <w:webHidden/>
        </w:rPr>
        <w:instrText xml:space="preserve"> PAGEREF _Toc218894187 \h </w:instrText>
      </w:r>
      <w:r>
        <w:rPr>
          <w:noProof/>
          <w:webHidden/>
        </w:rPr>
        <w:fldChar w:fldCharType="separate"/>
      </w:r>
      <w:r>
        <w:rPr>
          <w:noProof/>
          <w:webHidden/>
        </w:rPr>
        <w:t>15</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"_Toc218894188" </w:instrText>
      </w:r>
      <w:r>
        <w:rPr/>
        <w:fldChar w:fldCharType="separate"/>
      </w:r>
      <w:r>
        <w:rPr>
          <w:rStyle w:val="style85"/>
          <w:noProof/>
        </w:rPr>
        <w:t>2.4.2 High-risk infection and clinical and post discharge pathways</w:t>
      </w:r>
      <w:r>
        <w:rPr>
          <w:noProof/>
          <w:webHidden/>
        </w:rPr>
        <w:tab/>
      </w:r>
      <w:r>
        <w:rPr>
          <w:noProof/>
          <w:webHidden/>
        </w:rPr>
        <w:fldChar w:fldCharType="begin"/>
      </w:r>
      <w:r>
        <w:rPr>
          <w:noProof/>
          <w:webHidden/>
        </w:rPr>
        <w:instrText xml:space="preserve"> PAGEREF _Toc218894188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"_Toc218894189" </w:instrText>
      </w:r>
      <w:r>
        <w:rPr/>
        <w:fldChar w:fldCharType="separate"/>
      </w:r>
      <w:r>
        <w:rPr>
          <w:rStyle w:val="style85"/>
          <w:noProof/>
        </w:rPr>
        <w:t>2.5 Healthcare system factors influencing infection-related readmission</w:t>
      </w:r>
      <w:r>
        <w:rPr>
          <w:noProof/>
          <w:webHidden/>
        </w:rPr>
        <w:tab/>
      </w:r>
      <w:r>
        <w:rPr>
          <w:noProof/>
          <w:webHidden/>
        </w:rPr>
        <w:fldChar w:fldCharType="begin"/>
      </w:r>
      <w:r>
        <w:rPr>
          <w:noProof/>
          <w:webHidden/>
        </w:rPr>
        <w:instrText xml:space="preserve"> PAGEREF _Toc218894189 \h </w:instrText>
      </w:r>
      <w:r>
        <w:rPr>
          <w:noProof/>
          <w:webHidden/>
        </w:rPr>
        <w:fldChar w:fldCharType="separate"/>
      </w:r>
      <w:r>
        <w:rPr>
          <w:noProof/>
          <w:webHidden/>
        </w:rPr>
        <w:t>16</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"_Toc218894190" </w:instrText>
      </w:r>
      <w:r>
        <w:rPr/>
        <w:fldChar w:fldCharType="separate"/>
      </w:r>
      <w:r>
        <w:rPr>
          <w:rStyle w:val="style85"/>
          <w:noProof/>
        </w:rPr>
        <w:t>2.5.1 Hospital practices and infection control strategies</w:t>
      </w:r>
      <w:r>
        <w:rPr>
          <w:noProof/>
          <w:webHidden/>
        </w:rPr>
        <w:tab/>
      </w:r>
      <w:r>
        <w:rPr>
          <w:noProof/>
          <w:webHidden/>
        </w:rPr>
        <w:fldChar w:fldCharType="begin"/>
      </w:r>
      <w:r>
        <w:rPr>
          <w:noProof/>
          <w:webHidden/>
        </w:rPr>
        <w:instrText xml:space="preserve"> PAGEREF _Toc218894190 \h </w:instrText>
      </w:r>
      <w:r>
        <w:rPr>
          <w:noProof/>
          <w:webHidden/>
        </w:rPr>
        <w:fldChar w:fldCharType="separate"/>
      </w:r>
      <w:r>
        <w:rPr>
          <w:noProof/>
          <w:webHidden/>
        </w:rPr>
        <w:t>16</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"_Toc218894191" </w:instrText>
      </w:r>
      <w:r>
        <w:rPr/>
        <w:fldChar w:fldCharType="separate"/>
      </w:r>
      <w:r>
        <w:rPr>
          <w:rStyle w:val="style85"/>
          <w:noProof/>
        </w:rPr>
        <w:t>2.5.2 Discharge planning and continuity of care</w:t>
      </w:r>
      <w:r>
        <w:rPr>
          <w:noProof/>
          <w:webHidden/>
        </w:rPr>
        <w:tab/>
      </w:r>
      <w:r>
        <w:rPr>
          <w:noProof/>
          <w:webHidden/>
        </w:rPr>
        <w:fldChar w:fldCharType="begin"/>
      </w:r>
      <w:r>
        <w:rPr>
          <w:noProof/>
          <w:webHidden/>
        </w:rPr>
        <w:instrText xml:space="preserve"> PAGEREF _Toc218894191 \h </w:instrText>
      </w:r>
      <w:r>
        <w:rPr>
          <w:noProof/>
          <w:webHidden/>
        </w:rPr>
        <w:fldChar w:fldCharType="separate"/>
      </w:r>
      <w:r>
        <w:rPr>
          <w:noProof/>
          <w:webHidden/>
        </w:rPr>
        <w:t>16</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"_Toc218894192" </w:instrText>
      </w:r>
      <w:r>
        <w:rPr/>
        <w:fldChar w:fldCharType="separate"/>
      </w:r>
      <w:r>
        <w:rPr>
          <w:rStyle w:val="style85"/>
          <w:noProof/>
        </w:rPr>
        <w:t>2.5.3 Antimicrobial resistance (AMR) and treatment limitations</w:t>
      </w:r>
      <w:r>
        <w:rPr>
          <w:noProof/>
          <w:webHidden/>
        </w:rPr>
        <w:tab/>
      </w:r>
      <w:r>
        <w:rPr>
          <w:noProof/>
          <w:webHidden/>
        </w:rPr>
        <w:fldChar w:fldCharType="begin"/>
      </w:r>
      <w:r>
        <w:rPr>
          <w:noProof/>
          <w:webHidden/>
        </w:rPr>
        <w:instrText xml:space="preserve"> PAGEREF _Toc218894192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"_Toc218894193" </w:instrText>
      </w:r>
      <w:r>
        <w:rPr/>
        <w:fldChar w:fldCharType="separate"/>
      </w:r>
      <w:r>
        <w:rPr>
          <w:rStyle w:val="style85"/>
          <w:noProof/>
        </w:rPr>
        <w:t>2.6 Social care system and community-based interviews</w:t>
      </w:r>
      <w:r>
        <w:rPr>
          <w:noProof/>
          <w:webHidden/>
        </w:rPr>
        <w:tab/>
      </w:r>
      <w:r>
        <w:rPr>
          <w:noProof/>
          <w:webHidden/>
        </w:rPr>
        <w:fldChar w:fldCharType="begin"/>
      </w:r>
      <w:r>
        <w:rPr>
          <w:noProof/>
          <w:webHidden/>
        </w:rPr>
        <w:instrText xml:space="preserve"> PAGEREF _Toc218894193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"_Toc218894194" </w:instrText>
      </w:r>
      <w:r>
        <w:rPr/>
        <w:fldChar w:fldCharType="separate"/>
      </w:r>
      <w:r>
        <w:rPr>
          <w:rStyle w:val="style85"/>
          <w:noProof/>
        </w:rPr>
        <w:t>2.7 Theoretical framework</w:t>
      </w:r>
      <w:r>
        <w:rPr>
          <w:noProof/>
          <w:webHidden/>
        </w:rPr>
        <w:tab/>
      </w:r>
      <w:r>
        <w:rPr>
          <w:noProof/>
          <w:webHidden/>
        </w:rPr>
        <w:fldChar w:fldCharType="begin"/>
      </w:r>
      <w:r>
        <w:rPr>
          <w:noProof/>
          <w:webHidden/>
        </w:rPr>
        <w:instrText xml:space="preserve"> PAGEREF _Toc218894194 \h </w:instrText>
      </w:r>
      <w:r>
        <w:rPr>
          <w:noProof/>
          <w:webHidden/>
        </w:rPr>
        <w:fldChar w:fldCharType="separate"/>
      </w:r>
      <w:r>
        <w:rPr>
          <w:noProof/>
          <w:webHidden/>
        </w:rPr>
        <w:t>18</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"_Toc218894195" </w:instrText>
      </w:r>
      <w:r>
        <w:rPr/>
        <w:fldChar w:fldCharType="separate"/>
      </w:r>
      <w:r>
        <w:rPr>
          <w:rStyle w:val="style85"/>
          <w:noProof/>
        </w:rPr>
        <w:t>2.8 Identified gaps in existing literature</w:t>
      </w:r>
      <w:r>
        <w:rPr>
          <w:noProof/>
          <w:webHidden/>
        </w:rPr>
        <w:tab/>
      </w:r>
      <w:r>
        <w:rPr>
          <w:noProof/>
          <w:webHidden/>
        </w:rPr>
        <w:fldChar w:fldCharType="begin"/>
      </w:r>
      <w:r>
        <w:rPr>
          <w:noProof/>
          <w:webHidden/>
        </w:rPr>
        <w:instrText xml:space="preserve"> PAGEREF _Toc218894195 \h </w:instrText>
      </w:r>
      <w:r>
        <w:rPr>
          <w:noProof/>
          <w:webHidden/>
        </w:rPr>
        <w:fldChar w:fldCharType="separate"/>
      </w:r>
      <w:r>
        <w:rPr>
          <w:noProof/>
          <w:webHidden/>
        </w:rPr>
        <w:t>18</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"_Toc218894196" </w:instrText>
      </w:r>
      <w:r>
        <w:rPr/>
        <w:fldChar w:fldCharType="separate"/>
      </w:r>
      <w:r>
        <w:rPr>
          <w:rStyle w:val="style85"/>
          <w:noProof/>
        </w:rPr>
        <w:t>2.9 Chapter Summary</w:t>
      </w:r>
      <w:r>
        <w:rPr>
          <w:noProof/>
          <w:webHidden/>
        </w:rPr>
        <w:tab/>
      </w:r>
      <w:r>
        <w:rPr>
          <w:noProof/>
          <w:webHidden/>
        </w:rPr>
        <w:fldChar w:fldCharType="begin"/>
      </w:r>
      <w:r>
        <w:rPr>
          <w:noProof/>
          <w:webHidden/>
        </w:rPr>
        <w:instrText xml:space="preserve"> PAGEREF _Toc218894196 \h </w:instrText>
      </w:r>
      <w:r>
        <w:rPr>
          <w:noProof/>
          <w:webHidden/>
        </w:rPr>
        <w:fldChar w:fldCharType="separate"/>
      </w:r>
      <w:r>
        <w:rPr>
          <w:noProof/>
          <w:webHidden/>
        </w:rPr>
        <w:t>19</w:t>
      </w:r>
      <w:r>
        <w:rPr>
          <w:noProof/>
          <w:webHidden/>
        </w:rPr>
        <w:fldChar w:fldCharType="end"/>
      </w:r>
      <w:r>
        <w:rPr/>
        <w:fldChar w:fldCharType="end"/>
      </w:r>
    </w:p>
    <w:p>
      <w:pPr>
        <w:pStyle w:val="style19"/>
        <w:tabs>
          <w:tab w:val="right" w:leader="dot" w:pos="9016"/>
        </w:tabs>
        <w:rPr>
          <w:rFonts w:ascii="Calibri" w:cs="Arial" w:eastAsia="宋体" w:hAnsi="Calibri"/>
          <w:noProof/>
          <w:color w:val="auto"/>
          <w:szCs w:val="24"/>
          <w:lang w:val="en-IN" w:eastAsia="en-IN"/>
        </w:rPr>
      </w:pPr>
      <w:r>
        <w:rPr/>
        <w:fldChar w:fldCharType="begin"/>
      </w:r>
      <w:r>
        <w:instrText xml:space="preserve"> HYPERLINK \l "_Toc218894197" </w:instrText>
      </w:r>
      <w:r>
        <w:rPr/>
        <w:fldChar w:fldCharType="separate"/>
      </w:r>
      <w:r>
        <w:rPr>
          <w:rStyle w:val="style85"/>
          <w:rFonts w:cs="Arial"/>
          <w:noProof/>
        </w:rPr>
        <w:t>Chapter 3: Research Methodology</w:t>
      </w:r>
      <w:r>
        <w:rPr>
          <w:noProof/>
          <w:webHidden/>
        </w:rPr>
        <w:tab/>
      </w:r>
      <w:r>
        <w:rPr>
          <w:noProof/>
          <w:webHidden/>
        </w:rPr>
        <w:fldChar w:fldCharType="begin"/>
      </w:r>
      <w:r>
        <w:rPr>
          <w:noProof/>
          <w:webHidden/>
        </w:rPr>
        <w:instrText xml:space="preserve"> PAGEREF _Toc218894197 \h </w:instrText>
      </w:r>
      <w:r>
        <w:rPr>
          <w:noProof/>
          <w:webHidden/>
        </w:rPr>
        <w:fldChar w:fldCharType="separate"/>
      </w:r>
      <w:r>
        <w:rPr>
          <w:noProof/>
          <w:webHidden/>
        </w:rPr>
        <w:t>20</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"_Toc218894198" </w:instrText>
      </w:r>
      <w:r>
        <w:rPr/>
        <w:fldChar w:fldCharType="separate"/>
      </w:r>
      <w:r>
        <w:rPr>
          <w:rStyle w:val="style85"/>
          <w:noProof/>
        </w:rPr>
        <w:t>3.1 Chapter Introduction</w:t>
      </w:r>
      <w:r>
        <w:rPr>
          <w:noProof/>
          <w:webHidden/>
        </w:rPr>
        <w:tab/>
      </w:r>
      <w:r>
        <w:rPr>
          <w:noProof/>
          <w:webHidden/>
        </w:rPr>
        <w:fldChar w:fldCharType="begin"/>
      </w:r>
      <w:r>
        <w:rPr>
          <w:noProof/>
          <w:webHidden/>
        </w:rPr>
        <w:instrText xml:space="preserve"> PAGEREF _Toc218894198 \h </w:instrText>
      </w:r>
      <w:r>
        <w:rPr>
          <w:noProof/>
          <w:webHidden/>
        </w:rPr>
        <w:fldChar w:fldCharType="separate"/>
      </w:r>
      <w:r>
        <w:rPr>
          <w:noProof/>
          <w:webHidden/>
        </w:rPr>
        <w:t>20</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"_Toc218894199" </w:instrText>
      </w:r>
      <w:r>
        <w:rPr/>
        <w:fldChar w:fldCharType="separate"/>
      </w:r>
      <w:r>
        <w:rPr>
          <w:rStyle w:val="style85"/>
          <w:noProof/>
        </w:rPr>
        <w:t>3.2 Research Design</w:t>
      </w:r>
      <w:r>
        <w:rPr>
          <w:noProof/>
          <w:webHidden/>
        </w:rPr>
        <w:tab/>
      </w:r>
      <w:r>
        <w:rPr>
          <w:noProof/>
          <w:webHidden/>
        </w:rPr>
        <w:fldChar w:fldCharType="begin"/>
      </w:r>
      <w:r>
        <w:rPr>
          <w:noProof/>
          <w:webHidden/>
        </w:rPr>
        <w:instrText xml:space="preserve"> PAGEREF _Toc218894199 \h </w:instrText>
      </w:r>
      <w:r>
        <w:rPr>
          <w:noProof/>
          <w:webHidden/>
        </w:rPr>
        <w:fldChar w:fldCharType="separate"/>
      </w:r>
      <w:r>
        <w:rPr>
          <w:noProof/>
          <w:webHidden/>
        </w:rPr>
        <w:t>20</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"_Toc218894200" </w:instrText>
      </w:r>
      <w:r>
        <w:rPr/>
        <w:fldChar w:fldCharType="separate"/>
      </w:r>
      <w:r>
        <w:rPr>
          <w:rStyle w:val="style85"/>
          <w:noProof/>
        </w:rPr>
        <w:t>3.2.1 Philosophy</w:t>
      </w:r>
      <w:r>
        <w:rPr>
          <w:noProof/>
          <w:webHidden/>
        </w:rPr>
        <w:tab/>
      </w:r>
      <w:r>
        <w:rPr>
          <w:noProof/>
          <w:webHidden/>
        </w:rPr>
        <w:fldChar w:fldCharType="begin"/>
      </w:r>
      <w:r>
        <w:rPr>
          <w:noProof/>
          <w:webHidden/>
        </w:rPr>
        <w:instrText xml:space="preserve"> PAGEREF _Toc218894200 \h </w:instrText>
      </w:r>
      <w:r>
        <w:rPr>
          <w:noProof/>
          <w:webHidden/>
        </w:rPr>
        <w:fldChar w:fldCharType="separate"/>
      </w:r>
      <w:r>
        <w:rPr>
          <w:noProof/>
          <w:webHidden/>
        </w:rPr>
        <w:t>20</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"_Toc218894201" </w:instrText>
      </w:r>
      <w:r>
        <w:rPr/>
        <w:fldChar w:fldCharType="separate"/>
      </w:r>
      <w:r>
        <w:rPr>
          <w:rStyle w:val="style85"/>
          <w:noProof/>
        </w:rPr>
        <w:t>3.2.2 Approach</w:t>
      </w:r>
      <w:r>
        <w:rPr>
          <w:noProof/>
          <w:webHidden/>
        </w:rPr>
        <w:tab/>
      </w:r>
      <w:r>
        <w:rPr>
          <w:noProof/>
          <w:webHidden/>
        </w:rPr>
        <w:fldChar w:fldCharType="begin"/>
      </w:r>
      <w:r>
        <w:rPr>
          <w:noProof/>
          <w:webHidden/>
        </w:rPr>
        <w:instrText xml:space="preserve"> PAGEREF _Toc218894201 \h </w:instrText>
      </w:r>
      <w:r>
        <w:rPr>
          <w:noProof/>
          <w:webHidden/>
        </w:rPr>
        <w:fldChar w:fldCharType="separate"/>
      </w:r>
      <w:r>
        <w:rPr>
          <w:noProof/>
          <w:webHidden/>
        </w:rPr>
        <w:t>20</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"_Toc218894202" </w:instrText>
      </w:r>
      <w:r>
        <w:rPr/>
        <w:fldChar w:fldCharType="separate"/>
      </w:r>
      <w:r>
        <w:rPr>
          <w:rStyle w:val="style85"/>
          <w:noProof/>
        </w:rPr>
        <w:t>3.2.3 Strategy</w:t>
      </w:r>
      <w:r>
        <w:rPr>
          <w:noProof/>
          <w:webHidden/>
        </w:rPr>
        <w:tab/>
      </w:r>
      <w:r>
        <w:rPr>
          <w:noProof/>
          <w:webHidden/>
        </w:rPr>
        <w:fldChar w:fldCharType="begin"/>
      </w:r>
      <w:r>
        <w:rPr>
          <w:noProof/>
          <w:webHidden/>
        </w:rPr>
        <w:instrText xml:space="preserve"> PAGEREF _Toc218894202 \h </w:instrText>
      </w:r>
      <w:r>
        <w:rPr>
          <w:noProof/>
          <w:webHidden/>
        </w:rPr>
        <w:fldChar w:fldCharType="separate"/>
      </w:r>
      <w:r>
        <w:rPr>
          <w:noProof/>
          <w:webHidden/>
        </w:rPr>
        <w:t>21</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"_Toc218894203" </w:instrText>
      </w:r>
      <w:r>
        <w:rPr/>
        <w:fldChar w:fldCharType="separate"/>
      </w:r>
      <w:r>
        <w:rPr>
          <w:rStyle w:val="style85"/>
          <w:noProof/>
        </w:rPr>
        <w:t>3.2.4 Design</w:t>
      </w:r>
      <w:r>
        <w:rPr>
          <w:noProof/>
          <w:webHidden/>
        </w:rPr>
        <w:tab/>
      </w:r>
      <w:r>
        <w:rPr>
          <w:noProof/>
          <w:webHidden/>
        </w:rPr>
        <w:fldChar w:fldCharType="begin"/>
      </w:r>
      <w:r>
        <w:rPr>
          <w:noProof/>
          <w:webHidden/>
        </w:rPr>
        <w:instrText xml:space="preserve"> PAGEREF _Toc218894203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"_Toc218894204" </w:instrText>
      </w:r>
      <w:r>
        <w:rPr/>
        <w:fldChar w:fldCharType="separate"/>
      </w:r>
      <w:r>
        <w:rPr>
          <w:rStyle w:val="style85"/>
          <w:noProof/>
        </w:rPr>
        <w:t>3.3 Data Collection</w:t>
      </w:r>
      <w:r>
        <w:rPr>
          <w:noProof/>
          <w:webHidden/>
        </w:rPr>
        <w:tab/>
      </w:r>
      <w:r>
        <w:rPr>
          <w:noProof/>
          <w:webHidden/>
        </w:rPr>
        <w:fldChar w:fldCharType="begin"/>
      </w:r>
      <w:r>
        <w:rPr>
          <w:noProof/>
          <w:webHidden/>
        </w:rPr>
        <w:instrText xml:space="preserve"> PAGEREF _Toc218894204 \h </w:instrText>
      </w:r>
      <w:r>
        <w:rPr>
          <w:noProof/>
          <w:webHidden/>
        </w:rPr>
        <w:fldChar w:fldCharType="separate"/>
      </w:r>
      <w:r>
        <w:rPr>
          <w:noProof/>
          <w:webHidden/>
        </w:rPr>
        <w:t>22</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"_Toc218894205" </w:instrText>
      </w:r>
      <w:r>
        <w:rPr/>
        <w:fldChar w:fldCharType="separate"/>
      </w:r>
      <w:r>
        <w:rPr>
          <w:rStyle w:val="style85"/>
          <w:noProof/>
        </w:rPr>
        <w:t>3.3.1 Search Strategy</w:t>
      </w:r>
      <w:r>
        <w:rPr>
          <w:noProof/>
          <w:webHidden/>
        </w:rPr>
        <w:tab/>
      </w:r>
      <w:r>
        <w:rPr>
          <w:noProof/>
          <w:webHidden/>
        </w:rPr>
        <w:fldChar w:fldCharType="begin"/>
      </w:r>
      <w:r>
        <w:rPr>
          <w:noProof/>
          <w:webHidden/>
        </w:rPr>
        <w:instrText xml:space="preserve"> PAGEREF _Toc218894205 \h </w:instrText>
      </w:r>
      <w:r>
        <w:rPr>
          <w:noProof/>
          <w:webHidden/>
        </w:rPr>
        <w:fldChar w:fldCharType="separate"/>
      </w:r>
      <w:r>
        <w:rPr>
          <w:noProof/>
          <w:webHidden/>
        </w:rPr>
        <w:t>22</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"_Toc218894206" </w:instrText>
      </w:r>
      <w:r>
        <w:rPr/>
        <w:fldChar w:fldCharType="separate"/>
      </w:r>
      <w:r>
        <w:rPr>
          <w:rStyle w:val="style85"/>
          <w:noProof/>
        </w:rPr>
        <w:t>3.3.2 Database Selection</w:t>
      </w:r>
      <w:r>
        <w:rPr>
          <w:noProof/>
          <w:webHidden/>
        </w:rPr>
        <w:tab/>
      </w:r>
      <w:r>
        <w:rPr>
          <w:noProof/>
          <w:webHidden/>
        </w:rPr>
        <w:fldChar w:fldCharType="begin"/>
      </w:r>
      <w:r>
        <w:rPr>
          <w:noProof/>
          <w:webHidden/>
        </w:rPr>
        <w:instrText xml:space="preserve"> PAGEREF _Toc218894206 \h </w:instrText>
      </w:r>
      <w:r>
        <w:rPr>
          <w:noProof/>
          <w:webHidden/>
        </w:rPr>
        <w:fldChar w:fldCharType="separate"/>
      </w:r>
      <w:r>
        <w:rPr>
          <w:noProof/>
          <w:webHidden/>
        </w:rPr>
        <w:t>22</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"_Toc218894207" </w:instrText>
      </w:r>
      <w:r>
        <w:rPr/>
        <w:fldChar w:fldCharType="separate"/>
      </w:r>
      <w:r>
        <w:rPr>
          <w:rStyle w:val="style85"/>
          <w:noProof/>
        </w:rPr>
        <w:t>3.3.3 Inclusion and Exclusion Criteria</w:t>
      </w:r>
      <w:r>
        <w:rPr>
          <w:noProof/>
          <w:webHidden/>
        </w:rPr>
        <w:tab/>
      </w:r>
      <w:r>
        <w:rPr>
          <w:noProof/>
          <w:webHidden/>
        </w:rPr>
        <w:fldChar w:fldCharType="begin"/>
      </w:r>
      <w:r>
        <w:rPr>
          <w:noProof/>
          <w:webHidden/>
        </w:rPr>
        <w:instrText xml:space="preserve"> PAGEREF _Toc218894207 \h </w:instrText>
      </w:r>
      <w:r>
        <w:rPr>
          <w:noProof/>
          <w:webHidden/>
        </w:rPr>
        <w:fldChar w:fldCharType="separate"/>
      </w:r>
      <w:r>
        <w:rPr>
          <w:noProof/>
          <w:webHidden/>
        </w:rPr>
        <w:t>22</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"_Toc218894208" </w:instrText>
      </w:r>
      <w:r>
        <w:rPr/>
        <w:fldChar w:fldCharType="separate"/>
      </w:r>
      <w:r>
        <w:rPr>
          <w:rStyle w:val="style85"/>
          <w:noProof/>
        </w:rPr>
        <w:t>3.4 Data Analysis</w:t>
      </w:r>
      <w:r>
        <w:rPr>
          <w:noProof/>
          <w:webHidden/>
        </w:rPr>
        <w:tab/>
      </w:r>
      <w:r>
        <w:rPr>
          <w:noProof/>
          <w:webHidden/>
        </w:rPr>
        <w:fldChar w:fldCharType="begin"/>
      </w:r>
      <w:r>
        <w:rPr>
          <w:noProof/>
          <w:webHidden/>
        </w:rPr>
        <w:instrText xml:space="preserve"> PAGEREF _Toc218894208 \h </w:instrText>
      </w:r>
      <w:r>
        <w:rPr>
          <w:noProof/>
          <w:webHidden/>
        </w:rPr>
        <w:fldChar w:fldCharType="separate"/>
      </w:r>
      <w:r>
        <w:rPr>
          <w:noProof/>
          <w:webHidden/>
        </w:rPr>
        <w:t>23</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"_Toc218894209" </w:instrText>
      </w:r>
      <w:r>
        <w:rPr/>
        <w:fldChar w:fldCharType="separate"/>
      </w:r>
      <w:r>
        <w:rPr>
          <w:rStyle w:val="style85"/>
          <w:noProof/>
        </w:rPr>
        <w:t>3.5 Quality Appraisal</w:t>
      </w:r>
      <w:r>
        <w:rPr>
          <w:noProof/>
          <w:webHidden/>
        </w:rPr>
        <w:tab/>
      </w:r>
      <w:r>
        <w:rPr>
          <w:noProof/>
          <w:webHidden/>
        </w:rPr>
        <w:fldChar w:fldCharType="begin"/>
      </w:r>
      <w:r>
        <w:rPr>
          <w:noProof/>
          <w:webHidden/>
        </w:rPr>
        <w:instrText xml:space="preserve"> PAGEREF _Toc218894209 \h </w:instrText>
      </w:r>
      <w:r>
        <w:rPr>
          <w:noProof/>
          <w:webHidden/>
        </w:rPr>
        <w:fldChar w:fldCharType="separate"/>
      </w:r>
      <w:r>
        <w:rPr>
          <w:noProof/>
          <w:webHidden/>
        </w:rPr>
        <w:t>23</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"_Toc218894210" </w:instrText>
      </w:r>
      <w:r>
        <w:rPr/>
        <w:fldChar w:fldCharType="separate"/>
      </w:r>
      <w:r>
        <w:rPr>
          <w:rStyle w:val="style85"/>
          <w:noProof/>
        </w:rPr>
        <w:t>3.6 Ethical Considerations</w:t>
      </w:r>
      <w:r>
        <w:rPr>
          <w:noProof/>
          <w:webHidden/>
        </w:rPr>
        <w:tab/>
      </w:r>
      <w:r>
        <w:rPr>
          <w:noProof/>
          <w:webHidden/>
        </w:rPr>
        <w:fldChar w:fldCharType="begin"/>
      </w:r>
      <w:r>
        <w:rPr>
          <w:noProof/>
          <w:webHidden/>
        </w:rPr>
        <w:instrText xml:space="preserve"> PAGEREF _Toc218894210 \h </w:instrText>
      </w:r>
      <w:r>
        <w:rPr>
          <w:noProof/>
          <w:webHidden/>
        </w:rPr>
        <w:fldChar w:fldCharType="separate"/>
      </w:r>
      <w:r>
        <w:rPr>
          <w:noProof/>
          <w:webHidden/>
        </w:rPr>
        <w:t>24</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"_Toc218894211" </w:instrText>
      </w:r>
      <w:r>
        <w:rPr/>
        <w:fldChar w:fldCharType="separate"/>
      </w:r>
      <w:r>
        <w:rPr>
          <w:rStyle w:val="style85"/>
          <w:noProof/>
        </w:rPr>
        <w:t>3.7 Methodological Limitations</w:t>
      </w:r>
      <w:r>
        <w:rPr>
          <w:noProof/>
          <w:webHidden/>
        </w:rPr>
        <w:tab/>
      </w:r>
      <w:r>
        <w:rPr>
          <w:noProof/>
          <w:webHidden/>
        </w:rPr>
        <w:fldChar w:fldCharType="begin"/>
      </w:r>
      <w:r>
        <w:rPr>
          <w:noProof/>
          <w:webHidden/>
        </w:rPr>
        <w:instrText xml:space="preserve"> PAGEREF _Toc218894211 \h </w:instrText>
      </w:r>
      <w:r>
        <w:rPr>
          <w:noProof/>
          <w:webHidden/>
        </w:rPr>
        <w:fldChar w:fldCharType="separate"/>
      </w:r>
      <w:r>
        <w:rPr>
          <w:noProof/>
          <w:webHidden/>
        </w:rPr>
        <w:t>24</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"_Toc218894212" </w:instrText>
      </w:r>
      <w:r>
        <w:rPr/>
        <w:fldChar w:fldCharType="separate"/>
      </w:r>
      <w:r>
        <w:rPr>
          <w:rStyle w:val="style85"/>
          <w:noProof/>
        </w:rPr>
        <w:t>3.8 Chapter Summary</w:t>
      </w:r>
      <w:r>
        <w:rPr>
          <w:noProof/>
          <w:webHidden/>
        </w:rPr>
        <w:tab/>
      </w:r>
      <w:r>
        <w:rPr>
          <w:noProof/>
          <w:webHidden/>
        </w:rPr>
        <w:fldChar w:fldCharType="begin"/>
      </w:r>
      <w:r>
        <w:rPr>
          <w:noProof/>
          <w:webHidden/>
        </w:rPr>
        <w:instrText xml:space="preserve"> PAGEREF _Toc218894212 \h </w:instrText>
      </w:r>
      <w:r>
        <w:rPr>
          <w:noProof/>
          <w:webHidden/>
        </w:rPr>
        <w:fldChar w:fldCharType="separate"/>
      </w:r>
      <w:r>
        <w:rPr>
          <w:noProof/>
          <w:webHidden/>
        </w:rPr>
        <w:t>24</w:t>
      </w:r>
      <w:r>
        <w:rPr>
          <w:noProof/>
          <w:webHidden/>
        </w:rPr>
        <w:fldChar w:fldCharType="end"/>
      </w:r>
      <w:r>
        <w:rPr/>
        <w:fldChar w:fldCharType="end"/>
      </w:r>
    </w:p>
    <w:p>
      <w:pPr>
        <w:pStyle w:val="style19"/>
        <w:tabs>
          <w:tab w:val="right" w:leader="dot" w:pos="9016"/>
        </w:tabs>
        <w:rPr>
          <w:rFonts w:ascii="Calibri" w:cs="Arial" w:eastAsia="宋体" w:hAnsi="Calibri"/>
          <w:noProof/>
          <w:color w:val="auto"/>
          <w:szCs w:val="24"/>
          <w:lang w:val="en-IN" w:eastAsia="en-IN"/>
        </w:rPr>
      </w:pPr>
      <w:r>
        <w:rPr/>
        <w:fldChar w:fldCharType="begin"/>
      </w:r>
      <w:r>
        <w:instrText xml:space="preserve"> HYPERLINK \l "_Toc218894213" </w:instrText>
      </w:r>
      <w:r>
        <w:rPr/>
        <w:fldChar w:fldCharType="separate"/>
      </w:r>
      <w:r>
        <w:rPr>
          <w:rStyle w:val="style85"/>
          <w:rFonts w:cs="Arial"/>
          <w:noProof/>
        </w:rPr>
        <w:t>Chapter 4: Results</w:t>
      </w:r>
      <w:r>
        <w:rPr>
          <w:noProof/>
          <w:webHidden/>
        </w:rPr>
        <w:tab/>
      </w:r>
      <w:r>
        <w:rPr>
          <w:noProof/>
          <w:webHidden/>
        </w:rPr>
        <w:fldChar w:fldCharType="begin"/>
      </w:r>
      <w:r>
        <w:rPr>
          <w:noProof/>
          <w:webHidden/>
        </w:rPr>
        <w:instrText xml:space="preserve"> PAGEREF _Toc218894213 \h </w:instrText>
      </w:r>
      <w:r>
        <w:rPr>
          <w:noProof/>
          <w:webHidden/>
        </w:rPr>
        <w:fldChar w:fldCharType="separate"/>
      </w:r>
      <w:r>
        <w:rPr>
          <w:noProof/>
          <w:webHidden/>
        </w:rPr>
        <w:t>25</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"_Toc218894214" </w:instrText>
      </w:r>
      <w:r>
        <w:rPr/>
        <w:fldChar w:fldCharType="separate"/>
      </w:r>
      <w:r>
        <w:rPr>
          <w:rStyle w:val="style85"/>
          <w:noProof/>
        </w:rPr>
        <w:t>4.1 Chapter introduction</w:t>
      </w:r>
      <w:r>
        <w:rPr>
          <w:noProof/>
          <w:webHidden/>
        </w:rPr>
        <w:tab/>
      </w:r>
      <w:r>
        <w:rPr>
          <w:noProof/>
          <w:webHidden/>
        </w:rPr>
        <w:fldChar w:fldCharType="begin"/>
      </w:r>
      <w:r>
        <w:rPr>
          <w:noProof/>
          <w:webHidden/>
        </w:rPr>
        <w:instrText xml:space="preserve"> PAGEREF _Toc218894214 \h </w:instrText>
      </w:r>
      <w:r>
        <w:rPr>
          <w:noProof/>
          <w:webHidden/>
        </w:rPr>
        <w:fldChar w:fldCharType="separate"/>
      </w:r>
      <w:r>
        <w:rPr>
          <w:noProof/>
          <w:webHidden/>
        </w:rPr>
        <w:t>25</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"_Toc218894215" </w:instrText>
      </w:r>
      <w:r>
        <w:rPr/>
        <w:fldChar w:fldCharType="separate"/>
      </w:r>
      <w:r>
        <w:rPr>
          <w:rStyle w:val="style85"/>
          <w:noProof/>
        </w:rPr>
        <w:t>4.2 Study identification and selection process using PRISMA</w:t>
      </w:r>
      <w:r>
        <w:rPr>
          <w:noProof/>
          <w:webHidden/>
        </w:rPr>
        <w:tab/>
      </w:r>
      <w:r>
        <w:rPr>
          <w:noProof/>
          <w:webHidden/>
        </w:rPr>
        <w:fldChar w:fldCharType="begin"/>
      </w:r>
      <w:r>
        <w:rPr>
          <w:noProof/>
          <w:webHidden/>
        </w:rPr>
        <w:instrText xml:space="preserve"> PAGEREF _Toc218894215 \h </w:instrText>
      </w:r>
      <w:r>
        <w:rPr>
          <w:noProof/>
          <w:webHidden/>
        </w:rPr>
        <w:fldChar w:fldCharType="separate"/>
      </w:r>
      <w:r>
        <w:rPr>
          <w:noProof/>
          <w:webHidden/>
        </w:rPr>
        <w:t>25</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"_Toc218894216" </w:instrText>
      </w:r>
      <w:r>
        <w:rPr/>
        <w:fldChar w:fldCharType="separate"/>
      </w:r>
      <w:r>
        <w:rPr>
          <w:rStyle w:val="style85"/>
          <w:noProof/>
        </w:rPr>
        <w:t>4.3 Overview of selected articles</w:t>
      </w:r>
      <w:r>
        <w:rPr>
          <w:noProof/>
          <w:webHidden/>
        </w:rPr>
        <w:tab/>
      </w:r>
      <w:r>
        <w:rPr>
          <w:noProof/>
          <w:webHidden/>
        </w:rPr>
        <w:fldChar w:fldCharType="begin"/>
      </w:r>
      <w:r>
        <w:rPr>
          <w:noProof/>
          <w:webHidden/>
        </w:rPr>
        <w:instrText xml:space="preserve"> PAGEREF _Toc218894216 \h </w:instrText>
      </w:r>
      <w:r>
        <w:rPr>
          <w:noProof/>
          <w:webHidden/>
        </w:rPr>
        <w:fldChar w:fldCharType="separate"/>
      </w:r>
      <w:r>
        <w:rPr>
          <w:noProof/>
          <w:webHidden/>
        </w:rPr>
        <w:t>26</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"_Toc218894217" </w:instrText>
      </w:r>
      <w:r>
        <w:rPr/>
        <w:fldChar w:fldCharType="separate"/>
      </w:r>
      <w:r>
        <w:rPr>
          <w:rStyle w:val="style85"/>
          <w:noProof/>
        </w:rPr>
        <w:t>4.4 Quality appraisal of included studies using CASP</w:t>
      </w:r>
      <w:r>
        <w:rPr>
          <w:noProof/>
          <w:webHidden/>
        </w:rPr>
        <w:tab/>
      </w:r>
      <w:r>
        <w:rPr>
          <w:noProof/>
          <w:webHidden/>
        </w:rPr>
        <w:fldChar w:fldCharType="begin"/>
      </w:r>
      <w:r>
        <w:rPr>
          <w:noProof/>
          <w:webHidden/>
        </w:rPr>
        <w:instrText xml:space="preserve"> PAGEREF _Toc218894217 \h </w:instrText>
      </w:r>
      <w:r>
        <w:rPr>
          <w:noProof/>
          <w:webHidden/>
        </w:rPr>
        <w:fldChar w:fldCharType="separate"/>
      </w:r>
      <w:r>
        <w:rPr>
          <w:noProof/>
          <w:webHidden/>
        </w:rPr>
        <w:t>40</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"_Toc218894218" </w:instrText>
      </w:r>
      <w:r>
        <w:rPr/>
        <w:fldChar w:fldCharType="separate"/>
      </w:r>
      <w:r>
        <w:rPr>
          <w:rStyle w:val="style85"/>
          <w:noProof/>
        </w:rPr>
        <w:t>4.5 Thematic synthesis of findings</w:t>
      </w:r>
      <w:r>
        <w:rPr>
          <w:noProof/>
          <w:webHidden/>
        </w:rPr>
        <w:tab/>
      </w:r>
      <w:r>
        <w:rPr>
          <w:noProof/>
          <w:webHidden/>
        </w:rPr>
        <w:fldChar w:fldCharType="begin"/>
      </w:r>
      <w:r>
        <w:rPr>
          <w:noProof/>
          <w:webHidden/>
        </w:rPr>
        <w:instrText xml:space="preserve"> PAGEREF _Toc218894218 \h </w:instrText>
      </w:r>
      <w:r>
        <w:rPr>
          <w:noProof/>
          <w:webHidden/>
        </w:rPr>
        <w:fldChar w:fldCharType="separate"/>
      </w:r>
      <w:r>
        <w:rPr>
          <w:noProof/>
          <w:webHidden/>
        </w:rPr>
        <w:t>40</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"_Toc218894219" </w:instrText>
      </w:r>
      <w:r>
        <w:rPr/>
        <w:fldChar w:fldCharType="separate"/>
      </w:r>
      <w:r>
        <w:rPr>
          <w:rStyle w:val="style85"/>
          <w:noProof/>
        </w:rPr>
        <w:t>4.5.1 Theme 1: Microbial infections as a key driver of adult rehospitalisation</w:t>
      </w:r>
      <w:r>
        <w:rPr>
          <w:noProof/>
          <w:webHidden/>
        </w:rPr>
        <w:tab/>
      </w:r>
      <w:r>
        <w:rPr>
          <w:noProof/>
          <w:webHidden/>
        </w:rPr>
        <w:fldChar w:fldCharType="begin"/>
      </w:r>
      <w:r>
        <w:rPr>
          <w:noProof/>
          <w:webHidden/>
        </w:rPr>
        <w:instrText xml:space="preserve"> PAGEREF _Toc218894219 \h </w:instrText>
      </w:r>
      <w:r>
        <w:rPr>
          <w:noProof/>
          <w:webHidden/>
        </w:rPr>
        <w:fldChar w:fldCharType="separate"/>
      </w:r>
      <w:r>
        <w:rPr>
          <w:noProof/>
          <w:webHidden/>
        </w:rPr>
        <w:t>40</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"_Toc218894220" </w:instrText>
      </w:r>
      <w:r>
        <w:rPr/>
        <w:fldChar w:fldCharType="separate"/>
      </w:r>
      <w:r>
        <w:rPr>
          <w:rStyle w:val="style85"/>
          <w:noProof/>
        </w:rPr>
        <w:t>4.5.2 Theme 2: Infection control gaps and antimicrobial stewardship challenges</w:t>
      </w:r>
      <w:r>
        <w:rPr>
          <w:noProof/>
          <w:webHidden/>
        </w:rPr>
        <w:tab/>
      </w:r>
      <w:r>
        <w:rPr>
          <w:noProof/>
          <w:webHidden/>
        </w:rPr>
        <w:fldChar w:fldCharType="begin"/>
      </w:r>
      <w:r>
        <w:rPr>
          <w:noProof/>
          <w:webHidden/>
        </w:rPr>
        <w:instrText xml:space="preserve"> PAGEREF _Toc218894220 \h </w:instrText>
      </w:r>
      <w:r>
        <w:rPr>
          <w:noProof/>
          <w:webHidden/>
        </w:rPr>
        <w:fldChar w:fldCharType="separate"/>
      </w:r>
      <w:r>
        <w:rPr>
          <w:noProof/>
          <w:webHidden/>
        </w:rPr>
        <w:t>40</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"_Toc218894221" </w:instrText>
      </w:r>
      <w:r>
        <w:rPr/>
        <w:fldChar w:fldCharType="separate"/>
      </w:r>
      <w:r>
        <w:rPr>
          <w:rStyle w:val="style85"/>
          <w:noProof/>
        </w:rPr>
        <w:t>4.5.3 Theme 3: Impact of infection-related rehospitalisation on adult social care systems</w:t>
      </w:r>
      <w:r>
        <w:rPr>
          <w:noProof/>
          <w:webHidden/>
        </w:rPr>
        <w:tab/>
      </w:r>
      <w:r>
        <w:rPr>
          <w:noProof/>
          <w:webHidden/>
        </w:rPr>
        <w:fldChar w:fldCharType="begin"/>
      </w:r>
      <w:r>
        <w:rPr>
          <w:noProof/>
          <w:webHidden/>
        </w:rPr>
        <w:instrText xml:space="preserve"> PAGEREF _Toc218894221 \h </w:instrText>
      </w:r>
      <w:r>
        <w:rPr>
          <w:noProof/>
          <w:webHidden/>
        </w:rPr>
        <w:fldChar w:fldCharType="separate"/>
      </w:r>
      <w:r>
        <w:rPr>
          <w:noProof/>
          <w:webHidden/>
        </w:rPr>
        <w:t>41</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"_Toc218894222" </w:instrText>
      </w:r>
      <w:r>
        <w:rPr/>
        <w:fldChar w:fldCharType="separate"/>
      </w:r>
      <w:r>
        <w:rPr>
          <w:rStyle w:val="style85"/>
          <w:noProof/>
        </w:rPr>
        <w:t>4.5.4 Theme 4: Strategies to reduce infection-related rehospitalisation</w:t>
      </w:r>
      <w:r>
        <w:rPr>
          <w:noProof/>
          <w:webHidden/>
        </w:rPr>
        <w:tab/>
      </w:r>
      <w:r>
        <w:rPr>
          <w:noProof/>
          <w:webHidden/>
        </w:rPr>
        <w:fldChar w:fldCharType="begin"/>
      </w:r>
      <w:r>
        <w:rPr>
          <w:noProof/>
          <w:webHidden/>
        </w:rPr>
        <w:instrText xml:space="preserve"> PAGEREF _Toc218894222 \h </w:instrText>
      </w:r>
      <w:r>
        <w:rPr>
          <w:noProof/>
          <w:webHidden/>
        </w:rPr>
        <w:fldChar w:fldCharType="separate"/>
      </w:r>
      <w:r>
        <w:rPr>
          <w:noProof/>
          <w:webHidden/>
        </w:rPr>
        <w:t>42</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"_Toc218894223" </w:instrText>
      </w:r>
      <w:r>
        <w:rPr/>
        <w:fldChar w:fldCharType="separate"/>
      </w:r>
      <w:r>
        <w:rPr>
          <w:rStyle w:val="style85"/>
          <w:noProof/>
        </w:rPr>
        <w:t>4.6 Chapter summary</w:t>
      </w:r>
      <w:r>
        <w:rPr>
          <w:noProof/>
          <w:webHidden/>
        </w:rPr>
        <w:tab/>
      </w:r>
      <w:r>
        <w:rPr>
          <w:noProof/>
          <w:webHidden/>
        </w:rPr>
        <w:fldChar w:fldCharType="begin"/>
      </w:r>
      <w:r>
        <w:rPr>
          <w:noProof/>
          <w:webHidden/>
        </w:rPr>
        <w:instrText xml:space="preserve"> PAGEREF _Toc218894223 \h </w:instrText>
      </w:r>
      <w:r>
        <w:rPr>
          <w:noProof/>
          <w:webHidden/>
        </w:rPr>
        <w:fldChar w:fldCharType="separate"/>
      </w:r>
      <w:r>
        <w:rPr>
          <w:noProof/>
          <w:webHidden/>
        </w:rPr>
        <w:t>42</w:t>
      </w:r>
      <w:r>
        <w:rPr>
          <w:noProof/>
          <w:webHidden/>
        </w:rPr>
        <w:fldChar w:fldCharType="end"/>
      </w:r>
      <w:r>
        <w:rPr/>
        <w:fldChar w:fldCharType="end"/>
      </w:r>
    </w:p>
    <w:p>
      <w:pPr>
        <w:pStyle w:val="style19"/>
        <w:tabs>
          <w:tab w:val="right" w:leader="dot" w:pos="9016"/>
        </w:tabs>
        <w:rPr>
          <w:rFonts w:ascii="Calibri" w:cs="Arial" w:eastAsia="宋体" w:hAnsi="Calibri"/>
          <w:noProof/>
          <w:color w:val="auto"/>
          <w:szCs w:val="24"/>
          <w:lang w:val="en-IN" w:eastAsia="en-IN"/>
        </w:rPr>
      </w:pPr>
      <w:r>
        <w:rPr/>
        <w:fldChar w:fldCharType="begin"/>
      </w:r>
      <w:r>
        <w:instrText xml:space="preserve"> HYPERLINK \l "_Toc218894224" </w:instrText>
      </w:r>
      <w:r>
        <w:rPr/>
        <w:fldChar w:fldCharType="separate"/>
      </w:r>
      <w:r>
        <w:rPr>
          <w:rStyle w:val="style85"/>
          <w:noProof/>
        </w:rPr>
        <w:t>Chapter 5: Discussion</w:t>
      </w:r>
      <w:r>
        <w:rPr>
          <w:noProof/>
          <w:webHidden/>
        </w:rPr>
        <w:tab/>
      </w:r>
      <w:r>
        <w:rPr>
          <w:noProof/>
          <w:webHidden/>
        </w:rPr>
        <w:fldChar w:fldCharType="begin"/>
      </w:r>
      <w:r>
        <w:rPr>
          <w:noProof/>
          <w:webHidden/>
        </w:rPr>
        <w:instrText xml:space="preserve"> PAGEREF _Toc218894224 \h </w:instrText>
      </w:r>
      <w:r>
        <w:rPr>
          <w:noProof/>
          <w:webHidden/>
        </w:rPr>
        <w:fldChar w:fldCharType="separate"/>
      </w:r>
      <w:r>
        <w:rPr>
          <w:noProof/>
          <w:webHidden/>
        </w:rPr>
        <w:t>43</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"_Toc218894225" </w:instrText>
      </w:r>
      <w:r>
        <w:rPr/>
        <w:fldChar w:fldCharType="separate"/>
      </w:r>
      <w:r>
        <w:rPr>
          <w:rStyle w:val="style85"/>
          <w:noProof/>
        </w:rPr>
        <w:t>5.1 Chapter introduction</w:t>
      </w:r>
      <w:r>
        <w:rPr>
          <w:noProof/>
          <w:webHidden/>
        </w:rPr>
        <w:tab/>
      </w:r>
      <w:r>
        <w:rPr>
          <w:noProof/>
          <w:webHidden/>
        </w:rPr>
        <w:fldChar w:fldCharType="begin"/>
      </w:r>
      <w:r>
        <w:rPr>
          <w:noProof/>
          <w:webHidden/>
        </w:rPr>
        <w:instrText xml:space="preserve"> PAGEREF _Toc218894225 \h </w:instrText>
      </w:r>
      <w:r>
        <w:rPr>
          <w:noProof/>
          <w:webHidden/>
        </w:rPr>
        <w:fldChar w:fldCharType="separate"/>
      </w:r>
      <w:r>
        <w:rPr>
          <w:noProof/>
          <w:webHidden/>
        </w:rPr>
        <w:t>43</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"_Toc218894226" </w:instrText>
      </w:r>
      <w:r>
        <w:rPr/>
        <w:fldChar w:fldCharType="separate"/>
      </w:r>
      <w:r>
        <w:rPr>
          <w:rStyle w:val="style85"/>
          <w:noProof/>
        </w:rPr>
        <w:t>5.2 Interpretation of key findings in relation to research objectives</w:t>
      </w:r>
      <w:r>
        <w:rPr>
          <w:noProof/>
          <w:webHidden/>
        </w:rPr>
        <w:tab/>
      </w:r>
      <w:r>
        <w:rPr>
          <w:noProof/>
          <w:webHidden/>
        </w:rPr>
        <w:fldChar w:fldCharType="begin"/>
      </w:r>
      <w:r>
        <w:rPr>
          <w:noProof/>
          <w:webHidden/>
        </w:rPr>
        <w:instrText xml:space="preserve"> PAGEREF _Toc218894226 \h </w:instrText>
      </w:r>
      <w:r>
        <w:rPr>
          <w:noProof/>
          <w:webHidden/>
        </w:rPr>
        <w:fldChar w:fldCharType="separate"/>
      </w:r>
      <w:r>
        <w:rPr>
          <w:noProof/>
          <w:webHidden/>
        </w:rPr>
        <w:t>43</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"_Toc218894227" </w:instrText>
      </w:r>
      <w:r>
        <w:rPr/>
        <w:fldChar w:fldCharType="separate"/>
      </w:r>
      <w:r>
        <w:rPr>
          <w:rStyle w:val="style85"/>
          <w:noProof/>
        </w:rPr>
        <w:t>5.2.1 Theme 1: Microbial infection as a determinant of adult rehospitalisation</w:t>
      </w:r>
      <w:r>
        <w:rPr>
          <w:noProof/>
          <w:webHidden/>
        </w:rPr>
        <w:tab/>
      </w:r>
      <w:r>
        <w:rPr>
          <w:noProof/>
          <w:webHidden/>
        </w:rPr>
        <w:fldChar w:fldCharType="begin"/>
      </w:r>
      <w:r>
        <w:rPr>
          <w:noProof/>
          <w:webHidden/>
        </w:rPr>
        <w:instrText xml:space="preserve"> PAGEREF _Toc218894227 \h </w:instrText>
      </w:r>
      <w:r>
        <w:rPr>
          <w:noProof/>
          <w:webHidden/>
        </w:rPr>
        <w:fldChar w:fldCharType="separate"/>
      </w:r>
      <w:r>
        <w:rPr>
          <w:noProof/>
          <w:webHidden/>
        </w:rPr>
        <w:t>43</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"_Toc218894228" </w:instrText>
      </w:r>
      <w:r>
        <w:rPr/>
        <w:fldChar w:fldCharType="separate"/>
      </w:r>
      <w:r>
        <w:rPr>
          <w:rStyle w:val="style85"/>
          <w:noProof/>
        </w:rPr>
        <w:t>5.2.2 Theme 2: Infection control failure and antimicrobial stewardship challenges</w:t>
      </w:r>
      <w:r>
        <w:rPr>
          <w:noProof/>
          <w:webHidden/>
        </w:rPr>
        <w:tab/>
      </w:r>
      <w:r>
        <w:rPr>
          <w:noProof/>
          <w:webHidden/>
        </w:rPr>
        <w:fldChar w:fldCharType="begin"/>
      </w:r>
      <w:r>
        <w:rPr>
          <w:noProof/>
          <w:webHidden/>
        </w:rPr>
        <w:instrText xml:space="preserve"> PAGEREF _Toc218894228 \h </w:instrText>
      </w:r>
      <w:r>
        <w:rPr>
          <w:noProof/>
          <w:webHidden/>
        </w:rPr>
        <w:fldChar w:fldCharType="separate"/>
      </w:r>
      <w:r>
        <w:rPr>
          <w:noProof/>
          <w:webHidden/>
        </w:rPr>
        <w:t>43</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"_Toc218894229" </w:instrText>
      </w:r>
      <w:r>
        <w:rPr/>
        <w:fldChar w:fldCharType="separate"/>
      </w:r>
      <w:r>
        <w:rPr>
          <w:rStyle w:val="style85"/>
          <w:noProof/>
        </w:rPr>
        <w:t>5.2.3 Theme 3: Impact of infection-related rehospitalisation on adult social care</w:t>
      </w:r>
      <w:r>
        <w:rPr>
          <w:noProof/>
          <w:webHidden/>
        </w:rPr>
        <w:tab/>
      </w:r>
      <w:r>
        <w:rPr>
          <w:noProof/>
          <w:webHidden/>
        </w:rPr>
        <w:fldChar w:fldCharType="begin"/>
      </w:r>
      <w:r>
        <w:rPr>
          <w:noProof/>
          <w:webHidden/>
        </w:rPr>
        <w:instrText xml:space="preserve"> PAGEREF _Toc218894229 \h </w:instrText>
      </w:r>
      <w:r>
        <w:rPr>
          <w:noProof/>
          <w:webHidden/>
        </w:rPr>
        <w:fldChar w:fldCharType="separate"/>
      </w:r>
      <w:r>
        <w:rPr>
          <w:noProof/>
          <w:webHidden/>
        </w:rPr>
        <w:t>44</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"_Toc218894230" </w:instrText>
      </w:r>
      <w:r>
        <w:rPr/>
        <w:fldChar w:fldCharType="separate"/>
      </w:r>
      <w:r>
        <w:rPr>
          <w:rStyle w:val="style85"/>
          <w:noProof/>
        </w:rPr>
        <w:t>5.2.4 Theme 4: Strategies to reduce infection-related rehospitalisation</w:t>
      </w:r>
      <w:r>
        <w:rPr>
          <w:noProof/>
          <w:webHidden/>
        </w:rPr>
        <w:tab/>
      </w:r>
      <w:r>
        <w:rPr>
          <w:noProof/>
          <w:webHidden/>
        </w:rPr>
        <w:fldChar w:fldCharType="begin"/>
      </w:r>
      <w:r>
        <w:rPr>
          <w:noProof/>
          <w:webHidden/>
        </w:rPr>
        <w:instrText xml:space="preserve"> PAGEREF _Toc218894230 \h </w:instrText>
      </w:r>
      <w:r>
        <w:rPr>
          <w:noProof/>
          <w:webHidden/>
        </w:rPr>
        <w:fldChar w:fldCharType="separate"/>
      </w:r>
      <w:r>
        <w:rPr>
          <w:noProof/>
          <w:webHidden/>
        </w:rPr>
        <w:t>45</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"_Toc218894231" </w:instrText>
      </w:r>
      <w:r>
        <w:rPr/>
        <w:fldChar w:fldCharType="separate"/>
      </w:r>
      <w:r>
        <w:rPr>
          <w:rStyle w:val="style85"/>
          <w:noProof/>
        </w:rPr>
        <w:t>5.3 Theoretical interpretation: System theory perspective</w:t>
      </w:r>
      <w:r>
        <w:rPr>
          <w:noProof/>
          <w:webHidden/>
        </w:rPr>
        <w:tab/>
      </w:r>
      <w:r>
        <w:rPr>
          <w:noProof/>
          <w:webHidden/>
        </w:rPr>
        <w:fldChar w:fldCharType="begin"/>
      </w:r>
      <w:r>
        <w:rPr>
          <w:noProof/>
          <w:webHidden/>
        </w:rPr>
        <w:instrText xml:space="preserve"> PAGEREF _Toc218894231 \h </w:instrText>
      </w:r>
      <w:r>
        <w:rPr>
          <w:noProof/>
          <w:webHidden/>
        </w:rPr>
        <w:fldChar w:fldCharType="separate"/>
      </w:r>
      <w:r>
        <w:rPr>
          <w:noProof/>
          <w:webHidden/>
        </w:rPr>
        <w:t>45</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"_Toc218894232" </w:instrText>
      </w:r>
      <w:r>
        <w:rPr/>
        <w:fldChar w:fldCharType="separate"/>
      </w:r>
      <w:r>
        <w:rPr>
          <w:rStyle w:val="style85"/>
          <w:noProof/>
        </w:rPr>
        <w:t>5.4 Implications of the findings</w:t>
      </w:r>
      <w:r>
        <w:rPr>
          <w:noProof/>
          <w:webHidden/>
        </w:rPr>
        <w:tab/>
      </w:r>
      <w:r>
        <w:rPr>
          <w:noProof/>
          <w:webHidden/>
        </w:rPr>
        <w:fldChar w:fldCharType="begin"/>
      </w:r>
      <w:r>
        <w:rPr>
          <w:noProof/>
          <w:webHidden/>
        </w:rPr>
        <w:instrText xml:space="preserve"> PAGEREF _Toc218894232 \h </w:instrText>
      </w:r>
      <w:r>
        <w:rPr>
          <w:noProof/>
          <w:webHidden/>
        </w:rPr>
        <w:fldChar w:fldCharType="separate"/>
      </w:r>
      <w:r>
        <w:rPr>
          <w:noProof/>
          <w:webHidden/>
        </w:rPr>
        <w:t>46</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"_Toc218894233" </w:instrText>
      </w:r>
      <w:r>
        <w:rPr/>
        <w:fldChar w:fldCharType="separate"/>
      </w:r>
      <w:r>
        <w:rPr>
          <w:rStyle w:val="style85"/>
          <w:noProof/>
        </w:rPr>
        <w:t>5.4.1 Implication for public health</w:t>
      </w:r>
      <w:r>
        <w:rPr>
          <w:noProof/>
          <w:webHidden/>
        </w:rPr>
        <w:tab/>
      </w:r>
      <w:r>
        <w:rPr>
          <w:noProof/>
          <w:webHidden/>
        </w:rPr>
        <w:fldChar w:fldCharType="begin"/>
      </w:r>
      <w:r>
        <w:rPr>
          <w:noProof/>
          <w:webHidden/>
        </w:rPr>
        <w:instrText xml:space="preserve"> PAGEREF _Toc218894233 \h </w:instrText>
      </w:r>
      <w:r>
        <w:rPr>
          <w:noProof/>
          <w:webHidden/>
        </w:rPr>
        <w:fldChar w:fldCharType="separate"/>
      </w:r>
      <w:r>
        <w:rPr>
          <w:noProof/>
          <w:webHidden/>
        </w:rPr>
        <w:t>46</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"_Toc218894234" </w:instrText>
      </w:r>
      <w:r>
        <w:rPr/>
        <w:fldChar w:fldCharType="separate"/>
      </w:r>
      <w:r>
        <w:rPr>
          <w:rStyle w:val="style85"/>
          <w:noProof/>
        </w:rPr>
        <w:t>5.4.2 Implications for clinical practice</w:t>
      </w:r>
      <w:r>
        <w:rPr>
          <w:noProof/>
          <w:webHidden/>
        </w:rPr>
        <w:tab/>
      </w:r>
      <w:r>
        <w:rPr>
          <w:noProof/>
          <w:webHidden/>
        </w:rPr>
        <w:fldChar w:fldCharType="begin"/>
      </w:r>
      <w:r>
        <w:rPr>
          <w:noProof/>
          <w:webHidden/>
        </w:rPr>
        <w:instrText xml:space="preserve"> PAGEREF _Toc218894234 \h </w:instrText>
      </w:r>
      <w:r>
        <w:rPr>
          <w:noProof/>
          <w:webHidden/>
        </w:rPr>
        <w:fldChar w:fldCharType="separate"/>
      </w:r>
      <w:r>
        <w:rPr>
          <w:noProof/>
          <w:webHidden/>
        </w:rPr>
        <w:t>46</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"_Toc218894235" </w:instrText>
      </w:r>
      <w:r>
        <w:rPr/>
        <w:fldChar w:fldCharType="separate"/>
      </w:r>
      <w:r>
        <w:rPr>
          <w:rStyle w:val="style85"/>
          <w:noProof/>
        </w:rPr>
        <w:t>5.4.3 Implications for adult social care services</w:t>
      </w:r>
      <w:r>
        <w:rPr>
          <w:noProof/>
          <w:webHidden/>
        </w:rPr>
        <w:tab/>
      </w:r>
      <w:r>
        <w:rPr>
          <w:noProof/>
          <w:webHidden/>
        </w:rPr>
        <w:fldChar w:fldCharType="begin"/>
      </w:r>
      <w:r>
        <w:rPr>
          <w:noProof/>
          <w:webHidden/>
        </w:rPr>
        <w:instrText xml:space="preserve"> PAGEREF _Toc218894235 \h </w:instrText>
      </w:r>
      <w:r>
        <w:rPr>
          <w:noProof/>
          <w:webHidden/>
        </w:rPr>
        <w:fldChar w:fldCharType="separate"/>
      </w:r>
      <w:r>
        <w:rPr>
          <w:noProof/>
          <w:webHidden/>
        </w:rPr>
        <w:t>47</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"_Toc218894236" </w:instrText>
      </w:r>
      <w:r>
        <w:rPr/>
        <w:fldChar w:fldCharType="separate"/>
      </w:r>
      <w:r>
        <w:rPr>
          <w:rStyle w:val="style85"/>
          <w:noProof/>
        </w:rPr>
        <w:t>5.5 Limitation of the review</w:t>
      </w:r>
      <w:r>
        <w:rPr>
          <w:noProof/>
          <w:webHidden/>
        </w:rPr>
        <w:tab/>
      </w:r>
      <w:r>
        <w:rPr>
          <w:noProof/>
          <w:webHidden/>
        </w:rPr>
        <w:fldChar w:fldCharType="begin"/>
      </w:r>
      <w:r>
        <w:rPr>
          <w:noProof/>
          <w:webHidden/>
        </w:rPr>
        <w:instrText xml:space="preserve"> PAGEREF _Toc218894236 \h </w:instrText>
      </w:r>
      <w:r>
        <w:rPr>
          <w:noProof/>
          <w:webHidden/>
        </w:rPr>
        <w:fldChar w:fldCharType="separate"/>
      </w:r>
      <w:r>
        <w:rPr>
          <w:noProof/>
          <w:webHidden/>
        </w:rPr>
        <w:t>47</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"_Toc218894237" </w:instrText>
      </w:r>
      <w:r>
        <w:rPr/>
        <w:fldChar w:fldCharType="separate"/>
      </w:r>
      <w:r>
        <w:rPr>
          <w:rStyle w:val="style85"/>
          <w:noProof/>
        </w:rPr>
        <w:t>5.6 Chapter summary</w:t>
      </w:r>
      <w:r>
        <w:rPr>
          <w:noProof/>
          <w:webHidden/>
        </w:rPr>
        <w:tab/>
      </w:r>
      <w:r>
        <w:rPr>
          <w:noProof/>
          <w:webHidden/>
        </w:rPr>
        <w:fldChar w:fldCharType="begin"/>
      </w:r>
      <w:r>
        <w:rPr>
          <w:noProof/>
          <w:webHidden/>
        </w:rPr>
        <w:instrText xml:space="preserve"> PAGEREF _Toc218894237 \h </w:instrText>
      </w:r>
      <w:r>
        <w:rPr>
          <w:noProof/>
          <w:webHidden/>
        </w:rPr>
        <w:fldChar w:fldCharType="separate"/>
      </w:r>
      <w:r>
        <w:rPr>
          <w:noProof/>
          <w:webHidden/>
        </w:rPr>
        <w:t>48</w:t>
      </w:r>
      <w:r>
        <w:rPr>
          <w:noProof/>
          <w:webHidden/>
        </w:rPr>
        <w:fldChar w:fldCharType="end"/>
      </w:r>
      <w:r>
        <w:rPr/>
        <w:fldChar w:fldCharType="end"/>
      </w:r>
    </w:p>
    <w:p>
      <w:pPr>
        <w:pStyle w:val="style19"/>
        <w:tabs>
          <w:tab w:val="right" w:leader="dot" w:pos="9016"/>
        </w:tabs>
        <w:rPr>
          <w:rFonts w:ascii="Calibri" w:cs="Arial" w:eastAsia="宋体" w:hAnsi="Calibri"/>
          <w:noProof/>
          <w:color w:val="auto"/>
          <w:szCs w:val="24"/>
          <w:lang w:val="en-IN" w:eastAsia="en-IN"/>
        </w:rPr>
      </w:pPr>
      <w:r>
        <w:rPr/>
        <w:fldChar w:fldCharType="begin"/>
      </w:r>
      <w:r>
        <w:instrText xml:space="preserve"> HYPERLINK \l "_Toc218894238" </w:instrText>
      </w:r>
      <w:r>
        <w:rPr/>
        <w:fldChar w:fldCharType="separate"/>
      </w:r>
      <w:r>
        <w:rPr>
          <w:rStyle w:val="style85"/>
          <w:noProof/>
        </w:rPr>
        <w:t>Chapter 6: Conclusion</w:t>
      </w:r>
      <w:r>
        <w:rPr>
          <w:noProof/>
          <w:webHidden/>
        </w:rPr>
        <w:tab/>
      </w:r>
      <w:r>
        <w:rPr>
          <w:noProof/>
          <w:webHidden/>
        </w:rPr>
        <w:fldChar w:fldCharType="begin"/>
      </w:r>
      <w:r>
        <w:rPr>
          <w:noProof/>
          <w:webHidden/>
        </w:rPr>
        <w:instrText xml:space="preserve"> PAGEREF _Toc218894238 \h </w:instrText>
      </w:r>
      <w:r>
        <w:rPr>
          <w:noProof/>
          <w:webHidden/>
        </w:rPr>
        <w:fldChar w:fldCharType="separate"/>
      </w:r>
      <w:r>
        <w:rPr>
          <w:noProof/>
          <w:webHidden/>
        </w:rPr>
        <w:t>49</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"_Toc218894239" </w:instrText>
      </w:r>
      <w:r>
        <w:rPr/>
        <w:fldChar w:fldCharType="separate"/>
      </w:r>
      <w:r>
        <w:rPr>
          <w:rStyle w:val="style85"/>
          <w:noProof/>
        </w:rPr>
        <w:t>6.1 Introduction</w:t>
      </w:r>
      <w:r>
        <w:rPr>
          <w:noProof/>
          <w:webHidden/>
        </w:rPr>
        <w:tab/>
      </w:r>
      <w:r>
        <w:rPr>
          <w:noProof/>
          <w:webHidden/>
        </w:rPr>
        <w:fldChar w:fldCharType="begin"/>
      </w:r>
      <w:r>
        <w:rPr>
          <w:noProof/>
          <w:webHidden/>
        </w:rPr>
        <w:instrText xml:space="preserve"> PAGEREF _Toc218894239 \h </w:instrText>
      </w:r>
      <w:r>
        <w:rPr>
          <w:noProof/>
          <w:webHidden/>
        </w:rPr>
        <w:fldChar w:fldCharType="separate"/>
      </w:r>
      <w:r>
        <w:rPr>
          <w:noProof/>
          <w:webHidden/>
        </w:rPr>
        <w:t>49</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"_Toc218894240" </w:instrText>
      </w:r>
      <w:r>
        <w:rPr/>
        <w:fldChar w:fldCharType="separate"/>
      </w:r>
      <w:r>
        <w:rPr>
          <w:rStyle w:val="style85"/>
          <w:noProof/>
        </w:rPr>
        <w:t>6.2 Overall conclusion</w:t>
      </w:r>
      <w:r>
        <w:rPr>
          <w:noProof/>
          <w:webHidden/>
        </w:rPr>
        <w:tab/>
      </w:r>
      <w:r>
        <w:rPr>
          <w:noProof/>
          <w:webHidden/>
        </w:rPr>
        <w:fldChar w:fldCharType="begin"/>
      </w:r>
      <w:r>
        <w:rPr>
          <w:noProof/>
          <w:webHidden/>
        </w:rPr>
        <w:instrText xml:space="preserve"> PAGEREF _Toc218894240 \h </w:instrText>
      </w:r>
      <w:r>
        <w:rPr>
          <w:noProof/>
          <w:webHidden/>
        </w:rPr>
        <w:fldChar w:fldCharType="separate"/>
      </w:r>
      <w:r>
        <w:rPr>
          <w:noProof/>
          <w:webHidden/>
        </w:rPr>
        <w:t>49</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"_Toc218894241" </w:instrText>
      </w:r>
      <w:r>
        <w:rPr/>
        <w:fldChar w:fldCharType="separate"/>
      </w:r>
      <w:r>
        <w:rPr>
          <w:rStyle w:val="style85"/>
          <w:noProof/>
        </w:rPr>
        <w:t>6.3 Summary of key findings aligned with research objectives</w:t>
      </w:r>
      <w:r>
        <w:rPr>
          <w:noProof/>
          <w:webHidden/>
        </w:rPr>
        <w:tab/>
      </w:r>
      <w:r>
        <w:rPr>
          <w:noProof/>
          <w:webHidden/>
        </w:rPr>
        <w:fldChar w:fldCharType="begin"/>
      </w:r>
      <w:r>
        <w:rPr>
          <w:noProof/>
          <w:webHidden/>
        </w:rPr>
        <w:instrText xml:space="preserve"> PAGEREF _Toc218894241 \h </w:instrText>
      </w:r>
      <w:r>
        <w:rPr>
          <w:noProof/>
          <w:webHidden/>
        </w:rPr>
        <w:fldChar w:fldCharType="separate"/>
      </w:r>
      <w:r>
        <w:rPr>
          <w:noProof/>
          <w:webHidden/>
        </w:rPr>
        <w:t>49</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"_Toc218894242" </w:instrText>
      </w:r>
      <w:r>
        <w:rPr/>
        <w:fldChar w:fldCharType="separate"/>
      </w:r>
      <w:r>
        <w:rPr>
          <w:rStyle w:val="style85"/>
          <w:noProof/>
        </w:rPr>
        <w:t>6.3.1 Objective 1: Microbial infections and rehospitalisation</w:t>
      </w:r>
      <w:r>
        <w:rPr>
          <w:noProof/>
          <w:webHidden/>
        </w:rPr>
        <w:tab/>
      </w:r>
      <w:r>
        <w:rPr>
          <w:noProof/>
          <w:webHidden/>
        </w:rPr>
        <w:fldChar w:fldCharType="begin"/>
      </w:r>
      <w:r>
        <w:rPr>
          <w:noProof/>
          <w:webHidden/>
        </w:rPr>
        <w:instrText xml:space="preserve"> PAGEREF _Toc218894242 \h </w:instrText>
      </w:r>
      <w:r>
        <w:rPr>
          <w:noProof/>
          <w:webHidden/>
        </w:rPr>
        <w:fldChar w:fldCharType="separate"/>
      </w:r>
      <w:r>
        <w:rPr>
          <w:noProof/>
          <w:webHidden/>
        </w:rPr>
        <w:t>49</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"_Toc218894243" </w:instrText>
      </w:r>
      <w:r>
        <w:rPr/>
        <w:fldChar w:fldCharType="separate"/>
      </w:r>
      <w:r>
        <w:rPr>
          <w:rStyle w:val="style85"/>
          <w:noProof/>
        </w:rPr>
        <w:t>6.3.2 Objective 2: Public health challenges</w:t>
      </w:r>
      <w:r>
        <w:rPr>
          <w:noProof/>
          <w:webHidden/>
        </w:rPr>
        <w:tab/>
      </w:r>
      <w:r>
        <w:rPr>
          <w:noProof/>
          <w:webHidden/>
        </w:rPr>
        <w:fldChar w:fldCharType="begin"/>
      </w:r>
      <w:r>
        <w:rPr>
          <w:noProof/>
          <w:webHidden/>
        </w:rPr>
        <w:instrText xml:space="preserve"> PAGEREF _Toc218894243 \h </w:instrText>
      </w:r>
      <w:r>
        <w:rPr>
          <w:noProof/>
          <w:webHidden/>
        </w:rPr>
        <w:fldChar w:fldCharType="separate"/>
      </w:r>
      <w:r>
        <w:rPr>
          <w:noProof/>
          <w:webHidden/>
        </w:rPr>
        <w:t>49</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"_Toc218894244" </w:instrText>
      </w:r>
      <w:r>
        <w:rPr/>
        <w:fldChar w:fldCharType="separate"/>
      </w:r>
      <w:r>
        <w:rPr>
          <w:rStyle w:val="style85"/>
          <w:noProof/>
        </w:rPr>
        <w:t>6.3.3 Objective 3: Impact on adult social care</w:t>
      </w:r>
      <w:r>
        <w:rPr>
          <w:noProof/>
          <w:webHidden/>
        </w:rPr>
        <w:tab/>
      </w:r>
      <w:r>
        <w:rPr>
          <w:noProof/>
          <w:webHidden/>
        </w:rPr>
        <w:fldChar w:fldCharType="begin"/>
      </w:r>
      <w:r>
        <w:rPr>
          <w:noProof/>
          <w:webHidden/>
        </w:rPr>
        <w:instrText xml:space="preserve"> PAGEREF _Toc218894244 \h </w:instrText>
      </w:r>
      <w:r>
        <w:rPr>
          <w:noProof/>
          <w:webHidden/>
        </w:rPr>
        <w:fldChar w:fldCharType="separate"/>
      </w:r>
      <w:r>
        <w:rPr>
          <w:noProof/>
          <w:webHidden/>
        </w:rPr>
        <w:t>50</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"_Toc218894245" </w:instrText>
      </w:r>
      <w:r>
        <w:rPr/>
        <w:fldChar w:fldCharType="separate"/>
      </w:r>
      <w:r>
        <w:rPr>
          <w:rStyle w:val="style85"/>
          <w:noProof/>
        </w:rPr>
        <w:t>6.3.4 Objective 4: Strategies to reduce rehospitalisation</w:t>
      </w:r>
      <w:r>
        <w:rPr>
          <w:noProof/>
          <w:webHidden/>
        </w:rPr>
        <w:tab/>
      </w:r>
      <w:r>
        <w:rPr>
          <w:noProof/>
          <w:webHidden/>
        </w:rPr>
        <w:fldChar w:fldCharType="begin"/>
      </w:r>
      <w:r>
        <w:rPr>
          <w:noProof/>
          <w:webHidden/>
        </w:rPr>
        <w:instrText xml:space="preserve"> PAGEREF _Toc218894245 \h </w:instrText>
      </w:r>
      <w:r>
        <w:rPr>
          <w:noProof/>
          <w:webHidden/>
        </w:rPr>
        <w:fldChar w:fldCharType="separate"/>
      </w:r>
      <w:r>
        <w:rPr>
          <w:noProof/>
          <w:webHidden/>
        </w:rPr>
        <w:t>50</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"_Toc218894246" </w:instrText>
      </w:r>
      <w:r>
        <w:rPr/>
        <w:fldChar w:fldCharType="separate"/>
      </w:r>
      <w:r>
        <w:rPr>
          <w:rStyle w:val="style85"/>
          <w:noProof/>
        </w:rPr>
        <w:t>6.4 Reflection on research approach</w:t>
      </w:r>
      <w:r>
        <w:rPr>
          <w:noProof/>
          <w:webHidden/>
        </w:rPr>
        <w:tab/>
      </w:r>
      <w:r>
        <w:rPr>
          <w:noProof/>
          <w:webHidden/>
        </w:rPr>
        <w:fldChar w:fldCharType="begin"/>
      </w:r>
      <w:r>
        <w:rPr>
          <w:noProof/>
          <w:webHidden/>
        </w:rPr>
        <w:instrText xml:space="preserve"> PAGEREF _Toc218894246 \h </w:instrText>
      </w:r>
      <w:r>
        <w:rPr>
          <w:noProof/>
          <w:webHidden/>
        </w:rPr>
        <w:fldChar w:fldCharType="separate"/>
      </w:r>
      <w:r>
        <w:rPr>
          <w:noProof/>
          <w:webHidden/>
        </w:rPr>
        <w:t>50</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"_Toc218894247" </w:instrText>
      </w:r>
      <w:r>
        <w:rPr/>
        <w:fldChar w:fldCharType="separate"/>
      </w:r>
      <w:r>
        <w:rPr>
          <w:rStyle w:val="style85"/>
          <w:noProof/>
        </w:rPr>
        <w:t>6.5 Recommendations for practice</w:t>
      </w:r>
      <w:r>
        <w:rPr>
          <w:noProof/>
          <w:webHidden/>
        </w:rPr>
        <w:tab/>
      </w:r>
      <w:r>
        <w:rPr>
          <w:noProof/>
          <w:webHidden/>
        </w:rPr>
        <w:fldChar w:fldCharType="begin"/>
      </w:r>
      <w:r>
        <w:rPr>
          <w:noProof/>
          <w:webHidden/>
        </w:rPr>
        <w:instrText xml:space="preserve"> PAGEREF _Toc218894247 \h </w:instrText>
      </w:r>
      <w:r>
        <w:rPr>
          <w:noProof/>
          <w:webHidden/>
        </w:rPr>
        <w:fldChar w:fldCharType="separate"/>
      </w:r>
      <w:r>
        <w:rPr>
          <w:noProof/>
          <w:webHidden/>
        </w:rPr>
        <w:t>51</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"_Toc218894248" </w:instrText>
      </w:r>
      <w:r>
        <w:rPr/>
        <w:fldChar w:fldCharType="separate"/>
      </w:r>
      <w:r>
        <w:rPr>
          <w:rStyle w:val="style85"/>
          <w:noProof/>
        </w:rPr>
        <w:t>6.5.1 Public health practice</w:t>
      </w:r>
      <w:r>
        <w:rPr>
          <w:noProof/>
          <w:webHidden/>
        </w:rPr>
        <w:tab/>
      </w:r>
      <w:r>
        <w:rPr>
          <w:noProof/>
          <w:webHidden/>
        </w:rPr>
        <w:fldChar w:fldCharType="begin"/>
      </w:r>
      <w:r>
        <w:rPr>
          <w:noProof/>
          <w:webHidden/>
        </w:rPr>
        <w:instrText xml:space="preserve"> PAGEREF _Toc218894248 \h </w:instrText>
      </w:r>
      <w:r>
        <w:rPr>
          <w:noProof/>
          <w:webHidden/>
        </w:rPr>
        <w:fldChar w:fldCharType="separate"/>
      </w:r>
      <w:r>
        <w:rPr>
          <w:noProof/>
          <w:webHidden/>
        </w:rPr>
        <w:t>51</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"_Toc218894249" </w:instrText>
      </w:r>
      <w:r>
        <w:rPr/>
        <w:fldChar w:fldCharType="separate"/>
      </w:r>
      <w:r>
        <w:rPr>
          <w:rStyle w:val="style85"/>
          <w:noProof/>
        </w:rPr>
        <w:t>6.5.2 Clinical practice</w:t>
      </w:r>
      <w:r>
        <w:rPr>
          <w:noProof/>
          <w:webHidden/>
        </w:rPr>
        <w:tab/>
      </w:r>
      <w:r>
        <w:rPr>
          <w:noProof/>
          <w:webHidden/>
        </w:rPr>
        <w:fldChar w:fldCharType="begin"/>
      </w:r>
      <w:r>
        <w:rPr>
          <w:noProof/>
          <w:webHidden/>
        </w:rPr>
        <w:instrText xml:space="preserve"> PAGEREF _Toc218894249 \h </w:instrText>
      </w:r>
      <w:r>
        <w:rPr>
          <w:noProof/>
          <w:webHidden/>
        </w:rPr>
        <w:fldChar w:fldCharType="separate"/>
      </w:r>
      <w:r>
        <w:rPr>
          <w:noProof/>
          <w:webHidden/>
        </w:rPr>
        <w:t>51</w:t>
      </w:r>
      <w:r>
        <w:rPr>
          <w:noProof/>
          <w:webHidden/>
        </w:rPr>
        <w:fldChar w:fldCharType="end"/>
      </w:r>
      <w:r>
        <w:rPr/>
        <w:fldChar w:fldCharType="end"/>
      </w:r>
    </w:p>
    <w:p>
      <w:pPr>
        <w:pStyle w:val="style21"/>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"_Toc218894250" </w:instrText>
      </w:r>
      <w:r>
        <w:rPr/>
        <w:fldChar w:fldCharType="separate"/>
      </w:r>
      <w:r>
        <w:rPr>
          <w:rStyle w:val="style85"/>
          <w:noProof/>
        </w:rPr>
        <w:t>6.5.3 Adult social care practice</w:t>
      </w:r>
      <w:r>
        <w:rPr>
          <w:noProof/>
          <w:webHidden/>
        </w:rPr>
        <w:tab/>
      </w:r>
      <w:r>
        <w:rPr>
          <w:noProof/>
          <w:webHidden/>
        </w:rPr>
        <w:fldChar w:fldCharType="begin"/>
      </w:r>
      <w:r>
        <w:rPr>
          <w:noProof/>
          <w:webHidden/>
        </w:rPr>
        <w:instrText xml:space="preserve"> PAGEREF _Toc218894250 \h </w:instrText>
      </w:r>
      <w:r>
        <w:rPr>
          <w:noProof/>
          <w:webHidden/>
        </w:rPr>
        <w:fldChar w:fldCharType="separate"/>
      </w:r>
      <w:r>
        <w:rPr>
          <w:noProof/>
          <w:webHidden/>
        </w:rPr>
        <w:t>51</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"_Toc218894251" </w:instrText>
      </w:r>
      <w:r>
        <w:rPr/>
        <w:fldChar w:fldCharType="separate"/>
      </w:r>
      <w:r>
        <w:rPr>
          <w:rStyle w:val="style85"/>
          <w:noProof/>
        </w:rPr>
        <w:t>6.6 Recommendations for future research</w:t>
      </w:r>
      <w:r>
        <w:rPr>
          <w:noProof/>
          <w:webHidden/>
        </w:rPr>
        <w:tab/>
      </w:r>
      <w:r>
        <w:rPr>
          <w:noProof/>
          <w:webHidden/>
        </w:rPr>
        <w:fldChar w:fldCharType="begin"/>
      </w:r>
      <w:r>
        <w:rPr>
          <w:noProof/>
          <w:webHidden/>
        </w:rPr>
        <w:instrText xml:space="preserve"> PAGEREF _Toc218894251 \h </w:instrText>
      </w:r>
      <w:r>
        <w:rPr>
          <w:noProof/>
          <w:webHidden/>
        </w:rPr>
        <w:fldChar w:fldCharType="separate"/>
      </w:r>
      <w:r>
        <w:rPr>
          <w:noProof/>
          <w:webHidden/>
        </w:rPr>
        <w:t>51</w:t>
      </w:r>
      <w:r>
        <w:rPr>
          <w:noProof/>
          <w:webHidden/>
        </w:rPr>
        <w:fldChar w:fldCharType="end"/>
      </w:r>
      <w:r>
        <w:rPr/>
        <w:fldChar w:fldCharType="end"/>
      </w:r>
    </w:p>
    <w:p>
      <w:pPr>
        <w:pStyle w:val="style20"/>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"_Toc218894252" </w:instrText>
      </w:r>
      <w:r>
        <w:rPr/>
        <w:fldChar w:fldCharType="separate"/>
      </w:r>
      <w:r>
        <w:rPr>
          <w:rStyle w:val="style85"/>
          <w:noProof/>
        </w:rPr>
        <w:t>6.7 Contribution to knowledge</w:t>
      </w:r>
      <w:r>
        <w:rPr>
          <w:noProof/>
          <w:webHidden/>
        </w:rPr>
        <w:tab/>
      </w:r>
      <w:r>
        <w:rPr>
          <w:noProof/>
          <w:webHidden/>
        </w:rPr>
        <w:fldChar w:fldCharType="begin"/>
      </w:r>
      <w:r>
        <w:rPr>
          <w:noProof/>
          <w:webHidden/>
        </w:rPr>
        <w:instrText xml:space="preserve"> PAGEREF _Toc218894252 \h </w:instrText>
      </w:r>
      <w:r>
        <w:rPr>
          <w:noProof/>
          <w:webHidden/>
        </w:rPr>
        <w:fldChar w:fldCharType="separate"/>
      </w:r>
      <w:r>
        <w:rPr>
          <w:noProof/>
          <w:webHidden/>
        </w:rPr>
        <w:t>51</w:t>
      </w:r>
      <w:r>
        <w:rPr>
          <w:noProof/>
          <w:webHidden/>
        </w:rPr>
        <w:fldChar w:fldCharType="end"/>
      </w:r>
      <w:r>
        <w:rPr/>
        <w:fldChar w:fldCharType="end"/>
      </w:r>
    </w:p>
    <w:p>
      <w:pPr>
        <w:pStyle w:val="style19"/>
        <w:tabs>
          <w:tab w:val="right" w:leader="dot" w:pos="9016"/>
        </w:tabs>
        <w:rPr>
          <w:rFonts w:ascii="Calibri" w:cs="Arial" w:eastAsia="宋体" w:hAnsi="Calibri"/>
          <w:noProof/>
          <w:color w:val="auto"/>
          <w:szCs w:val="24"/>
          <w:lang w:val="en-IN" w:eastAsia="en-IN"/>
        </w:rPr>
      </w:pPr>
      <w:r>
        <w:rPr/>
        <w:fldChar w:fldCharType="begin"/>
      </w:r>
      <w:r>
        <w:instrText xml:space="preserve"> HYPERLINK \l "_Toc218894253" </w:instrText>
      </w:r>
      <w:r>
        <w:rPr/>
        <w:fldChar w:fldCharType="separate"/>
      </w:r>
      <w:r>
        <w:rPr>
          <w:rStyle w:val="style85"/>
          <w:rFonts w:cs="Arial"/>
          <w:noProof/>
        </w:rPr>
        <w:t>Reference list</w:t>
      </w:r>
      <w:r>
        <w:rPr>
          <w:noProof/>
          <w:webHidden/>
        </w:rPr>
        <w:tab/>
      </w:r>
      <w:r>
        <w:rPr>
          <w:noProof/>
          <w:webHidden/>
        </w:rPr>
        <w:fldChar w:fldCharType="begin"/>
      </w:r>
      <w:r>
        <w:rPr>
          <w:noProof/>
          <w:webHidden/>
        </w:rPr>
        <w:instrText xml:space="preserve"> PAGEREF _Toc218894253 \h </w:instrText>
      </w:r>
      <w:r>
        <w:rPr>
          <w:noProof/>
          <w:webHidden/>
        </w:rPr>
        <w:fldChar w:fldCharType="separate"/>
      </w:r>
      <w:r>
        <w:rPr>
          <w:noProof/>
          <w:webHidden/>
        </w:rPr>
        <w:t>53</w:t>
      </w:r>
      <w:r>
        <w:rPr>
          <w:noProof/>
          <w:webHidden/>
        </w:rPr>
        <w:fldChar w:fldCharType="end"/>
      </w:r>
      <w:r>
        <w:rPr/>
        <w:fldChar w:fldCharType="end"/>
      </w:r>
    </w:p>
    <w:p>
      <w:pPr>
        <w:pStyle w:val="style19"/>
        <w:tabs>
          <w:tab w:val="right" w:leader="dot" w:pos="9016"/>
        </w:tabs>
        <w:rPr>
          <w:rFonts w:ascii="Calibri" w:cs="Arial" w:eastAsia="宋体" w:hAnsi="Calibri"/>
          <w:noProof/>
          <w:color w:val="auto"/>
          <w:szCs w:val="24"/>
          <w:lang w:val="en-IN" w:eastAsia="en-IN"/>
        </w:rPr>
      </w:pPr>
      <w:r>
        <w:rPr/>
        <w:fldChar w:fldCharType="begin"/>
      </w:r>
      <w:r>
        <w:instrText xml:space="preserve"> HYPERLINK \l "_Toc218894254" </w:instrText>
      </w:r>
      <w:r>
        <w:rPr/>
        <w:fldChar w:fldCharType="separate"/>
      </w:r>
      <w:r>
        <w:rPr>
          <w:rStyle w:val="style85"/>
          <w:noProof/>
        </w:rPr>
        <w:t>Appendix 1: CASP quality assessment</w:t>
      </w:r>
      <w:r>
        <w:rPr>
          <w:noProof/>
          <w:webHidden/>
        </w:rPr>
        <w:tab/>
      </w:r>
      <w:r>
        <w:rPr>
          <w:noProof/>
          <w:webHidden/>
        </w:rPr>
        <w:fldChar w:fldCharType="begin"/>
      </w:r>
      <w:r>
        <w:rPr>
          <w:noProof/>
          <w:webHidden/>
        </w:rPr>
        <w:instrText xml:space="preserve"> PAGEREF _Toc218894254 \h </w:instrText>
      </w:r>
      <w:r>
        <w:rPr>
          <w:noProof/>
          <w:webHidden/>
        </w:rPr>
        <w:fldChar w:fldCharType="separate"/>
      </w:r>
      <w:r>
        <w:rPr>
          <w:noProof/>
          <w:webHidden/>
        </w:rPr>
        <w:t>63</w:t>
      </w:r>
      <w:r>
        <w:rPr>
          <w:noProof/>
          <w:webHidden/>
        </w:rPr>
        <w:fldChar w:fldCharType="end"/>
      </w:r>
      <w:r>
        <w:rPr/>
        <w:fldChar w:fldCharType="end"/>
      </w:r>
    </w:p>
    <w:p>
      <w:pPr>
        <w:pStyle w:val="style0"/>
        <w:rPr/>
      </w:pPr>
      <w:r>
        <w:rPr>
          <w:b/>
          <w:bCs/>
          <w:noProof/>
        </w:rPr>
        <w:fldChar w:fldCharType="end"/>
      </w:r>
    </w:p>
    <w:p>
      <w:pPr>
        <w:pStyle w:val="style0"/>
        <w:rPr/>
      </w:pPr>
    </w:p>
    <w:p>
      <w:pPr>
        <w:pStyle w:val="style0"/>
        <w:rPr>
          <w:rFonts w:eastAsia="Times New Roman"/>
          <w:b/>
          <w:sz w:val="24"/>
        </w:rPr>
      </w:pPr>
      <w:r>
        <w:br w:type="page"/>
      </w:r>
    </w:p>
    <w:bookmarkStart w:id="2" w:name="_Toc214575503"/>
    <w:bookmarkStart w:id="3" w:name="_Toc218894170"/>
    <w:p>
      <w:pPr>
        <w:pStyle w:val="style1"/>
        <w:spacing w:after="158" w:lineRule="auto" w:line="342"/>
        <w:ind w:left="0" w:right="0" w:firstLine="0"/>
        <w:rPr>
          <w:rFonts w:cs="Arial"/>
        </w:rPr>
      </w:pPr>
      <w:r>
        <w:rPr>
          <w:rFonts w:cs="Arial"/>
        </w:rPr>
        <w:t>List of figures</w:t>
      </w:r>
      <w:bookmarkEnd w:id="2"/>
      <w:bookmarkEnd w:id="3"/>
    </w:p>
    <w:p>
      <w:pPr>
        <w:pStyle w:val="style35"/>
        <w:tabs>
          <w:tab w:val="right" w:leader="dot" w:pos="9016"/>
        </w:tabs>
        <w:rPr>
          <w:rFonts w:ascii="Calibri" w:cs="Arial" w:eastAsia="宋体" w:hAnsi="Calibri"/>
          <w:noProof/>
          <w:color w:val="auto"/>
          <w:sz w:val="24"/>
          <w:szCs w:val="24"/>
          <w:lang w:val="en-IN" w:eastAsia="en-IN"/>
        </w:rPr>
      </w:pPr>
      <w:r>
        <w:rPr/>
        <w:fldChar w:fldCharType="begin"/>
      </w:r>
      <w:r>
        <w:instrText xml:space="preserve"> TOC \h \z \t "Heading 4" \c </w:instrText>
      </w:r>
      <w:r>
        <w:rPr/>
        <w:fldChar w:fldCharType="separate"/>
      </w:r>
      <w:r>
        <w:rPr/>
        <w:fldChar w:fldCharType="begin"/>
      </w:r>
      <w:r>
        <w:instrText xml:space="preserve"> HYPERLINK \l "_Toc217496784" </w:instrText>
      </w:r>
      <w:r>
        <w:rPr/>
        <w:fldChar w:fldCharType="separate"/>
      </w:r>
      <w:r>
        <w:rPr>
          <w:rStyle w:val="style85"/>
          <w:noProof/>
        </w:rPr>
        <w:t>Figure 2.1: System theory- Integrated healthcare and social care</w:t>
      </w:r>
      <w:r>
        <w:rPr>
          <w:noProof/>
          <w:webHidden/>
        </w:rPr>
        <w:tab/>
      </w:r>
      <w:r>
        <w:rPr>
          <w:noProof/>
          <w:webHidden/>
        </w:rPr>
        <w:fldChar w:fldCharType="begin"/>
      </w:r>
      <w:r>
        <w:rPr>
          <w:noProof/>
          <w:webHidden/>
        </w:rPr>
        <w:instrText xml:space="preserve"> PAGEREF _Toc217496784 \h </w:instrText>
      </w:r>
      <w:r>
        <w:rPr>
          <w:noProof/>
          <w:webHidden/>
        </w:rPr>
        <w:fldChar w:fldCharType="separate"/>
      </w:r>
      <w:r>
        <w:rPr>
          <w:noProof/>
          <w:webHidden/>
        </w:rPr>
        <w:t>19</w:t>
      </w:r>
      <w:r>
        <w:rPr>
          <w:noProof/>
          <w:webHidden/>
        </w:rPr>
        <w:fldChar w:fldCharType="end"/>
      </w:r>
      <w:r>
        <w:rPr/>
        <w:fldChar w:fldCharType="end"/>
      </w:r>
    </w:p>
    <w:p>
      <w:pPr>
        <w:pStyle w:val="style35"/>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"_Toc217496785" </w:instrText>
      </w:r>
      <w:r>
        <w:rPr/>
        <w:fldChar w:fldCharType="separate"/>
      </w:r>
      <w:r>
        <w:rPr>
          <w:rStyle w:val="style85"/>
          <w:noProof/>
        </w:rPr>
        <w:t>Figure 4.1: PRISMA Flow Diagram</w:t>
      </w:r>
      <w:r>
        <w:rPr>
          <w:noProof/>
          <w:webHidden/>
        </w:rPr>
        <w:tab/>
      </w:r>
      <w:r>
        <w:rPr>
          <w:noProof/>
          <w:webHidden/>
        </w:rPr>
        <w:fldChar w:fldCharType="begin"/>
      </w:r>
      <w:r>
        <w:rPr>
          <w:noProof/>
          <w:webHidden/>
        </w:rPr>
        <w:instrText xml:space="preserve"> PAGEREF _Toc217496785 \h </w:instrText>
      </w:r>
      <w:r>
        <w:rPr>
          <w:noProof/>
          <w:webHidden/>
        </w:rPr>
        <w:fldChar w:fldCharType="separate"/>
      </w:r>
      <w:r>
        <w:rPr>
          <w:noProof/>
          <w:webHidden/>
        </w:rPr>
        <w:t>27</w:t>
      </w:r>
      <w:r>
        <w:rPr>
          <w:noProof/>
          <w:webHidden/>
        </w:rPr>
        <w:fldChar w:fldCharType="end"/>
      </w:r>
      <w:r>
        <w:rPr/>
        <w:fldChar w:fldCharType="end"/>
      </w:r>
    </w:p>
    <w:p>
      <w:pPr>
        <w:pStyle w:val="style0"/>
        <w:rPr/>
      </w:pPr>
      <w:r>
        <w:rPr/>
        <w:fldChar w:fldCharType="end"/>
      </w:r>
    </w:p>
    <w:bookmarkStart w:id="4" w:name="_Toc214575504"/>
    <w:bookmarkStart w:id="5" w:name="_Toc218894171"/>
    <w:p>
      <w:pPr>
        <w:pStyle w:val="style1"/>
        <w:ind w:left="12" w:right="4"/>
        <w:rPr>
          <w:rFonts w:cs="Arial"/>
        </w:rPr>
      </w:pPr>
      <w:r>
        <w:rPr>
          <w:rFonts w:cs="Arial"/>
        </w:rPr>
        <w:t>List of tables</w:t>
      </w:r>
      <w:bookmarkEnd w:id="4"/>
      <w:bookmarkEnd w:id="5"/>
      <w:r>
        <w:rPr>
          <w:rFonts w:cs="Arial"/>
        </w:rPr>
        <w:t xml:space="preserve"> </w:t>
      </w:r>
    </w:p>
    <w:p>
      <w:pPr>
        <w:pStyle w:val="style35"/>
        <w:tabs>
          <w:tab w:val="right" w:leader="dot" w:pos="9016"/>
        </w:tabs>
        <w:rPr>
          <w:rFonts w:ascii="Calibri" w:cs="Arial" w:eastAsia="宋体" w:hAnsi="Calibri"/>
          <w:noProof/>
          <w:color w:val="auto"/>
          <w:sz w:val="24"/>
          <w:szCs w:val="24"/>
          <w:lang w:val="en-IN" w:eastAsia="en-IN"/>
        </w:rPr>
      </w:pPr>
      <w:r>
        <w:rPr/>
        <w:fldChar w:fldCharType="begin"/>
      </w:r>
      <w:r>
        <w:instrText xml:space="preserve"> TOC \f M \h \z \t "Heading 5" \c </w:instrText>
      </w:r>
      <w:r>
        <w:rPr/>
        <w:fldChar w:fldCharType="separate"/>
      </w:r>
      <w:r>
        <w:rPr/>
        <w:fldChar w:fldCharType="begin"/>
      </w:r>
      <w:r>
        <w:instrText xml:space="preserve"> HYPERLINK \l "_Toc217496786" </w:instrText>
      </w:r>
      <w:r>
        <w:rPr/>
        <w:fldChar w:fldCharType="separate"/>
      </w:r>
      <w:r>
        <w:rPr>
          <w:rStyle w:val="style85"/>
          <w:noProof/>
        </w:rPr>
        <w:t>Table 3.2: Example of Boolean Search Strings</w:t>
      </w:r>
      <w:r>
        <w:rPr>
          <w:noProof/>
          <w:webHidden/>
        </w:rPr>
        <w:tab/>
      </w:r>
      <w:r>
        <w:rPr>
          <w:noProof/>
          <w:webHidden/>
        </w:rPr>
        <w:fldChar w:fldCharType="begin"/>
      </w:r>
      <w:r>
        <w:rPr>
          <w:noProof/>
          <w:webHidden/>
        </w:rPr>
        <w:instrText xml:space="preserve"> PAGEREF _Toc217496786 \h </w:instrText>
      </w:r>
      <w:r>
        <w:rPr>
          <w:noProof/>
          <w:webHidden/>
        </w:rPr>
        <w:fldChar w:fldCharType="separate"/>
      </w:r>
      <w:r>
        <w:rPr>
          <w:noProof/>
          <w:webHidden/>
        </w:rPr>
        <w:t>23</w:t>
      </w:r>
      <w:r>
        <w:rPr>
          <w:noProof/>
          <w:webHidden/>
        </w:rPr>
        <w:fldChar w:fldCharType="end"/>
      </w:r>
      <w:r>
        <w:rPr/>
        <w:fldChar w:fldCharType="end"/>
      </w:r>
    </w:p>
    <w:p>
      <w:pPr>
        <w:pStyle w:val="style35"/>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"_Toc217496787" </w:instrText>
      </w:r>
      <w:r>
        <w:rPr/>
        <w:fldChar w:fldCharType="separate"/>
      </w:r>
      <w:r>
        <w:rPr>
          <w:rStyle w:val="style85"/>
          <w:noProof/>
        </w:rPr>
        <w:t>Table 3.3: Inclusion and Exclusion Criteria</w:t>
      </w:r>
      <w:r>
        <w:rPr>
          <w:noProof/>
          <w:webHidden/>
        </w:rPr>
        <w:tab/>
      </w:r>
      <w:r>
        <w:rPr>
          <w:noProof/>
          <w:webHidden/>
        </w:rPr>
        <w:fldChar w:fldCharType="begin"/>
      </w:r>
      <w:r>
        <w:rPr>
          <w:noProof/>
          <w:webHidden/>
        </w:rPr>
        <w:instrText xml:space="preserve"> PAGEREF _Toc217496787 \h </w:instrText>
      </w:r>
      <w:r>
        <w:rPr>
          <w:noProof/>
          <w:webHidden/>
        </w:rPr>
        <w:fldChar w:fldCharType="separate"/>
      </w:r>
      <w:r>
        <w:rPr>
          <w:noProof/>
          <w:webHidden/>
        </w:rPr>
        <w:t>24</w:t>
      </w:r>
      <w:r>
        <w:rPr>
          <w:noProof/>
          <w:webHidden/>
        </w:rPr>
        <w:fldChar w:fldCharType="end"/>
      </w:r>
      <w:r>
        <w:rPr/>
        <w:fldChar w:fldCharType="end"/>
      </w:r>
    </w:p>
    <w:p>
      <w:pPr>
        <w:pStyle w:val="style35"/>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"_Toc217496788" </w:instrText>
      </w:r>
      <w:r>
        <w:rPr/>
        <w:fldChar w:fldCharType="separate"/>
      </w:r>
      <w:r>
        <w:rPr>
          <w:rStyle w:val="style85"/>
          <w:noProof/>
        </w:rPr>
        <w:t>Table 4.1: Summary table of selected articles</w:t>
      </w:r>
      <w:r>
        <w:rPr>
          <w:noProof/>
          <w:webHidden/>
        </w:rPr>
        <w:tab/>
      </w:r>
      <w:r>
        <w:rPr>
          <w:noProof/>
          <w:webHidden/>
        </w:rPr>
        <w:fldChar w:fldCharType="begin"/>
      </w:r>
      <w:r>
        <w:rPr>
          <w:noProof/>
          <w:webHidden/>
        </w:rPr>
        <w:instrText xml:space="preserve"> PAGEREF _Toc217496788 \h </w:instrText>
      </w:r>
      <w:r>
        <w:rPr>
          <w:noProof/>
          <w:webHidden/>
        </w:rPr>
        <w:fldChar w:fldCharType="separate"/>
      </w:r>
      <w:r>
        <w:rPr>
          <w:noProof/>
          <w:webHidden/>
        </w:rPr>
        <w:t>34</w:t>
      </w:r>
      <w:r>
        <w:rPr>
          <w:noProof/>
          <w:webHidden/>
        </w:rPr>
        <w:fldChar w:fldCharType="end"/>
      </w:r>
      <w:r>
        <w:rPr/>
        <w:fldChar w:fldCharType="end"/>
      </w:r>
    </w:p>
    <w:p>
      <w:pPr>
        <w:pStyle w:val="style35"/>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"_Toc217496789" </w:instrText>
      </w:r>
      <w:r>
        <w:rPr/>
        <w:fldChar w:fldCharType="separate"/>
      </w:r>
      <w:r>
        <w:rPr>
          <w:rStyle w:val="style85"/>
          <w:noProof/>
        </w:rPr>
        <w:t>Table 4.2: CASP quality assessment</w:t>
      </w:r>
      <w:r>
        <w:rPr>
          <w:noProof/>
          <w:webHidden/>
        </w:rPr>
        <w:tab/>
      </w:r>
      <w:r>
        <w:rPr>
          <w:noProof/>
          <w:webHidden/>
        </w:rPr>
        <w:fldChar w:fldCharType="begin"/>
      </w:r>
      <w:r>
        <w:rPr>
          <w:noProof/>
          <w:webHidden/>
        </w:rPr>
        <w:instrText xml:space="preserve"> PAGEREF _Toc217496789 \h </w:instrText>
      </w:r>
      <w:r>
        <w:rPr>
          <w:noProof/>
          <w:webHidden/>
        </w:rPr>
        <w:fldChar w:fldCharType="separate"/>
      </w:r>
      <w:r>
        <w:rPr>
          <w:noProof/>
          <w:webHidden/>
        </w:rPr>
        <w:t>35</w:t>
      </w:r>
      <w:r>
        <w:rPr>
          <w:noProof/>
          <w:webHidden/>
        </w:rPr>
        <w:fldChar w:fldCharType="end"/>
      </w:r>
      <w:r>
        <w:rPr/>
        <w:fldChar w:fldCharType="end"/>
      </w:r>
    </w:p>
    <w:p>
      <w:pPr>
        <w:pStyle w:val="style35"/>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"_Toc217496790" </w:instrText>
      </w:r>
      <w:r>
        <w:rPr/>
        <w:fldChar w:fldCharType="separate"/>
      </w:r>
      <w:r>
        <w:rPr>
          <w:rStyle w:val="style85"/>
          <w:noProof/>
        </w:rPr>
        <w:t>Table 4.3: Infection Control and AMR Challenges</w:t>
      </w:r>
      <w:r>
        <w:rPr>
          <w:noProof/>
          <w:webHidden/>
        </w:rPr>
        <w:tab/>
      </w:r>
      <w:r>
        <w:rPr>
          <w:noProof/>
          <w:webHidden/>
        </w:rPr>
        <w:fldChar w:fldCharType="begin"/>
      </w:r>
      <w:r>
        <w:rPr>
          <w:noProof/>
          <w:webHidden/>
        </w:rPr>
        <w:instrText xml:space="preserve"> PAGEREF _Toc217496790 \h </w:instrText>
      </w:r>
      <w:r>
        <w:rPr>
          <w:noProof/>
          <w:webHidden/>
        </w:rPr>
        <w:fldChar w:fldCharType="separate"/>
      </w:r>
      <w:r>
        <w:rPr>
          <w:noProof/>
          <w:webHidden/>
        </w:rPr>
        <w:t>36</w:t>
      </w:r>
      <w:r>
        <w:rPr>
          <w:noProof/>
          <w:webHidden/>
        </w:rPr>
        <w:fldChar w:fldCharType="end"/>
      </w:r>
      <w:r>
        <w:rPr/>
        <w:fldChar w:fldCharType="end"/>
      </w:r>
    </w:p>
    <w:p>
      <w:pPr>
        <w:pStyle w:val="style35"/>
        <w:tabs>
          <w:tab w:val="right" w:leader="dot" w:pos="9016"/>
        </w:tabs>
        <w:rPr>
          <w:rFonts w:ascii="Calibri" w:cs="Arial" w:eastAsia="宋体" w:hAnsi="Calibri"/>
          <w:noProof/>
          <w:color w:val="auto"/>
          <w:sz w:val="24"/>
          <w:szCs w:val="24"/>
          <w:lang w:val="en-IN" w:eastAsia="en-IN"/>
        </w:rPr>
      </w:pPr>
      <w:r>
        <w:rPr/>
        <w:fldChar w:fldCharType="begin"/>
      </w:r>
      <w:r>
        <w:instrText xml:space="preserve"> HYPERLINK \l "_Toc217496791" </w:instrText>
      </w:r>
      <w:r>
        <w:rPr/>
        <w:fldChar w:fldCharType="separate"/>
      </w:r>
      <w:r>
        <w:rPr>
          <w:rStyle w:val="style85"/>
          <w:noProof/>
        </w:rPr>
        <w:t>Table 4.4: Social care impact</w:t>
      </w:r>
      <w:r>
        <w:rPr>
          <w:noProof/>
          <w:webHidden/>
        </w:rPr>
        <w:tab/>
      </w:r>
      <w:r>
        <w:rPr>
          <w:noProof/>
          <w:webHidden/>
        </w:rPr>
        <w:fldChar w:fldCharType="begin"/>
      </w:r>
      <w:r>
        <w:rPr>
          <w:noProof/>
          <w:webHidden/>
        </w:rPr>
        <w:instrText xml:space="preserve"> PAGEREF _Toc217496791 \h </w:instrText>
      </w:r>
      <w:r>
        <w:rPr>
          <w:noProof/>
          <w:webHidden/>
        </w:rPr>
        <w:fldChar w:fldCharType="separate"/>
      </w:r>
      <w:r>
        <w:rPr>
          <w:noProof/>
          <w:webHidden/>
        </w:rPr>
        <w:t>37</w:t>
      </w:r>
      <w:r>
        <w:rPr>
          <w:noProof/>
          <w:webHidden/>
        </w:rPr>
        <w:fldChar w:fldCharType="end"/>
      </w:r>
      <w:r>
        <w:rPr/>
        <w:fldChar w:fldCharType="end"/>
      </w:r>
    </w:p>
    <w:p>
      <w:pPr>
        <w:pStyle w:val="style0"/>
        <w:rPr>
          <w:rFonts w:eastAsia="Times New Roman"/>
          <w:b/>
          <w:sz w:val="24"/>
        </w:rPr>
      </w:pPr>
      <w:r>
        <w:rPr/>
        <w:fldChar w:fldCharType="end"/>
      </w:r>
      <w:r>
        <w:br w:type="page"/>
      </w:r>
    </w:p>
    <w:bookmarkStart w:id="6" w:name="_Toc214575505"/>
    <w:bookmarkStart w:id="7" w:name="_Toc218894172"/>
    <w:p>
      <w:pPr>
        <w:pStyle w:val="style1"/>
        <w:rPr/>
      </w:pPr>
      <w:r>
        <w:t>Chapter 1: Introduction</w:t>
      </w:r>
      <w:bookmarkEnd w:id="6"/>
      <w:bookmarkEnd w:id="7"/>
      <w:r>
        <w:t xml:space="preserve"> </w:t>
      </w:r>
    </w:p>
    <w:bookmarkStart w:id="8" w:name="_Toc213678245"/>
    <w:bookmarkStart w:id="9" w:name="_Toc218894173"/>
    <w:p>
      <w:pPr>
        <w:pStyle w:val="style2"/>
        <w:rPr/>
      </w:pPr>
      <w:r>
        <w:t>1.1. Research background</w:t>
      </w:r>
      <w:bookmarkEnd w:id="8"/>
      <w:bookmarkEnd w:id="9"/>
    </w:p>
    <w:p>
      <w:pPr>
        <w:pStyle w:val="style0"/>
        <w:spacing w:after="172" w:lineRule="auto" w:line="259"/>
        <w:rPr/>
      </w:pPr>
      <w:r>
        <w:rPr>
          <w:color w:val="36363d"/>
        </w:rPr>
        <w:t xml:space="preserve">Microbial​‍​‌‍​‍‌ infections result from harmful microorganisms like bacteria, viruses, fungi, or parasites entering the body and multiplying, thereby causing disease (Zhao </w:t>
      </w:r>
      <w:r>
        <w:rPr>
          <w:i/>
          <w:iCs/>
          <w:color w:val="36363d"/>
        </w:rPr>
        <w:t xml:space="preserve">et al. </w:t>
      </w:r>
      <w:r>
        <w:rPr>
          <w:color w:val="36363d"/>
        </w:rPr>
        <w:t xml:space="preserve">2023). In healthcare facilities, these are exemplified by </w:t>
      </w:r>
      <w:r>
        <w:rPr>
          <w:i/>
          <w:iCs/>
          <w:color w:val="36363d"/>
        </w:rPr>
        <w:t>MRSA, C. difficile, E. coli</w:t>
      </w:r>
      <w:r>
        <w:rPr>
          <w:color w:val="36363d"/>
        </w:rPr>
        <w:t>, and urinary tract infections that may cause the patient to suffer complications, have a prolonged recovery period, and a higher risk of being readmitted to the ​‍​‌‍​‍‌hospital</w:t>
      </w:r>
      <w:r>
        <w:rPr>
          <w:color w:val="36363d"/>
        </w:rPr>
        <w:t xml:space="preserve"> (</w:t>
      </w:r>
      <w:r>
        <w:t>O’Brien</w:t>
      </w:r>
      <w:r>
        <w:t xml:space="preserve"> </w:t>
      </w:r>
      <w:r>
        <w:rPr>
          <w:i/>
          <w:iCs/>
        </w:rPr>
        <w:t xml:space="preserve">et al. </w:t>
      </w:r>
      <w:r>
        <w:t>2020</w:t>
      </w:r>
      <w:r>
        <w:rPr>
          <w:color w:val="36363d"/>
        </w:rPr>
        <w:t>)</w:t>
      </w:r>
      <w:r>
        <w:rPr>
          <w:color w:val="36363d"/>
        </w:rPr>
        <w:t>.</w:t>
      </w:r>
      <w:r>
        <w:rPr>
          <w:color w:val="ee0000"/>
        </w:rPr>
        <w:t xml:space="preserve"> </w:t>
      </w:r>
      <w:r>
        <w:t>There are an increasing number of people affected by microbial infections worldwide. Recent data from the UK suggest that the contribution of microbial infections to strain on hospitals, readmissions and strain on social care, is growing and is now measurable. A national point-prevalence survey conducted in England estimated the prevalence of healthcare-associated infections (HCAI) to be 8.1% (95% CI 7.8-8.4) in 2023 and reported an estimated 35.2% of hospitalised patients received antibiotics, indicating frequent exposure during inpatient stays (UK Health Security Agency, 2023).</w:t>
      </w:r>
    </w:p>
    <w:p>
      <w:pPr>
        <w:pStyle w:val="style0"/>
        <w:spacing w:after="172" w:lineRule="auto" w:line="259"/>
        <w:rPr/>
      </w:pPr>
      <w:r>
        <w:t xml:space="preserve">Monitoring of infections resistant to antibiotics identified an estimated 58,224 individuals in England with resistant infections in 2022, showing a 4% increase from 2021, while reported deaths due to severe resistant infections over the same period increased from 2110 to 2202 (Gov.uk, 2023). These figures coincide with an official assessment of the UK, which indicates that antimicrobial resistance (AMR) contributes to tens of thousands of deaths per year, with parliament estimating approximately 35,200 deaths per year due to AMR (Antimicrobial Resistance) occurring in the UK (Committee of Public Accounts, 2024). Pathogen-based surveillance suggests being concerned about reversals in diagnostic incidence numbers after previous gains. Infections due to </w:t>
      </w:r>
      <w:r>
        <w:rPr>
          <w:i/>
          <w:iCs/>
        </w:rPr>
        <w:t>Clostridioides difficile</w:t>
      </w:r>
      <w:r>
        <w:t xml:space="preserve"> (CDI) have increased by 33%, during financial years 2020-21 and 2023-24, to the highest number of CDI infections from a historical perspective, nationally (UK Health Security Agency, 2025). </w:t>
      </w:r>
      <w:r>
        <w:t>Meticillin</w:t>
      </w:r>
      <w:r>
        <w:t xml:space="preserve">-resistant </w:t>
      </w:r>
      <w:r>
        <w:rPr>
          <w:i/>
          <w:iCs/>
        </w:rPr>
        <w:t>Staphylococcus aureus</w:t>
      </w:r>
      <w:r>
        <w:t xml:space="preserve"> (MRSA) bacteraemia in financial year 2023-2024 has recorded 910 incidences in England, with case fatality and 30-day mortality metrics remaining clinically important (Gov.uk, 2025).</w:t>
      </w:r>
    </w:p>
    <w:p>
      <w:pPr>
        <w:pStyle w:val="style0"/>
        <w:spacing w:after="172" w:lineRule="auto" w:line="259"/>
        <w:rPr/>
      </w:pPr>
      <w:r>
        <w:t xml:space="preserve">These burdens of infection carry implications for the service and those systems. With high prevalence of HCAI (healthcare-associated infections) and levels of antimicrobial therapy, the risk of complications post-discharge and, therefore, avoidable readmissions increase. Continued AMR also restricts effective treatments in the outpatient and community setting and prolongs recovery. The UK Health Security Agency (UKHSA) continues to report monthly counts of MRSA, MSSA, </w:t>
      </w:r>
      <w:r>
        <w:rPr>
          <w:i/>
          <w:iCs/>
        </w:rPr>
        <w:t>E. coli</w:t>
      </w:r>
      <w:r>
        <w:t xml:space="preserve">, and </w:t>
      </w:r>
      <w:r>
        <w:rPr>
          <w:i/>
          <w:iCs/>
        </w:rPr>
        <w:t>C. difficile</w:t>
      </w:r>
      <w:r>
        <w:t xml:space="preserve"> cases to help local areas monitor and respond to HCAIs and support their zero-tolerance policies (UKHSA, 2025).</w:t>
      </w:r>
    </w:p>
    <w:p>
      <w:pPr>
        <w:pStyle w:val="style0"/>
        <w:spacing w:after="172" w:lineRule="auto" w:line="259"/>
        <w:rPr/>
      </w:pPr>
      <w:r>
        <w:t>Simultaneously, workforce and capacity pressures worsen the problem further. The reporting by “NHS England” highlights sustained growth in demand and capacity challenges in the acute and social care settings, leading to blockages in discharge pathways and backlogs, with more than 6,000 patients, medically fit patients awaiting social care packages (NHS England, 2024). Independent analysis shows the average number of daily delayed discharges was approximately 2,575 in June 2021, rising to a peak of 6,815 in January 2023, highlighting how infection-related service shortages can result in longer hospital stays, increased resources and continued HAIs (Nuffieldtrust.org.uk, 2025).</w:t>
      </w:r>
    </w:p>
    <w:p>
      <w:pPr>
        <w:pStyle w:val="style0"/>
        <w:spacing w:after="172" w:lineRule="auto" w:line="259"/>
        <w:rPr/>
      </w:pPr>
      <w:r>
        <w:t>The 2023 Point Prevalence Survey documented 15,134 patients receiving 20,543 doses of antimicrobials, with data indicating 15.7% of prescriptions were non-compliant, potentially demonstrating some stewardship (</w:t>
      </w:r>
      <w:r>
        <w:rPr>
          <w:color w:val="36363d"/>
        </w:rPr>
        <w:t>Gov.uk, 2023</w:t>
      </w:r>
      <w:r>
        <w:t xml:space="preserve">). In 2024, local virtual ward programs </w:t>
      </w:r>
      <w:r>
        <w:t>indicated that 558 patients hospitalised had an 8% readmission rate, demonstrating the mitigation potential along these service delivery models if scaled. These trends also necessitate additional length of stay and nursing time, and increased costs associated with the commissioning of adult social care, and have started to create momentum for calls for targeted investment into infection prevention, integrated data access and sharing, and enhanced “antimicrobial stewardship” at the health and social care interface.</w:t>
      </w:r>
    </w:p>
    <w:p>
      <w:pPr>
        <w:pStyle w:val="style0"/>
        <w:spacing w:after="172" w:lineRule="auto" w:line="259"/>
        <w:rPr/>
      </w:pPr>
    </w:p>
    <w:bookmarkStart w:id="10" w:name="_Toc213678246"/>
    <w:bookmarkStart w:id="11" w:name="_Toc218894174"/>
    <w:p>
      <w:pPr>
        <w:pStyle w:val="style2"/>
        <w:rPr/>
      </w:pPr>
      <w:r>
        <w:t>1.2 Research problem</w:t>
      </w:r>
      <w:bookmarkEnd w:id="10"/>
      <w:bookmarkEnd w:id="11"/>
      <w:r>
        <w:t xml:space="preserve"> </w:t>
      </w:r>
    </w:p>
    <w:p>
      <w:pPr>
        <w:pStyle w:val="style0"/>
        <w:spacing w:after="172" w:lineRule="auto" w:line="259"/>
        <w:rPr/>
      </w:pPr>
      <w:r>
        <w:t xml:space="preserve">Adult​‍​‌‍​‍‌ rehospitalisation in UK has been a major issue, and a significant number of such cases have been attributed to microbial infections that could have been avoided. Healthcare-associated infections (HCAIs) are prevalent among 8% of patients hospitalised, and over one-third of patients receive antibiotics as treatment (Gov.uk, 2025b). Although, there are infection control programs for patients who need to be re-evaluated because of localisations of their issues such as </w:t>
      </w:r>
      <w:r>
        <w:rPr>
          <w:i/>
          <w:iCs/>
        </w:rPr>
        <w:t>Clostridioides difficile</w:t>
      </w:r>
      <w:r>
        <w:t xml:space="preserve"> and MRSA (Guzman-Cottrill </w:t>
      </w:r>
      <w:r>
        <w:rPr>
          <w:i/>
          <w:iCs/>
        </w:rPr>
        <w:t xml:space="preserve">et al. </w:t>
      </w:r>
      <w:r>
        <w:t>2025). The problem of antimicrobial resistance (AMR) significantly narrows possibilities of treatment because it is estimated that there were more than 58,000 infections that were resistant to treatments and over 2,000 people died in 2022 (Who.int, 2023).</w:t>
      </w:r>
    </w:p>
    <w:p>
      <w:pPr>
        <w:pStyle w:val="style0"/>
        <w:spacing w:after="172" w:lineRule="auto" w:line="259"/>
        <w:rPr/>
      </w:pPr>
      <w:r>
        <w:t>Recent studies are short of a well-organised method that could synthesize data systematically accounting for health care points contributions to reinfections and their impact on health and social sector systems. The NHS budget is increasing, hospital stays are getting longer, and patients' quality of life is deteriorating (</w:t>
      </w:r>
      <w:r>
        <w:t>Subbe</w:t>
      </w:r>
      <w:r>
        <w:t xml:space="preserve"> </w:t>
      </w:r>
      <w:r>
        <w:rPr>
          <w:i/>
          <w:iCs/>
        </w:rPr>
        <w:t xml:space="preserve">et al. </w:t>
      </w:r>
      <w:r>
        <w:t>2023). Despite ongoing efforts, the problem of microbial infection-related rehospitalisation remains to be among the biggest healthcare challenges in UK; therefore, it needs a comprehensive systematic ​‍​‌‍​‍‌approach.</w:t>
      </w:r>
    </w:p>
    <w:p>
      <w:pPr>
        <w:pStyle w:val="style0"/>
        <w:spacing w:after="172" w:lineRule="auto" w:line="259"/>
        <w:rPr/>
      </w:pPr>
    </w:p>
    <w:bookmarkStart w:id="12" w:name="_Toc213678254"/>
    <w:bookmarkStart w:id="13" w:name="_Toc218894175"/>
    <w:p>
      <w:pPr>
        <w:pStyle w:val="style2"/>
        <w:rPr/>
      </w:pPr>
      <w:r>
        <w:t>1.3 Rationale</w:t>
      </w:r>
      <w:bookmarkEnd w:id="12"/>
      <w:bookmarkEnd w:id="13"/>
      <w:r>
        <w:t xml:space="preserve"> </w:t>
      </w:r>
    </w:p>
    <w:p>
      <w:pPr>
        <w:pStyle w:val="style0"/>
        <w:spacing w:after="172" w:lineRule="auto" w:line="259"/>
        <w:rPr/>
      </w:pPr>
      <w:r>
        <w:t>A​‍​‌‍​‍‌ systematic review represents the most appropriate methodological approach for this investigation as it permits an explicit and well-organized summary of the proofs drawn from various studies. Aggregating data from studies on microbial infections and rehospitalisation among UK adults, the review aids in uncovering stable trends, risk factors, and the most effective approaches to prevent infections. The results of this approach rest upon dependable and all-inclusive data instead of outcomes of single studies. Along with that, it is a great support to evidence-based decisions of both healthcare professionals and policymakers.</w:t>
      </w:r>
    </w:p>
    <w:p>
      <w:pPr>
        <w:pStyle w:val="style0"/>
        <w:spacing w:after="172" w:lineRule="auto" w:line="259"/>
        <w:rPr/>
      </w:pPr>
      <w:r>
        <w:t xml:space="preserve">This systematic review provides an overview about role of infections like MRSA, </w:t>
      </w:r>
      <w:r>
        <w:rPr>
          <w:i/>
          <w:iCs/>
        </w:rPr>
        <w:t>Clostridioides difficile</w:t>
      </w:r>
      <w:r>
        <w:t xml:space="preserve"> and urinary tract infections in case of hospital readmissions (Eubank </w:t>
      </w:r>
      <w:r>
        <w:rPr>
          <w:i/>
          <w:iCs/>
        </w:rPr>
        <w:t xml:space="preserve">et al. </w:t>
      </w:r>
      <w:r>
        <w:t>2024). In addition, review identifies the need to address rehospitalisation rates by using antimicrobial stewardship, infection control, and post-discharge care.</w:t>
      </w:r>
    </w:p>
    <w:p>
      <w:pPr>
        <w:pStyle w:val="style0"/>
        <w:spacing w:after="172" w:lineRule="auto" w:line="259"/>
        <w:rPr/>
      </w:pPr>
      <w:r>
        <w:t xml:space="preserve">By illuminating the existing gaps in correlation between microbial infections, healthcare practices and social care systems in UK, the research becomes a baseline for academic knowledge. It is a real-world approach where the hospital infection prevention protocols could be made better with the help of findings and the communication with community health services could be enhanced (Yuan </w:t>
      </w:r>
      <w:r>
        <w:rPr>
          <w:i/>
          <w:iCs/>
        </w:rPr>
        <w:t xml:space="preserve">et al. </w:t>
      </w:r>
      <w:r>
        <w:t xml:space="preserve">2025). Also, these outcomes will be instrumental in public health and social care policymaking by delivering the evidence necessary to create integrated care models and fortify the national infection surveillance and management </w:t>
      </w:r>
      <w:r>
        <w:t>systems. In general, the systematic review will be a great aid in cutting down on the infection-related readmissions and enhancing patient outcomes within UK ​‍​‌‍​‍‌healthcare.</w:t>
      </w:r>
    </w:p>
    <w:bookmarkStart w:id="14" w:name="_Toc218894176"/>
    <w:bookmarkStart w:id="15" w:name="_Toc213678248"/>
    <w:p>
      <w:pPr>
        <w:pStyle w:val="style2"/>
        <w:rPr/>
      </w:pPr>
      <w:r>
        <w:t>1.4 Research question</w:t>
      </w:r>
      <w:bookmarkEnd w:id="14"/>
      <w:r>
        <w:t xml:space="preserve"> </w:t>
      </w:r>
      <w:bookmarkEnd w:id="15"/>
    </w:p>
    <w:p>
      <w:pPr>
        <w:pStyle w:val="style0"/>
        <w:spacing w:after="172" w:lineRule="auto" w:line="259"/>
        <w:rPr>
          <w:b/>
          <w:bCs/>
          <w:i/>
          <w:iCs/>
        </w:rPr>
      </w:pPr>
      <w:r>
        <w:t>The research question from this framework is: “</w:t>
      </w:r>
      <w:r>
        <w:rPr>
          <w:b/>
          <w:bCs/>
          <w:i/>
          <w:iCs/>
        </w:rPr>
        <w:t>How do microbial infections contribute to rehospitalisation rates of adults in the UK, and what are the implications for public health and social care services?”</w:t>
      </w:r>
    </w:p>
    <w:p>
      <w:pPr>
        <w:pStyle w:val="style0"/>
        <w:spacing w:after="172" w:lineRule="auto" w:line="259"/>
        <w:rPr/>
      </w:pPr>
    </w:p>
    <w:bookmarkStart w:id="16" w:name="_Toc213678247"/>
    <w:bookmarkStart w:id="17" w:name="_Toc218894177"/>
    <w:p>
      <w:pPr>
        <w:pStyle w:val="style2"/>
        <w:rPr/>
      </w:pPr>
      <w:r>
        <w:t>1.5 Research aim and objectives</w:t>
      </w:r>
      <w:bookmarkEnd w:id="16"/>
      <w:bookmarkEnd w:id="17"/>
      <w:r>
        <w:t xml:space="preserve"> </w:t>
      </w:r>
    </w:p>
    <w:p>
      <w:pPr>
        <w:pStyle w:val="style0"/>
        <w:spacing w:after="172" w:lineRule="auto" w:line="259"/>
        <w:rPr/>
      </w:pPr>
      <w:r>
        <w:t>This research aims to investigate impact of microbial infections on rehospitalization rates of adults in UK and to explore the broader implications for public health and social care services.</w:t>
      </w:r>
    </w:p>
    <w:p>
      <w:pPr>
        <w:pStyle w:val="style0"/>
        <w:spacing w:after="172" w:lineRule="auto" w:line="259"/>
        <w:rPr/>
      </w:pPr>
      <w:r>
        <w:t xml:space="preserve">Objectives are as follows: </w:t>
      </w:r>
    </w:p>
    <w:p>
      <w:pPr>
        <w:pStyle w:val="style0"/>
        <w:numPr>
          <w:ilvl w:val="0"/>
          <w:numId w:val="1"/>
        </w:numPr>
        <w:spacing w:after="172" w:lineRule="auto" w:line="259"/>
        <w:rPr/>
      </w:pPr>
      <w:r>
        <w:t>To examine the prevalence and types of microbial infections contributing to rehospitalisation in the UK.</w:t>
      </w:r>
    </w:p>
    <w:p>
      <w:pPr>
        <w:pStyle w:val="style0"/>
        <w:numPr>
          <w:ilvl w:val="0"/>
          <w:numId w:val="1"/>
        </w:numPr>
        <w:spacing w:after="172" w:lineRule="auto" w:line="259"/>
        <w:rPr/>
      </w:pPr>
      <w:r>
        <w:t>To assess the public health challenges associated with infection-related rehospitalisation, including infection control and antimicrobial resistance.</w:t>
      </w:r>
    </w:p>
    <w:p>
      <w:pPr>
        <w:pStyle w:val="style0"/>
        <w:numPr>
          <w:ilvl w:val="0"/>
          <w:numId w:val="1"/>
        </w:numPr>
        <w:spacing w:after="172" w:lineRule="auto" w:line="259"/>
        <w:rPr/>
      </w:pPr>
      <w:r>
        <w:t xml:space="preserve">To explore the implications of frequent rehospitalisation due to infections on adult social care services and resource planning.  </w:t>
      </w:r>
    </w:p>
    <w:p>
      <w:pPr>
        <w:pStyle w:val="style0"/>
        <w:numPr>
          <w:ilvl w:val="0"/>
          <w:numId w:val="1"/>
        </w:numPr>
        <w:spacing w:after="172" w:lineRule="auto" w:line="259"/>
        <w:rPr/>
      </w:pPr>
      <w:r>
        <w:t>To provide recommendations for reducing rate of rehospitalisation due to microbial infection for betterment of public health and social care.</w:t>
      </w:r>
    </w:p>
    <w:bookmarkStart w:id="18" w:name="_Toc218894178"/>
    <w:bookmarkStart w:id="19" w:name="_Toc213678249"/>
    <w:p>
      <w:pPr>
        <w:pStyle w:val="style2"/>
        <w:rPr/>
      </w:pPr>
      <w:r>
        <w:t>1.6 Literature based background</w:t>
      </w:r>
      <w:bookmarkEnd w:id="18"/>
      <w:r>
        <w:t xml:space="preserve"> </w:t>
      </w:r>
      <w:bookmarkEnd w:id="19"/>
    </w:p>
    <w:p>
      <w:pPr>
        <w:pStyle w:val="style0"/>
        <w:spacing w:after="172" w:lineRule="auto" w:line="259"/>
        <w:rPr/>
      </w:pPr>
      <w:r>
        <w:t>Rehospitalisation​‍​‌‍​‍‌ is a term that describes a patient being admitted to the hospital again within a short period of time after discharge, usually within 30 days (</w:t>
      </w:r>
      <w:r>
        <w:t>Suksatan</w:t>
      </w:r>
      <w:r>
        <w:t xml:space="preserve">, and </w:t>
      </w:r>
      <w:r>
        <w:t>Tankumpuan</w:t>
      </w:r>
      <w:r>
        <w:t xml:space="preserve">, 2022). It is a measure that reflects hospital performance and quality of care provided. Hospital readmission rates in UK are major concerning factor now-a-days because it is deteriorating for the NHS. Around 15% of adult patients’ readmission is at the 30-day level after discharge (Coppa </w:t>
      </w:r>
      <w:r>
        <w:rPr>
          <w:i/>
          <w:iCs/>
        </w:rPr>
        <w:t xml:space="preserve">et al. </w:t>
      </w:r>
      <w:r>
        <w:t>2021). These readmissions are the cause of healthcare costs that are rising and contribute to hospital capacity becoming stretched.</w:t>
      </w:r>
    </w:p>
    <w:p>
      <w:pPr>
        <w:pStyle w:val="style0"/>
        <w:spacing w:after="172" w:lineRule="auto" w:line="259"/>
        <w:rPr/>
      </w:pPr>
      <w:r>
        <w:t xml:space="preserve">Respiratory diseases such as heart failure, diabetes, and chronic respiratory illness are the most common causes of rehospitalisation (Lan </w:t>
      </w:r>
      <w:r>
        <w:rPr>
          <w:i/>
          <w:iCs/>
        </w:rPr>
        <w:t xml:space="preserve">et al. </w:t>
      </w:r>
      <w:r>
        <w:t xml:space="preserve">2021). The poor discharge planning has been found to be a contributing factor in terms of surgical complications (Hui-Wen </w:t>
      </w:r>
      <w:r>
        <w:rPr>
          <w:i/>
          <w:iCs/>
        </w:rPr>
        <w:t xml:space="preserve">et al. </w:t>
      </w:r>
      <w:r>
        <w:t xml:space="preserve">2023). However, microbial infections are the leading causes that can be prevented. The predominant causes of post-discharge complications and readmission are healthcare-associated infections, including MRSA, </w:t>
      </w:r>
      <w:r>
        <w:rPr>
          <w:i/>
          <w:iCs/>
        </w:rPr>
        <w:t>Clostridioides difficile</w:t>
      </w:r>
      <w:r>
        <w:t xml:space="preserve">, and urinary tract infections (Cristina </w:t>
      </w:r>
      <w:r>
        <w:rPr>
          <w:i/>
          <w:iCs/>
        </w:rPr>
        <w:t xml:space="preserve">et al. </w:t>
      </w:r>
      <w:r>
        <w:t>2021). These infections show that there are still issues and limitations in management of infection prevention program and lack of support for patients after discharge from hospital to community services in ​‍​‌‍​‍‌UK.</w:t>
      </w:r>
    </w:p>
    <w:p>
      <w:pPr>
        <w:pStyle w:val="style0"/>
        <w:spacing w:after="172" w:lineRule="auto" w:line="259"/>
        <w:rPr/>
      </w:pPr>
      <w:r>
        <w:t>Hospital readmissions due to microbial infections are one of the risks factors of adults in UK. The most common ones are hospital-acquired infections (HAIs), surgical site infections (UTIs), pneumonia, and bloodstream infections (</w:t>
      </w:r>
      <w:r>
        <w:t>Boncea</w:t>
      </w:r>
      <w:r>
        <w:t xml:space="preserve"> </w:t>
      </w:r>
      <w:r>
        <w:rPr>
          <w:i/>
          <w:iCs/>
        </w:rPr>
        <w:t xml:space="preserve">et al. </w:t>
      </w:r>
      <w:r>
        <w:t xml:space="preserve">2021). Such infections may originate during the hospital stay or the period immediately after discharge, thus, they notably increase the risks of complications and further admissions. According to the UK </w:t>
      </w:r>
      <w:r>
        <w:t xml:space="preserve">Health Security Agency (2023), more than 7.6% of hospitalised patients acquire an HAI, and a significant number of these patients tends to readmission in hospitals within 30-days (Gov.uk, 2025b). </w:t>
      </w:r>
    </w:p>
    <w:p>
      <w:pPr>
        <w:pStyle w:val="style0"/>
        <w:spacing w:after="172" w:lineRule="auto" w:line="259"/>
        <w:rPr/>
      </w:pPr>
      <w:r>
        <w:t xml:space="preserve">Research both in the UK and worldwide indicate that the healthcare systems are under great pressure due to infection-related readmissions (Farooq </w:t>
      </w:r>
      <w:r>
        <w:rPr>
          <w:i/>
          <w:iCs/>
        </w:rPr>
        <w:t xml:space="preserve">et al. </w:t>
      </w:r>
      <w:r>
        <w:t xml:space="preserve">2024). Indicatively, patients with MRSA or </w:t>
      </w:r>
      <w:r>
        <w:rPr>
          <w:i/>
          <w:iCs/>
        </w:rPr>
        <w:t>Clostridioides difficile</w:t>
      </w:r>
      <w:r>
        <w:t xml:space="preserve"> infection are prone to readmissions and death in comparison with uninfected patients (Eubank </w:t>
      </w:r>
      <w:r>
        <w:rPr>
          <w:i/>
          <w:iCs/>
        </w:rPr>
        <w:t xml:space="preserve">et al. </w:t>
      </w:r>
      <w:r>
        <w:t>2024). The primary causes are use of antibiotic therapy that has not been conducted properly, lack of infection control behaviour and insufficient follow up of the patients after discharge.</w:t>
      </w:r>
    </w:p>
    <w:p>
      <w:pPr>
        <w:pStyle w:val="style0"/>
        <w:spacing w:after="172" w:lineRule="auto" w:line="259"/>
        <w:rPr/>
      </w:pPr>
      <w:r>
        <w:t xml:space="preserve">Additionally, antimicrobial resistance (AMR) makes these infections the worst in terms of treatment (Tang </w:t>
      </w:r>
      <w:r>
        <w:rPr>
          <w:i/>
          <w:iCs/>
        </w:rPr>
        <w:t xml:space="preserve">et al. </w:t>
      </w:r>
      <w:r>
        <w:t>2023). The outcome is increased hospitalization and reoccurrence of the disease. In England, there are approximately 66,730 cases registered as antibiotic resistant infections in 2023 (Gov.uk, 2024). This information is contributing healthcare system that microbial infections are a burden on clinical practice, population and hospital management; thereby, requiring the strengthening of infection prevention, antibiotic stewardship, and better discharge planning.</w:t>
      </w:r>
    </w:p>
    <w:bookmarkStart w:id="20" w:name="_Toc213678252"/>
    <w:bookmarkStart w:id="21" w:name="_Toc218894179"/>
    <w:p>
      <w:pPr>
        <w:pStyle w:val="style3"/>
        <w:rPr/>
      </w:pPr>
      <w:r>
        <w:t>1.6.1 Implications for public health and social care</w:t>
      </w:r>
      <w:bookmarkEnd w:id="20"/>
      <w:bookmarkEnd w:id="21"/>
    </w:p>
    <w:p>
      <w:pPr>
        <w:pStyle w:val="style0"/>
        <w:spacing w:after="172" w:lineRule="auto" w:line="259"/>
        <w:rPr/>
      </w:pPr>
      <w:r>
        <w:t xml:space="preserve">Infection is one of the main burdens on UK social care and health care systems. The infection control, surveillance, and antibiotic stewardship are also important measures of public health to avoid hospital readmission. According to reports by the UK Health Security Agency (2025), it still monitors the infections such as MRSA, MSSA, </w:t>
      </w:r>
      <w:r>
        <w:rPr>
          <w:i/>
          <w:iCs/>
        </w:rPr>
        <w:t>E. coli</w:t>
      </w:r>
      <w:r>
        <w:t xml:space="preserve">, and </w:t>
      </w:r>
      <w:r>
        <w:rPr>
          <w:i/>
          <w:iCs/>
        </w:rPr>
        <w:t>Clostridioides difficile</w:t>
      </w:r>
      <w:r>
        <w:t xml:space="preserve"> that have made it difficult to control the outbreaks and put up preventive measures among the hospitals (Gov.uk, 2025b). The chain of transmission at the hospital can be effectively broken to reduce the risk of patients’ readmission due to infection relapse (</w:t>
      </w:r>
      <w:r>
        <w:rPr>
          <w:color w:val="36363d"/>
        </w:rPr>
        <w:t xml:space="preserve">Babich </w:t>
      </w:r>
      <w:r>
        <w:rPr>
          <w:i/>
          <w:iCs/>
          <w:color w:val="36363d"/>
        </w:rPr>
        <w:t xml:space="preserve">et al. </w:t>
      </w:r>
      <w:r>
        <w:rPr>
          <w:color w:val="36363d"/>
        </w:rPr>
        <w:t>2021</w:t>
      </w:r>
      <w:r>
        <w:t>).</w:t>
      </w:r>
    </w:p>
    <w:p>
      <w:pPr>
        <w:pStyle w:val="style0"/>
        <w:spacing w:after="172" w:lineRule="auto" w:line="259"/>
        <w:rPr/>
      </w:pPr>
      <w:r>
        <w:t xml:space="preserve">The stewardship of antibiotics and patient education cannot be neglected. A large portion of the readmissions caused by patients because they have not been given a full course of antibiotics and they and their family are provided with inadequate information on how to control infections post-hospitalization. Giving the patients and family members information about hygiene, wound care, and medication adherence is helpful in preventing complications and towards a faster recovery (Alanazi </w:t>
      </w:r>
      <w:r>
        <w:rPr>
          <w:i/>
          <w:iCs/>
        </w:rPr>
        <w:t xml:space="preserve">et al. </w:t>
      </w:r>
      <w:r>
        <w:t>2024).</w:t>
      </w:r>
    </w:p>
    <w:p>
      <w:pPr>
        <w:pStyle w:val="style0"/>
        <w:spacing w:after="172" w:lineRule="auto" w:line="259"/>
        <w:rPr/>
      </w:pPr>
      <w:r>
        <w:t xml:space="preserve">Social care sector has realized that carers, support workers and community nursing and discharge follow-ups play a critical role in preventing hospitalization of patients (Alkhateeb </w:t>
      </w:r>
      <w:r>
        <w:rPr>
          <w:i/>
          <w:iCs/>
        </w:rPr>
        <w:t xml:space="preserve">et al. </w:t>
      </w:r>
      <w:r>
        <w:t>2025). Studies carried out in UK reveal that intensive liaison between hospitals and community interventions such as virtual wards and home-based monitoring of infections have the potential to reduce readmissions because of infections (</w:t>
      </w:r>
      <w:r>
        <w:rPr>
          <w:color w:val="36363d"/>
        </w:rPr>
        <w:t xml:space="preserve">Shi </w:t>
      </w:r>
      <w:r>
        <w:rPr>
          <w:i/>
          <w:iCs/>
          <w:color w:val="36363d"/>
        </w:rPr>
        <w:t xml:space="preserve">et al. </w:t>
      </w:r>
      <w:r>
        <w:rPr>
          <w:color w:val="36363d"/>
        </w:rPr>
        <w:t>2024</w:t>
      </w:r>
      <w:r>
        <w:t>). Integrated care pathways open opportunities of early symptom identification, timely intervention, and reduced hospital services. Thus, interoperability among health and social care structures is the solution to ensure improved recovery and reduce costs and improve patient long-term results.</w:t>
      </w:r>
    </w:p>
    <w:p>
      <w:pPr>
        <w:pStyle w:val="style0"/>
        <w:spacing w:after="172" w:lineRule="auto" w:line="259"/>
        <w:rPr/>
      </w:pPr>
      <w:r>
        <w:t>There are limited systematic reviews that concentrate on microbial infection and rehospitalisation among UK adults. Most of the studies have been conducted on different types of infections or hospital outcomes, without establishing a connection between them and social care or policy contexts (</w:t>
      </w:r>
      <w:r>
        <w:t>Bensken</w:t>
      </w:r>
      <w:r>
        <w:t xml:space="preserve"> </w:t>
      </w:r>
      <w:r>
        <w:rPr>
          <w:i/>
          <w:iCs/>
        </w:rPr>
        <w:t xml:space="preserve">et al. </w:t>
      </w:r>
      <w:r>
        <w:t xml:space="preserve">2021). The research seldom considers the combined effect of clinical, social, and systemic factors on patient readmissions. Hence, the demand for a healthcare policy-oriented evidence-based synthesis, which would be </w:t>
      </w:r>
      <w:r>
        <w:t>instrumental in infection prevention, as well as in patient management after discharge, throughout the UK, is quite ​‍​‌‍​‍‌evident.</w:t>
      </w:r>
    </w:p>
    <w:bookmarkStart w:id="22" w:name="_Toc218894180"/>
    <w:p>
      <w:pPr>
        <w:pStyle w:val="style2"/>
        <w:rPr/>
      </w:pPr>
      <w:r>
        <w:t>1.7 Dissertation Structure</w:t>
      </w:r>
      <w:bookmarkEnd w:id="22"/>
      <w:r>
        <w:t xml:space="preserve"> </w:t>
      </w:r>
    </w:p>
    <w:p>
      <w:pPr>
        <w:pStyle w:val="style0"/>
        <w:spacing w:after="172" w:lineRule="auto" w:line="259"/>
        <w:rPr>
          <w:color w:val="36363d"/>
          <w:highlight w:val="none"/>
        </w:rPr>
      </w:pPr>
      <w:r>
        <w:rPr>
          <w:color w:val="36363d"/>
          <w:highlight w:val="none"/>
        </w:rPr>
        <w:t>This​‍​‌‍​‍‌ dissertation is organized to back up a systematic review of literature on microbial infections and infection-related hospital readmissions in the UK healthcare system.</w:t>
      </w:r>
    </w:p>
    <w:p>
      <w:pPr>
        <w:pStyle w:val="style179"/>
        <w:numPr>
          <w:ilvl w:val="0"/>
          <w:numId w:val="11"/>
        </w:numPr>
        <w:spacing w:after="172" w:lineRule="auto" w:line="259"/>
        <w:rPr>
          <w:color w:val="36363d"/>
          <w:highlight w:val="none"/>
        </w:rPr>
      </w:pPr>
      <w:r>
        <w:rPr>
          <w:color w:val="36363d"/>
          <w:highlight w:val="none"/>
        </w:rPr>
        <w:t>Chapter 1 describes the research background, problem area, research aims, and objectives.</w:t>
      </w:r>
    </w:p>
    <w:p>
      <w:pPr>
        <w:pStyle w:val="style179"/>
        <w:numPr>
          <w:ilvl w:val="0"/>
          <w:numId w:val="11"/>
        </w:numPr>
        <w:spacing w:after="172" w:lineRule="auto" w:line="259"/>
        <w:rPr>
          <w:color w:val="36363d"/>
          <w:highlight w:val="none"/>
        </w:rPr>
      </w:pPr>
      <w:r>
        <w:rPr>
          <w:color w:val="36363d"/>
          <w:highlight w:val="none"/>
        </w:rPr>
        <w:t>Chapter 2 contains a critical review of the existing literature concerning microbial infections, readmissions, antimicrobial resistance, and health and social care pathways.</w:t>
      </w:r>
    </w:p>
    <w:p>
      <w:pPr>
        <w:pStyle w:val="style179"/>
        <w:numPr>
          <w:ilvl w:val="0"/>
          <w:numId w:val="11"/>
        </w:numPr>
        <w:spacing w:after="172" w:lineRule="auto" w:line="259"/>
        <w:rPr>
          <w:color w:val="36363d"/>
          <w:highlight w:val="none"/>
        </w:rPr>
      </w:pPr>
      <w:r>
        <w:rPr>
          <w:color w:val="36363d"/>
          <w:highlight w:val="none"/>
        </w:rPr>
        <w:t>Chapter 3 describes the systematic review methods, such as search strategy, inclusion criteria, and PRISMA method.</w:t>
      </w:r>
    </w:p>
    <w:p>
      <w:pPr>
        <w:pStyle w:val="style179"/>
        <w:numPr>
          <w:ilvl w:val="0"/>
          <w:numId w:val="11"/>
        </w:numPr>
        <w:spacing w:after="172" w:lineRule="auto" w:line="259"/>
        <w:rPr>
          <w:color w:val="36363d"/>
          <w:highlight w:val="none"/>
        </w:rPr>
      </w:pPr>
      <w:r>
        <w:rPr>
          <w:color w:val="36363d"/>
          <w:highlight w:val="none"/>
        </w:rPr>
        <w:t>Chapter 4 presents the review results.</w:t>
      </w:r>
    </w:p>
    <w:p>
      <w:pPr>
        <w:pStyle w:val="style179"/>
        <w:numPr>
          <w:ilvl w:val="0"/>
          <w:numId w:val="11"/>
        </w:numPr>
        <w:spacing w:after="172" w:lineRule="auto" w:line="259"/>
        <w:rPr>
          <w:color w:val="36363d"/>
          <w:highlight w:val="none"/>
        </w:rPr>
      </w:pPr>
      <w:r>
        <w:rPr>
          <w:color w:val="36363d"/>
          <w:highlight w:val="none"/>
        </w:rPr>
        <w:t>Policy and practice implications are discussed in chapter 5, which is followed by the summary and ​‍​‌‍​‍‌recommendations.</w:t>
      </w:r>
    </w:p>
    <w:p>
      <w:pPr>
        <w:pStyle w:val="style0"/>
        <w:spacing w:after="172" w:lineRule="auto" w:line="259"/>
        <w:rPr/>
      </w:pPr>
    </w:p>
    <w:bookmarkStart w:id="23" w:name="_Toc214575506"/>
    <w:p>
      <w:pPr>
        <w:pStyle w:val="style0"/>
        <w:spacing w:lineRule="auto" w:line="259"/>
        <w:rPr>
          <w:rFonts w:cs="Times New Roman" w:eastAsia="Times New Roman"/>
          <w:b/>
          <w:sz w:val="24"/>
        </w:rPr>
      </w:pPr>
      <w:r>
        <w:br w:type="page"/>
      </w:r>
    </w:p>
    <w:bookmarkStart w:id="24" w:name="_Toc218894181"/>
    <w:p>
      <w:pPr>
        <w:pStyle w:val="style1"/>
        <w:rPr/>
      </w:pPr>
      <w:r>
        <w:t>Chapter 2: Literature review/theoretical framework</w:t>
      </w:r>
      <w:bookmarkEnd w:id="23"/>
      <w:bookmarkEnd w:id="24"/>
      <w:r>
        <w:t xml:space="preserve"> </w:t>
      </w:r>
    </w:p>
    <w:bookmarkStart w:id="25" w:name="_Toc218894182"/>
    <w:p>
      <w:pPr>
        <w:pStyle w:val="style2"/>
        <w:rPr/>
      </w:pPr>
      <w:r>
        <w:t>2.1 Introduction</w:t>
      </w:r>
      <w:bookmarkEnd w:id="25"/>
      <w:r>
        <w:t xml:space="preserve"> </w:t>
      </w:r>
    </w:p>
    <w:p>
      <w:pPr>
        <w:pStyle w:val="style0"/>
        <w:rPr/>
      </w:pPr>
      <w:r>
        <w:t>The​‍​‌‍​‍‌ literature review clarifies the past researches that say microbial infections are the main cause of rehospitalisation. It figures out the already known, the weak points and the gaps to validate this study.</w:t>
      </w:r>
      <w:r>
        <w:t xml:space="preserve"> </w:t>
      </w:r>
      <w:r>
        <w:rPr>
          <w:color w:val="ee0000"/>
        </w:rPr>
        <w:t>In this chapter, initially key concepts are discussed</w:t>
      </w:r>
      <w:r>
        <w:rPr>
          <w:color w:val="ee0000"/>
        </w:rPr>
        <w:t xml:space="preserve">. </w:t>
      </w:r>
      <w:r>
        <w:t xml:space="preserve">Concentrating on the UK is significant, as infection-caused readmissions put a heavy load on the NHS and make public health planning difficult. The review focuses on adults since they are more likely to get the infection again. Besides, it </w:t>
      </w:r>
      <w:r>
        <w:t xml:space="preserve">discusses </w:t>
      </w:r>
      <w:r>
        <w:t>the</w:t>
      </w:r>
      <w:r>
        <w:t xml:space="preserve"> importance of social care, as the lack of support during the discharge period is the most frequent reason for hospital returns that can be easily ​‍​‌‍​‍‌avoided.</w:t>
      </w:r>
    </w:p>
    <w:p>
      <w:pPr>
        <w:pStyle w:val="style0"/>
        <w:rPr>
          <w:b/>
          <w:bCs/>
        </w:rPr>
      </w:pPr>
    </w:p>
    <w:bookmarkStart w:id="26" w:name="_Toc218894183"/>
    <w:p>
      <w:pPr>
        <w:pStyle w:val="style2"/>
        <w:rPr/>
      </w:pPr>
      <w:r>
        <w:t>2.2 Conceptual and theoretical foundations</w:t>
      </w:r>
      <w:bookmarkEnd w:id="26"/>
    </w:p>
    <w:bookmarkStart w:id="27" w:name="_Toc218894184"/>
    <w:p>
      <w:pPr>
        <w:pStyle w:val="style3"/>
        <w:rPr/>
      </w:pPr>
      <w:r>
        <w:t>2.2.1 Definition</w:t>
      </w:r>
      <w:r>
        <w:t>s</w:t>
      </w:r>
      <w:r>
        <w:t xml:space="preserve"> of key concepts</w:t>
      </w:r>
      <w:bookmarkEnd w:id="27"/>
      <w:r>
        <w:t xml:space="preserve"> </w:t>
      </w:r>
    </w:p>
    <w:p>
      <w:pPr>
        <w:pStyle w:val="style0"/>
        <w:rPr/>
      </w:pPr>
      <w:r>
        <w:rPr>
          <w:lang w:val="en-IN"/>
        </w:rPr>
        <w:t>Given the focus of this dissertation it is important to highlight some key definitions to align understanding of the key concepts used. First,</w:t>
      </w:r>
      <w:r>
        <w:rPr>
          <w:b/>
          <w:bCs/>
          <w:i/>
          <w:iCs/>
          <w:u w:val="single"/>
          <w:lang w:val="en-IN"/>
        </w:rPr>
        <w:t> </w:t>
      </w:r>
      <w:r>
        <w:rPr>
          <w:b/>
          <w:bCs/>
          <w:i/>
          <w:iCs/>
        </w:rPr>
        <w:t xml:space="preserve"> </w:t>
      </w:r>
      <w:r>
        <w:rPr>
          <w:b/>
          <w:bCs/>
          <w:i/>
          <w:iCs/>
        </w:rPr>
        <w:t>Microbial infections</w:t>
      </w:r>
      <w:r>
        <w:t xml:space="preserve"> are those conditions that are caused by bacteria, fungus, or viruses and are most prevalent in hospitals (</w:t>
      </w:r>
      <w:r>
        <w:rPr>
          <w:noProof/>
        </w:rPr>
        <w:t>Aljamali</w:t>
      </w:r>
      <w:r>
        <w:rPr>
          <w:noProof/>
        </w:rPr>
        <w:t xml:space="preserve"> </w:t>
      </w:r>
      <w:r>
        <w:rPr>
          <w:i/>
          <w:iCs/>
          <w:noProof/>
        </w:rPr>
        <w:t xml:space="preserve">et al. </w:t>
      </w:r>
      <w:r>
        <w:rPr>
          <w:noProof/>
        </w:rPr>
        <w:t>2021</w:t>
      </w:r>
      <w:r>
        <w:t>). The study targets the following major infections; MRSA, Clostridioides difficile, E. coli, MSSA, and urinary tract infections (UTIs). They are commonly known as healthcare-associated infections (HCAIs), where they happen during the hospital stay or soon after discharge. These infections increase the likelihood of complications and might lead to further hospital visits.</w:t>
      </w:r>
      <w:r>
        <w:t xml:space="preserve"> </w:t>
      </w:r>
      <w:r>
        <w:rPr>
          <w:b/>
          <w:bCs/>
          <w:i/>
          <w:iCs/>
        </w:rPr>
        <w:t xml:space="preserve">Rehospitalisation </w:t>
      </w:r>
      <w:r>
        <w:t>frequently referred to as readmission in 30 days of discharge is an indicator of the quality of care (</w:t>
      </w:r>
      <w:r>
        <w:rPr>
          <w:noProof/>
        </w:rPr>
        <w:t xml:space="preserve">Perera </w:t>
      </w:r>
      <w:r>
        <w:rPr>
          <w:i/>
          <w:iCs/>
          <w:noProof/>
        </w:rPr>
        <w:t xml:space="preserve">et al. </w:t>
      </w:r>
      <w:r>
        <w:rPr>
          <w:noProof/>
        </w:rPr>
        <w:t>2022</w:t>
      </w:r>
      <w:r>
        <w:t>). The 30-day readmission rate in case it is high suggests the lack of planning discharges or follow-ups. Most infection-related readmissions are thus, pointing out the failure of infection control and patient management, which is a deterrent to the occurrence of such situations.</w:t>
      </w:r>
      <w:r>
        <w:t xml:space="preserve"> </w:t>
      </w:r>
    </w:p>
    <w:p>
      <w:pPr>
        <w:pStyle w:val="style0"/>
        <w:rPr/>
      </w:pPr>
      <w:r>
        <w:rPr>
          <w:b/>
          <w:bCs/>
          <w:i/>
          <w:iCs/>
        </w:rPr>
        <w:t>Antimicrobial resistance (AMR)</w:t>
      </w:r>
      <w:r>
        <w:t xml:space="preserve"> is a situation where microorganisms, which were once sensitive to antibiotic treatments, become resistant (</w:t>
      </w:r>
      <w:r>
        <w:rPr>
          <w:noProof/>
        </w:rPr>
        <w:t xml:space="preserve">Tang </w:t>
      </w:r>
      <w:r>
        <w:rPr>
          <w:i/>
          <w:iCs/>
          <w:noProof/>
        </w:rPr>
        <w:t xml:space="preserve">et al. </w:t>
      </w:r>
      <w:r>
        <w:rPr>
          <w:noProof/>
        </w:rPr>
        <w:t>2023</w:t>
      </w:r>
      <w:r>
        <w:t>). As a result, it limits the options of therapies and increases the probability of infection recurrence, prolongation of the hospital stays, and rehospitalisation.</w:t>
      </w:r>
      <w:r>
        <w:t xml:space="preserve"> </w:t>
      </w:r>
      <w:r>
        <w:rPr>
          <w:b/>
          <w:bCs/>
          <w:i/>
          <w:iCs/>
        </w:rPr>
        <w:t>Public health and social care integration</w:t>
      </w:r>
      <w:r>
        <w:t xml:space="preserve"> is about collaboration between hospitals, community care teams, and patient-support services, thus, ensures that patients get the care that they need after discharge (</w:t>
      </w:r>
      <w:r>
        <w:rPr>
          <w:noProof/>
        </w:rPr>
        <w:t xml:space="preserve">Alkhateeb </w:t>
      </w:r>
      <w:r>
        <w:rPr>
          <w:i/>
          <w:iCs/>
          <w:noProof/>
        </w:rPr>
        <w:t xml:space="preserve">et al. </w:t>
      </w:r>
      <w:r>
        <w:rPr>
          <w:noProof/>
        </w:rPr>
        <w:t>2025</w:t>
      </w:r>
      <w:r>
        <w:t>). Among the negative consequences of weak integration are poor monitoring, delayed intervention, and repeat admissions.</w:t>
      </w:r>
      <w:r>
        <w:t xml:space="preserve"> </w:t>
      </w:r>
      <w:r>
        <w:rPr>
          <w:b/>
          <w:bCs/>
          <w:i/>
          <w:iCs/>
        </w:rPr>
        <w:t>Infection prevention and control (IPC)</w:t>
      </w:r>
      <w:r>
        <w:t xml:space="preserve"> refer to measures that are taken in healthcare institutions to prevent the spread of pathogens (</w:t>
      </w:r>
      <w:r>
        <w:rPr>
          <w:noProof/>
        </w:rPr>
        <w:t xml:space="preserve">Tomczyk </w:t>
      </w:r>
      <w:r>
        <w:rPr>
          <w:i/>
          <w:iCs/>
          <w:noProof/>
        </w:rPr>
        <w:t xml:space="preserve">et al. </w:t>
      </w:r>
      <w:r>
        <w:rPr>
          <w:noProof/>
        </w:rPr>
        <w:t>2022</w:t>
      </w:r>
      <w:r>
        <w:t>). To this end, these are some of the measures which can be taken: hygiene practices, antibiotic stewardship, surveillance, and patient education. Inadequate IPC structures result in the possibility of readmission due to infection that has not been brought under ​‍​‌‍​‍‌control.</w:t>
      </w:r>
    </w:p>
    <w:p>
      <w:pPr>
        <w:pStyle w:val="style0"/>
        <w:rPr/>
      </w:pPr>
    </w:p>
    <w:bookmarkStart w:id="28" w:name="_Toc218894185"/>
    <w:p>
      <w:pPr>
        <w:pStyle w:val="style2"/>
        <w:rPr/>
      </w:pPr>
      <w:r>
        <w:t>2.3 Global overview of microbial infections and rehospitalisation</w:t>
      </w:r>
      <w:bookmarkEnd w:id="28"/>
      <w:r>
        <w:t xml:space="preserve"> </w:t>
      </w:r>
    </w:p>
    <w:p>
      <w:pPr>
        <w:pStyle w:val="style0"/>
        <w:rPr/>
      </w:pPr>
      <w:r>
        <w:t>Microbial​‍​‌‍​‍‌ infections are among the top causes of rehospitalization that can be avoided through proper measures. Reports from developed countries show an increase in hospital-acquired infections that are mainly drug-resistant bacteria-related (</w:t>
      </w:r>
      <w:r>
        <w:rPr>
          <w:noProof/>
        </w:rPr>
        <w:t>Boutzoukas</w:t>
      </w:r>
      <w:r>
        <w:rPr>
          <w:noProof/>
        </w:rPr>
        <w:t>, and Doi, 2025</w:t>
      </w:r>
      <w:r>
        <w:t xml:space="preserve">). A lot of research points to insufficient infection prevention and improper discharge planning as main causes of patients' early readmissions. According to the World Health Organization, a great portion of healthcare-associated infections results from the lack of </w:t>
      </w:r>
      <w:r>
        <w:t>hygiene, incorrect antibiotic use, and delayed follow-up (</w:t>
      </w:r>
      <w:r>
        <w:rPr>
          <w:noProof/>
        </w:rPr>
        <w:t>Who.int, 2023</w:t>
      </w:r>
      <w:r>
        <w:t>). Hospitals with high readmission rates suffer great pressure and are at risk of losing the trust of their patients.</w:t>
      </w:r>
    </w:p>
    <w:p>
      <w:pPr>
        <w:pStyle w:val="style0"/>
        <w:rPr/>
      </w:pPr>
      <w:r>
        <w:t>Across European continent, the presence of such factors as well-organized health care systems, cooperative conditions and stringent IPC regulations provide opportunities for success in the battle against infectious diseases (</w:t>
      </w:r>
      <w:r>
        <w:rPr>
          <w:noProof/>
        </w:rPr>
        <w:t>Codda</w:t>
      </w:r>
      <w:r>
        <w:rPr>
          <w:noProof/>
        </w:rPr>
        <w:t>, 2024</w:t>
      </w:r>
      <w:r>
        <w:t>). For example, Scandinavian countries have already implemented protocols of long-term antibiotic monitoring and patient-led home care (</w:t>
      </w:r>
      <w:r>
        <w:rPr>
          <w:noProof/>
        </w:rPr>
        <w:t xml:space="preserve">Liu </w:t>
      </w:r>
      <w:r>
        <w:rPr>
          <w:i/>
          <w:iCs/>
          <w:noProof/>
        </w:rPr>
        <w:t xml:space="preserve">et al. </w:t>
      </w:r>
      <w:r>
        <w:rPr>
          <w:noProof/>
        </w:rPr>
        <w:t>2022</w:t>
      </w:r>
      <w:r>
        <w:t>). Australia has taken significant steps towards better infection monitoring after the patient's discharge, especially in case of surgical patients (</w:t>
      </w:r>
      <w:r>
        <w:rPr>
          <w:noProof/>
        </w:rPr>
        <w:t xml:space="preserve">Calderwood </w:t>
      </w:r>
      <w:r>
        <w:rPr>
          <w:i/>
          <w:iCs/>
          <w:noProof/>
        </w:rPr>
        <w:t xml:space="preserve">et al. </w:t>
      </w:r>
      <w:r>
        <w:rPr>
          <w:noProof/>
        </w:rPr>
        <w:t>2023</w:t>
      </w:r>
      <w:r>
        <w:t>). Local studies indicate that the outcomes are worse in the rural areas where the residents have limited access to the follow-up care.</w:t>
      </w:r>
    </w:p>
    <w:p>
      <w:pPr>
        <w:pStyle w:val="style0"/>
        <w:rPr/>
      </w:pPr>
      <w:r>
        <w:t>The international models demonstrate that discharge planning, patient education, and digital monitoring systems lead to better results. Models which rely heavily on implementation of strong patient engagement, community nursing, and antimicrobial stewardship incorporate the most significant challenges of UK. In general, global research proves that infection-related rehospitalisation is among those interventions that can be avoided if there are rigorous IPC practices, well-planned discharge protocols, and continuous follow-up. The government of the United Kingdom can benefit from the lessons of foreign countries; however, it must adapt them to the local healthcare structures since they are different. This report emphasises the need for integrated care and advanced infection management measures after hospital ​‍​‌‍​‍‌discharge.</w:t>
      </w:r>
    </w:p>
    <w:p>
      <w:pPr>
        <w:pStyle w:val="style0"/>
        <w:rPr/>
      </w:pPr>
    </w:p>
    <w:bookmarkStart w:id="29" w:name="_Toc218894186"/>
    <w:p>
      <w:pPr>
        <w:pStyle w:val="style2"/>
        <w:rPr/>
      </w:pPr>
      <w:r>
        <w:t>2.4 UK</w:t>
      </w:r>
      <w:r>
        <w:t xml:space="preserve"> overview</w:t>
      </w:r>
      <w:r>
        <w:t xml:space="preserve"> </w:t>
      </w:r>
      <w:r>
        <w:t>on microbial infection and rehospitalisation</w:t>
      </w:r>
      <w:bookmarkEnd w:id="29"/>
      <w:r>
        <w:t xml:space="preserve"> </w:t>
      </w:r>
    </w:p>
    <w:bookmarkStart w:id="30" w:name="_Toc218894187"/>
    <w:p>
      <w:pPr>
        <w:pStyle w:val="style3"/>
        <w:rPr/>
      </w:pPr>
      <w:r>
        <w:t>2.4.1 Prevalence and burden of infection-related readmission</w:t>
      </w:r>
      <w:bookmarkEnd w:id="30"/>
      <w:r>
        <w:t xml:space="preserve"> </w:t>
      </w:r>
    </w:p>
    <w:p>
      <w:pPr>
        <w:pStyle w:val="style0"/>
        <w:rPr/>
      </w:pPr>
      <w:r>
        <w:t>Healthcare-associated​‍​‌‍​‍‌ infections (HCAIs) in UK are a major source of concern and they are a significant contributor towards enhancement of rehospitalisation (</w:t>
      </w:r>
      <w:r>
        <w:rPr>
          <w:noProof/>
        </w:rPr>
        <w:t>Isigi</w:t>
      </w:r>
      <w:r>
        <w:rPr>
          <w:noProof/>
        </w:rPr>
        <w:t xml:space="preserve"> </w:t>
      </w:r>
      <w:r>
        <w:rPr>
          <w:i/>
          <w:iCs/>
          <w:noProof/>
        </w:rPr>
        <w:t xml:space="preserve">et al. </w:t>
      </w:r>
      <w:r>
        <w:rPr>
          <w:noProof/>
        </w:rPr>
        <w:t>2023</w:t>
      </w:r>
      <w:r>
        <w:t xml:space="preserve">). According to the recent reports, about 8 percent of patients in hospitals acquire infection such as MRSA, </w:t>
      </w:r>
      <w:r>
        <w:rPr>
          <w:i/>
          <w:iCs/>
        </w:rPr>
        <w:t>C. difficile</w:t>
      </w:r>
      <w:r>
        <w:t xml:space="preserve"> or </w:t>
      </w:r>
      <w:r>
        <w:rPr>
          <w:i/>
          <w:iCs/>
        </w:rPr>
        <w:t>E. coli</w:t>
      </w:r>
      <w:r>
        <w:t>. Many of them come back to hospital within 30 days because of the deterioration of their conditions. Insufficient infection control and bad antibiotic use are the factors that most probably will lead to the recurrence of the same problems.</w:t>
      </w:r>
    </w:p>
    <w:p>
      <w:pPr>
        <w:pStyle w:val="style0"/>
        <w:rPr/>
      </w:pPr>
      <w:r>
        <w:t>The impact of this situation on the NHS is very heavy as infection-related readmissions are the cause of hospital stays that are longer and bed availability that is less. The delayed discharges and extra treatment expenses that put pressure on the NHS budgets are what the reports have been saying (</w:t>
      </w:r>
      <w:r>
        <w:rPr>
          <w:noProof/>
        </w:rPr>
        <w:t>Freedman, and Wolf, 2023</w:t>
      </w:r>
      <w:r>
        <w:t>). The readmission rates due to infection are shown to be largely preventable by enhancing the discharge planning and community support. Such trends indicate that the predominant cause of the early rehospitalisation is still the microbial infection. This systematic review will analyse the evidence that is there to improve infection prevention and integrated care ​‍​‌‍​‍‌approaches.</w:t>
      </w:r>
    </w:p>
    <w:bookmarkStart w:id="31" w:name="_Toc218894188"/>
    <w:p>
      <w:pPr>
        <w:pStyle w:val="style3"/>
        <w:rPr/>
      </w:pPr>
      <w:r>
        <w:t>2.4.2 High-risk infection</w:t>
      </w:r>
      <w:r>
        <w:t xml:space="preserve"> and</w:t>
      </w:r>
      <w:r>
        <w:t xml:space="preserve"> </w:t>
      </w:r>
      <w:r>
        <w:t xml:space="preserve">clinical and post discharge </w:t>
      </w:r>
      <w:r>
        <w:t>pathways</w:t>
      </w:r>
      <w:bookmarkEnd w:id="31"/>
      <w:r>
        <w:t xml:space="preserve"> </w:t>
      </w:r>
    </w:p>
    <w:p>
      <w:pPr>
        <w:pStyle w:val="style0"/>
        <w:rPr/>
      </w:pPr>
      <w:r>
        <w:t xml:space="preserve">Microbial​‍​‌‍​‍‌ infections including MRSA, </w:t>
      </w:r>
      <w:r>
        <w:rPr>
          <w:i/>
          <w:iCs/>
        </w:rPr>
        <w:t>Clostridioides difficile</w:t>
      </w:r>
      <w:r>
        <w:t>, bloodstream infections, and urinary tract infections (UTIs) are the leading causes of rehospitalization of adults in the UK (</w:t>
      </w:r>
      <w:r>
        <w:rPr>
          <w:noProof/>
        </w:rPr>
        <w:t xml:space="preserve">Babich </w:t>
      </w:r>
      <w:r>
        <w:rPr>
          <w:i/>
          <w:iCs/>
          <w:noProof/>
        </w:rPr>
        <w:t xml:space="preserve">et al. </w:t>
      </w:r>
      <w:r>
        <w:rPr>
          <w:noProof/>
        </w:rPr>
        <w:t>2021</w:t>
      </w:r>
      <w:r>
        <w:t>). MRSA usually causes a longer recovery period and higher rates of recurrence since it is resistant to treatment (</w:t>
      </w:r>
      <w:r>
        <w:rPr>
          <w:noProof/>
        </w:rPr>
        <w:t xml:space="preserve">Brown </w:t>
      </w:r>
      <w:r>
        <w:rPr>
          <w:i/>
          <w:iCs/>
          <w:noProof/>
        </w:rPr>
        <w:t xml:space="preserve">et al. </w:t>
      </w:r>
      <w:r>
        <w:rPr>
          <w:noProof/>
        </w:rPr>
        <w:t>2021</w:t>
      </w:r>
      <w:r>
        <w:t>). Clostridioides difficile typically affects the elderly and immunocompromised patients and is thus, the most common reason for readmission within 30 days (</w:t>
      </w:r>
      <w:r>
        <w:rPr>
          <w:noProof/>
        </w:rPr>
        <w:t xml:space="preserve">Boone </w:t>
      </w:r>
      <w:r>
        <w:rPr>
          <w:i/>
          <w:iCs/>
          <w:noProof/>
        </w:rPr>
        <w:t xml:space="preserve">et al. </w:t>
      </w:r>
      <w:r>
        <w:rPr>
          <w:noProof/>
        </w:rPr>
        <w:t>2023</w:t>
      </w:r>
      <w:r>
        <w:t>). Blood infections are associated with high mortality risks and, therefore, require immediate hospital care (</w:t>
      </w:r>
      <w:r>
        <w:rPr>
          <w:noProof/>
        </w:rPr>
        <w:t>Verway</w:t>
      </w:r>
      <w:r>
        <w:rPr>
          <w:noProof/>
        </w:rPr>
        <w:t xml:space="preserve"> </w:t>
      </w:r>
      <w:r>
        <w:rPr>
          <w:i/>
          <w:iCs/>
          <w:noProof/>
        </w:rPr>
        <w:t xml:space="preserve">et al. </w:t>
      </w:r>
      <w:r>
        <w:rPr>
          <w:noProof/>
        </w:rPr>
        <w:t>2022</w:t>
      </w:r>
      <w:r>
        <w:t>).</w:t>
      </w:r>
    </w:p>
    <w:p>
      <w:pPr>
        <w:pStyle w:val="style0"/>
        <w:rPr/>
      </w:pPr>
      <w:r>
        <w:t>Surgical site infections and pneumonia have also been identified through various studies as major causes of patient readmission, especially in cases where discharge plans do not offer sufficient infection monitoring (</w:t>
      </w:r>
      <w:r>
        <w:rPr>
          <w:noProof/>
        </w:rPr>
        <w:t xml:space="preserve">Riester </w:t>
      </w:r>
      <w:r>
        <w:rPr>
          <w:i/>
          <w:iCs/>
          <w:noProof/>
        </w:rPr>
        <w:t xml:space="preserve">et al. </w:t>
      </w:r>
      <w:r>
        <w:rPr>
          <w:noProof/>
        </w:rPr>
        <w:t>2022</w:t>
      </w:r>
      <w:r>
        <w:t>). The research shows that recurrence is most often between 30- and 90-days post-discharge and is usually associated with antibiotic treatment that has not been completed or bad hospital support. The infection routes that are most at risk of leading to the readmissions reveal infection control, patient education, and continuity of care shortcomings (</w:t>
      </w:r>
      <w:r>
        <w:rPr>
          <w:noProof/>
        </w:rPr>
        <w:t xml:space="preserve">Lai </w:t>
      </w:r>
      <w:r>
        <w:rPr>
          <w:i/>
          <w:iCs/>
          <w:noProof/>
        </w:rPr>
        <w:t xml:space="preserve">et al. </w:t>
      </w:r>
      <w:r>
        <w:rPr>
          <w:noProof/>
        </w:rPr>
        <w:t>2022</w:t>
      </w:r>
      <w:r>
        <w:t>). This study seeks to explore how the enhancement of antimicrobial stewardship and the provision of an integrated community follow-up service can lessen the number of avoidable ​‍​‌‍​‍‌readmissions.</w:t>
      </w:r>
    </w:p>
    <w:p>
      <w:pPr>
        <w:pStyle w:val="style0"/>
        <w:rPr/>
      </w:pPr>
    </w:p>
    <w:bookmarkStart w:id="32" w:name="_Toc218894189"/>
    <w:p>
      <w:pPr>
        <w:pStyle w:val="style2"/>
        <w:rPr/>
      </w:pPr>
      <w:r>
        <w:t>2.5 Healthcare system factors influencing infection-related readmission</w:t>
      </w:r>
      <w:bookmarkEnd w:id="32"/>
      <w:r>
        <w:t xml:space="preserve"> </w:t>
      </w:r>
    </w:p>
    <w:bookmarkStart w:id="33" w:name="_Toc218894190"/>
    <w:p>
      <w:pPr>
        <w:pStyle w:val="style3"/>
        <w:rPr/>
      </w:pPr>
      <w:r>
        <w:t>2.5.1 Hospital practices and infection control strategies</w:t>
      </w:r>
      <w:bookmarkEnd w:id="33"/>
    </w:p>
    <w:p>
      <w:pPr>
        <w:pStyle w:val="style0"/>
        <w:rPr/>
      </w:pPr>
      <w:r>
        <w:t>Hospital interventions play a significant role in reducing readmissions because of infection. Correct isolation practices, hand hygiene and antimicrobial stewardship can minimize patient safety and reduce the risk of cross-contamination (</w:t>
      </w:r>
      <w:r>
        <w:rPr>
          <w:noProof/>
        </w:rPr>
        <w:t>Palla, and Iwunwa, 2025</w:t>
      </w:r>
      <w:r>
        <w:t xml:space="preserve">). However, implementation of these measures is said to be highly different in different hospitals of the NHS. </w:t>
      </w:r>
      <w:r>
        <w:t>The latter</w:t>
      </w:r>
      <w:r>
        <w:t>,</w:t>
      </w:r>
      <w:r>
        <w:t xml:space="preserve"> despite the </w:t>
      </w:r>
      <w:r>
        <w:t xml:space="preserve">national </w:t>
      </w:r>
      <w:r>
        <w:t xml:space="preserve">NHS </w:t>
      </w:r>
      <w:r>
        <w:t>Infection Prevention and Control (IPC) strateg</w:t>
      </w:r>
      <w:r>
        <w:t>y</w:t>
      </w:r>
      <w:r>
        <w:t xml:space="preserve"> including manual</w:t>
      </w:r>
      <w:r>
        <w:t xml:space="preserve"> and framework</w:t>
      </w:r>
      <w:r>
        <w:t xml:space="preserve"> (</w:t>
      </w:r>
      <w:r>
        <w:t>Curran</w:t>
      </w:r>
      <w:r>
        <w:t xml:space="preserve"> </w:t>
      </w:r>
      <w:r>
        <w:rPr>
          <w:i/>
          <w:iCs/>
        </w:rPr>
        <w:t xml:space="preserve">et al. </w:t>
      </w:r>
      <w:r>
        <w:t>2021)</w:t>
      </w:r>
      <w:r>
        <w:t>.</w:t>
      </w:r>
      <w:r>
        <w:t xml:space="preserve"> </w:t>
      </w:r>
      <w:r>
        <w:t>A few studies indicate that the staff are frequently under the pressure of the time and lack of resources, which in turn have a negative impact on infection control. Although there are quality improvement frameworks, the earlier intervention models that were in place did not provide thorough coverage for high-risk patients nor did they guarantee follow-up for a long period of time (</w:t>
      </w:r>
      <w:r>
        <w:rPr>
          <w:noProof/>
        </w:rPr>
        <w:t>Abam, 2025</w:t>
      </w:r>
      <w:r>
        <w:t>). The previous NHS infection prevention research findings were inconsistent due to differences in the level of training, the number of staff, and the types of monitoring systems being used</w:t>
      </w:r>
      <w:r>
        <w:t xml:space="preserve"> (</w:t>
      </w:r>
      <w:r>
        <w:t>N</w:t>
      </w:r>
      <w:r>
        <w:t>HS UK</w:t>
      </w:r>
      <w:r>
        <w:t>, 2025</w:t>
      </w:r>
      <w:r>
        <w:t xml:space="preserve">; </w:t>
      </w:r>
      <w:r>
        <w:t>NHS UK, 2023</w:t>
      </w:r>
      <w:r>
        <w:t>)</w:t>
      </w:r>
      <w:r>
        <w:t>. Some measures lowered the incidence of infections during the short term and did not eliminate them, thus making rehospitalisation more ​‍​‌‍​‍‌probable.</w:t>
      </w:r>
    </w:p>
    <w:bookmarkStart w:id="34" w:name="_Toc218894191"/>
    <w:p>
      <w:pPr>
        <w:pStyle w:val="style3"/>
        <w:rPr/>
      </w:pPr>
      <w:r>
        <w:t>2.5.2 Discharge planning and continuity of care</w:t>
      </w:r>
      <w:bookmarkEnd w:id="34"/>
      <w:r>
        <w:t xml:space="preserve"> </w:t>
      </w:r>
    </w:p>
    <w:p>
      <w:pPr>
        <w:pStyle w:val="style0"/>
        <w:rPr/>
      </w:pPr>
      <w:r>
        <w:t>Another​‍​‌‍​‍‌ factor that is very important</w:t>
      </w:r>
      <w:r>
        <w:t xml:space="preserve"> for </w:t>
      </w:r>
      <w:r>
        <w:t>HCAI</w:t>
      </w:r>
      <w:r>
        <w:t xml:space="preserve"> is</w:t>
      </w:r>
      <w:r>
        <w:t xml:space="preserve"> for example,</w:t>
      </w:r>
      <w:r>
        <w:t xml:space="preserve"> in </w:t>
      </w:r>
      <w:r>
        <w:rPr>
          <w:u w:val="single"/>
          <w:lang w:val="en-IN"/>
        </w:rPr>
        <w:t>sepsis or suspected sepsis</w:t>
      </w:r>
      <w:r>
        <w:rPr>
          <w:lang w:val="en-IN"/>
        </w:rPr>
        <w:t xml:space="preserve"> </w:t>
      </w:r>
      <w:r>
        <w:t xml:space="preserve"> discharge planning. An early discharge without a proper check of the patient's condition will result in a relapse of the disease, especially in patients with infections that have not been resolved</w:t>
      </w:r>
      <w:r>
        <w:t xml:space="preserve"> (</w:t>
      </w:r>
      <w:r>
        <w:t>Tulli, and Toccafondi,</w:t>
      </w:r>
      <w:r>
        <w:t xml:space="preserve"> 2021)</w:t>
      </w:r>
      <w:r>
        <w:t>. Most of the time, the follow-up after discharge is not so strong. The use of virtual wards and community nursing services can help in the continuity of care; however, the research indicates that they are not always accessible or well-coordinated (</w:t>
      </w:r>
      <w:r>
        <w:rPr>
          <w:noProof/>
        </w:rPr>
        <w:t>Handiyani</w:t>
      </w:r>
      <w:r>
        <w:rPr>
          <w:noProof/>
        </w:rPr>
        <w:t xml:space="preserve"> </w:t>
      </w:r>
      <w:r>
        <w:rPr>
          <w:i/>
          <w:iCs/>
          <w:noProof/>
        </w:rPr>
        <w:t xml:space="preserve">et al. </w:t>
      </w:r>
      <w:r>
        <w:rPr>
          <w:noProof/>
        </w:rPr>
        <w:t>2024</w:t>
      </w:r>
      <w:r>
        <w:t>). Poor communication between hospital and primary care teams results in less monitoring. Patients do not get enough instructions about medications and symptom tracking, and this affects adherence. Some studies show that the risk of readmission becomes higher in situations where patients are unaware of the warning signs</w:t>
      </w:r>
      <w:r>
        <w:t xml:space="preserve"> (</w:t>
      </w:r>
      <w:r>
        <w:t>Mcneill</w:t>
      </w:r>
      <w:r>
        <w:t>, and Khairat,</w:t>
      </w:r>
      <w:r>
        <w:t xml:space="preserve"> 2020</w:t>
      </w:r>
      <w:r>
        <w:t>)</w:t>
      </w:r>
      <w:r>
        <w:t>.</w:t>
      </w:r>
    </w:p>
    <w:p>
      <w:pPr>
        <w:pStyle w:val="style0"/>
        <w:rPr/>
      </w:pPr>
      <w:r>
        <w:t>Some integrated care pathways have facilitated coordination of sepsis care in specific instances, particularly that of patients who are at high risk of infection (</w:t>
      </w:r>
      <w:r>
        <w:rPr>
          <w:noProof/>
        </w:rPr>
        <w:t>Fleischmann-</w:t>
      </w:r>
      <w:r>
        <w:rPr>
          <w:noProof/>
        </w:rPr>
        <w:t>Struzek</w:t>
      </w:r>
      <w:r>
        <w:rPr>
          <w:noProof/>
        </w:rPr>
        <w:t xml:space="preserve"> </w:t>
      </w:r>
      <w:r>
        <w:rPr>
          <w:i/>
          <w:iCs/>
          <w:noProof/>
        </w:rPr>
        <w:t xml:space="preserve">et al. </w:t>
      </w:r>
      <w:r>
        <w:rPr>
          <w:noProof/>
        </w:rPr>
        <w:t>2024</w:t>
      </w:r>
      <w:r>
        <w:t>). The collaborating multidisciplinary team and structured monitoring are among the major benefits. These pathways, however, are not uniformly implemented across NHS trusts, resulting in the differences in effectiveness. There are also few hospital-community service digital integrations that limit the sharing of reliable data</w:t>
      </w:r>
      <w:r>
        <w:t xml:space="preserve"> (</w:t>
      </w:r>
      <w:r>
        <w:t>Hui</w:t>
      </w:r>
      <w:r>
        <w:t>, 2025)</w:t>
      </w:r>
      <w:r>
        <w:t xml:space="preserve">. While certain successful </w:t>
      </w:r>
      <w:r>
        <w:t>interventions</w:t>
      </w:r>
      <w:r>
        <w:t xml:space="preserve"> </w:t>
      </w:r>
      <w:r>
        <w:t xml:space="preserve">have lowered the rate of rehospitalization through personalized discharge planning, there is a lot of evidence that patients still face fragmented care. Consequently, this study is concentrated on system-level barriers engagement and strategies formulation for infection control and discharge continuity improvement. A greater </w:t>
      </w:r>
      <w:r>
        <w:t>involvement of the multidisciplinary team and patients could be a way of lessening the re-hospitalisation ​‍​‌‍​‍‌rates.</w:t>
      </w:r>
    </w:p>
    <w:p>
      <w:pPr>
        <w:pStyle w:val="style0"/>
        <w:rPr/>
      </w:pPr>
    </w:p>
    <w:bookmarkStart w:id="35" w:name="_Toc218894192"/>
    <w:p>
      <w:pPr>
        <w:pStyle w:val="style3"/>
        <w:rPr/>
      </w:pPr>
      <w:r>
        <w:t>2.</w:t>
      </w:r>
      <w:r>
        <w:t>5</w:t>
      </w:r>
      <w:r>
        <w:t>.3 Antimicrobial resistance (AMR) and treatment limitations</w:t>
      </w:r>
      <w:bookmarkEnd w:id="35"/>
      <w:r>
        <w:t xml:space="preserve"> </w:t>
      </w:r>
    </w:p>
    <w:p>
      <w:pPr>
        <w:pStyle w:val="style0"/>
        <w:rPr/>
      </w:pPr>
      <w:r>
        <w:t>One​‍​‌‍​‍‌ of the main hurdles to the reduction of infection-related rehospitalisation is antimicrobial resistance (AMR). The recent studies indicate that antibiotics are slowly becoming ineffective especially with common infections like urinary tract infections and respiratory diseases (</w:t>
      </w:r>
      <w:r>
        <w:rPr>
          <w:noProof/>
        </w:rPr>
        <w:t>Midby</w:t>
      </w:r>
      <w:r>
        <w:rPr>
          <w:noProof/>
        </w:rPr>
        <w:t>, and Miesner, 2024</w:t>
      </w:r>
      <w:r>
        <w:t>). As a result of treatment failure, patients are in need of hospital readmission, thus creating a vicious cycle of pressure on NHS services. Studies have shown that not following the medication regimen and stopping treatment halfway are the most frequently cited reasons for prolonged illness (</w:t>
      </w:r>
      <w:r>
        <w:rPr>
          <w:noProof/>
        </w:rPr>
        <w:t>Félix, and Henriques, 2021</w:t>
      </w:r>
      <w:r>
        <w:t>. There are instances where incorrect prescribing or diagnosis made at a later stage aggravates the patient's condition and accelerates the process of resistance development</w:t>
      </w:r>
      <w:r>
        <w:t xml:space="preserve"> (</w:t>
      </w:r>
      <w:r>
        <w:t>Muteeb</w:t>
      </w:r>
      <w:r>
        <w:t xml:space="preserve"> </w:t>
      </w:r>
      <w:r>
        <w:rPr>
          <w:i/>
          <w:iCs/>
        </w:rPr>
        <w:t xml:space="preserve">et al. </w:t>
      </w:r>
      <w:r>
        <w:t>2023)</w:t>
      </w:r>
      <w:r>
        <w:t>.</w:t>
      </w:r>
    </w:p>
    <w:p>
      <w:pPr>
        <w:pStyle w:val="style0"/>
        <w:rPr/>
      </w:pPr>
      <w:r>
        <w:t>Besides, studies about this issue have discovered some serious gaps in surveillance. Even though systems, such as ESPAUR used in the UK are meant to track the trend of resistance, information collection continues to be cumbersome and disjointed (</w:t>
      </w:r>
      <w:r>
        <w:rPr>
          <w:noProof/>
        </w:rPr>
        <w:t>Ashiru-</w:t>
      </w:r>
      <w:r>
        <w:rPr>
          <w:noProof/>
        </w:rPr>
        <w:t>Oredope</w:t>
      </w:r>
      <w:r>
        <w:rPr>
          <w:noProof/>
        </w:rPr>
        <w:t xml:space="preserve"> </w:t>
      </w:r>
      <w:r>
        <w:rPr>
          <w:i/>
          <w:iCs/>
          <w:noProof/>
        </w:rPr>
        <w:t xml:space="preserve">et al. </w:t>
      </w:r>
      <w:r>
        <w:rPr>
          <w:noProof/>
        </w:rPr>
        <w:t>2023</w:t>
      </w:r>
      <w:r>
        <w:t>). Some publications maintain that hospital personnel are not well-informed about the latest AMR developments, resulting in this issue being handled differently in various departments. Nevertheless, other scholars believe that better stewardship programmes have led to fewer cases of unnecessary prescribing</w:t>
      </w:r>
      <w:r>
        <w:t xml:space="preserve"> (</w:t>
      </w:r>
      <w:r>
        <w:t>Will, 2020</w:t>
      </w:r>
      <w:r>
        <w:t>)</w:t>
      </w:r>
      <w:r>
        <w:t>. There is still a scarcity of evidence regarding the effectiveness of these measures in reducing long-term readmission rates. Hence, this study calls for more precise monitoring and better treatment ​‍​‌‍​‍‌routes.</w:t>
      </w:r>
    </w:p>
    <w:bookmarkStart w:id="36" w:name="_Toc218894193"/>
    <w:p>
      <w:pPr>
        <w:pStyle w:val="style2"/>
        <w:rPr/>
      </w:pPr>
      <w:r>
        <w:t>2.6 Social care system and community-based interviews</w:t>
      </w:r>
      <w:bookmarkEnd w:id="36"/>
      <w:r>
        <w:t xml:space="preserve"> </w:t>
      </w:r>
    </w:p>
    <w:p>
      <w:pPr>
        <w:pStyle w:val="style0"/>
        <w:rPr/>
      </w:pPr>
      <w:r>
        <w:t xml:space="preserve">Social​‍​‌‍​‍‌ care is essential in process of infection prevention; thus, hinder need for hospitalisation again. Carers, social workers, and community health teams are main providers of the support during </w:t>
      </w:r>
      <w:r>
        <w:t xml:space="preserve">follow up </w:t>
      </w:r>
      <w:r>
        <w:t xml:space="preserve"> through tracking of symptoms, guaranteeing medicine use, and carrying out infection control at the patient's home (</w:t>
      </w:r>
      <w:r>
        <w:rPr>
          <w:noProof/>
        </w:rPr>
        <w:t xml:space="preserve">Pollock </w:t>
      </w:r>
      <w:r>
        <w:rPr>
          <w:i/>
          <w:iCs/>
          <w:noProof/>
        </w:rPr>
        <w:t xml:space="preserve">et al. </w:t>
      </w:r>
      <w:r>
        <w:rPr>
          <w:noProof/>
        </w:rPr>
        <w:t>2021</w:t>
      </w:r>
      <w:r>
        <w:t xml:space="preserve">). Research </w:t>
      </w:r>
      <w:r>
        <w:t xml:space="preserve">shows </w:t>
      </w:r>
      <w:r>
        <w:t xml:space="preserve"> that early supervision and home visits are important in reducing relapse rates especially among individuals with complex care requirements</w:t>
      </w:r>
      <w:r>
        <w:t xml:space="preserve"> (</w:t>
      </w:r>
      <w:r>
        <w:rPr>
          <w:color w:val="ee0000"/>
        </w:rPr>
        <w:t xml:space="preserve">Sanzone </w:t>
      </w:r>
      <w:r>
        <w:rPr>
          <w:i/>
          <w:iCs/>
          <w:color w:val="ee0000"/>
        </w:rPr>
        <w:t xml:space="preserve">et al. </w:t>
      </w:r>
      <w:r>
        <w:rPr>
          <w:color w:val="ee0000"/>
        </w:rPr>
        <w:t>202</w:t>
      </w:r>
      <w:r>
        <w:rPr>
          <w:color w:val="ee0000"/>
        </w:rPr>
        <w:t>4</w:t>
      </w:r>
      <w:r>
        <w:t>)</w:t>
      </w:r>
      <w:r>
        <w:t>. Nevertheless, challenges faced in UK concerning disjointed referral systems are quite enormous. It has been observed that hospital teams carry on with patient discharge without proper coordination with social care providers, thus causing delays in the support or absence of ​‍​‌‍​‍‌follow-up.</w:t>
      </w:r>
    </w:p>
    <w:p>
      <w:pPr>
        <w:pStyle w:val="style0"/>
        <w:rPr/>
      </w:pPr>
      <w:r>
        <w:t xml:space="preserve">Integrated Care Boards (ICBs) in the UK regarding this problem of microbiological infections </w:t>
      </w:r>
      <w:r>
        <w:t xml:space="preserve">have a role </w:t>
      </w:r>
      <w:r>
        <w:t>in local communities.</w:t>
      </w:r>
      <w:r>
        <w:rPr>
          <w:rFonts w:ascii="Arial" w:cs="Arial" w:eastAsia="Arial" w:hAnsi="Arial"/>
          <w:color w:val="36363d"/>
        </w:rPr>
        <w:t xml:space="preserve"> </w:t>
      </w:r>
      <w:r>
        <w:rPr>
          <w:rFonts w:ascii="Arial" w:cs="Arial" w:eastAsia="Arial" w:hAnsi="Arial"/>
          <w:color w:val="36363d"/>
          <w:highlight w:val="none"/>
        </w:rPr>
        <w:t>The​‍​‌‍​‍‌ main points are the necessity for well-coordinated commissioning, quick diagnostics, and strict infection control as means of the NHS to deal with infectious diseases outbreaks (Tabish, 2024). Negative factors like delays in response, disjointed pathways, and poorly integrated communities may result in increasing the spread of the disease, costs, and the load of the services (NHS UK, 2025). Thus, it is strengthening the argument for interconnected public health, clinical, and social care systems as a way to lessen hospital readmission and enhance the ​‍​‌‍​‍‌results.</w:t>
      </w:r>
      <w:r>
        <w:rPr>
          <w:rFonts w:ascii="Arial" w:cs="Arial" w:eastAsia="Arial" w:hAnsi="Arial"/>
          <w:color w:val="36363d"/>
          <w:highlight w:val="yellow"/>
        </w:rPr>
        <w:t xml:space="preserve"> </w:t>
      </w:r>
      <w:r>
        <w:t xml:space="preserve">Research indicates that inefficient communication between healthcare and social care </w:t>
      </w:r>
      <w:r>
        <w:t>causes</w:t>
      </w:r>
      <w:r>
        <w:t xml:space="preserve"> the increase in the risk of readmission</w:t>
      </w:r>
      <w:r>
        <w:t xml:space="preserve"> </w:t>
      </w:r>
      <w:r>
        <w:rPr>
          <w:color w:val="ee0000"/>
        </w:rPr>
        <w:t>(</w:t>
      </w:r>
      <w:r>
        <w:rPr>
          <w:color w:val="ee0000"/>
        </w:rPr>
        <w:t>Becker</w:t>
      </w:r>
      <w:r>
        <w:rPr>
          <w:color w:val="ee0000"/>
        </w:rPr>
        <w:t xml:space="preserve"> </w:t>
      </w:r>
      <w:r>
        <w:rPr>
          <w:i/>
          <w:iCs/>
          <w:color w:val="ee0000"/>
        </w:rPr>
        <w:t xml:space="preserve">et al. </w:t>
      </w:r>
      <w:r>
        <w:rPr>
          <w:color w:val="ee0000"/>
        </w:rPr>
        <w:t>202</w:t>
      </w:r>
      <w:r>
        <w:rPr>
          <w:color w:val="ee0000"/>
        </w:rPr>
        <w:t>1</w:t>
      </w:r>
      <w:r>
        <w:rPr>
          <w:color w:val="ee0000"/>
        </w:rPr>
        <w:t>)</w:t>
      </w:r>
      <w:r>
        <w:t xml:space="preserve">. Presently, digital monitoring and virtual wards have made remote tracking more efficient; </w:t>
      </w:r>
      <w:r>
        <w:t>however, these</w:t>
      </w:r>
      <w:r>
        <w:t xml:space="preserve"> instruments have not been entirely implemented for all services (</w:t>
      </w:r>
      <w:r>
        <w:rPr>
          <w:noProof/>
        </w:rPr>
        <w:t xml:space="preserve">Lindsay </w:t>
      </w:r>
      <w:r>
        <w:rPr>
          <w:i/>
          <w:iCs/>
          <w:noProof/>
        </w:rPr>
        <w:t xml:space="preserve">et al. </w:t>
      </w:r>
      <w:r>
        <w:rPr>
          <w:noProof/>
        </w:rPr>
        <w:t>2025</w:t>
      </w:r>
      <w:r>
        <w:t xml:space="preserve">). Some models </w:t>
      </w:r>
      <w:r>
        <w:t>(e.g., NHS H</w:t>
      </w:r>
      <w:r>
        <w:t>ouse of Care model, ICP model</w:t>
      </w:r>
      <w:r>
        <w:t xml:space="preserve">) </w:t>
      </w:r>
      <w:r>
        <w:t>can demonstrate that when hospitals, community nursing, and social support teams collaborate well, then the outcomes can be very positive. Unfortunately, many localities still have problems with insufficient staff and lack in technology usage</w:t>
      </w:r>
      <w:r>
        <w:t xml:space="preserve"> </w:t>
      </w:r>
      <w:r>
        <w:rPr>
          <w:color w:val="ee0000"/>
        </w:rPr>
        <w:t>(</w:t>
      </w:r>
      <w:r>
        <w:rPr>
          <w:color w:val="ee0000"/>
        </w:rPr>
        <w:t>Filip</w:t>
      </w:r>
      <w:r>
        <w:rPr>
          <w:color w:val="ee0000"/>
        </w:rPr>
        <w:t xml:space="preserve"> </w:t>
      </w:r>
      <w:r>
        <w:rPr>
          <w:i/>
          <w:iCs/>
          <w:color w:val="ee0000"/>
        </w:rPr>
        <w:t xml:space="preserve">et al. </w:t>
      </w:r>
      <w:r>
        <w:rPr>
          <w:color w:val="ee0000"/>
        </w:rPr>
        <w:t>2022)</w:t>
      </w:r>
      <w:r>
        <w:t xml:space="preserve">. Most importantly, the studies indicate that the easing of care transitions is one of the factors leading to the decrease of infection recurrence. However, the </w:t>
      </w:r>
      <w:r>
        <w:t xml:space="preserve">effectiveness </w:t>
      </w:r>
      <w:r>
        <w:t>depends on several factors such as referrals made on time, having a clear idea of each person's role and the patient being engaged. The current investigation aims to find out whether improved partnership and digital care tools may enhance the flow of care and thus, cut down on the returns to the hospital that are not really ​‍​‌‍​‍‌necessary.</w:t>
      </w:r>
    </w:p>
    <w:p>
      <w:pPr>
        <w:pStyle w:val="style0"/>
        <w:rPr/>
      </w:pPr>
    </w:p>
    <w:bookmarkStart w:id="37" w:name="_Toc218894194"/>
    <w:p>
      <w:pPr>
        <w:pStyle w:val="style2"/>
        <w:rPr/>
      </w:pPr>
      <w:r>
        <w:t>2.</w:t>
      </w:r>
      <w:r>
        <w:t>7</w:t>
      </w:r>
      <w:r>
        <w:t xml:space="preserve"> Theoretical framework</w:t>
      </w:r>
      <w:bookmarkEnd w:id="37"/>
      <w:r>
        <w:t xml:space="preserve"> </w:t>
      </w:r>
    </w:p>
    <w:p>
      <w:pPr>
        <w:pStyle w:val="style0"/>
        <w:rPr>
          <w:color w:val="ee0000"/>
        </w:rPr>
      </w:pPr>
      <w:r>
        <w:t>The relationship of healthcare and social care services</w:t>
      </w:r>
      <w:r>
        <w:t xml:space="preserve"> in connection to the role of microbial infections in </w:t>
      </w:r>
      <w:r>
        <w:t>rehospitalisations</w:t>
      </w:r>
      <w:r>
        <w:t xml:space="preserve"> of UK adults</w:t>
      </w:r>
      <w:r>
        <w:t xml:space="preserve"> is understood with the help of </w:t>
      </w:r>
      <w:r>
        <w:rPr>
          <w:b/>
          <w:bCs/>
          <w:i/>
          <w:iCs/>
        </w:rPr>
        <w:t>Systems Theory</w:t>
      </w:r>
      <w:r>
        <w:rPr>
          <w:b/>
          <w:bCs/>
          <w:i/>
          <w:iCs/>
        </w:rPr>
        <w:t xml:space="preserve"> </w:t>
      </w:r>
      <w:r>
        <w:t>(</w:t>
      </w:r>
      <w:r>
        <w:t>1968</w:t>
      </w:r>
      <w:r>
        <w:t>)</w:t>
      </w:r>
      <w:r>
        <w:t>. Hospital readmissions which are caused by infections may occur when the hospital discharge is not synchronized with the community support systems (</w:t>
      </w:r>
      <w:r>
        <w:rPr>
          <w:noProof/>
        </w:rPr>
        <w:t>Adeleke, and Olajide, 2024</w:t>
      </w:r>
      <w:r>
        <w:t>). The disjointed practice may increase the problem of inadequate treatment and poor infection control.</w:t>
      </w:r>
      <w:r>
        <w:rPr>
          <w:color w:val="ee0000"/>
        </w:rPr>
        <w:t xml:space="preserve"> Systems Theory describes care as intertwined healthcare and social care as a single system. Within the framework of the microbial infections, poor collaboration between the hospital and the community services can result in ineffective discharge infection surveillance</w:t>
      </w:r>
      <w:r>
        <w:rPr>
          <w:color w:val="ee0000"/>
        </w:rPr>
        <w:t xml:space="preserve"> (McGowan </w:t>
      </w:r>
      <w:r>
        <w:rPr>
          <w:i/>
          <w:iCs/>
          <w:color w:val="ee0000"/>
        </w:rPr>
        <w:t xml:space="preserve">et al. </w:t>
      </w:r>
      <w:r>
        <w:rPr>
          <w:color w:val="ee0000"/>
        </w:rPr>
        <w:t>2022)</w:t>
      </w:r>
      <w:r>
        <w:rPr>
          <w:color w:val="ee0000"/>
        </w:rPr>
        <w:t>. Delays in social care assistance or lack of understanding may result in failure of the patient to finish treatment or adhere to infection control guidelines. This enhances the chances of readmission and unplanned readmission</w:t>
      </w:r>
      <w:r>
        <w:rPr>
          <w:color w:val="ee0000"/>
        </w:rPr>
        <w:t xml:space="preserve"> (Reeb, and Folger, 2023)</w:t>
      </w:r>
      <w:r>
        <w:rPr>
          <w:color w:val="ee0000"/>
        </w:rPr>
        <w:t>. Continuity of care can be maintained through effective social care support; home visits, medication assistance and hygiene monitoring. Hospital to social worker and public health team sharing of information is also imperative. In the event that the system operates collectively, there is a lower chance of infection, it becomes easier to recover, and it lowers the strain on the hospitals.</w:t>
      </w:r>
    </w:p>
    <w:p>
      <w:pPr>
        <w:pStyle w:val="style0"/>
        <w:jc w:val="center"/>
        <w:rPr>
          <w:color w:val="ee0000"/>
        </w:rPr>
      </w:pPr>
      <w:r>
        <w:rPr>
          <w:noProof/>
          <w:color w:val="ee0000"/>
        </w:rPr>
        <w:drawing>
          <wp:inline distL="0" distT="0" distB="0" distR="0">
            <wp:extent cx="5731510" cy="3330575"/>
            <wp:effectExtent l="19050" t="19050" r="21590" b="22225"/>
            <wp:docPr id="1031"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srcRect l="0" t="0" r="0" b="0"/>
                    <a:stretch/>
                  </pic:blipFill>
                  <pic:spPr>
                    <a:xfrm rot="0">
                      <a:off x="0" y="0"/>
                      <a:ext cx="5731510" cy="3330575"/>
                    </a:xfrm>
                    <a:prstGeom prst="rect"/>
                    <a:ln cmpd="sng" cap="flat" w="9525">
                      <a:solidFill>
                        <a:srgbClr val="000000"/>
                      </a:solidFill>
                      <a:prstDash val="solid"/>
                      <a:round/>
                      <a:headEnd/>
                      <a:tailEnd/>
                    </a:ln>
                  </pic:spPr>
                </pic:pic>
              </a:graphicData>
            </a:graphic>
          </wp:inline>
        </w:drawing>
      </w:r>
    </w:p>
    <w:bookmarkStart w:id="38" w:name="_Toc217496784"/>
    <w:p>
      <w:pPr>
        <w:pStyle w:val="style4"/>
        <w:rPr/>
      </w:pPr>
      <w:r>
        <w:t>Figure 2.1: System theory- Integrated healthcare and social care</w:t>
      </w:r>
      <w:bookmarkEnd w:id="38"/>
      <w:r>
        <w:t xml:space="preserve"> </w:t>
      </w:r>
    </w:p>
    <w:p>
      <w:pPr>
        <w:pStyle w:val="style0"/>
        <w:jc w:val="center"/>
        <w:rPr>
          <w:color w:val="ee0000"/>
        </w:rPr>
      </w:pPr>
      <w:r>
        <w:rPr>
          <w:color w:val="ee0000"/>
        </w:rPr>
        <w:t>(</w:t>
      </w:r>
      <w:r>
        <w:rPr>
          <w:color w:val="ee0000"/>
        </w:rPr>
        <w:t>Adeleke, and Olajide, 2024</w:t>
      </w:r>
      <w:r>
        <w:rPr>
          <w:color w:val="ee0000"/>
        </w:rPr>
        <w:t>)</w:t>
      </w:r>
    </w:p>
    <w:bookmarkStart w:id="39" w:name="_Toc218894195"/>
    <w:p>
      <w:pPr>
        <w:pStyle w:val="style2"/>
        <w:rPr/>
      </w:pPr>
      <w:r>
        <w:t>2.</w:t>
      </w:r>
      <w:r>
        <w:t>8</w:t>
      </w:r>
      <w:r>
        <w:t xml:space="preserve"> Identified gaps in existing literature</w:t>
      </w:r>
      <w:bookmarkEnd w:id="39"/>
    </w:p>
    <w:p>
      <w:pPr>
        <w:pStyle w:val="style0"/>
        <w:rPr/>
      </w:pPr>
      <w:r>
        <w:t>Existing​‍​‌‍​‍‌ research has plentiful information regarding microbial infections and the hospital-based management of these infections; however, there are still significant gaps. Only a</w:t>
      </w:r>
      <w:r>
        <w:t xml:space="preserve"> </w:t>
      </w:r>
      <w:r>
        <w:t>handful of systematic reviews concentrate exclusively on the UK environment, where resource constraints and the disintegration of social care heavily affect the rates of readmission (</w:t>
      </w:r>
      <w:r>
        <w:rPr>
          <w:noProof/>
        </w:rPr>
        <w:t>Eusebio, and Leary, 2025</w:t>
      </w:r>
      <w:r>
        <w:t>). Most of the studies investigate the clinical side of the issue without considering how discharge planning and social care integration may influence infection recurrences.</w:t>
      </w:r>
    </w:p>
    <w:p>
      <w:pPr>
        <w:pStyle w:val="style0"/>
        <w:rPr/>
      </w:pPr>
      <w:r>
        <w:t>Studies investigate patient outcomes in the long run, beyond 30 days, thereby neglecting</w:t>
      </w:r>
      <w:r>
        <w:t xml:space="preserve"> </w:t>
      </w:r>
      <w:r>
        <w:t>infection recurrences that have developed in community care. Besides this, there is a shortage of evidence regarding how hospital strategies, like digital monitoring or multidisciplinary coordination, could lead to a decrease in rehospitalisation. Most importantly, extremely little research has been done on the development of a combined model that addresses hospital practices, infection treatment, discharge processes, and social care support simultaneously. By deploying a multi-systemic approach via a systematic review, this research is filling that void, concentrating on the interplay between clinical management and care transition as a means of lowering infection-related readmissions in adult patients in the ​‍​‌‍​‍‌UK.</w:t>
      </w:r>
    </w:p>
    <w:p>
      <w:pPr>
        <w:pStyle w:val="style0"/>
        <w:rPr/>
      </w:pPr>
      <w:r>
        <w:t>The​‍​‌‍​‍‌ research is necessary because it fills a gap that existed by reviewing UK-based evidence in a very detailed and systematic manner of microbial infections and their contribution to rehospitalisation, and socio-care role in reducing recurrence. Most of the prior works have focused only on clinical treatment, but this review has adopted a policy-oriented and multi-system approach that involves infection control, discharge planning, and community care.</w:t>
      </w:r>
    </w:p>
    <w:p>
      <w:pPr>
        <w:pStyle w:val="style0"/>
        <w:rPr/>
      </w:pPr>
      <w:r>
        <w:t>The study through synthesis of the findings helps to plan stronger interventions, antimicrobial stewardship, and more effective discharge policies. This is in line with the long-term NHS goals that put emphasis on integrated care, prevention, and reduced hospital pressure. The review is also a guide to the strategy transformation process as it links the early management of infection to the post-discharge supervision. Concisely, it is a priceless resource that will provide realistic advice to policy-makers and medical professionals who strive to improve the patient outcomes and reduce the number of unnecessary readmissions.</w:t>
      </w:r>
    </w:p>
    <w:p>
      <w:pPr>
        <w:pStyle w:val="style0"/>
        <w:rPr/>
      </w:pPr>
    </w:p>
    <w:bookmarkStart w:id="40" w:name="_Toc218894196"/>
    <w:p>
      <w:pPr>
        <w:pStyle w:val="style2"/>
        <w:rPr/>
      </w:pPr>
      <w:r>
        <w:t>2.</w:t>
      </w:r>
      <w:r>
        <w:t>9</w:t>
      </w:r>
      <w:r>
        <w:t xml:space="preserve"> </w:t>
      </w:r>
      <w:r>
        <w:t xml:space="preserve">Chapter </w:t>
      </w:r>
      <w:r>
        <w:t>Summary</w:t>
      </w:r>
      <w:bookmarkEnd w:id="40"/>
    </w:p>
    <w:p>
      <w:pPr>
        <w:pStyle w:val="style0"/>
        <w:rPr/>
      </w:pPr>
      <w:r>
        <w:t>The chapter presented global and national research on the prevalence of microbial infections and rehospitalization. It brought out the main risk pathways, the gaps in healthcare and social care, and the limitations of the existing studies. The primacy of a multi-system, UK-focused investigation to ascertain the occurrence of infections after hospital discharge is well-argued by the literature. Moreover, it revealed that concepts such as care continuity and evidence-based practice might be relevant. These revelations are the main input of Chapter 3, where the method of systematic review to fill the literature gaps will be ​‍​‌‍​‍‌described.</w:t>
      </w:r>
    </w:p>
    <w:p>
      <w:pPr>
        <w:pStyle w:val="style0"/>
        <w:rPr>
          <w:rFonts w:eastAsia="Times New Roman"/>
          <w:b/>
          <w:sz w:val="24"/>
        </w:rPr>
      </w:pPr>
      <w:r>
        <w:br w:type="page"/>
      </w:r>
    </w:p>
    <w:bookmarkStart w:id="41" w:name="_Toc214575507"/>
    <w:bookmarkStart w:id="42" w:name="_Toc218894197"/>
    <w:p>
      <w:pPr>
        <w:pStyle w:val="style1"/>
        <w:ind w:left="12" w:right="4"/>
        <w:rPr>
          <w:rFonts w:cs="Arial"/>
        </w:rPr>
      </w:pPr>
      <w:r>
        <w:rPr>
          <w:rFonts w:cs="Arial"/>
        </w:rPr>
        <w:t>Chapter 3: Research Methodology</w:t>
      </w:r>
      <w:bookmarkEnd w:id="41"/>
      <w:bookmarkEnd w:id="42"/>
      <w:r>
        <w:rPr>
          <w:rFonts w:cs="Arial"/>
        </w:rPr>
        <w:t xml:space="preserve"> </w:t>
      </w:r>
    </w:p>
    <w:p>
      <w:pPr>
        <w:pStyle w:val="style2"/>
        <w:rPr>
          <w:noProof/>
        </w:rPr>
      </w:pPr>
      <w:r>
        <w:t xml:space="preserve"> </w:t>
      </w:r>
      <w:bookmarkStart w:id="43" w:name="_Toc214912480"/>
      <w:bookmarkStart w:id="44" w:name="_Toc218894198"/>
      <w:r>
        <w:rPr>
          <w:noProof/>
        </w:rPr>
        <w:t>3.1 Chapter Introduction</w:t>
      </w:r>
      <w:bookmarkEnd w:id="43"/>
      <w:bookmarkEnd w:id="44"/>
    </w:p>
    <w:p>
      <w:pPr>
        <w:pStyle w:val="style0"/>
        <w:rPr>
          <w:noProof/>
        </w:rPr>
      </w:pPr>
      <w:r>
        <w:rPr>
          <w:noProof/>
        </w:rPr>
        <w:t>The current chapter outlines and justifies the methodological decisions made in addressing the review question ‘how do microbial infections contribute to rehospitalisation rates of adults in the UK, and what are the implications for public health and social care services?’. It outlines the research philosophy, strategy, the systematic literature review plan (based on PRISMA), data collections, search strategy, data extraction</w:t>
      </w:r>
      <w:r>
        <w:rPr>
          <w:noProof/>
        </w:rPr>
        <w:t>, ethical considertions</w:t>
      </w:r>
      <w:r>
        <w:rPr>
          <w:noProof/>
        </w:rPr>
        <w:t xml:space="preserve"> and thematic analysis</w:t>
      </w:r>
      <w:r>
        <w:rPr>
          <w:noProof/>
        </w:rPr>
        <w:t xml:space="preserve"> discussion</w:t>
      </w:r>
      <w:r>
        <w:rPr>
          <w:noProof/>
        </w:rPr>
        <w:t xml:space="preserve">. </w:t>
      </w:r>
    </w:p>
    <w:bookmarkStart w:id="45" w:name="_5tchz4b9jjhk" w:colFirst="0" w:colLast="0"/>
    <w:bookmarkStart w:id="46" w:name="_Toc214912481"/>
    <w:bookmarkStart w:id="47" w:name="_Toc218894199"/>
    <w:bookmarkEnd w:id="45"/>
    <w:p>
      <w:pPr>
        <w:pStyle w:val="style2"/>
        <w:rPr>
          <w:noProof/>
        </w:rPr>
      </w:pPr>
      <w:r>
        <w:rPr>
          <w:noProof/>
        </w:rPr>
        <w:t>3.2 Research Design</w:t>
      </w:r>
      <w:bookmarkEnd w:id="46"/>
      <w:bookmarkEnd w:id="47"/>
    </w:p>
    <w:bookmarkStart w:id="48" w:name="_fk1kb16dfn70" w:colFirst="0" w:colLast="0"/>
    <w:bookmarkStart w:id="49" w:name="_Toc214912482"/>
    <w:bookmarkStart w:id="50" w:name="_Toc218894200"/>
    <w:bookmarkEnd w:id="48"/>
    <w:p>
      <w:pPr>
        <w:pStyle w:val="style3"/>
        <w:rPr>
          <w:noProof/>
        </w:rPr>
      </w:pPr>
      <w:r>
        <w:rPr>
          <w:noProof/>
        </w:rPr>
        <w:t>3.2.1 Philosophy</w:t>
      </w:r>
      <w:bookmarkEnd w:id="49"/>
      <w:bookmarkEnd w:id="50"/>
    </w:p>
    <w:p>
      <w:pPr>
        <w:pStyle w:val="style0"/>
        <w:rPr>
          <w:noProof/>
        </w:rPr>
      </w:pPr>
      <w:r>
        <w:rPr>
          <w:noProof/>
        </w:rPr>
        <w:t>The research philosophy applied in the present study was that of interpretivism, reflecting the view that evidence about microbial causes of rehospitalisation is shaped by the contexts, assumptions and methodological choices of the original researchers. Interpretivism presupposes that knowledge is to be developed through subjective meanings, interpretations and analytic paradigm used in every included study (Alharahsheh and Pius, 2020). In this case, to compile synthesis of secondary evidence, interpretivist orientation was suitable since the studies which investigate infection-related rehospitalisation are different in terms of design, population and conceptualisation of microbial risk. Such heterogeneity</w:t>
      </w:r>
      <w:r>
        <w:rPr>
          <w:noProof/>
        </w:rPr>
        <w:t xml:space="preserve"> </w:t>
      </w:r>
      <w:r>
        <w:rPr>
          <w:noProof/>
        </w:rPr>
        <w:t>could not be reduced in any meaningful way by using positivist philosophy, without reference to the contextual and social facets inherent in the data to an interpretivist stance. Therefore, the interpretivism selection is justified.</w:t>
      </w:r>
    </w:p>
    <w:p>
      <w:pPr>
        <w:pStyle w:val="style0"/>
        <w:rPr>
          <w:noProof/>
        </w:rPr>
      </w:pPr>
      <w:r>
        <w:rPr>
          <w:noProof/>
        </w:rPr>
        <w:t xml:space="preserve">Following this philosophical stance, published empirical knowledge was not considered as determinate facts but as explanatory accounts, which need to be interpreted by systematic judgement. Frameworks like PRISMA and CASP helped in undertaking a structured appraisal, but with the help of the interpretivist lens, quality assessment, applicability to the UK NHS setting and adult social care setting, and relevance of microbial explanations are viewed. This ensures methodological rigour, along with maintaining contextual fit, narrative coherence and underlying assumptions (Junjie and Yingxin, 2022). Interpretive philosophy was well-adapted to policy-relevant enquiry as it aids the subtle comprehension of interaction between microbial, clinical and social variables to formulate the outcomes of rehospitalisation. It further anticipates reflexivity, where the search decisions, its inclusion criteria and methods of interpretation are clearly documented (Ali </w:t>
      </w:r>
      <w:r>
        <w:rPr>
          <w:i/>
          <w:iCs/>
          <w:noProof/>
        </w:rPr>
        <w:t xml:space="preserve">et al., </w:t>
      </w:r>
      <w:r>
        <w:rPr>
          <w:noProof/>
        </w:rPr>
        <w:t>2021). This ensures that the readers could  trace the process by which the evaluations were created and how it could be applied to the UK public health and social care systems.</w:t>
      </w:r>
    </w:p>
    <w:bookmarkStart w:id="51" w:name="_7yljav7ut0gx" w:colFirst="0" w:colLast="0"/>
    <w:bookmarkStart w:id="52" w:name="_Toc214912483"/>
    <w:bookmarkStart w:id="53" w:name="_Toc218894201"/>
    <w:bookmarkEnd w:id="51"/>
    <w:p>
      <w:pPr>
        <w:pStyle w:val="style3"/>
        <w:rPr>
          <w:noProof/>
        </w:rPr>
      </w:pPr>
      <w:r>
        <w:rPr>
          <w:noProof/>
        </w:rPr>
        <w:t>3.2.2 Approach</w:t>
      </w:r>
      <w:bookmarkEnd w:id="52"/>
      <w:bookmarkEnd w:id="53"/>
    </w:p>
    <w:p>
      <w:pPr>
        <w:pStyle w:val="style0"/>
        <w:rPr>
          <w:noProof/>
        </w:rPr>
      </w:pPr>
      <w:r>
        <w:rPr>
          <w:noProof/>
        </w:rPr>
        <w:t>An inductive approach was used as the review started with clear review questions, pre-established PECO criteria</w:t>
      </w:r>
      <w:r>
        <w:rPr>
          <w:noProof/>
        </w:rPr>
        <w:t xml:space="preserve"> (see </w:t>
      </w:r>
      <w:r>
        <w:rPr>
          <w:noProof/>
        </w:rPr>
        <w:t>Table</w:t>
      </w:r>
      <w:r>
        <w:rPr>
          <w:noProof/>
        </w:rPr>
        <w:t xml:space="preserve"> 3.1)</w:t>
      </w:r>
      <w:r>
        <w:rPr>
          <w:noProof/>
        </w:rPr>
        <w:t xml:space="preserve">, and predetermined areas of theme (prevalence/ type of microbial infections, infection control/ AMR challenges, and social care/ resource implications). induction is appropriate since the protocol establishes a broad exploration of the device-associated infections and antimicrobial resistance burden the social care with resource demands. An inductive frame is useful to enhance transparency and minimise post-hoc re-interpretation bias experienced in purely inductive reviews (Kumar and Ujire, 2024). In terms of operation, the review uses the coding categories that are based on the goals of data extraction (e.g., pathogen type, readmission time, failure of infection control, AMR indicators, social-care outcomes). Findings in studies are mapped using these predetermined codes. </w:t>
      </w:r>
    </w:p>
    <w:p>
      <w:pPr>
        <w:pStyle w:val="style0"/>
        <w:rPr>
          <w:noProof/>
          <w:color w:val="ff0000"/>
        </w:rPr>
      </w:pPr>
      <w:r>
        <w:rPr>
          <w:noProof/>
        </w:rPr>
        <w:t xml:space="preserve">Nevertheless, the inductive sets of codes are supplemented with the openness to emergent sub-themes, as articles recurrently report unexplored mechanisms (e.g. discharge-process failures or community-care gaps). They are repeatedly added as sub-codes to maintain sensitivity. This mixed approach includes the merits of induction but does not include the rigidity that would preclude the reviewer to any significant, unforeseen patterns (Hall </w:t>
      </w:r>
      <w:r>
        <w:rPr>
          <w:i/>
          <w:iCs/>
          <w:noProof/>
        </w:rPr>
        <w:t xml:space="preserve">et al., </w:t>
      </w:r>
      <w:r>
        <w:rPr>
          <w:noProof/>
        </w:rPr>
        <w:t>2023). Induction is consistent with the choice of restricting the review to 2020-2025 literature, and to use PRISMA screening and CASP appraisal. Pre-setting these research parameters helps review and test the consistency of evidence about microbial drivers of rehospitalisation and the system-level consequences in the UK.</w:t>
      </w:r>
    </w:p>
    <w:tbl>
      <w:tblPr>
        <w:tblStyle w:val="style4100"/>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00" w:firstRow="0" w:lastRow="0" w:firstColumn="0" w:lastColumn="0" w:noHBand="0" w:noVBand="1"/>
      </w:tblPr>
      <w:tblGrid>
        <w:gridCol w:w="1965"/>
        <w:gridCol w:w="7277"/>
      </w:tblGrid>
      <w:tr>
        <w:trPr/>
        <w:tc>
          <w:tcPr>
            <w:tcW w:w="1063" w:type="pct"/>
            <w:tcBorders/>
          </w:tcPr>
          <w:p>
            <w:pPr>
              <w:pStyle w:val="style0"/>
              <w:jc w:val="center"/>
              <w:rPr>
                <w:b/>
                <w:bCs/>
                <w:i/>
                <w:iCs/>
                <w:color w:val="ff0000"/>
              </w:rPr>
            </w:pPr>
            <w:r>
              <w:rPr>
                <w:b/>
                <w:bCs/>
                <w:i/>
                <w:iCs/>
                <w:color w:val="ff0000"/>
              </w:rPr>
              <w:t xml:space="preserve">PECO components </w:t>
            </w:r>
          </w:p>
        </w:tc>
        <w:tc>
          <w:tcPr>
            <w:tcW w:w="3937" w:type="pct"/>
            <w:tcBorders/>
            <w:shd w:val="clear" w:color="auto" w:fill="ffffff"/>
          </w:tcPr>
          <w:p>
            <w:pPr>
              <w:pStyle w:val="style0"/>
              <w:jc w:val="center"/>
              <w:rPr>
                <w:b/>
                <w:bCs/>
                <w:i/>
                <w:iCs/>
                <w:color w:val="ff0000"/>
              </w:rPr>
            </w:pPr>
            <w:r>
              <w:rPr>
                <w:b/>
                <w:bCs/>
                <w:i/>
                <w:iCs/>
                <w:color w:val="ff0000"/>
              </w:rPr>
              <w:t xml:space="preserve">Description </w:t>
            </w:r>
          </w:p>
        </w:tc>
      </w:tr>
      <w:tr>
        <w:tblPrEx/>
        <w:trPr/>
        <w:tc>
          <w:tcPr>
            <w:tcW w:w="1063" w:type="pct"/>
            <w:tcBorders/>
          </w:tcPr>
          <w:p>
            <w:pPr>
              <w:pStyle w:val="style0"/>
              <w:rPr>
                <w:color w:val="ff0000"/>
              </w:rPr>
            </w:pPr>
            <w:r>
              <w:rPr>
                <w:color w:val="ff0000"/>
              </w:rPr>
              <w:t xml:space="preserve">Population </w:t>
            </w:r>
          </w:p>
        </w:tc>
        <w:tc>
          <w:tcPr>
            <w:tcW w:w="3937" w:type="pct"/>
            <w:tcBorders/>
            <w:shd w:val="clear" w:color="auto" w:fill="ffffff"/>
          </w:tcPr>
          <w:p>
            <w:pPr>
              <w:pStyle w:val="style0"/>
              <w:rPr>
                <w:color w:val="ff0000"/>
              </w:rPr>
            </w:pPr>
            <w:r>
              <w:rPr>
                <w:color w:val="ff0000"/>
              </w:rPr>
              <w:t>UK adult population</w:t>
            </w:r>
          </w:p>
        </w:tc>
      </w:tr>
      <w:tr>
        <w:tblPrEx/>
        <w:trPr/>
        <w:tc>
          <w:tcPr>
            <w:tcW w:w="1063" w:type="pct"/>
            <w:tcBorders/>
          </w:tcPr>
          <w:p>
            <w:pPr>
              <w:pStyle w:val="style0"/>
              <w:rPr>
                <w:color w:val="ff0000"/>
              </w:rPr>
            </w:pPr>
            <w:r>
              <w:rPr>
                <w:color w:val="ff0000"/>
              </w:rPr>
              <w:t>Exposure</w:t>
            </w:r>
          </w:p>
        </w:tc>
        <w:tc>
          <w:tcPr>
            <w:tcW w:w="3937" w:type="pct"/>
            <w:tcBorders/>
          </w:tcPr>
          <w:p>
            <w:pPr>
              <w:pStyle w:val="style0"/>
              <w:rPr>
                <w:color w:val="ff0000"/>
              </w:rPr>
            </w:pPr>
            <w:r>
              <w:rPr>
                <w:color w:val="ff0000"/>
              </w:rPr>
              <w:t>Microbial infection and reinfection condition</w:t>
            </w:r>
          </w:p>
        </w:tc>
      </w:tr>
      <w:tr>
        <w:tblPrEx/>
        <w:trPr/>
        <w:tc>
          <w:tcPr>
            <w:tcW w:w="1063" w:type="pct"/>
            <w:tcBorders/>
          </w:tcPr>
          <w:p>
            <w:pPr>
              <w:pStyle w:val="style0"/>
              <w:rPr>
                <w:color w:val="ff0000"/>
              </w:rPr>
            </w:pPr>
            <w:r>
              <w:rPr>
                <w:color w:val="ff0000"/>
              </w:rPr>
              <w:t xml:space="preserve">Comparison </w:t>
            </w:r>
          </w:p>
        </w:tc>
        <w:tc>
          <w:tcPr>
            <w:tcW w:w="3937" w:type="pct"/>
            <w:tcBorders/>
            <w:shd w:val="clear" w:color="auto" w:fill="ffffff"/>
          </w:tcPr>
          <w:p>
            <w:pPr>
              <w:pStyle w:val="style0"/>
              <w:rPr>
                <w:color w:val="ff0000"/>
              </w:rPr>
            </w:pPr>
            <w:r>
              <w:rPr>
                <w:color w:val="ff0000"/>
              </w:rPr>
              <w:t>Adults without microbial infections or with different infection control measures in place</w:t>
            </w:r>
          </w:p>
        </w:tc>
      </w:tr>
      <w:tr>
        <w:tblPrEx/>
        <w:trPr/>
        <w:tc>
          <w:tcPr>
            <w:tcW w:w="1063" w:type="pct"/>
            <w:tcBorders/>
          </w:tcPr>
          <w:p>
            <w:pPr>
              <w:pStyle w:val="style0"/>
              <w:rPr>
                <w:color w:val="ff0000"/>
              </w:rPr>
            </w:pPr>
            <w:r>
              <w:rPr>
                <w:color w:val="ff0000"/>
              </w:rPr>
              <w:t xml:space="preserve">Outcome </w:t>
            </w:r>
          </w:p>
        </w:tc>
        <w:tc>
          <w:tcPr>
            <w:tcW w:w="3937" w:type="pct"/>
            <w:tcBorders/>
          </w:tcPr>
          <w:p>
            <w:pPr>
              <w:pStyle w:val="style0"/>
              <w:rPr>
                <w:color w:val="ff0000"/>
              </w:rPr>
            </w:pPr>
            <w:r>
              <w:rPr>
                <w:color w:val="ff0000"/>
              </w:rPr>
              <w:t xml:space="preserve">Impact on social and public healthcare services like re-hospitalisation rates, length of stay, morbidity, mortality, and healthcare costs </w:t>
            </w:r>
          </w:p>
        </w:tc>
      </w:tr>
    </w:tbl>
    <w:p>
      <w:pPr>
        <w:pStyle w:val="style0"/>
        <w:jc w:val="center"/>
        <w:rPr>
          <w:b/>
          <w:bCs/>
          <w:noProof/>
          <w:color w:val="ff0000"/>
        </w:rPr>
      </w:pPr>
      <w:r>
        <w:rPr>
          <w:b/>
          <w:bCs/>
          <w:noProof/>
          <w:color w:val="ff0000"/>
        </w:rPr>
        <w:t>Table 3.1: PECO</w:t>
      </w:r>
    </w:p>
    <w:bookmarkStart w:id="54" w:name="_kdx0jkplrjj3" w:colFirst="0" w:colLast="0"/>
    <w:bookmarkStart w:id="55" w:name="_Toc214912484"/>
    <w:bookmarkStart w:id="56" w:name="_Toc218894202"/>
    <w:bookmarkEnd w:id="54"/>
    <w:p>
      <w:pPr>
        <w:pStyle w:val="style3"/>
        <w:rPr>
          <w:noProof/>
        </w:rPr>
      </w:pPr>
      <w:r>
        <w:rPr>
          <w:noProof/>
        </w:rPr>
        <w:t>3.2.3 Strategy</w:t>
      </w:r>
      <w:bookmarkEnd w:id="55"/>
      <w:bookmarkEnd w:id="56"/>
    </w:p>
    <w:p>
      <w:pPr>
        <w:pStyle w:val="style0"/>
        <w:rPr>
          <w:noProof/>
        </w:rPr>
      </w:pPr>
      <w:r>
        <w:rPr>
          <w:noProof/>
        </w:rPr>
        <w:t xml:space="preserve">The key methodological strategy </w:t>
      </w:r>
      <w:r>
        <w:rPr>
          <w:noProof/>
        </w:rPr>
        <w:t>applied was</w:t>
      </w:r>
      <w:r>
        <w:rPr>
          <w:noProof/>
        </w:rPr>
        <w:t xml:space="preserve"> a systematic literature review (SLR) based on PRISMA guidelines in identification, selection, appraisal and synthesis of evidence that can be used to address the question of microbial drivers of adult rehospitalisation in the UK. It also contains complementary archival analysis of authoritative grey literature (NHS England reports, UKHSA surveillance reports, policy documents) to ensure a current evaluation on policy context that may not have been yet captured by the peer-reviewed literature. The databases used (Medline/ PubMed,  and Google Scholar)  were searched based on Boolean strings and filters (2020-2025, English, full-text). Search and screening </w:t>
      </w:r>
      <w:r>
        <w:rPr>
          <w:noProof/>
        </w:rPr>
        <w:t>criteria</w:t>
      </w:r>
      <w:r>
        <w:rPr>
          <w:noProof/>
        </w:rPr>
        <w:t xml:space="preserve"> were based on PRISMA flow structure (identification to screening to eligibility to inclusion) (Rethlefsen and Page, 2022). </w:t>
      </w:r>
    </w:p>
    <w:p>
      <w:pPr>
        <w:pStyle w:val="style0"/>
        <w:rPr>
          <w:noProof/>
        </w:rPr>
      </w:pPr>
      <w:r>
        <w:rPr>
          <w:noProof/>
        </w:rPr>
        <w:t xml:space="preserve">The plan was applicable to search organisational websites manually and citation chaining on included studies to identify policy reports or surveillance data that can be used to cast light on UK-specific trends (e.g. device-associated infection rates, AMR burden, readmission statistics). In a way to make retrieval activities capable of being duplicated, all dates or times of search, filters and exclusion reasons </w:t>
      </w:r>
      <w:r>
        <w:rPr>
          <w:noProof/>
        </w:rPr>
        <w:t>were</w:t>
      </w:r>
      <w:r>
        <w:rPr>
          <w:noProof/>
        </w:rPr>
        <w:t xml:space="preserve"> </w:t>
      </w:r>
      <w:r>
        <w:rPr>
          <w:noProof/>
        </w:rPr>
        <w:t>recorded. The intended final sample consist</w:t>
      </w:r>
      <w:r>
        <w:rPr>
          <w:noProof/>
        </w:rPr>
        <w:t xml:space="preserve">ed </w:t>
      </w:r>
      <w:r>
        <w:rPr>
          <w:noProof/>
        </w:rPr>
        <w:t xml:space="preserve"> of 11 high-quality and peer-reviewed articles directly relevant to the current context as per the PECO criteria.</w:t>
      </w:r>
    </w:p>
    <w:bookmarkStart w:id="57" w:name="_w2po4eld13l" w:colFirst="0" w:colLast="0"/>
    <w:bookmarkStart w:id="58" w:name="_Toc214912485"/>
    <w:bookmarkStart w:id="59" w:name="_Toc218894203"/>
    <w:bookmarkEnd w:id="57"/>
    <w:p>
      <w:pPr>
        <w:pStyle w:val="style3"/>
        <w:rPr>
          <w:noProof/>
        </w:rPr>
      </w:pPr>
      <w:r>
        <w:rPr>
          <w:noProof/>
        </w:rPr>
        <w:t>3.2.4 Design</w:t>
      </w:r>
      <w:bookmarkEnd w:id="58"/>
      <w:bookmarkEnd w:id="59"/>
    </w:p>
    <w:p>
      <w:pPr>
        <w:pStyle w:val="style0"/>
        <w:rPr>
          <w:noProof/>
        </w:rPr>
      </w:pPr>
      <w:r>
        <w:rPr>
          <w:noProof/>
        </w:rPr>
        <w:t xml:space="preserve">It is a  systematic literature review (SLR), </w:t>
      </w:r>
      <w:r>
        <w:rPr>
          <w:noProof/>
        </w:rPr>
        <w:t xml:space="preserve">research </w:t>
      </w:r>
      <w:r>
        <w:rPr>
          <w:noProof/>
        </w:rPr>
        <w:t>method , supported by data collected from secondary sources. Instead of carrying out primary data collection, the research synthesise</w:t>
      </w:r>
      <w:r>
        <w:rPr>
          <w:noProof/>
        </w:rPr>
        <w:t>d</w:t>
      </w:r>
      <w:r>
        <w:rPr>
          <w:noProof/>
        </w:rPr>
        <w:t xml:space="preserve"> available qualitative information in terms of narratives and thematic-based integration (Pownall, 2025). A </w:t>
      </w:r>
      <w:r>
        <w:rPr>
          <w:noProof/>
        </w:rPr>
        <w:t xml:space="preserve">secondary </w:t>
      </w:r>
      <w:r>
        <w:rPr>
          <w:noProof/>
        </w:rPr>
        <w:t>design is suitable because the research question focuses on the realms of the mechanisms, contextual drivers, and system-level implications. The review consider</w:t>
      </w:r>
      <w:r>
        <w:rPr>
          <w:noProof/>
        </w:rPr>
        <w:t>ed</w:t>
      </w:r>
      <w:r>
        <w:rPr>
          <w:noProof/>
        </w:rPr>
        <w:t xml:space="preserve"> certain descriptive details where possible (prevalence rates, readmission percentages) but interpret these within the framework of a qualitative thematic analysis to elucidate pathways (e.g. device-related infection to discharge to social care to reinfection to readmission). Following the SLR structure helps in reviewing contextual literary sources in a structured manner (Azarian </w:t>
      </w:r>
      <w:r>
        <w:rPr>
          <w:i/>
          <w:iCs/>
          <w:noProof/>
        </w:rPr>
        <w:t xml:space="preserve">et al., </w:t>
      </w:r>
      <w:r>
        <w:rPr>
          <w:noProof/>
        </w:rPr>
        <w:t xml:space="preserve">2023). </w:t>
      </w:r>
    </w:p>
    <w:p>
      <w:pPr>
        <w:pStyle w:val="style0"/>
        <w:rPr>
          <w:noProof/>
        </w:rPr>
      </w:pPr>
      <w:r>
        <w:rPr>
          <w:noProof/>
        </w:rPr>
        <w:t xml:space="preserve">The reasons why a mixed-method primary design or meta-analysis </w:t>
      </w:r>
      <w:r>
        <w:rPr>
          <w:noProof/>
        </w:rPr>
        <w:t>was</w:t>
      </w:r>
      <w:r>
        <w:rPr>
          <w:noProof/>
        </w:rPr>
        <w:t xml:space="preserve"> </w:t>
      </w:r>
      <w:r>
        <w:rPr>
          <w:noProof/>
        </w:rPr>
        <w:t xml:space="preserve">not adopted </w:t>
      </w:r>
      <w:r>
        <w:rPr>
          <w:noProof/>
        </w:rPr>
        <w:t xml:space="preserve">is </w:t>
      </w:r>
      <w:r>
        <w:rPr>
          <w:noProof/>
        </w:rPr>
        <w:t xml:space="preserve">because this research is expected to include studies that are heterogeneous in nature, </w:t>
      </w:r>
      <w:r>
        <w:rPr>
          <w:noProof/>
        </w:rPr>
        <w:t xml:space="preserve">different in outcomes and measurement windows (readmission windows vary, pathogens vary), which precludes the usefulness and validity of pooled quantitative synthesis. Rather, the narrative synthesis is beneficial to maintain the methodological heterogeneity and allow cross-study comparison and interpretation applicable to NHS and social care </w:t>
      </w:r>
      <w:r>
        <w:rPr>
          <w:noProof/>
        </w:rPr>
        <w:t xml:space="preserve">discussions </w:t>
      </w:r>
      <w:r>
        <w:rPr>
          <w:noProof/>
        </w:rPr>
        <w:t xml:space="preserve">. </w:t>
      </w:r>
      <w:r>
        <w:rPr>
          <w:noProof/>
        </w:rPr>
        <w:t xml:space="preserve"> This </w:t>
      </w:r>
      <w:r>
        <w:rPr>
          <w:noProof/>
        </w:rPr>
        <w:t>method focus also has the benefit of increasing speed and richness of thematic analysis within time constraint and size of selected article sample, hence the choice is justified (Saunders and Darabi, 2024).</w:t>
      </w:r>
    </w:p>
    <w:bookmarkStart w:id="60" w:name="_qxsev5rjk8l6" w:colFirst="0" w:colLast="0"/>
    <w:bookmarkStart w:id="61" w:name="_Toc214912486"/>
    <w:bookmarkStart w:id="62" w:name="_Toc218894204"/>
    <w:bookmarkEnd w:id="60"/>
    <w:p>
      <w:pPr>
        <w:pStyle w:val="style2"/>
        <w:rPr>
          <w:noProof/>
        </w:rPr>
      </w:pPr>
      <w:r>
        <w:rPr>
          <w:noProof/>
        </w:rPr>
        <w:t>3.3 Data Collection</w:t>
      </w:r>
      <w:bookmarkEnd w:id="61"/>
      <w:bookmarkEnd w:id="62"/>
    </w:p>
    <w:bookmarkStart w:id="63" w:name="_vydwfsvi8b1z" w:colFirst="0" w:colLast="0"/>
    <w:bookmarkStart w:id="64" w:name="_Toc214912487"/>
    <w:bookmarkStart w:id="65" w:name="_Toc218894205"/>
    <w:bookmarkEnd w:id="63"/>
    <w:p>
      <w:pPr>
        <w:pStyle w:val="style3"/>
        <w:rPr>
          <w:noProof/>
        </w:rPr>
      </w:pPr>
      <w:r>
        <w:rPr>
          <w:noProof/>
        </w:rPr>
        <w:t>3.3.1 Search Strategy</w:t>
      </w:r>
      <w:bookmarkEnd w:id="64"/>
      <w:bookmarkEnd w:id="65"/>
      <w:r>
        <w:rPr>
          <w:noProof/>
        </w:rPr>
        <w:t xml:space="preserve"> </w:t>
      </w:r>
    </w:p>
    <w:p>
      <w:pPr>
        <w:pStyle w:val="style0"/>
        <w:rPr>
          <w:noProof/>
        </w:rPr>
      </w:pPr>
      <w:r>
        <w:rPr>
          <w:noProof/>
        </w:rPr>
        <w:t xml:space="preserve">The search terms are joined together in the search strategy. The main terms are related to population (UK, NHS, adults), exposure (microbial infection, reinfection, specific pathogen), outcome (hospital readmission, rehospitalisation), and system implications (public health, social care, AMR). The databases were searched </w:t>
      </w:r>
      <w:r>
        <w:rPr>
          <w:noProof/>
        </w:rPr>
        <w:t xml:space="preserve">from </w:t>
      </w:r>
      <w:r>
        <w:rPr>
          <w:noProof/>
        </w:rPr>
        <w:t>Medline/ PubMed and Google Scholar</w:t>
      </w:r>
      <w:r>
        <w:rPr>
          <w:noProof/>
        </w:rPr>
        <w:t xml:space="preserve">. </w:t>
      </w:r>
      <w:r>
        <w:rPr>
          <w:noProof/>
        </w:rPr>
        <w:t>Filters used are English, 2015-2025, full-text. The examples of search and specific string are written down. Database searches are supplemented by citation chaining and hand-searching of reference lists and organisational websites (NHS England, UKHSA). Boolean search strings are considered for searching relevant source materials</w:t>
      </w:r>
      <w:r>
        <w:rPr>
          <w:i/>
          <w:iCs/>
          <w:noProof/>
        </w:rPr>
        <w:t>]</w:t>
      </w:r>
      <w:r>
        <w:rPr>
          <w:i/>
          <w:iCs/>
          <w:noProof/>
        </w:rPr>
        <w:t xml:space="preserve"> </w:t>
      </w:r>
      <w:r>
        <w:rPr>
          <w:noProof/>
        </w:rPr>
        <w:t>(refer to Table 3.2)</w:t>
      </w:r>
      <w:r>
        <w:rPr>
          <w:i/>
          <w:iCs/>
          <w:noProof/>
        </w:rPr>
        <w:t>.</w:t>
      </w:r>
      <w:r>
        <w:rPr>
          <w:i/>
          <w:iCs/>
          <w:noProof/>
        </w:rPr>
        <w:t xml:space="preserve"> </w:t>
      </w:r>
    </w:p>
    <w:tbl>
      <w:tblPr>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1635"/>
        <w:gridCol w:w="7215"/>
      </w:tblGrid>
      <w:tr>
        <w:trPr>
          <w:trHeight w:val="300" w:hRule="atLeast"/>
          <w:jc w:val="center"/>
        </w:trPr>
        <w:tc>
          <w:tcPr>
            <w:tcW w:w="163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pPr>
              <w:pStyle w:val="style0"/>
              <w:jc w:val="center"/>
              <w:rPr>
                <w:b/>
                <w:bCs/>
                <w:noProof/>
              </w:rPr>
            </w:pPr>
            <w:r>
              <w:rPr>
                <w:b/>
                <w:bCs/>
                <w:noProof/>
              </w:rPr>
              <w:t>Search String</w:t>
            </w:r>
          </w:p>
        </w:tc>
        <w:tc>
          <w:tcPr>
            <w:tcW w:w="721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pPr>
              <w:pStyle w:val="style0"/>
              <w:jc w:val="center"/>
              <w:rPr>
                <w:b/>
                <w:bCs/>
                <w:noProof/>
              </w:rPr>
            </w:pPr>
            <w:r>
              <w:rPr>
                <w:b/>
                <w:bCs/>
                <w:noProof/>
              </w:rPr>
              <w:t>Search Terms/ Sentences</w:t>
            </w:r>
          </w:p>
        </w:tc>
      </w:tr>
      <w:tr>
        <w:tblPrEx/>
        <w:trPr>
          <w:trHeight w:val="1350" w:hRule="atLeast"/>
          <w:jc w:val="center"/>
        </w:trPr>
        <w:tc>
          <w:tcPr>
            <w:tcW w:w="163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pPr>
              <w:pStyle w:val="style0"/>
              <w:rPr>
                <w:b/>
                <w:bCs/>
                <w:noProof/>
              </w:rPr>
            </w:pPr>
            <w:r>
              <w:rPr>
                <w:b/>
                <w:bCs/>
                <w:noProof/>
              </w:rPr>
              <w:t>1. “AND”</w:t>
            </w:r>
          </w:p>
        </w:tc>
        <w:tc>
          <w:tcPr>
            <w:tcW w:w="7215" w:type="dxa"/>
            <w:tcBorders>
              <w:top w:val="nil"/>
              <w:left w:val="nil"/>
              <w:bottom w:val="single" w:sz="7" w:space="0" w:color="000000"/>
              <w:right w:val="single" w:sz="7" w:space="0" w:color="000000"/>
            </w:tcBorders>
            <w:tcMar>
              <w:top w:w="0" w:type="dxa"/>
              <w:left w:w="100" w:type="dxa"/>
              <w:bottom w:w="0" w:type="dxa"/>
              <w:right w:w="100" w:type="dxa"/>
            </w:tcMar>
          </w:tcPr>
          <w:p>
            <w:pPr>
              <w:pStyle w:val="style0"/>
              <w:rPr>
                <w:noProof/>
              </w:rPr>
            </w:pPr>
            <w:r>
              <w:rPr>
                <w:noProof/>
              </w:rPr>
              <w:t>“microbial infection AND hospital readmission AND elderly patients”</w:t>
            </w:r>
          </w:p>
          <w:p>
            <w:pPr>
              <w:pStyle w:val="style0"/>
              <w:rPr>
                <w:noProof/>
              </w:rPr>
            </w:pPr>
            <w:r>
              <w:rPr>
                <w:noProof/>
              </w:rPr>
              <w:t>“UK healthcare AND rehospitalisation AND antimicrobial resistance”</w:t>
            </w:r>
          </w:p>
          <w:p>
            <w:pPr>
              <w:pStyle w:val="style0"/>
              <w:rPr>
                <w:noProof/>
              </w:rPr>
            </w:pPr>
            <w:r>
              <w:rPr>
                <w:noProof/>
              </w:rPr>
              <w:t>“care homes AND infection control AND repeat admissions”</w:t>
            </w:r>
          </w:p>
        </w:tc>
      </w:tr>
      <w:tr>
        <w:tblPrEx/>
        <w:trPr>
          <w:trHeight w:val="1350" w:hRule="atLeast"/>
          <w:jc w:val="center"/>
        </w:trPr>
        <w:tc>
          <w:tcPr>
            <w:tcW w:w="163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pPr>
              <w:pStyle w:val="style0"/>
              <w:rPr>
                <w:b/>
                <w:bCs/>
                <w:noProof/>
              </w:rPr>
            </w:pPr>
            <w:r>
              <w:rPr>
                <w:b/>
                <w:bCs/>
                <w:noProof/>
              </w:rPr>
              <w:t>2. “OR”</w:t>
            </w:r>
          </w:p>
        </w:tc>
        <w:tc>
          <w:tcPr>
            <w:tcW w:w="7215" w:type="dxa"/>
            <w:tcBorders>
              <w:top w:val="nil"/>
              <w:left w:val="nil"/>
              <w:bottom w:val="single" w:sz="7" w:space="0" w:color="000000"/>
              <w:right w:val="single" w:sz="7" w:space="0" w:color="000000"/>
            </w:tcBorders>
            <w:tcMar>
              <w:top w:w="0" w:type="dxa"/>
              <w:left w:w="100" w:type="dxa"/>
              <w:bottom w:w="0" w:type="dxa"/>
              <w:right w:w="100" w:type="dxa"/>
            </w:tcMar>
          </w:tcPr>
          <w:p>
            <w:pPr>
              <w:pStyle w:val="style0"/>
              <w:rPr>
                <w:noProof/>
              </w:rPr>
            </w:pPr>
            <w:r>
              <w:rPr>
                <w:noProof/>
              </w:rPr>
              <w:t>“rehospitalisation OR readmission OR unplanned return to hospital”</w:t>
            </w:r>
          </w:p>
          <w:p>
            <w:pPr>
              <w:pStyle w:val="style0"/>
              <w:rPr>
                <w:noProof/>
              </w:rPr>
            </w:pPr>
            <w:r>
              <w:rPr>
                <w:noProof/>
              </w:rPr>
              <w:t>“microbial infection OR bacterial infection OR pathogen-related illness”</w:t>
            </w:r>
          </w:p>
          <w:p>
            <w:pPr>
              <w:pStyle w:val="style0"/>
              <w:rPr>
                <w:noProof/>
              </w:rPr>
            </w:pPr>
            <w:r>
              <w:rPr>
                <w:noProof/>
              </w:rPr>
              <w:t>“adult social care OR community care OR long-term care facilities”</w:t>
            </w:r>
          </w:p>
        </w:tc>
      </w:tr>
      <w:tr>
        <w:tblPrEx/>
        <w:trPr>
          <w:trHeight w:val="1350" w:hRule="atLeast"/>
          <w:jc w:val="center"/>
        </w:trPr>
        <w:tc>
          <w:tcPr>
            <w:tcW w:w="163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pPr>
              <w:pStyle w:val="style0"/>
              <w:rPr>
                <w:b/>
                <w:bCs/>
                <w:noProof/>
              </w:rPr>
            </w:pPr>
            <w:r>
              <w:rPr>
                <w:b/>
                <w:bCs/>
                <w:noProof/>
              </w:rPr>
              <w:t>3. “NOT”</w:t>
            </w:r>
          </w:p>
        </w:tc>
        <w:tc>
          <w:tcPr>
            <w:tcW w:w="7215" w:type="dxa"/>
            <w:tcBorders>
              <w:top w:val="nil"/>
              <w:left w:val="nil"/>
              <w:bottom w:val="single" w:sz="7" w:space="0" w:color="000000"/>
              <w:right w:val="single" w:sz="7" w:space="0" w:color="000000"/>
            </w:tcBorders>
            <w:tcMar>
              <w:top w:w="0" w:type="dxa"/>
              <w:left w:w="100" w:type="dxa"/>
              <w:bottom w:w="0" w:type="dxa"/>
              <w:right w:w="100" w:type="dxa"/>
            </w:tcMar>
          </w:tcPr>
          <w:p>
            <w:pPr>
              <w:pStyle w:val="style0"/>
              <w:rPr>
                <w:noProof/>
              </w:rPr>
            </w:pPr>
            <w:r>
              <w:rPr>
                <w:noProof/>
              </w:rPr>
              <w:t>“hospital readmission NOT paediatrics”</w:t>
            </w:r>
          </w:p>
          <w:p>
            <w:pPr>
              <w:pStyle w:val="style0"/>
              <w:rPr>
                <w:noProof/>
              </w:rPr>
            </w:pPr>
            <w:r>
              <w:rPr>
                <w:noProof/>
              </w:rPr>
              <w:t>“microbial infections NOT veterinary studies”</w:t>
            </w:r>
          </w:p>
          <w:p>
            <w:pPr>
              <w:pStyle w:val="style0"/>
              <w:rPr>
                <w:noProof/>
              </w:rPr>
            </w:pPr>
            <w:r>
              <w:rPr>
                <w:noProof/>
              </w:rPr>
              <w:t>“UK healthcare NOT non-OECD countries”</w:t>
            </w:r>
          </w:p>
        </w:tc>
      </w:tr>
      <w:bookmarkStart w:id="66" w:name="_Toc217496786"/>
    </w:tbl>
    <w:p>
      <w:pPr>
        <w:pStyle w:val="style5"/>
        <w:rPr>
          <w:noProof/>
        </w:rPr>
      </w:pPr>
      <w:r>
        <w:rPr>
          <w:noProof/>
        </w:rPr>
        <w:t xml:space="preserve">Table 3.2: </w:t>
      </w:r>
      <w:r>
        <w:rPr>
          <w:noProof/>
        </w:rPr>
        <w:t xml:space="preserve">Example of </w:t>
      </w:r>
      <w:r>
        <w:rPr>
          <w:noProof/>
        </w:rPr>
        <w:t>Boolean Search Strings</w:t>
      </w:r>
      <w:bookmarkEnd w:id="66"/>
    </w:p>
    <w:p>
      <w:pPr>
        <w:pStyle w:val="style0"/>
        <w:rPr>
          <w:noProof/>
        </w:rPr>
      </w:pPr>
      <w:r>
        <w:rPr>
          <w:noProof/>
        </w:rPr>
        <w:t>Searches are to be screened and refined. All runs are recorded for PRISMA tracking so that the final selections can be done minutely as per inclusion terms.</w:t>
      </w:r>
    </w:p>
    <w:bookmarkStart w:id="67" w:name="_i004rb6srnc2" w:colFirst="0" w:colLast="0"/>
    <w:bookmarkStart w:id="68" w:name="_Toc214912488"/>
    <w:bookmarkStart w:id="69" w:name="_Toc218894206"/>
    <w:bookmarkEnd w:id="67"/>
    <w:p>
      <w:pPr>
        <w:pStyle w:val="style3"/>
        <w:rPr>
          <w:noProof/>
        </w:rPr>
      </w:pPr>
      <w:r>
        <w:rPr>
          <w:noProof/>
        </w:rPr>
        <w:t>3.3.2 Database Selection</w:t>
      </w:r>
      <w:bookmarkEnd w:id="68"/>
      <w:bookmarkEnd w:id="69"/>
      <w:r>
        <w:rPr>
          <w:noProof/>
        </w:rPr>
        <w:t xml:space="preserve"> </w:t>
      </w:r>
    </w:p>
    <w:p>
      <w:pPr>
        <w:pStyle w:val="style0"/>
        <w:rPr>
          <w:i/>
          <w:iCs/>
          <w:noProof/>
        </w:rPr>
      </w:pPr>
      <w:r>
        <w:rPr>
          <w:noProof/>
        </w:rPr>
        <w:t>PRISMA framework is applied to organise the process of selection and maintain flow reporting of studies. The results on applying the PRISMA framework are recorded in the flow diagram  presented in chapter 4</w:t>
      </w:r>
      <w:r>
        <w:rPr>
          <w:i/>
          <w:iCs/>
          <w:noProof/>
        </w:rPr>
        <w:t>.</w:t>
      </w:r>
    </w:p>
    <w:bookmarkStart w:id="70" w:name="_sfjshbv77gz1" w:colFirst="0" w:colLast="0"/>
    <w:bookmarkStart w:id="71" w:name="_Toc214912489"/>
    <w:bookmarkStart w:id="72" w:name="_Toc218894207"/>
    <w:bookmarkEnd w:id="70"/>
    <w:p>
      <w:pPr>
        <w:pStyle w:val="style3"/>
        <w:rPr>
          <w:noProof/>
        </w:rPr>
      </w:pPr>
      <w:r>
        <w:rPr>
          <w:noProof/>
        </w:rPr>
        <w:t>3.3.3 Inclusion and Exclusion Criteria</w:t>
      </w:r>
      <w:bookmarkEnd w:id="71"/>
      <w:bookmarkEnd w:id="72"/>
    </w:p>
    <w:p>
      <w:pPr>
        <w:pStyle w:val="style0"/>
        <w:rPr>
          <w:noProof/>
        </w:rPr>
      </w:pPr>
      <w:r>
        <w:rPr>
          <w:noProof/>
        </w:rPr>
        <w:t>The inclusion and exclusion criteria considered for article selection are as follows:</w:t>
      </w:r>
    </w:p>
    <w:tbl>
      <w:tblPr>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1695"/>
        <w:gridCol w:w="4110"/>
        <w:gridCol w:w="3060"/>
      </w:tblGrid>
      <w:tr>
        <w:trPr>
          <w:trHeight w:val="300" w:hRule="atLeast"/>
          <w:jc w:val="center"/>
        </w:trPr>
        <w:tc>
          <w:tcPr>
            <w:tcW w:w="16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pPr>
              <w:pStyle w:val="style0"/>
              <w:jc w:val="center"/>
              <w:rPr>
                <w:b/>
                <w:bCs/>
                <w:noProof/>
              </w:rPr>
            </w:pPr>
            <w:r>
              <w:rPr>
                <w:b/>
                <w:bCs/>
                <w:noProof/>
              </w:rPr>
              <w:t>Criterion</w:t>
            </w:r>
          </w:p>
        </w:tc>
        <w:tc>
          <w:tcPr>
            <w:tcW w:w="411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pPr>
              <w:pStyle w:val="style0"/>
              <w:jc w:val="center"/>
              <w:rPr>
                <w:b/>
                <w:bCs/>
                <w:noProof/>
              </w:rPr>
            </w:pPr>
            <w:r>
              <w:rPr>
                <w:b/>
                <w:bCs/>
                <w:noProof/>
              </w:rPr>
              <w:t>Inclusion</w:t>
            </w:r>
          </w:p>
        </w:tc>
        <w:tc>
          <w:tcPr>
            <w:tcW w:w="306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pPr>
              <w:pStyle w:val="style0"/>
              <w:jc w:val="center"/>
              <w:rPr>
                <w:b/>
                <w:bCs/>
                <w:noProof/>
              </w:rPr>
            </w:pPr>
            <w:r>
              <w:rPr>
                <w:b/>
                <w:bCs/>
                <w:noProof/>
              </w:rPr>
              <w:t>Exclusion</w:t>
            </w:r>
          </w:p>
        </w:tc>
      </w:tr>
      <w:tr>
        <w:tblPrEx/>
        <w:trPr>
          <w:trHeight w:val="585" w:hRule="atLeast"/>
          <w:jc w:val="center"/>
        </w:trPr>
        <w:tc>
          <w:tcPr>
            <w:tcW w:w="16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pPr>
              <w:pStyle w:val="style0"/>
              <w:jc w:val="center"/>
              <w:rPr>
                <w:noProof/>
              </w:rPr>
            </w:pPr>
            <w:r>
              <w:rPr>
                <w:noProof/>
              </w:rPr>
              <w:t>Population</w:t>
            </w:r>
          </w:p>
        </w:tc>
        <w:tc>
          <w:tcPr>
            <w:tcW w:w="4110" w:type="dxa"/>
            <w:tcBorders>
              <w:top w:val="nil"/>
              <w:left w:val="nil"/>
              <w:bottom w:val="single" w:sz="7" w:space="0" w:color="000000"/>
              <w:right w:val="single" w:sz="7" w:space="0" w:color="000000"/>
            </w:tcBorders>
            <w:tcMar>
              <w:top w:w="0" w:type="dxa"/>
              <w:left w:w="100" w:type="dxa"/>
              <w:bottom w:w="0" w:type="dxa"/>
              <w:right w:w="100" w:type="dxa"/>
            </w:tcMar>
          </w:tcPr>
          <w:p>
            <w:pPr>
              <w:pStyle w:val="style0"/>
              <w:rPr>
                <w:noProof/>
              </w:rPr>
            </w:pPr>
            <w:r>
              <w:rPr>
                <w:noProof/>
              </w:rPr>
              <w:t>Studies of UK adults (above 18 years) or UK-based datasets</w:t>
            </w:r>
          </w:p>
        </w:tc>
        <w:tc>
          <w:tcPr>
            <w:tcW w:w="3060" w:type="dxa"/>
            <w:tcBorders>
              <w:top w:val="nil"/>
              <w:left w:val="nil"/>
              <w:bottom w:val="single" w:sz="7" w:space="0" w:color="000000"/>
              <w:right w:val="single" w:sz="7" w:space="0" w:color="000000"/>
            </w:tcBorders>
            <w:tcMar>
              <w:top w:w="0" w:type="dxa"/>
              <w:left w:w="100" w:type="dxa"/>
              <w:bottom w:w="0" w:type="dxa"/>
              <w:right w:w="100" w:type="dxa"/>
            </w:tcMar>
          </w:tcPr>
          <w:p>
            <w:pPr>
              <w:pStyle w:val="style0"/>
              <w:rPr>
                <w:noProof/>
              </w:rPr>
            </w:pPr>
            <w:r>
              <w:rPr>
                <w:noProof/>
              </w:rPr>
              <w:t>Children, paediatric-only studies</w:t>
            </w:r>
          </w:p>
        </w:tc>
      </w:tr>
      <w:tr>
        <w:tblPrEx/>
        <w:trPr>
          <w:trHeight w:val="870" w:hRule="atLeast"/>
          <w:jc w:val="center"/>
        </w:trPr>
        <w:tc>
          <w:tcPr>
            <w:tcW w:w="16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pPr>
              <w:pStyle w:val="style0"/>
              <w:jc w:val="center"/>
              <w:rPr>
                <w:noProof/>
              </w:rPr>
            </w:pPr>
            <w:r>
              <w:rPr>
                <w:noProof/>
              </w:rPr>
              <w:t>Exposure</w:t>
            </w:r>
          </w:p>
        </w:tc>
        <w:tc>
          <w:tcPr>
            <w:tcW w:w="4110" w:type="dxa"/>
            <w:tcBorders>
              <w:top w:val="nil"/>
              <w:left w:val="nil"/>
              <w:bottom w:val="single" w:sz="7" w:space="0" w:color="000000"/>
              <w:right w:val="single" w:sz="7" w:space="0" w:color="000000"/>
            </w:tcBorders>
            <w:tcMar>
              <w:top w:w="0" w:type="dxa"/>
              <w:left w:w="100" w:type="dxa"/>
              <w:bottom w:w="0" w:type="dxa"/>
              <w:right w:w="100" w:type="dxa"/>
            </w:tcMar>
          </w:tcPr>
          <w:p>
            <w:pPr>
              <w:pStyle w:val="style0"/>
              <w:rPr>
                <w:noProof/>
              </w:rPr>
            </w:pPr>
            <w:r>
              <w:rPr>
                <w:noProof/>
              </w:rPr>
              <w:t>Microbial (bacterial, fungal, protozoal) infection, reinfection, HAI, device-associated infection</w:t>
            </w:r>
          </w:p>
        </w:tc>
        <w:tc>
          <w:tcPr>
            <w:tcW w:w="3060" w:type="dxa"/>
            <w:tcBorders>
              <w:top w:val="nil"/>
              <w:left w:val="nil"/>
              <w:bottom w:val="single" w:sz="7" w:space="0" w:color="000000"/>
              <w:right w:val="single" w:sz="7" w:space="0" w:color="000000"/>
            </w:tcBorders>
            <w:tcMar>
              <w:top w:w="0" w:type="dxa"/>
              <w:left w:w="100" w:type="dxa"/>
              <w:bottom w:w="0" w:type="dxa"/>
              <w:right w:w="100" w:type="dxa"/>
            </w:tcMar>
          </w:tcPr>
          <w:p>
            <w:pPr>
              <w:pStyle w:val="style0"/>
              <w:rPr>
                <w:noProof/>
              </w:rPr>
            </w:pPr>
            <w:r>
              <w:rPr>
                <w:noProof/>
              </w:rPr>
              <w:t>Viral-only studies (unless bacterial coinfection examined)</w:t>
            </w:r>
          </w:p>
        </w:tc>
      </w:tr>
      <w:tr>
        <w:tblPrEx/>
        <w:trPr>
          <w:trHeight w:val="1155" w:hRule="atLeast"/>
          <w:jc w:val="center"/>
        </w:trPr>
        <w:tc>
          <w:tcPr>
            <w:tcW w:w="16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pPr>
              <w:pStyle w:val="style0"/>
              <w:jc w:val="center"/>
              <w:rPr>
                <w:noProof/>
              </w:rPr>
            </w:pPr>
            <w:r>
              <w:rPr>
                <w:noProof/>
              </w:rPr>
              <w:t>Outcome</w:t>
            </w:r>
          </w:p>
        </w:tc>
        <w:tc>
          <w:tcPr>
            <w:tcW w:w="4110" w:type="dxa"/>
            <w:tcBorders>
              <w:top w:val="nil"/>
              <w:left w:val="nil"/>
              <w:bottom w:val="single" w:sz="7" w:space="0" w:color="000000"/>
              <w:right w:val="single" w:sz="7" w:space="0" w:color="000000"/>
            </w:tcBorders>
            <w:tcMar>
              <w:top w:w="0" w:type="dxa"/>
              <w:left w:w="100" w:type="dxa"/>
              <w:bottom w:w="0" w:type="dxa"/>
              <w:right w:w="100" w:type="dxa"/>
            </w:tcMar>
          </w:tcPr>
          <w:p>
            <w:pPr>
              <w:pStyle w:val="style0"/>
              <w:jc w:val="left"/>
              <w:rPr>
                <w:noProof/>
              </w:rPr>
            </w:pPr>
            <w:r>
              <w:rPr>
                <w:noProof/>
              </w:rPr>
              <w:t>Reported hospital readmission/</w:t>
            </w:r>
            <w:r>
              <w:rPr>
                <w:noProof/>
              </w:rPr>
              <w:t xml:space="preserve"> </w:t>
            </w:r>
            <w:r>
              <w:rPr>
                <w:noProof/>
              </w:rPr>
              <w:t>rehospitalisation outcomes or direct implications for social/public care</w:t>
            </w:r>
          </w:p>
        </w:tc>
        <w:tc>
          <w:tcPr>
            <w:tcW w:w="3060" w:type="dxa"/>
            <w:tcBorders>
              <w:top w:val="nil"/>
              <w:left w:val="nil"/>
              <w:bottom w:val="single" w:sz="7" w:space="0" w:color="000000"/>
              <w:right w:val="single" w:sz="7" w:space="0" w:color="000000"/>
            </w:tcBorders>
            <w:tcMar>
              <w:top w:w="0" w:type="dxa"/>
              <w:left w:w="100" w:type="dxa"/>
              <w:bottom w:w="0" w:type="dxa"/>
              <w:right w:w="100" w:type="dxa"/>
            </w:tcMar>
          </w:tcPr>
          <w:p>
            <w:pPr>
              <w:pStyle w:val="style0"/>
              <w:rPr>
                <w:noProof/>
              </w:rPr>
            </w:pPr>
            <w:r>
              <w:rPr>
                <w:noProof/>
              </w:rPr>
              <w:t>Studies without readmission or care-system implications</w:t>
            </w:r>
          </w:p>
        </w:tc>
      </w:tr>
      <w:tr>
        <w:tblPrEx/>
        <w:trPr>
          <w:trHeight w:val="870" w:hRule="atLeast"/>
          <w:jc w:val="center"/>
        </w:trPr>
        <w:tc>
          <w:tcPr>
            <w:tcW w:w="16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pPr>
              <w:pStyle w:val="style0"/>
              <w:jc w:val="center"/>
              <w:rPr>
                <w:noProof/>
              </w:rPr>
            </w:pPr>
            <w:r>
              <w:rPr>
                <w:noProof/>
              </w:rPr>
              <w:t>Date/Language</w:t>
            </w:r>
          </w:p>
        </w:tc>
        <w:tc>
          <w:tcPr>
            <w:tcW w:w="4110" w:type="dxa"/>
            <w:tcBorders>
              <w:top w:val="nil"/>
              <w:left w:val="nil"/>
              <w:bottom w:val="single" w:sz="7" w:space="0" w:color="000000"/>
              <w:right w:val="single" w:sz="7" w:space="0" w:color="000000"/>
            </w:tcBorders>
            <w:tcMar>
              <w:top w:w="0" w:type="dxa"/>
              <w:left w:w="100" w:type="dxa"/>
              <w:bottom w:w="0" w:type="dxa"/>
              <w:right w:w="100" w:type="dxa"/>
            </w:tcMar>
          </w:tcPr>
          <w:p>
            <w:pPr>
              <w:pStyle w:val="style0"/>
              <w:rPr>
                <w:noProof/>
              </w:rPr>
            </w:pPr>
            <w:r>
              <w:rPr>
                <w:noProof/>
              </w:rPr>
              <w:t>2015–2025, English, full text, DOI where possible</w:t>
            </w:r>
          </w:p>
        </w:tc>
        <w:tc>
          <w:tcPr>
            <w:tcW w:w="3060" w:type="dxa"/>
            <w:tcBorders>
              <w:top w:val="nil"/>
              <w:left w:val="nil"/>
              <w:bottom w:val="single" w:sz="7" w:space="0" w:color="000000"/>
              <w:right w:val="single" w:sz="7" w:space="0" w:color="000000"/>
            </w:tcBorders>
            <w:tcMar>
              <w:top w:w="0" w:type="dxa"/>
              <w:left w:w="100" w:type="dxa"/>
              <w:bottom w:w="0" w:type="dxa"/>
              <w:right w:w="100" w:type="dxa"/>
            </w:tcMar>
          </w:tcPr>
          <w:p>
            <w:pPr>
              <w:pStyle w:val="style0"/>
              <w:rPr>
                <w:noProof/>
              </w:rPr>
            </w:pPr>
            <w:r>
              <w:rPr>
                <w:noProof/>
              </w:rPr>
              <w:t>Pre-2015, non-English, inaccessible/full-text unavailable</w:t>
            </w:r>
          </w:p>
        </w:tc>
      </w:tr>
      <w:tr>
        <w:tblPrEx/>
        <w:trPr>
          <w:trHeight w:val="1155" w:hRule="atLeast"/>
          <w:jc w:val="center"/>
        </w:trPr>
        <w:tc>
          <w:tcPr>
            <w:tcW w:w="16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pPr>
              <w:pStyle w:val="style0"/>
              <w:jc w:val="center"/>
              <w:rPr>
                <w:noProof/>
              </w:rPr>
            </w:pPr>
            <w:r>
              <w:rPr>
                <w:noProof/>
              </w:rPr>
              <w:t>Study type</w:t>
            </w:r>
          </w:p>
        </w:tc>
        <w:tc>
          <w:tcPr>
            <w:tcW w:w="4110" w:type="dxa"/>
            <w:tcBorders>
              <w:top w:val="nil"/>
              <w:left w:val="nil"/>
              <w:bottom w:val="single" w:sz="7" w:space="0" w:color="000000"/>
              <w:right w:val="single" w:sz="7" w:space="0" w:color="000000"/>
            </w:tcBorders>
            <w:tcMar>
              <w:top w:w="0" w:type="dxa"/>
              <w:left w:w="100" w:type="dxa"/>
              <w:bottom w:w="0" w:type="dxa"/>
              <w:right w:w="100" w:type="dxa"/>
            </w:tcMar>
          </w:tcPr>
          <w:p>
            <w:pPr>
              <w:pStyle w:val="style0"/>
              <w:jc w:val="left"/>
              <w:rPr>
                <w:noProof/>
              </w:rPr>
            </w:pPr>
            <w:r>
              <w:rPr>
                <w:noProof/>
              </w:rPr>
              <w:t>Peer-reviewed empirical studies, systematic reviews, high-quality policy/grey reports, qualitative studies</w:t>
            </w:r>
          </w:p>
        </w:tc>
        <w:tc>
          <w:tcPr>
            <w:tcW w:w="3060" w:type="dxa"/>
            <w:tcBorders>
              <w:top w:val="nil"/>
              <w:left w:val="nil"/>
              <w:bottom w:val="single" w:sz="7" w:space="0" w:color="000000"/>
              <w:right w:val="single" w:sz="7" w:space="0" w:color="000000"/>
            </w:tcBorders>
            <w:tcMar>
              <w:top w:w="0" w:type="dxa"/>
              <w:left w:w="100" w:type="dxa"/>
              <w:bottom w:w="0" w:type="dxa"/>
              <w:right w:w="100" w:type="dxa"/>
            </w:tcMar>
          </w:tcPr>
          <w:p>
            <w:pPr>
              <w:pStyle w:val="style0"/>
              <w:rPr>
                <w:noProof/>
              </w:rPr>
            </w:pPr>
            <w:r>
              <w:rPr>
                <w:noProof/>
              </w:rPr>
              <w:t>Opinion pieces without empirical data, conference abstracts lacking full text, solely quantitative data</w:t>
            </w:r>
          </w:p>
        </w:tc>
      </w:tr>
      <w:bookmarkStart w:id="73" w:name="_Toc217496787"/>
    </w:tbl>
    <w:p>
      <w:pPr>
        <w:pStyle w:val="style5"/>
        <w:rPr>
          <w:noProof/>
        </w:rPr>
      </w:pPr>
      <w:r>
        <w:rPr>
          <w:noProof/>
        </w:rPr>
        <w:t>Table 3.3: Inclusion and Exclusion Criteria</w:t>
      </w:r>
      <w:bookmarkEnd w:id="73"/>
    </w:p>
    <w:p>
      <w:pPr>
        <w:pStyle w:val="style0"/>
        <w:jc w:val="center"/>
        <w:rPr>
          <w:noProof/>
        </w:rPr>
      </w:pPr>
    </w:p>
    <w:bookmarkStart w:id="74" w:name="_fe7idufdcowp" w:colFirst="0" w:colLast="0"/>
    <w:bookmarkStart w:id="75" w:name="_Toc214912490"/>
    <w:bookmarkStart w:id="76" w:name="_Toc218894208"/>
    <w:bookmarkEnd w:id="74"/>
    <w:p>
      <w:pPr>
        <w:pStyle w:val="style2"/>
        <w:rPr>
          <w:noProof/>
        </w:rPr>
      </w:pPr>
      <w:r>
        <w:rPr>
          <w:noProof/>
        </w:rPr>
        <w:t>3.4 Data Analysis</w:t>
      </w:r>
      <w:bookmarkEnd w:id="75"/>
      <w:bookmarkEnd w:id="76"/>
    </w:p>
    <w:p>
      <w:pPr>
        <w:pStyle w:val="style0"/>
        <w:rPr>
          <w:noProof/>
        </w:rPr>
      </w:pPr>
      <w:r>
        <w:rPr>
          <w:noProof/>
        </w:rPr>
        <w:t>The data analysis focuses on the thematic analysis  approach by  Braun and Clarke (2022) (coding of results, descriptive theme development, generation of analytic themes) to incorporate qualitative results in an interpretative structure. Stage 1 is familiarisation and coding where full texts are read and findings pertaining to PECO). Codes were identified in categories (e.g., type of pathogen; source of infection community, device-associated, post-surgical; readmission duration; AMR indicators; infection-control breaches; social care) and are deductively used. Stage 2 included the descriptive theme development where the codes are bundled up as themes summarising recurrent patterns within the studies (e.g., device-associated bloodstream infections increase 30 day readmissions, post-discharge social-care gaps increase risk of reinfection). Stage 3 is analytic synthesis where descriptive themes are probed to generate the higher-level analytic themes that fulfill the objectives of the review (e.g., mechanisms of connecting infection to readmission; system vulnerabilities to discharge pathways; implications of the resources on social care)</w:t>
      </w:r>
      <w:r>
        <w:rPr>
          <w:noProof/>
        </w:rPr>
        <w:t xml:space="preserve"> </w:t>
      </w:r>
      <w:r>
        <w:rPr>
          <w:noProof/>
          <w:color w:val="ee0000"/>
        </w:rPr>
        <w:t>(</w:t>
      </w:r>
      <w:r>
        <w:rPr>
          <w:noProof/>
          <w:color w:val="ee0000"/>
        </w:rPr>
        <w:t>McGowan</w:t>
      </w:r>
      <w:r>
        <w:rPr>
          <w:noProof/>
          <w:color w:val="ee0000"/>
        </w:rPr>
        <w:t xml:space="preserve"> </w:t>
      </w:r>
      <w:r>
        <w:rPr>
          <w:i/>
          <w:iCs/>
          <w:noProof/>
          <w:color w:val="ee0000"/>
        </w:rPr>
        <w:t xml:space="preserve">et al. </w:t>
      </w:r>
      <w:r>
        <w:rPr>
          <w:noProof/>
          <w:color w:val="ee0000"/>
        </w:rPr>
        <w:t>2020)</w:t>
      </w:r>
      <w:r>
        <w:rPr>
          <w:noProof/>
        </w:rPr>
        <w:t>.</w:t>
      </w:r>
      <w:r>
        <w:rPr>
          <w:noProof/>
        </w:rPr>
        <w:t xml:space="preserve"> </w:t>
      </w:r>
      <w:r>
        <w:rPr>
          <w:noProof/>
        </w:rPr>
        <w:t xml:space="preserve"> </w:t>
      </w:r>
    </w:p>
    <w:p>
      <w:pPr>
        <w:pStyle w:val="style0"/>
        <w:rPr>
          <w:noProof/>
        </w:rPr>
      </w:pPr>
      <w:r>
        <w:rPr>
          <w:noProof/>
        </w:rPr>
        <w:t xml:space="preserve">Reporting </w:t>
      </w:r>
      <w:r>
        <w:rPr>
          <w:noProof/>
        </w:rPr>
        <w:t>was</w:t>
      </w:r>
      <w:r>
        <w:rPr>
          <w:noProof/>
        </w:rPr>
        <w:t xml:space="preserve"> done in the form of tables containing qualitative (prevalence, readmission patterns, relative risks) results and an interpretation of data to describe the extent and inference other than a meta-analytic merging due to heterogeneity of outcomes measures and designs. The quality of included studies </w:t>
      </w:r>
      <w:r>
        <w:rPr>
          <w:noProof/>
        </w:rPr>
        <w:t xml:space="preserve"> were</w:t>
      </w:r>
      <w:r>
        <w:rPr>
          <w:noProof/>
        </w:rPr>
        <w:t xml:space="preserve"> appraised using the CASP (Critical Appraisal Skills Programme) tool. </w:t>
      </w:r>
    </w:p>
    <w:bookmarkStart w:id="77" w:name="_uvnr65u4blmd" w:colFirst="0" w:colLast="0"/>
    <w:bookmarkStart w:id="78" w:name="_Toc214912491"/>
    <w:bookmarkStart w:id="79" w:name="_Toc218894209"/>
    <w:bookmarkEnd w:id="77"/>
    <w:p>
      <w:pPr>
        <w:pStyle w:val="style2"/>
        <w:rPr>
          <w:noProof/>
        </w:rPr>
      </w:pPr>
      <w:r>
        <w:rPr>
          <w:noProof/>
        </w:rPr>
        <w:t>3.5 Quality Appraisal</w:t>
      </w:r>
      <w:bookmarkEnd w:id="78"/>
      <w:bookmarkEnd w:id="79"/>
    </w:p>
    <w:p>
      <w:pPr>
        <w:pStyle w:val="style0"/>
        <w:rPr>
          <w:noProof/>
        </w:rPr>
      </w:pPr>
      <w:r>
        <w:rPr>
          <w:noProof/>
        </w:rPr>
        <w:t xml:space="preserve">Methodological rigour and relevance are to be determined using the Critical Appraisal Skills Programme (CASP) checklists, applied to the included studies. CASP is selected because it is transparent, relevant to all kinds of qualitative and mixed-method research. It also puts an emphasis on validity, relevance and transferability, which is critical in informing a policy of population health (Campbell </w:t>
      </w:r>
      <w:r>
        <w:rPr>
          <w:i/>
          <w:iCs/>
          <w:noProof/>
        </w:rPr>
        <w:t xml:space="preserve">et al., </w:t>
      </w:r>
      <w:r>
        <w:rPr>
          <w:noProof/>
        </w:rPr>
        <w:t xml:space="preserve">2024). In the case of observational studies, the bias, confounding, measurement validity, and descriptive reporting can be assessed using either adapted CASP checklists. The individual studies </w:t>
      </w:r>
      <w:r>
        <w:rPr>
          <w:noProof/>
        </w:rPr>
        <w:t>were</w:t>
      </w:r>
      <w:r>
        <w:rPr>
          <w:noProof/>
        </w:rPr>
        <w:t xml:space="preserve"> carefully appraised (with a structured summary of strengths, limitations, general confidence) and scored in a categorical system (high / moderate / low confidence). </w:t>
      </w:r>
    </w:p>
    <w:bookmarkStart w:id="80" w:name="_q1xlprn69b4q" w:colFirst="0" w:colLast="0"/>
    <w:bookmarkStart w:id="81" w:name="_mu8qi350333w" w:colFirst="0" w:colLast="0"/>
    <w:bookmarkStart w:id="82" w:name="_Toc214912493"/>
    <w:bookmarkStart w:id="83" w:name="_Toc218894210"/>
    <w:bookmarkEnd w:id="80"/>
    <w:bookmarkEnd w:id="81"/>
    <w:p>
      <w:pPr>
        <w:pStyle w:val="style2"/>
        <w:rPr>
          <w:noProof/>
        </w:rPr>
      </w:pPr>
      <w:r>
        <w:rPr>
          <w:noProof/>
        </w:rPr>
        <w:t>3.</w:t>
      </w:r>
      <w:r>
        <w:rPr>
          <w:noProof/>
        </w:rPr>
        <w:t>6</w:t>
      </w:r>
      <w:r>
        <w:rPr>
          <w:noProof/>
        </w:rPr>
        <w:t xml:space="preserve"> Ethical Considerations</w:t>
      </w:r>
      <w:bookmarkEnd w:id="82"/>
      <w:bookmarkEnd w:id="83"/>
    </w:p>
    <w:p>
      <w:pPr>
        <w:pStyle w:val="style0"/>
        <w:rPr>
          <w:noProof/>
        </w:rPr>
      </w:pPr>
      <w:r>
        <w:rPr>
          <w:noProof/>
        </w:rPr>
        <w:t>The current study used a Systematic Review following a a secondary review design which means that there is no close interaction with patients, staff or service users. Since all the information is published in research works that have already passed an ethical decision, the risk of ethical concerns is low. Nonetheless, there are certain ethical principles to adhere to . To begin with, the review  avoided  bias in its treatment to the studies and give false information that cannot represent their conclusions (</w:t>
      </w:r>
      <w:r>
        <w:rPr>
          <w:color w:val="ee0000"/>
        </w:rPr>
        <w:t xml:space="preserve">Nii </w:t>
      </w:r>
      <w:r>
        <w:rPr>
          <w:color w:val="ee0000"/>
        </w:rPr>
        <w:t>Laryeafio</w:t>
      </w:r>
      <w:r>
        <w:rPr>
          <w:color w:val="ee0000"/>
        </w:rPr>
        <w:t xml:space="preserve">, and </w:t>
      </w:r>
      <w:r>
        <w:rPr>
          <w:color w:val="ee0000"/>
        </w:rPr>
        <w:t>Ogbewe</w:t>
      </w:r>
      <w:r>
        <w:rPr>
          <w:color w:val="ee0000"/>
        </w:rPr>
        <w:t>, 2023</w:t>
      </w:r>
      <w:r>
        <w:rPr>
          <w:noProof/>
        </w:rPr>
        <w:t>). The research used  proper reporting, stating and transparent discussion of the strengths and weaknesses. Second, as the issue concerns the risk to health and rehospitalisation, the review was very attentive to the handling of vulnerable populations avoiding accusations and  biased presuppositions about patients, particularly elderly people and individuals under social treatment. Third, ethical practice cannot be managed without transparency, i.e. all search strategies, inclusion criteria and analytical decisions were recorded so that the readers can understand how the ultimate conclusions were drawn. Lastly, it also the duty of the reviewer provided evidence that may help improve policy structures and care practices in the UK, but not to over-state the results or over-claim what the data shows. With adherence to these principles, the study  followed  ethics and honesty to the moral obligation of scholarly research (</w:t>
      </w:r>
      <w:r>
        <w:rPr>
          <w:color w:val="ee0000"/>
        </w:rPr>
        <w:t>Fongang, 2023</w:t>
      </w:r>
      <w:r>
        <w:rPr>
          <w:noProof/>
        </w:rPr>
        <w:t>).</w:t>
      </w:r>
    </w:p>
    <w:bookmarkStart w:id="84" w:name="_Toc214912492"/>
    <w:bookmarkStart w:id="85" w:name="_Toc218894211"/>
    <w:p>
      <w:pPr>
        <w:pStyle w:val="style2"/>
        <w:rPr>
          <w:noProof/>
        </w:rPr>
      </w:pPr>
      <w:r>
        <w:rPr>
          <w:noProof/>
        </w:rPr>
        <w:t>3.7 Methodological Limitations</w:t>
      </w:r>
      <w:bookmarkEnd w:id="84"/>
      <w:bookmarkEnd w:id="85"/>
    </w:p>
    <w:p>
      <w:pPr>
        <w:pStyle w:val="style0"/>
        <w:rPr>
          <w:noProof/>
        </w:rPr>
      </w:pPr>
      <w:r>
        <w:rPr>
          <w:noProof/>
        </w:rPr>
        <w:t xml:space="preserve">There are a number of limitations associated with this review. First, it is only based on the existing </w:t>
      </w:r>
      <w:r>
        <w:rPr>
          <w:noProof/>
        </w:rPr>
        <w:t xml:space="preserve">11 </w:t>
      </w:r>
      <w:r>
        <w:rPr>
          <w:noProof/>
        </w:rPr>
        <w:t xml:space="preserve">published studies thus, the quality of the review is dependent on the quality, clarity and extent of the earlier research. In case significant information was left out or not reported correctly in those studies, then it restricts the extent to which their results could be interpreted. Second, the papers in this field have varying designs, definitions, and outcome measures. This complicates the direct comparison of the results and may dilute the overall conclusions. Third, the review only covers the works published in English and selected databases only, and thus certain applicable studies might have been overlooked. Fourth, due to the interpretivist nature of the review, the analysis is based on judgements and interpretations, which can introduce a certain bias of the researcher, even in his attempt to remain systematic and transparent. Lastly, the review concentrates on evidence that is applicable to the UK, hence the results of other healthcare systems might not necessarily apply well. </w:t>
      </w:r>
    </w:p>
    <w:bookmarkStart w:id="86" w:name="_elc9yycjdq31" w:colFirst="0" w:colLast="0"/>
    <w:bookmarkStart w:id="87" w:name="_Toc214912494"/>
    <w:bookmarkStart w:id="88" w:name="_Toc218894212"/>
    <w:bookmarkEnd w:id="86"/>
    <w:p>
      <w:pPr>
        <w:pStyle w:val="style2"/>
        <w:rPr>
          <w:noProof/>
        </w:rPr>
      </w:pPr>
      <w:r>
        <w:rPr>
          <w:noProof/>
        </w:rPr>
        <w:t xml:space="preserve">3.8 </w:t>
      </w:r>
      <w:r>
        <w:t>Chapter</w:t>
      </w:r>
      <w:r>
        <w:rPr>
          <w:noProof/>
        </w:rPr>
        <w:t xml:space="preserve"> Summary</w:t>
      </w:r>
      <w:bookmarkEnd w:id="87"/>
      <w:bookmarkEnd w:id="88"/>
    </w:p>
    <w:p>
      <w:pPr>
        <w:pStyle w:val="style0"/>
        <w:rPr>
          <w:noProof/>
        </w:rPr>
      </w:pPr>
      <w:r>
        <w:rPr>
          <w:noProof/>
        </w:rPr>
        <w:t xml:space="preserve">The approaches employed to conduct the review are outlined in this chapter. It described the interpretivist approach, search strategy, inclusion and exclusion criteria as well as how data are extracted and analysed. The methods used in the evaluation of the quality of evidence and comparing and interpreting various findings are also described in the chapter. It indicated the principal drawbacks of the method, including only usage of published literature and the fact that there are different research designs offering varied outcomes. In general, the chapter reviews the methodical process that is to be applied in the following chapter for critical interpretation of </w:t>
      </w:r>
      <w:r>
        <w:rPr>
          <w:noProof/>
        </w:rPr>
        <w:t xml:space="preserve">the literature exploring </w:t>
      </w:r>
      <w:r>
        <w:rPr>
          <w:noProof/>
        </w:rPr>
        <w:t>causes of microbial rehospitalisation.</w:t>
      </w:r>
      <w:r>
        <w:tab/>
      </w:r>
      <w:r>
        <w:rPr>
          <w:i/>
        </w:rPr>
        <w:t xml:space="preserve"> </w:t>
      </w:r>
    </w:p>
    <w:p>
      <w:pPr>
        <w:pStyle w:val="style0"/>
        <w:rPr>
          <w:rFonts w:eastAsia="Times New Roman"/>
          <w:b/>
          <w:sz w:val="24"/>
        </w:rPr>
      </w:pPr>
      <w:r>
        <w:br w:type="page"/>
      </w:r>
    </w:p>
    <w:bookmarkStart w:id="89" w:name="_Toc214575508"/>
    <w:bookmarkStart w:id="90" w:name="_Toc218894213"/>
    <w:p>
      <w:pPr>
        <w:pStyle w:val="style1"/>
        <w:ind w:left="12" w:right="1"/>
        <w:rPr>
          <w:rFonts w:cs="Arial"/>
        </w:rPr>
      </w:pPr>
      <w:r>
        <w:rPr>
          <w:rFonts w:cs="Arial"/>
        </w:rPr>
        <w:t>Chapter 4: Results</w:t>
      </w:r>
      <w:bookmarkEnd w:id="89"/>
      <w:bookmarkEnd w:id="90"/>
      <w:r>
        <w:rPr>
          <w:rFonts w:cs="Arial"/>
        </w:rPr>
        <w:t xml:space="preserve"> </w:t>
      </w:r>
    </w:p>
    <w:bookmarkStart w:id="91" w:name="_Toc218894214"/>
    <w:p>
      <w:pPr>
        <w:pStyle w:val="style2"/>
        <w:rPr/>
      </w:pPr>
      <w:r>
        <w:t xml:space="preserve">4.1 </w:t>
      </w:r>
      <w:r>
        <w:t>Chapter introduction</w:t>
      </w:r>
      <w:bookmarkEnd w:id="91"/>
      <w:r>
        <w:t xml:space="preserve"> </w:t>
      </w:r>
    </w:p>
    <w:p>
      <w:pPr>
        <w:pStyle w:val="style0"/>
        <w:rPr/>
      </w:pPr>
      <w:r>
        <w:t xml:space="preserve">The​‍​‌‍​‍‌ </w:t>
      </w:r>
      <w:r>
        <w:t>chapter</w:t>
      </w:r>
      <w:r>
        <w:t xml:space="preserve"> </w:t>
      </w:r>
      <w:r>
        <w:t>illustrates</w:t>
      </w:r>
      <w:r>
        <w:t xml:space="preserve"> on findings of systematic review which was directed by objective of investigating role of microbial infections in adult rehospitalisation in UK </w:t>
      </w:r>
      <w:r>
        <w:t>and</w:t>
      </w:r>
      <w:r>
        <w:t xml:space="preserve"> consequential public health and social care impacts. The outcomes are arranged thematically and are backed up with </w:t>
      </w:r>
      <w:r>
        <w:t xml:space="preserve">summary </w:t>
      </w:r>
      <w:r>
        <w:t xml:space="preserve">tables </w:t>
      </w:r>
      <w:r>
        <w:t xml:space="preserve">based on selected articles </w:t>
      </w:r>
      <w:r>
        <w:t>and quality appraisal results. The findings are a direct representation of structured search strategy described in Chapter 3</w:t>
      </w:r>
      <w:r>
        <w:t>;</w:t>
      </w:r>
      <w:r>
        <w:t xml:space="preserve"> thus, the evidence that has been included is appropriate, up-to-date, and in harmony with the research ​‍​‌‍​‍‌objectives.</w:t>
      </w:r>
    </w:p>
    <w:bookmarkStart w:id="92" w:name="_Toc218894215"/>
    <w:p>
      <w:pPr>
        <w:pStyle w:val="style2"/>
        <w:rPr/>
      </w:pPr>
      <w:r>
        <w:t>4.2 Study identification and selection process using PRISMA</w:t>
      </w:r>
      <w:bookmarkEnd w:id="92"/>
      <w:r>
        <w:t xml:space="preserve"> </w:t>
      </w:r>
    </w:p>
    <w:p>
      <w:pPr>
        <w:pStyle w:val="style0"/>
        <w:rPr/>
      </w:pPr>
      <w:r>
        <w:t>Reliability​‍​‌‍​‍‌ and relevance of the study selection were ensured through a structured and transparent PRISMA approach</w:t>
      </w:r>
      <w:r>
        <w:t xml:space="preserve"> (</w:t>
      </w:r>
      <w:r>
        <w:rPr>
          <w:color w:val="000000"/>
        </w:rPr>
        <w:t xml:space="preserve">Sarkis-Onofre </w:t>
      </w:r>
      <w:r>
        <w:rPr>
          <w:i/>
          <w:iCs/>
          <w:color w:val="000000"/>
        </w:rPr>
        <w:t xml:space="preserve">et al. </w:t>
      </w:r>
      <w:r>
        <w:rPr>
          <w:color w:val="000000"/>
        </w:rPr>
        <w:t>2021</w:t>
      </w:r>
      <w:r>
        <w:t>)</w:t>
      </w:r>
      <w:r>
        <w:t>. The database searches in Medline/PubMed and Google Scholar yielded 1,028 records. Besides, 320 records were located from the websites of organisations and sector reports. After duplicates were removed, there were 888 records left for screening.</w:t>
      </w:r>
      <w:r>
        <w:t xml:space="preserve"> </w:t>
      </w:r>
      <w:r>
        <w:t xml:space="preserve">In the screening phase, the records were filtered out that were not peer-reviewed, non-English, and those that were published prior to 2015. </w:t>
      </w:r>
      <w:r>
        <w:t xml:space="preserve">This caused the removal of 708 records. Therefore, 180 full-text articles were </w:t>
      </w:r>
      <w:r>
        <w:t>considered based on their eligibility in alignment with microbial infection and rate of rehospitalisation</w:t>
      </w:r>
      <w:r>
        <w:t xml:space="preserve">. At this point, 147 articles were </w:t>
      </w:r>
      <w:r>
        <w:t>omitted</w:t>
      </w:r>
      <w:r>
        <w:t xml:space="preserve"> because they were</w:t>
      </w:r>
      <w:r>
        <w:t xml:space="preserve"> not being alignment with the research purposes and their data are not associated with </w:t>
      </w:r>
      <w:r>
        <w:t>infection-related readmissions.</w:t>
      </w:r>
    </w:p>
    <w:p>
      <w:pPr>
        <w:pStyle w:val="style0"/>
        <w:rPr/>
      </w:pPr>
      <w:r>
        <w:t>Finally</w:t>
      </w:r>
      <w:r>
        <w:t xml:space="preserve">, 11 </w:t>
      </w:r>
      <w:r>
        <w:t xml:space="preserve">articles were considered as final selection, where </w:t>
      </w:r>
      <w:r>
        <w:t>all the requirements for inclusion</w:t>
      </w:r>
      <w:r>
        <w:t xml:space="preserve"> and exclusion criteria were met</w:t>
      </w:r>
      <w:r>
        <w:t xml:space="preserve"> and incorporated into qualitative synthesis. These papers were the ones that researched microbial infections, adult rehospitalisation in the UK, and the effects on public health or social care. </w:t>
      </w:r>
      <w:r>
        <w:t xml:space="preserve">The PRISMA flow chart depicts every stage of identification, screening, eligibility and inclusion accordingly, hence, maintaining the transparency and replicability of the review process. </w:t>
      </w:r>
    </w:p>
    <w:p>
      <w:pPr>
        <w:pStyle w:val="style0"/>
        <w:spacing w:after="169"/>
        <w:jc w:val="center"/>
        <w:rPr>
          <w:b/>
          <w:bCs/>
        </w:rPr>
      </w:pPr>
      <w:r>
        <w:rPr>
          <w:noProof/>
          <w:lang w:eastAsia="en-US"/>
        </w:rPr>
        <w:drawing>
          <wp:inline distL="0" distT="0" distB="0" distR="0">
            <wp:extent cx="5295900" cy="4867275"/>
            <wp:effectExtent l="0" t="0" r="0" b="0"/>
            <wp:docPr id="1032"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rcRect l="0" t="0" r="0" b="0"/>
                    <a:stretch/>
                  </pic:blipFill>
                  <pic:spPr>
                    <a:xfrm rot="0">
                      <a:off x="0" y="0"/>
                      <a:ext cx="5295900" cy="4867275"/>
                    </a:xfrm>
                    <a:prstGeom prst="rect"/>
                    <a:ln cmpd="sng" cap="flat" w="9525">
                      <a:solidFill>
                        <a:srgbClr val="000000"/>
                      </a:solidFill>
                      <a:prstDash val="solid"/>
                      <a:round/>
                      <a:headEnd len="med" w="med" type="none"/>
                      <a:tailEnd len="med" w="med" type="none"/>
                    </a:ln>
                  </pic:spPr>
                </pic:pic>
              </a:graphicData>
            </a:graphic>
          </wp:inline>
        </w:drawing>
      </w:r>
    </w:p>
    <w:bookmarkStart w:id="93" w:name="_Toc217496785"/>
    <w:p>
      <w:pPr>
        <w:pStyle w:val="style4"/>
        <w:rPr/>
      </w:pPr>
      <w:r>
        <w:t>Figure 4.1: PRISMA Flow Diagram</w:t>
      </w:r>
      <w:bookmarkEnd w:id="93"/>
    </w:p>
    <w:p>
      <w:pPr>
        <w:pStyle w:val="style0"/>
        <w:rPr/>
      </w:pPr>
    </w:p>
    <w:p>
      <w:pPr>
        <w:pStyle w:val="style0"/>
        <w:rPr/>
      </w:pPr>
    </w:p>
    <w:bookmarkStart w:id="94" w:name="_Toc218894216"/>
    <w:p>
      <w:pPr>
        <w:pStyle w:val="style2"/>
        <w:rPr/>
      </w:pPr>
      <w:r>
        <w:t xml:space="preserve">4.3 </w:t>
      </w:r>
      <w:r>
        <w:t>Overview of selected articles</w:t>
      </w:r>
      <w:bookmarkEnd w:id="94"/>
      <w:r>
        <w:t xml:space="preserve"> </w:t>
      </w:r>
    </w:p>
    <w:p>
      <w:pPr>
        <w:pStyle w:val="style0"/>
        <w:rPr>
          <w:color w:val="ee0000"/>
        </w:rPr>
      </w:pPr>
      <w:r>
        <w:rPr>
          <w:color w:val="ee0000"/>
        </w:rPr>
        <w:t>This table neatly organizes main aspects of 11 studies involved in the systematic literature review. It lists the aims from different facets, such as study design, population, infection focus along with key findings and limitations. Overall, the table serves as the evidence of microbial infections being a major contributor to adult rehospitalisation. Besides, it indicates how the recurring problems in discharge planning, antimicrobial management, and health social care integration remain practically unaddressed in the UK.</w:t>
      </w:r>
    </w:p>
    <w:tbl>
      <w:tblPr>
        <w:tblStyle w:val="style154"/>
        <w:tblW w:w="0" w:type="auto"/>
        <w:tblLook w:val="04A0" w:firstRow="1" w:lastRow="0" w:firstColumn="1" w:lastColumn="0" w:noHBand="0" w:noVBand="1"/>
      </w:tblPr>
      <w:tblGrid>
        <w:gridCol w:w="890"/>
        <w:gridCol w:w="568"/>
        <w:gridCol w:w="890"/>
        <w:gridCol w:w="398"/>
        <w:gridCol w:w="738"/>
        <w:gridCol w:w="486"/>
        <w:gridCol w:w="414"/>
        <w:gridCol w:w="536"/>
        <w:gridCol w:w="890"/>
        <w:gridCol w:w="838"/>
        <w:gridCol w:w="807"/>
        <w:gridCol w:w="645"/>
        <w:gridCol w:w="1136"/>
      </w:tblGrid>
      <w:tr>
        <w:trPr>
          <w:trHeight w:val="288" w:hRule="atLeast"/>
        </w:trPr>
        <w:tc>
          <w:tcPr>
            <w:tcW w:w="867" w:type="dxa"/>
            <w:tcBorders/>
            <w:hideMark/>
          </w:tcPr>
          <w:p>
            <w:pPr>
              <w:pStyle w:val="style0"/>
              <w:spacing w:lineRule="auto" w:line="259"/>
              <w:rPr>
                <w:rFonts w:eastAsia="Calibri"/>
                <w:b/>
                <w:bCs/>
                <w:sz w:val="16"/>
                <w:szCs w:val="16"/>
              </w:rPr>
            </w:pPr>
            <w:r>
              <w:rPr>
                <w:rFonts w:eastAsia="Calibri"/>
                <w:b/>
                <w:bCs/>
                <w:sz w:val="16"/>
                <w:szCs w:val="16"/>
              </w:rPr>
              <w:t>Article</w:t>
            </w:r>
          </w:p>
        </w:tc>
        <w:tc>
          <w:tcPr>
            <w:tcW w:w="559" w:type="dxa"/>
            <w:tcBorders/>
            <w:hideMark/>
          </w:tcPr>
          <w:p>
            <w:pPr>
              <w:pStyle w:val="style0"/>
              <w:spacing w:lineRule="auto" w:line="259"/>
              <w:rPr>
                <w:rFonts w:eastAsia="Calibri"/>
                <w:b/>
                <w:bCs/>
                <w:sz w:val="16"/>
                <w:szCs w:val="16"/>
              </w:rPr>
            </w:pPr>
            <w:r>
              <w:rPr>
                <w:rFonts w:eastAsia="Calibri"/>
                <w:b/>
                <w:bCs/>
                <w:sz w:val="16"/>
                <w:szCs w:val="16"/>
              </w:rPr>
              <w:t xml:space="preserve">Author </w:t>
            </w:r>
          </w:p>
        </w:tc>
        <w:tc>
          <w:tcPr>
            <w:tcW w:w="867" w:type="dxa"/>
            <w:tcBorders/>
            <w:hideMark/>
          </w:tcPr>
          <w:p>
            <w:pPr>
              <w:pStyle w:val="style0"/>
              <w:spacing w:lineRule="auto" w:line="259"/>
              <w:rPr>
                <w:rFonts w:eastAsia="Calibri"/>
                <w:b/>
                <w:bCs/>
                <w:sz w:val="16"/>
                <w:szCs w:val="16"/>
              </w:rPr>
            </w:pPr>
            <w:r>
              <w:rPr>
                <w:rFonts w:eastAsia="Calibri"/>
                <w:b/>
                <w:bCs/>
                <w:sz w:val="16"/>
                <w:szCs w:val="16"/>
              </w:rPr>
              <w:t xml:space="preserve">title </w:t>
            </w:r>
          </w:p>
        </w:tc>
        <w:tc>
          <w:tcPr>
            <w:tcW w:w="392" w:type="dxa"/>
            <w:tcBorders/>
            <w:hideMark/>
          </w:tcPr>
          <w:p>
            <w:pPr>
              <w:pStyle w:val="style0"/>
              <w:spacing w:lineRule="auto" w:line="259"/>
              <w:rPr>
                <w:rFonts w:eastAsia="Calibri"/>
                <w:b/>
                <w:bCs/>
                <w:sz w:val="16"/>
                <w:szCs w:val="16"/>
              </w:rPr>
            </w:pPr>
            <w:r>
              <w:rPr>
                <w:rFonts w:eastAsia="Calibri"/>
                <w:b/>
                <w:bCs/>
                <w:sz w:val="16"/>
                <w:szCs w:val="16"/>
              </w:rPr>
              <w:t xml:space="preserve">Year </w:t>
            </w:r>
          </w:p>
        </w:tc>
        <w:tc>
          <w:tcPr>
            <w:tcW w:w="722" w:type="dxa"/>
            <w:tcBorders/>
            <w:hideMark/>
          </w:tcPr>
          <w:p>
            <w:pPr>
              <w:pStyle w:val="style0"/>
              <w:spacing w:lineRule="auto" w:line="259"/>
              <w:rPr>
                <w:rFonts w:eastAsia="Calibri"/>
                <w:b/>
                <w:bCs/>
                <w:sz w:val="16"/>
                <w:szCs w:val="16"/>
              </w:rPr>
            </w:pPr>
            <w:r>
              <w:rPr>
                <w:rFonts w:eastAsia="Calibri"/>
                <w:b/>
                <w:bCs/>
                <w:sz w:val="16"/>
                <w:szCs w:val="16"/>
              </w:rPr>
              <w:t xml:space="preserve">Publication journal </w:t>
            </w:r>
          </w:p>
        </w:tc>
        <w:tc>
          <w:tcPr>
            <w:tcW w:w="493" w:type="dxa"/>
            <w:tcBorders/>
            <w:hideMark/>
          </w:tcPr>
          <w:p>
            <w:pPr>
              <w:pStyle w:val="style0"/>
              <w:spacing w:lineRule="auto" w:line="259"/>
              <w:rPr>
                <w:rFonts w:eastAsia="Calibri"/>
                <w:b/>
                <w:bCs/>
                <w:sz w:val="16"/>
                <w:szCs w:val="16"/>
              </w:rPr>
            </w:pPr>
            <w:r>
              <w:rPr>
                <w:rFonts w:eastAsia="Calibri"/>
                <w:b/>
                <w:bCs/>
                <w:sz w:val="16"/>
                <w:szCs w:val="16"/>
              </w:rPr>
              <w:t xml:space="preserve">volume </w:t>
            </w:r>
          </w:p>
        </w:tc>
        <w:tc>
          <w:tcPr>
            <w:tcW w:w="419" w:type="dxa"/>
            <w:tcBorders/>
            <w:hideMark/>
          </w:tcPr>
          <w:p>
            <w:pPr>
              <w:pStyle w:val="style0"/>
              <w:spacing w:lineRule="auto" w:line="259"/>
              <w:rPr>
                <w:rFonts w:eastAsia="Calibri"/>
                <w:b/>
                <w:bCs/>
                <w:sz w:val="16"/>
                <w:szCs w:val="16"/>
              </w:rPr>
            </w:pPr>
            <w:r>
              <w:rPr>
                <w:rFonts w:eastAsia="Calibri"/>
                <w:b/>
                <w:bCs/>
                <w:sz w:val="16"/>
                <w:szCs w:val="16"/>
              </w:rPr>
              <w:t xml:space="preserve">Issue </w:t>
            </w:r>
          </w:p>
        </w:tc>
        <w:tc>
          <w:tcPr>
            <w:tcW w:w="546" w:type="dxa"/>
            <w:tcBorders/>
            <w:hideMark/>
          </w:tcPr>
          <w:p>
            <w:pPr>
              <w:pStyle w:val="style0"/>
              <w:spacing w:lineRule="auto" w:line="259"/>
              <w:rPr>
                <w:rFonts w:eastAsia="Calibri"/>
                <w:b/>
                <w:bCs/>
                <w:sz w:val="16"/>
                <w:szCs w:val="16"/>
              </w:rPr>
            </w:pPr>
            <w:r>
              <w:rPr>
                <w:rFonts w:eastAsia="Calibri"/>
                <w:b/>
                <w:bCs/>
                <w:sz w:val="16"/>
                <w:szCs w:val="16"/>
              </w:rPr>
              <w:t xml:space="preserve">Location </w:t>
            </w:r>
          </w:p>
        </w:tc>
        <w:tc>
          <w:tcPr>
            <w:tcW w:w="867" w:type="dxa"/>
            <w:tcBorders/>
            <w:hideMark/>
          </w:tcPr>
          <w:p>
            <w:pPr>
              <w:pStyle w:val="style0"/>
              <w:spacing w:lineRule="auto" w:line="259"/>
              <w:rPr>
                <w:rFonts w:eastAsia="Calibri"/>
                <w:b/>
                <w:bCs/>
                <w:sz w:val="16"/>
                <w:szCs w:val="16"/>
              </w:rPr>
            </w:pPr>
            <w:r>
              <w:rPr>
                <w:rFonts w:eastAsia="Calibri"/>
                <w:b/>
                <w:bCs/>
                <w:sz w:val="16"/>
                <w:szCs w:val="16"/>
              </w:rPr>
              <w:t xml:space="preserve">Type of study </w:t>
            </w:r>
          </w:p>
        </w:tc>
        <w:tc>
          <w:tcPr>
            <w:tcW w:w="810" w:type="dxa"/>
            <w:tcBorders/>
            <w:hideMark/>
          </w:tcPr>
          <w:p>
            <w:pPr>
              <w:pStyle w:val="style0"/>
              <w:spacing w:lineRule="auto" w:line="259"/>
              <w:rPr>
                <w:rFonts w:eastAsia="Calibri"/>
                <w:b/>
                <w:bCs/>
                <w:sz w:val="16"/>
                <w:szCs w:val="16"/>
              </w:rPr>
            </w:pPr>
            <w:r>
              <w:rPr>
                <w:rFonts w:eastAsia="Calibri"/>
                <w:b/>
                <w:bCs/>
                <w:sz w:val="16"/>
                <w:szCs w:val="16"/>
              </w:rPr>
              <w:t xml:space="preserve">Aim of study </w:t>
            </w:r>
          </w:p>
        </w:tc>
        <w:tc>
          <w:tcPr>
            <w:tcW w:w="775" w:type="dxa"/>
            <w:tcBorders/>
            <w:hideMark/>
          </w:tcPr>
          <w:p>
            <w:pPr>
              <w:pStyle w:val="style0"/>
              <w:spacing w:lineRule="auto" w:line="259"/>
              <w:rPr>
                <w:rFonts w:eastAsia="Calibri"/>
                <w:b/>
                <w:bCs/>
                <w:sz w:val="16"/>
                <w:szCs w:val="16"/>
              </w:rPr>
            </w:pPr>
            <w:r>
              <w:rPr>
                <w:rFonts w:eastAsia="Calibri"/>
                <w:b/>
                <w:bCs/>
                <w:sz w:val="16"/>
                <w:szCs w:val="16"/>
              </w:rPr>
              <w:t xml:space="preserve">method </w:t>
            </w:r>
          </w:p>
        </w:tc>
        <w:tc>
          <w:tcPr>
            <w:tcW w:w="236" w:type="dxa"/>
            <w:tcBorders/>
            <w:hideMark/>
          </w:tcPr>
          <w:p>
            <w:pPr>
              <w:pStyle w:val="style0"/>
              <w:spacing w:lineRule="auto" w:line="259"/>
              <w:rPr>
                <w:rFonts w:eastAsia="Calibri"/>
                <w:b/>
                <w:bCs/>
                <w:sz w:val="16"/>
                <w:szCs w:val="16"/>
              </w:rPr>
            </w:pPr>
            <w:r>
              <w:rPr>
                <w:rFonts w:eastAsia="Calibri"/>
                <w:b/>
                <w:bCs/>
                <w:sz w:val="16"/>
                <w:szCs w:val="16"/>
              </w:rPr>
              <w:t>sample size</w:t>
            </w:r>
          </w:p>
        </w:tc>
        <w:tc>
          <w:tcPr>
            <w:tcW w:w="1463" w:type="dxa"/>
            <w:tcBorders/>
            <w:hideMark/>
          </w:tcPr>
          <w:p>
            <w:pPr>
              <w:pStyle w:val="style0"/>
              <w:spacing w:lineRule="auto" w:line="259"/>
              <w:rPr>
                <w:rFonts w:eastAsia="Calibri"/>
                <w:b/>
                <w:bCs/>
                <w:sz w:val="16"/>
                <w:szCs w:val="16"/>
              </w:rPr>
            </w:pPr>
            <w:r>
              <w:rPr>
                <w:rFonts w:eastAsia="Calibri"/>
                <w:b/>
                <w:bCs/>
                <w:sz w:val="16"/>
                <w:szCs w:val="16"/>
              </w:rPr>
              <w:t>Results</w:t>
            </w:r>
          </w:p>
        </w:tc>
      </w:tr>
      <w:tr>
        <w:tblPrEx/>
        <w:trPr>
          <w:trHeight w:val="6086" w:hRule="atLeast"/>
        </w:trPr>
        <w:tc>
          <w:tcPr>
            <w:tcW w:w="867" w:type="dxa"/>
            <w:tcBorders/>
            <w:hideMark/>
          </w:tcPr>
          <w:p>
            <w:pPr>
              <w:pStyle w:val="style0"/>
              <w:spacing w:lineRule="auto" w:line="259"/>
              <w:rPr>
                <w:rFonts w:eastAsia="Calibri"/>
                <w:sz w:val="16"/>
                <w:szCs w:val="16"/>
              </w:rPr>
            </w:pPr>
            <w:r>
              <w:rPr>
                <w:rFonts w:eastAsia="Calibri"/>
                <w:sz w:val="16"/>
                <w:szCs w:val="16"/>
              </w:rPr>
              <w:t>Patient and family member experience of hospital readmission following critical illness</w:t>
            </w:r>
          </w:p>
        </w:tc>
        <w:tc>
          <w:tcPr>
            <w:tcW w:w="559" w:type="dxa"/>
            <w:tcBorders/>
            <w:hideMark/>
          </w:tcPr>
          <w:p>
            <w:pPr>
              <w:pStyle w:val="style0"/>
              <w:spacing w:lineRule="auto" w:line="259"/>
              <w:rPr>
                <w:rFonts w:eastAsia="Calibri"/>
                <w:sz w:val="16"/>
                <w:szCs w:val="16"/>
              </w:rPr>
            </w:pPr>
            <w:r>
              <w:rPr>
                <w:rFonts w:eastAsia="Calibri"/>
                <w:sz w:val="16"/>
                <w:szCs w:val="16"/>
              </w:rPr>
              <w:t>McPeake et al., 2025</w:t>
            </w:r>
          </w:p>
        </w:tc>
        <w:tc>
          <w:tcPr>
            <w:tcW w:w="867" w:type="dxa"/>
            <w:tcBorders/>
            <w:hideMark/>
          </w:tcPr>
          <w:p>
            <w:pPr>
              <w:pStyle w:val="style0"/>
              <w:spacing w:lineRule="auto" w:line="259"/>
              <w:rPr>
                <w:rFonts w:eastAsia="Calibri"/>
                <w:sz w:val="16"/>
                <w:szCs w:val="16"/>
              </w:rPr>
            </w:pPr>
            <w:r>
              <w:rPr>
                <w:rFonts w:eastAsia="Calibri"/>
                <w:sz w:val="16"/>
                <w:szCs w:val="16"/>
              </w:rPr>
              <w:t>Patient and family member experience of hospital readmission following critical illness</w:t>
            </w:r>
          </w:p>
        </w:tc>
        <w:tc>
          <w:tcPr>
            <w:tcW w:w="392" w:type="dxa"/>
            <w:tcBorders/>
            <w:hideMark/>
          </w:tcPr>
          <w:p>
            <w:pPr>
              <w:pStyle w:val="style0"/>
              <w:spacing w:lineRule="auto" w:line="259"/>
              <w:rPr>
                <w:rFonts w:eastAsia="Calibri"/>
                <w:sz w:val="16"/>
                <w:szCs w:val="16"/>
              </w:rPr>
            </w:pPr>
            <w:r>
              <w:rPr>
                <w:rFonts w:eastAsia="Calibri"/>
                <w:sz w:val="16"/>
                <w:szCs w:val="16"/>
              </w:rPr>
              <w:t>2025</w:t>
            </w:r>
          </w:p>
        </w:tc>
        <w:tc>
          <w:tcPr>
            <w:tcW w:w="722" w:type="dxa"/>
            <w:tcBorders/>
            <w:hideMark/>
          </w:tcPr>
          <w:p>
            <w:pPr>
              <w:pStyle w:val="style0"/>
              <w:spacing w:lineRule="auto" w:line="259"/>
              <w:rPr>
                <w:rFonts w:eastAsia="Calibri"/>
                <w:sz w:val="16"/>
                <w:szCs w:val="16"/>
              </w:rPr>
            </w:pPr>
            <w:r>
              <w:rPr>
                <w:rFonts w:eastAsia="Calibri"/>
                <w:sz w:val="16"/>
                <w:szCs w:val="16"/>
              </w:rPr>
              <w:t>Intensive and Critical Care Nursing</w:t>
            </w:r>
          </w:p>
        </w:tc>
        <w:tc>
          <w:tcPr>
            <w:tcW w:w="493" w:type="dxa"/>
            <w:tcBorders/>
            <w:hideMark/>
          </w:tcPr>
          <w:p>
            <w:pPr>
              <w:pStyle w:val="style0"/>
              <w:spacing w:lineRule="auto" w:line="259"/>
              <w:rPr>
                <w:rFonts w:eastAsia="Calibri"/>
                <w:sz w:val="16"/>
                <w:szCs w:val="16"/>
              </w:rPr>
            </w:pPr>
            <w:r>
              <w:rPr>
                <w:rFonts w:eastAsia="Calibri"/>
                <w:sz w:val="16"/>
                <w:szCs w:val="16"/>
              </w:rPr>
              <w:t>87</w:t>
            </w:r>
          </w:p>
        </w:tc>
        <w:tc>
          <w:tcPr>
            <w:tcW w:w="419" w:type="dxa"/>
            <w:tcBorders/>
            <w:hideMark/>
          </w:tcPr>
          <w:p>
            <w:pPr>
              <w:pStyle w:val="style0"/>
              <w:spacing w:lineRule="auto" w:line="259"/>
              <w:rPr>
                <w:rFonts w:eastAsia="Calibri"/>
                <w:sz w:val="16"/>
                <w:szCs w:val="16"/>
              </w:rPr>
            </w:pPr>
          </w:p>
        </w:tc>
        <w:tc>
          <w:tcPr>
            <w:tcW w:w="546" w:type="dxa"/>
            <w:tcBorders/>
            <w:hideMark/>
          </w:tcPr>
          <w:p>
            <w:pPr>
              <w:pStyle w:val="style0"/>
              <w:spacing w:lineRule="auto" w:line="259"/>
              <w:rPr>
                <w:rFonts w:eastAsia="Calibri"/>
                <w:sz w:val="16"/>
                <w:szCs w:val="16"/>
              </w:rPr>
            </w:pPr>
            <w:r>
              <w:rPr>
                <w:rFonts w:eastAsia="Calibri"/>
                <w:sz w:val="16"/>
                <w:szCs w:val="16"/>
              </w:rPr>
              <w:t>UK</w:t>
            </w:r>
          </w:p>
        </w:tc>
        <w:tc>
          <w:tcPr>
            <w:tcW w:w="867" w:type="dxa"/>
            <w:tcBorders/>
            <w:hideMark/>
          </w:tcPr>
          <w:p>
            <w:pPr>
              <w:pStyle w:val="style0"/>
              <w:spacing w:lineRule="auto" w:line="259"/>
              <w:rPr>
                <w:rFonts w:eastAsia="Calibri"/>
                <w:sz w:val="16"/>
                <w:szCs w:val="16"/>
              </w:rPr>
            </w:pPr>
            <w:r>
              <w:rPr>
                <w:rFonts w:eastAsia="Calibri"/>
                <w:sz w:val="16"/>
                <w:szCs w:val="16"/>
              </w:rPr>
              <w:t>Primary qualitative descriptive study</w:t>
            </w:r>
          </w:p>
        </w:tc>
        <w:tc>
          <w:tcPr>
            <w:tcW w:w="810" w:type="dxa"/>
            <w:tcBorders/>
            <w:hideMark/>
          </w:tcPr>
          <w:p>
            <w:pPr>
              <w:pStyle w:val="style0"/>
              <w:spacing w:lineRule="auto" w:line="259"/>
              <w:rPr>
                <w:rFonts w:eastAsia="Calibri"/>
                <w:sz w:val="16"/>
                <w:szCs w:val="16"/>
              </w:rPr>
            </w:pPr>
            <w:r>
              <w:rPr>
                <w:rFonts w:eastAsia="Calibri"/>
                <w:sz w:val="16"/>
                <w:szCs w:val="16"/>
              </w:rPr>
              <w:t>To explore patient and family experiences during hospital readmission after critical illness and identify perceived drivers of readmissions.</w:t>
            </w:r>
          </w:p>
        </w:tc>
        <w:tc>
          <w:tcPr>
            <w:tcW w:w="775" w:type="dxa"/>
            <w:tcBorders/>
            <w:hideMark/>
          </w:tcPr>
          <w:p>
            <w:pPr>
              <w:pStyle w:val="style0"/>
              <w:spacing w:lineRule="auto" w:line="259"/>
              <w:rPr>
                <w:rFonts w:eastAsia="Calibri"/>
                <w:sz w:val="16"/>
                <w:szCs w:val="16"/>
              </w:rPr>
            </w:pPr>
            <w:r>
              <w:rPr>
                <w:rFonts w:eastAsia="Calibri"/>
                <w:sz w:val="16"/>
                <w:szCs w:val="16"/>
              </w:rPr>
              <w:t>Semi-structured interviews; thematic content analysis using Miles &amp; Huberman’s framework.</w:t>
            </w:r>
          </w:p>
        </w:tc>
        <w:tc>
          <w:tcPr>
            <w:tcW w:w="236" w:type="dxa"/>
            <w:tcBorders/>
            <w:hideMark/>
          </w:tcPr>
          <w:p>
            <w:pPr>
              <w:pStyle w:val="style0"/>
              <w:spacing w:lineRule="auto" w:line="259"/>
              <w:rPr>
                <w:rFonts w:eastAsia="Calibri"/>
                <w:sz w:val="16"/>
                <w:szCs w:val="16"/>
              </w:rPr>
            </w:pPr>
            <w:r>
              <w:rPr>
                <w:rFonts w:eastAsia="Calibri"/>
                <w:sz w:val="16"/>
                <w:szCs w:val="16"/>
              </w:rPr>
              <w:t>20 participants (15 patients + 5 family members).</w:t>
            </w:r>
          </w:p>
        </w:tc>
        <w:tc>
          <w:tcPr>
            <w:tcW w:w="1463" w:type="dxa"/>
            <w:tcBorders/>
            <w:hideMark/>
          </w:tcPr>
          <w:p>
            <w:pPr>
              <w:pStyle w:val="style0"/>
              <w:spacing w:lineRule="auto" w:line="259"/>
              <w:rPr>
                <w:rFonts w:eastAsia="Calibri"/>
                <w:sz w:val="16"/>
                <w:szCs w:val="16"/>
              </w:rPr>
            </w:pPr>
            <w:r>
              <w:rPr>
                <w:rFonts w:eastAsia="Calibri"/>
                <w:sz w:val="16"/>
                <w:szCs w:val="16"/>
              </w:rPr>
              <w:t xml:space="preserve">Five key themes emerged: </w:t>
            </w:r>
            <w:r>
              <w:rPr>
                <w:rFonts w:eastAsia="Calibri"/>
                <w:b/>
                <w:bCs/>
                <w:sz w:val="16"/>
                <w:szCs w:val="16"/>
              </w:rPr>
              <w:t>(1)</w:t>
            </w:r>
            <w:r>
              <w:rPr>
                <w:rFonts w:eastAsia="Calibri"/>
                <w:sz w:val="16"/>
                <w:szCs w:val="16"/>
              </w:rPr>
              <w:t xml:space="preserve"> Access to primary care, </w:t>
            </w:r>
            <w:r>
              <w:rPr>
                <w:rFonts w:eastAsia="Calibri"/>
                <w:b/>
                <w:bCs/>
                <w:sz w:val="16"/>
                <w:szCs w:val="16"/>
              </w:rPr>
              <w:t>(2)</w:t>
            </w:r>
            <w:r>
              <w:rPr>
                <w:rFonts w:eastAsia="Calibri"/>
                <w:sz w:val="16"/>
                <w:szCs w:val="16"/>
              </w:rPr>
              <w:t xml:space="preserve"> Ongoing physiological disturbances, </w:t>
            </w:r>
            <w:r>
              <w:rPr>
                <w:rFonts w:eastAsia="Calibri"/>
                <w:b/>
                <w:bCs/>
                <w:sz w:val="16"/>
                <w:szCs w:val="16"/>
              </w:rPr>
              <w:t>(3)</w:t>
            </w:r>
            <w:r>
              <w:rPr>
                <w:rFonts w:eastAsia="Calibri"/>
                <w:sz w:val="16"/>
                <w:szCs w:val="16"/>
              </w:rPr>
              <w:t xml:space="preserve"> Discharge planning &amp; information gaps, </w:t>
            </w:r>
            <w:r>
              <w:rPr>
                <w:rFonts w:eastAsia="Calibri"/>
                <w:b/>
                <w:bCs/>
                <w:sz w:val="16"/>
                <w:szCs w:val="16"/>
              </w:rPr>
              <w:t>(4)</w:t>
            </w:r>
            <w:r>
              <w:rPr>
                <w:rFonts w:eastAsia="Calibri"/>
                <w:sz w:val="16"/>
                <w:szCs w:val="16"/>
              </w:rPr>
              <w:t xml:space="preserve"> Treatment burden, </w:t>
            </w:r>
            <w:r>
              <w:rPr>
                <w:rFonts w:eastAsia="Calibri"/>
                <w:b/>
                <w:bCs/>
                <w:sz w:val="16"/>
                <w:szCs w:val="16"/>
              </w:rPr>
              <w:t>(5)</w:t>
            </w:r>
            <w:r>
              <w:rPr>
                <w:rFonts w:eastAsia="Calibri"/>
                <w:sz w:val="16"/>
                <w:szCs w:val="16"/>
              </w:rPr>
              <w:t xml:space="preserve"> Carer strain &amp; social care access. Readmission was described as stressful and potentially traumatic, with multiple perceived causes linked to both health and social care challenges.</w:t>
            </w:r>
          </w:p>
        </w:tc>
      </w:tr>
      <w:tr>
        <w:tblPrEx/>
        <w:trPr>
          <w:trHeight w:val="1611" w:hRule="atLeast"/>
        </w:trPr>
        <w:tc>
          <w:tcPr>
            <w:tcW w:w="867" w:type="dxa"/>
            <w:tcBorders/>
            <w:hideMark/>
          </w:tcPr>
          <w:p>
            <w:pPr>
              <w:pStyle w:val="style0"/>
              <w:spacing w:lineRule="auto" w:line="259"/>
              <w:rPr>
                <w:rFonts w:eastAsia="Calibri"/>
                <w:sz w:val="16"/>
                <w:szCs w:val="16"/>
              </w:rPr>
            </w:pPr>
            <w:r>
              <w:rPr>
                <w:rFonts w:eastAsia="Calibri"/>
                <w:sz w:val="16"/>
                <w:szCs w:val="16"/>
              </w:rPr>
              <w:t>The sepsis journey and where digital alerts can help: a qualitative, interview study with survivors and family members in England</w:t>
            </w:r>
          </w:p>
        </w:tc>
        <w:tc>
          <w:tcPr>
            <w:tcW w:w="559" w:type="dxa"/>
            <w:tcBorders/>
            <w:hideMark/>
          </w:tcPr>
          <w:p>
            <w:pPr>
              <w:pStyle w:val="style0"/>
              <w:spacing w:lineRule="auto" w:line="259"/>
              <w:rPr>
                <w:rFonts w:eastAsia="Calibri"/>
                <w:sz w:val="16"/>
                <w:szCs w:val="16"/>
              </w:rPr>
            </w:pPr>
            <w:r>
              <w:rPr>
                <w:rFonts w:eastAsia="Calibri"/>
                <w:sz w:val="16"/>
                <w:szCs w:val="16"/>
              </w:rPr>
              <w:t>Lazzarino et al., 2025</w:t>
            </w:r>
          </w:p>
        </w:tc>
        <w:tc>
          <w:tcPr>
            <w:tcW w:w="867" w:type="dxa"/>
            <w:tcBorders/>
            <w:hideMark/>
          </w:tcPr>
          <w:p>
            <w:pPr>
              <w:pStyle w:val="style0"/>
              <w:spacing w:lineRule="auto" w:line="259"/>
              <w:rPr>
                <w:rFonts w:eastAsia="Calibri"/>
                <w:sz w:val="16"/>
                <w:szCs w:val="16"/>
              </w:rPr>
            </w:pPr>
            <w:r>
              <w:rPr>
                <w:rFonts w:eastAsia="Calibri"/>
                <w:sz w:val="16"/>
                <w:szCs w:val="16"/>
              </w:rPr>
              <w:t>The sepsis journey and where digital alerts can help: a qualitative, interview study with survivors and family members in England</w:t>
            </w:r>
          </w:p>
        </w:tc>
        <w:tc>
          <w:tcPr>
            <w:tcW w:w="392" w:type="dxa"/>
            <w:tcBorders/>
            <w:hideMark/>
          </w:tcPr>
          <w:p>
            <w:pPr>
              <w:pStyle w:val="style0"/>
              <w:spacing w:lineRule="auto" w:line="259"/>
              <w:rPr>
                <w:rFonts w:eastAsia="Calibri"/>
                <w:sz w:val="16"/>
                <w:szCs w:val="16"/>
              </w:rPr>
            </w:pPr>
            <w:r>
              <w:rPr>
                <w:rFonts w:eastAsia="Calibri"/>
                <w:sz w:val="16"/>
                <w:szCs w:val="16"/>
              </w:rPr>
              <w:t>2025</w:t>
            </w:r>
          </w:p>
        </w:tc>
        <w:tc>
          <w:tcPr>
            <w:tcW w:w="722" w:type="dxa"/>
            <w:tcBorders/>
            <w:hideMark/>
          </w:tcPr>
          <w:p>
            <w:pPr>
              <w:pStyle w:val="style0"/>
              <w:spacing w:lineRule="auto" w:line="259"/>
              <w:rPr>
                <w:rFonts w:eastAsia="Calibri"/>
                <w:sz w:val="16"/>
                <w:szCs w:val="16"/>
              </w:rPr>
            </w:pPr>
            <w:r>
              <w:rPr>
                <w:rFonts w:eastAsia="Calibri"/>
                <w:sz w:val="16"/>
                <w:szCs w:val="16"/>
              </w:rPr>
              <w:t>Frontiers in Public Health</w:t>
            </w:r>
          </w:p>
        </w:tc>
        <w:tc>
          <w:tcPr>
            <w:tcW w:w="493" w:type="dxa"/>
            <w:tcBorders/>
            <w:hideMark/>
          </w:tcPr>
          <w:p>
            <w:pPr>
              <w:pStyle w:val="style0"/>
              <w:spacing w:lineRule="auto" w:line="259"/>
              <w:rPr>
                <w:rFonts w:eastAsia="Calibri"/>
                <w:sz w:val="16"/>
                <w:szCs w:val="16"/>
              </w:rPr>
            </w:pPr>
            <w:r>
              <w:rPr>
                <w:rFonts w:eastAsia="Calibri"/>
                <w:sz w:val="16"/>
                <w:szCs w:val="16"/>
              </w:rPr>
              <w:t>13</w:t>
            </w:r>
          </w:p>
        </w:tc>
        <w:tc>
          <w:tcPr>
            <w:tcW w:w="419" w:type="dxa"/>
            <w:tcBorders/>
            <w:hideMark/>
          </w:tcPr>
          <w:p>
            <w:pPr>
              <w:pStyle w:val="style0"/>
              <w:spacing w:lineRule="auto" w:line="259"/>
              <w:rPr>
                <w:rFonts w:eastAsia="Calibri"/>
                <w:sz w:val="16"/>
                <w:szCs w:val="16"/>
              </w:rPr>
            </w:pPr>
          </w:p>
        </w:tc>
        <w:tc>
          <w:tcPr>
            <w:tcW w:w="546" w:type="dxa"/>
            <w:tcBorders/>
            <w:hideMark/>
          </w:tcPr>
          <w:p>
            <w:pPr>
              <w:pStyle w:val="style0"/>
              <w:spacing w:lineRule="auto" w:line="259"/>
              <w:rPr>
                <w:rFonts w:eastAsia="Calibri"/>
                <w:sz w:val="16"/>
                <w:szCs w:val="16"/>
              </w:rPr>
            </w:pPr>
            <w:r>
              <w:rPr>
                <w:rFonts w:eastAsia="Calibri"/>
                <w:sz w:val="16"/>
                <w:szCs w:val="16"/>
              </w:rPr>
              <w:t>England</w:t>
            </w:r>
          </w:p>
        </w:tc>
        <w:tc>
          <w:tcPr>
            <w:tcW w:w="867" w:type="dxa"/>
            <w:tcBorders/>
            <w:hideMark/>
          </w:tcPr>
          <w:p>
            <w:pPr>
              <w:pStyle w:val="style0"/>
              <w:spacing w:lineRule="auto" w:line="259"/>
              <w:rPr>
                <w:rFonts w:eastAsia="Calibri"/>
                <w:sz w:val="16"/>
                <w:szCs w:val="16"/>
              </w:rPr>
            </w:pPr>
            <w:r>
              <w:rPr>
                <w:rFonts w:eastAsia="Calibri"/>
                <w:sz w:val="16"/>
                <w:szCs w:val="16"/>
              </w:rPr>
              <w:t>Primary qualitative study</w:t>
            </w:r>
          </w:p>
        </w:tc>
        <w:tc>
          <w:tcPr>
            <w:tcW w:w="810" w:type="dxa"/>
            <w:tcBorders/>
            <w:hideMark/>
          </w:tcPr>
          <w:p>
            <w:pPr>
              <w:pStyle w:val="style0"/>
              <w:spacing w:lineRule="auto" w:line="259"/>
              <w:rPr>
                <w:rFonts w:eastAsia="Calibri"/>
                <w:sz w:val="16"/>
                <w:szCs w:val="16"/>
              </w:rPr>
            </w:pPr>
            <w:r>
              <w:rPr>
                <w:rFonts w:eastAsia="Calibri"/>
                <w:sz w:val="16"/>
                <w:szCs w:val="16"/>
              </w:rPr>
              <w:t>To explore sepsis survivors’ and family members’ experiences across the sepsis journey and understand how digital alerts could support sepsis recognition and care.</w:t>
            </w:r>
          </w:p>
        </w:tc>
        <w:tc>
          <w:tcPr>
            <w:tcW w:w="775" w:type="dxa"/>
            <w:tcBorders/>
            <w:hideMark/>
          </w:tcPr>
          <w:p>
            <w:pPr>
              <w:pStyle w:val="style0"/>
              <w:spacing w:lineRule="auto" w:line="259"/>
              <w:rPr>
                <w:rFonts w:eastAsia="Calibri"/>
                <w:sz w:val="16"/>
                <w:szCs w:val="16"/>
              </w:rPr>
            </w:pPr>
            <w:r>
              <w:rPr>
                <w:rFonts w:eastAsia="Calibri"/>
                <w:sz w:val="16"/>
                <w:szCs w:val="16"/>
              </w:rPr>
              <w:t>Online semi-structured interviews and focus groups; inductive thematic analysis.</w:t>
            </w:r>
          </w:p>
        </w:tc>
        <w:tc>
          <w:tcPr>
            <w:tcW w:w="236" w:type="dxa"/>
            <w:tcBorders/>
            <w:hideMark/>
          </w:tcPr>
          <w:p>
            <w:pPr>
              <w:pStyle w:val="style0"/>
              <w:spacing w:lineRule="auto" w:line="259"/>
              <w:rPr>
                <w:rFonts w:eastAsia="Calibri"/>
                <w:sz w:val="16"/>
                <w:szCs w:val="16"/>
              </w:rPr>
            </w:pPr>
            <w:r>
              <w:rPr>
                <w:rFonts w:eastAsia="Calibri"/>
                <w:sz w:val="16"/>
                <w:szCs w:val="16"/>
              </w:rPr>
              <w:t>15 sepsis cases (11 survivors + 5 family members).</w:t>
            </w:r>
          </w:p>
        </w:tc>
        <w:tc>
          <w:tcPr>
            <w:tcW w:w="1463" w:type="dxa"/>
            <w:tcBorders/>
            <w:hideMark/>
          </w:tcPr>
          <w:p>
            <w:pPr>
              <w:pStyle w:val="style0"/>
              <w:spacing w:lineRule="auto" w:line="259"/>
              <w:rPr>
                <w:rFonts w:eastAsia="Calibri"/>
                <w:sz w:val="16"/>
                <w:szCs w:val="16"/>
              </w:rPr>
            </w:pPr>
            <w:r>
              <w:rPr>
                <w:rFonts w:eastAsia="Calibri"/>
                <w:sz w:val="16"/>
                <w:szCs w:val="16"/>
              </w:rPr>
              <w:t xml:space="preserve">Experiences mapped across three stages: </w:t>
            </w:r>
            <w:r>
              <w:rPr>
                <w:rFonts w:eastAsia="Calibri"/>
                <w:b/>
                <w:bCs/>
                <w:sz w:val="16"/>
                <w:szCs w:val="16"/>
              </w:rPr>
              <w:t>(1)</w:t>
            </w:r>
            <w:r>
              <w:rPr>
                <w:rFonts w:eastAsia="Calibri"/>
                <w:sz w:val="16"/>
                <w:szCs w:val="16"/>
              </w:rPr>
              <w:t xml:space="preserve"> Pre-hospital onset &amp; help-seeking, </w:t>
            </w:r>
            <w:r>
              <w:rPr>
                <w:rFonts w:eastAsia="Calibri"/>
                <w:b/>
                <w:bCs/>
                <w:sz w:val="16"/>
                <w:szCs w:val="16"/>
              </w:rPr>
              <w:t>(2)</w:t>
            </w:r>
            <w:r>
              <w:rPr>
                <w:rFonts w:eastAsia="Calibri"/>
                <w:sz w:val="16"/>
                <w:szCs w:val="16"/>
              </w:rPr>
              <w:t xml:space="preserve"> Hospital admission &amp; stay, </w:t>
            </w:r>
            <w:r>
              <w:rPr>
                <w:rFonts w:eastAsia="Calibri"/>
                <w:b/>
                <w:bCs/>
                <w:sz w:val="16"/>
                <w:szCs w:val="16"/>
              </w:rPr>
              <w:t>(3)</w:t>
            </w:r>
            <w:r>
              <w:rPr>
                <w:rFonts w:eastAsia="Calibri"/>
                <w:sz w:val="16"/>
                <w:szCs w:val="16"/>
              </w:rPr>
              <w:t xml:space="preserve"> Post-sepsis syndrome. Awareness of sepsis and digital alerts was low, but participants believed digital alerts could support early identification, faster treatment, and improved communication. They emphasised involving patients/fam</w:t>
            </w:r>
            <w:r>
              <w:rPr>
                <w:rFonts w:eastAsia="Calibri"/>
                <w:sz w:val="16"/>
                <w:szCs w:val="16"/>
              </w:rPr>
              <w:t>ilies in designing alerts and expanding digital systems across services.</w:t>
            </w:r>
          </w:p>
        </w:tc>
      </w:tr>
      <w:tr>
        <w:tblPrEx/>
        <w:trPr>
          <w:trHeight w:val="1110" w:hRule="atLeast"/>
        </w:trPr>
        <w:tc>
          <w:tcPr>
            <w:tcW w:w="867" w:type="dxa"/>
            <w:tcBorders/>
            <w:hideMark/>
          </w:tcPr>
          <w:p>
            <w:pPr>
              <w:pStyle w:val="style0"/>
              <w:spacing w:lineRule="auto" w:line="259"/>
              <w:rPr>
                <w:rFonts w:eastAsia="Calibri"/>
                <w:sz w:val="16"/>
                <w:szCs w:val="16"/>
              </w:rPr>
            </w:pPr>
            <w:r>
              <w:rPr>
                <w:rFonts w:eastAsia="Calibri"/>
                <w:sz w:val="16"/>
                <w:szCs w:val="16"/>
              </w:rPr>
              <w:t>Readmission is experienced as inevitable among older adults receiving homecare: A qualitative interview study</w:t>
            </w:r>
          </w:p>
        </w:tc>
        <w:tc>
          <w:tcPr>
            <w:tcW w:w="559" w:type="dxa"/>
            <w:tcBorders/>
            <w:hideMark/>
          </w:tcPr>
          <w:p>
            <w:pPr>
              <w:pStyle w:val="style0"/>
              <w:spacing w:lineRule="auto" w:line="259"/>
              <w:rPr>
                <w:rFonts w:eastAsia="Calibri"/>
                <w:sz w:val="16"/>
                <w:szCs w:val="16"/>
              </w:rPr>
            </w:pPr>
            <w:r>
              <w:rPr>
                <w:rFonts w:eastAsia="Calibri"/>
                <w:sz w:val="16"/>
                <w:szCs w:val="16"/>
              </w:rPr>
              <w:t>Elkjær et al., 2023</w:t>
            </w:r>
          </w:p>
        </w:tc>
        <w:tc>
          <w:tcPr>
            <w:tcW w:w="867" w:type="dxa"/>
            <w:tcBorders/>
            <w:hideMark/>
          </w:tcPr>
          <w:p>
            <w:pPr>
              <w:pStyle w:val="style0"/>
              <w:spacing w:lineRule="auto" w:line="259"/>
              <w:rPr>
                <w:rFonts w:eastAsia="Calibri"/>
                <w:sz w:val="16"/>
                <w:szCs w:val="16"/>
              </w:rPr>
            </w:pPr>
            <w:r>
              <w:rPr>
                <w:rFonts w:eastAsia="Calibri"/>
                <w:sz w:val="16"/>
                <w:szCs w:val="16"/>
              </w:rPr>
              <w:t>Readmission is experienced as inevitable among older adults receiving homecare: A qualitative interview study</w:t>
            </w:r>
          </w:p>
        </w:tc>
        <w:tc>
          <w:tcPr>
            <w:tcW w:w="392" w:type="dxa"/>
            <w:tcBorders/>
            <w:hideMark/>
          </w:tcPr>
          <w:p>
            <w:pPr>
              <w:pStyle w:val="style0"/>
              <w:spacing w:lineRule="auto" w:line="259"/>
              <w:rPr>
                <w:rFonts w:eastAsia="Calibri"/>
                <w:sz w:val="16"/>
                <w:szCs w:val="16"/>
              </w:rPr>
            </w:pPr>
            <w:r>
              <w:rPr>
                <w:rFonts w:eastAsia="Calibri"/>
                <w:sz w:val="16"/>
                <w:szCs w:val="16"/>
              </w:rPr>
              <w:t>2023</w:t>
            </w:r>
          </w:p>
        </w:tc>
        <w:tc>
          <w:tcPr>
            <w:tcW w:w="722" w:type="dxa"/>
            <w:tcBorders/>
            <w:hideMark/>
          </w:tcPr>
          <w:p>
            <w:pPr>
              <w:pStyle w:val="style0"/>
              <w:spacing w:lineRule="auto" w:line="259"/>
              <w:rPr>
                <w:rFonts w:eastAsia="Calibri"/>
                <w:sz w:val="16"/>
                <w:szCs w:val="16"/>
              </w:rPr>
            </w:pPr>
            <w:r>
              <w:rPr>
                <w:rFonts w:eastAsia="Calibri"/>
                <w:sz w:val="16"/>
                <w:szCs w:val="16"/>
              </w:rPr>
              <w:t>Scandinavian Journal of Caring Sciences</w:t>
            </w:r>
          </w:p>
        </w:tc>
        <w:tc>
          <w:tcPr>
            <w:tcW w:w="493" w:type="dxa"/>
            <w:tcBorders/>
            <w:hideMark/>
          </w:tcPr>
          <w:p>
            <w:pPr>
              <w:pStyle w:val="style0"/>
              <w:spacing w:lineRule="auto" w:line="259"/>
              <w:rPr>
                <w:rFonts w:eastAsia="Calibri"/>
                <w:sz w:val="16"/>
                <w:szCs w:val="16"/>
              </w:rPr>
            </w:pPr>
            <w:r>
              <w:rPr>
                <w:rFonts w:eastAsia="Calibri"/>
                <w:sz w:val="16"/>
                <w:szCs w:val="16"/>
              </w:rPr>
              <w:t>37</w:t>
            </w:r>
          </w:p>
        </w:tc>
        <w:tc>
          <w:tcPr>
            <w:tcW w:w="419" w:type="dxa"/>
            <w:tcBorders/>
            <w:hideMark/>
          </w:tcPr>
          <w:p>
            <w:pPr>
              <w:pStyle w:val="style0"/>
              <w:spacing w:lineRule="auto" w:line="259"/>
              <w:rPr>
                <w:rFonts w:eastAsia="Calibri"/>
                <w:sz w:val="16"/>
                <w:szCs w:val="16"/>
              </w:rPr>
            </w:pPr>
            <w:r>
              <w:rPr>
                <w:rFonts w:eastAsia="Calibri"/>
                <w:sz w:val="16"/>
                <w:szCs w:val="16"/>
              </w:rPr>
              <w:t>3</w:t>
            </w:r>
          </w:p>
        </w:tc>
        <w:tc>
          <w:tcPr>
            <w:tcW w:w="546" w:type="dxa"/>
            <w:tcBorders/>
            <w:hideMark/>
          </w:tcPr>
          <w:p>
            <w:pPr>
              <w:pStyle w:val="style0"/>
              <w:spacing w:lineRule="auto" w:line="259"/>
              <w:rPr>
                <w:rFonts w:eastAsia="Calibri"/>
                <w:sz w:val="16"/>
                <w:szCs w:val="16"/>
              </w:rPr>
            </w:pPr>
          </w:p>
        </w:tc>
        <w:tc>
          <w:tcPr>
            <w:tcW w:w="867" w:type="dxa"/>
            <w:tcBorders/>
            <w:hideMark/>
          </w:tcPr>
          <w:p>
            <w:pPr>
              <w:pStyle w:val="style0"/>
              <w:spacing w:lineRule="auto" w:line="259"/>
              <w:rPr>
                <w:rFonts w:eastAsia="Calibri"/>
                <w:sz w:val="16"/>
                <w:szCs w:val="16"/>
              </w:rPr>
            </w:pPr>
            <w:r>
              <w:rPr>
                <w:rFonts w:eastAsia="Calibri"/>
                <w:sz w:val="16"/>
                <w:szCs w:val="16"/>
              </w:rPr>
              <w:t>Qualitative interview study</w:t>
            </w:r>
          </w:p>
        </w:tc>
        <w:tc>
          <w:tcPr>
            <w:tcW w:w="810" w:type="dxa"/>
            <w:tcBorders/>
            <w:hideMark/>
          </w:tcPr>
          <w:p>
            <w:pPr>
              <w:pStyle w:val="style0"/>
              <w:spacing w:lineRule="auto" w:line="259"/>
              <w:rPr>
                <w:rFonts w:eastAsia="Calibri"/>
                <w:sz w:val="16"/>
                <w:szCs w:val="16"/>
              </w:rPr>
            </w:pPr>
            <w:r>
              <w:rPr>
                <w:rFonts w:eastAsia="Calibri"/>
                <w:sz w:val="16"/>
                <w:szCs w:val="16"/>
              </w:rPr>
              <w:t>To explore experiences of unplanned readmissions among older adults receiving homecare.</w:t>
            </w:r>
          </w:p>
        </w:tc>
        <w:tc>
          <w:tcPr>
            <w:tcW w:w="775" w:type="dxa"/>
            <w:tcBorders/>
            <w:hideMark/>
          </w:tcPr>
          <w:p>
            <w:pPr>
              <w:pStyle w:val="style0"/>
              <w:spacing w:lineRule="auto" w:line="259"/>
              <w:rPr>
                <w:rFonts w:eastAsia="Calibri"/>
                <w:sz w:val="16"/>
                <w:szCs w:val="16"/>
              </w:rPr>
            </w:pPr>
            <w:r>
              <w:rPr>
                <w:rFonts w:eastAsia="Calibri"/>
                <w:sz w:val="16"/>
                <w:szCs w:val="16"/>
              </w:rPr>
              <w:t>Individual semi-structured interviews; analysed using systematic text condensation (</w:t>
            </w:r>
            <w:r>
              <w:rPr>
                <w:rFonts w:eastAsia="Calibri"/>
                <w:sz w:val="16"/>
                <w:szCs w:val="16"/>
              </w:rPr>
              <w:t>Malterud</w:t>
            </w:r>
            <w:r>
              <w:rPr>
                <w:rFonts w:eastAsia="Calibri"/>
                <w:sz w:val="16"/>
                <w:szCs w:val="16"/>
              </w:rPr>
              <w:t>).</w:t>
            </w:r>
          </w:p>
        </w:tc>
        <w:tc>
          <w:tcPr>
            <w:tcW w:w="236" w:type="dxa"/>
            <w:tcBorders/>
            <w:hideMark/>
          </w:tcPr>
          <w:p>
            <w:pPr>
              <w:pStyle w:val="style0"/>
              <w:spacing w:lineRule="auto" w:line="259"/>
              <w:rPr>
                <w:rFonts w:eastAsia="Calibri"/>
                <w:sz w:val="16"/>
                <w:szCs w:val="16"/>
              </w:rPr>
            </w:pPr>
            <w:r>
              <w:rPr>
                <w:rFonts w:eastAsia="Calibri"/>
                <w:sz w:val="16"/>
                <w:szCs w:val="16"/>
              </w:rPr>
              <w:t>12 older adults (aged 67–95)</w:t>
            </w:r>
          </w:p>
        </w:tc>
        <w:tc>
          <w:tcPr>
            <w:tcW w:w="1463" w:type="dxa"/>
            <w:tcBorders/>
            <w:hideMark/>
          </w:tcPr>
          <w:p>
            <w:pPr>
              <w:pStyle w:val="style0"/>
              <w:spacing w:lineRule="auto" w:line="259"/>
              <w:rPr>
                <w:rFonts w:eastAsia="Calibri"/>
                <w:sz w:val="16"/>
                <w:szCs w:val="16"/>
              </w:rPr>
            </w:pPr>
            <w:r>
              <w:rPr>
                <w:rFonts w:eastAsia="Calibri"/>
                <w:sz w:val="16"/>
                <w:szCs w:val="16"/>
              </w:rPr>
              <w:t>Three themes emerged: (1) responsibility and security at home, (2) role of family/friends/homecare, (3) importance of trust. Older adults felt discharged too early and insecure at home, especially those living alone. Inadequate homecare competencies contributed to readmissions. Readmission increased their sense of safety. Family support was crucial, while those without support felt vulnerable.</w:t>
            </w:r>
          </w:p>
        </w:tc>
      </w:tr>
      <w:tr>
        <w:tblPrEx/>
        <w:trPr>
          <w:trHeight w:val="690" w:hRule="atLeast"/>
        </w:trPr>
        <w:tc>
          <w:tcPr>
            <w:tcW w:w="867" w:type="dxa"/>
            <w:tcBorders/>
            <w:noWrap/>
            <w:hideMark/>
          </w:tcPr>
          <w:p>
            <w:pPr>
              <w:pStyle w:val="style0"/>
              <w:spacing w:lineRule="auto" w:line="259"/>
              <w:rPr>
                <w:rFonts w:eastAsia="Calibri"/>
                <w:sz w:val="16"/>
                <w:szCs w:val="16"/>
              </w:rPr>
            </w:pPr>
            <w:r>
              <w:rPr>
                <w:rFonts w:eastAsia="Calibri"/>
                <w:sz w:val="16"/>
                <w:szCs w:val="16"/>
              </w:rPr>
              <w:t>A Qualitative Study of Unplanned Hospital Readmissions: Patient Perspectives on Their Hospital to Home Transition</w:t>
            </w:r>
          </w:p>
        </w:tc>
        <w:tc>
          <w:tcPr>
            <w:tcW w:w="559" w:type="dxa"/>
            <w:tcBorders/>
            <w:noWrap/>
            <w:hideMark/>
          </w:tcPr>
          <w:p>
            <w:pPr>
              <w:pStyle w:val="style0"/>
              <w:spacing w:lineRule="auto" w:line="259"/>
              <w:rPr>
                <w:rFonts w:eastAsia="Calibri"/>
                <w:sz w:val="16"/>
                <w:szCs w:val="16"/>
              </w:rPr>
            </w:pPr>
            <w:r>
              <w:rPr>
                <w:rFonts w:eastAsia="Calibri"/>
                <w:sz w:val="16"/>
                <w:szCs w:val="16"/>
              </w:rPr>
              <w:t>Yeatts et al., 2025</w:t>
            </w:r>
          </w:p>
        </w:tc>
        <w:tc>
          <w:tcPr>
            <w:tcW w:w="867" w:type="dxa"/>
            <w:tcBorders/>
            <w:noWrap/>
            <w:hideMark/>
          </w:tcPr>
          <w:p>
            <w:pPr>
              <w:pStyle w:val="style0"/>
              <w:spacing w:lineRule="auto" w:line="259"/>
              <w:rPr>
                <w:rFonts w:eastAsia="Calibri"/>
                <w:sz w:val="16"/>
                <w:szCs w:val="16"/>
              </w:rPr>
            </w:pPr>
            <w:r>
              <w:rPr>
                <w:rFonts w:eastAsia="Calibri"/>
                <w:sz w:val="16"/>
                <w:szCs w:val="16"/>
              </w:rPr>
              <w:t>A Qualitative Study of Unplanned Hospital Readmissions: Patient Perspectives on Their Hospital to Home Transition</w:t>
            </w:r>
          </w:p>
        </w:tc>
        <w:tc>
          <w:tcPr>
            <w:tcW w:w="392" w:type="dxa"/>
            <w:tcBorders/>
            <w:hideMark/>
          </w:tcPr>
          <w:p>
            <w:pPr>
              <w:pStyle w:val="style0"/>
              <w:spacing w:lineRule="auto" w:line="259"/>
              <w:rPr>
                <w:rFonts w:eastAsia="Calibri"/>
                <w:sz w:val="16"/>
                <w:szCs w:val="16"/>
              </w:rPr>
            </w:pPr>
            <w:r>
              <w:rPr>
                <w:rFonts w:eastAsia="Calibri"/>
                <w:sz w:val="16"/>
                <w:szCs w:val="16"/>
              </w:rPr>
              <w:t>2025</w:t>
            </w:r>
          </w:p>
        </w:tc>
        <w:tc>
          <w:tcPr>
            <w:tcW w:w="722" w:type="dxa"/>
            <w:tcBorders/>
            <w:noWrap/>
            <w:hideMark/>
          </w:tcPr>
          <w:p>
            <w:pPr>
              <w:pStyle w:val="style0"/>
              <w:spacing w:lineRule="auto" w:line="259"/>
              <w:rPr>
                <w:rFonts w:eastAsia="Calibri"/>
                <w:sz w:val="16"/>
                <w:szCs w:val="16"/>
              </w:rPr>
            </w:pPr>
            <w:r>
              <w:rPr>
                <w:rFonts w:eastAsia="Calibri"/>
                <w:sz w:val="16"/>
                <w:szCs w:val="16"/>
              </w:rPr>
              <w:t>Nursing Reports</w:t>
            </w:r>
          </w:p>
        </w:tc>
        <w:tc>
          <w:tcPr>
            <w:tcW w:w="493" w:type="dxa"/>
            <w:tcBorders/>
            <w:hideMark/>
          </w:tcPr>
          <w:p>
            <w:pPr>
              <w:pStyle w:val="style0"/>
              <w:spacing w:lineRule="auto" w:line="259"/>
              <w:rPr>
                <w:rFonts w:eastAsia="Calibri"/>
                <w:sz w:val="16"/>
                <w:szCs w:val="16"/>
              </w:rPr>
            </w:pPr>
            <w:r>
              <w:rPr>
                <w:rFonts w:eastAsia="Calibri"/>
                <w:sz w:val="16"/>
                <w:szCs w:val="16"/>
              </w:rPr>
              <w:t>15</w:t>
            </w:r>
          </w:p>
        </w:tc>
        <w:tc>
          <w:tcPr>
            <w:tcW w:w="419" w:type="dxa"/>
            <w:tcBorders/>
            <w:hideMark/>
          </w:tcPr>
          <w:p>
            <w:pPr>
              <w:pStyle w:val="style0"/>
              <w:spacing w:lineRule="auto" w:line="259"/>
              <w:rPr>
                <w:rFonts w:eastAsia="Calibri"/>
                <w:sz w:val="16"/>
                <w:szCs w:val="16"/>
              </w:rPr>
            </w:pPr>
            <w:r>
              <w:rPr>
                <w:rFonts w:eastAsia="Calibri"/>
                <w:sz w:val="16"/>
                <w:szCs w:val="16"/>
              </w:rPr>
              <w:t>6</w:t>
            </w:r>
          </w:p>
        </w:tc>
        <w:tc>
          <w:tcPr>
            <w:tcW w:w="546" w:type="dxa"/>
            <w:tcBorders/>
            <w:noWrap/>
            <w:hideMark/>
          </w:tcPr>
          <w:p>
            <w:pPr>
              <w:pStyle w:val="style0"/>
              <w:spacing w:lineRule="auto" w:line="259"/>
              <w:rPr>
                <w:rFonts w:eastAsia="Calibri"/>
                <w:sz w:val="16"/>
                <w:szCs w:val="16"/>
              </w:rPr>
            </w:pPr>
          </w:p>
        </w:tc>
        <w:tc>
          <w:tcPr>
            <w:tcW w:w="867" w:type="dxa"/>
            <w:tcBorders/>
            <w:noWrap/>
            <w:hideMark/>
          </w:tcPr>
          <w:p>
            <w:pPr>
              <w:pStyle w:val="style0"/>
              <w:spacing w:lineRule="auto" w:line="259"/>
              <w:rPr>
                <w:rFonts w:eastAsia="Calibri"/>
                <w:sz w:val="16"/>
                <w:szCs w:val="16"/>
              </w:rPr>
            </w:pPr>
            <w:r>
              <w:rPr>
                <w:rFonts w:eastAsia="Calibri"/>
                <w:sz w:val="16"/>
                <w:szCs w:val="16"/>
              </w:rPr>
              <w:t>Qualitative interview study</w:t>
            </w:r>
          </w:p>
        </w:tc>
        <w:tc>
          <w:tcPr>
            <w:tcW w:w="810" w:type="dxa"/>
            <w:tcBorders/>
            <w:noWrap/>
            <w:hideMark/>
          </w:tcPr>
          <w:p>
            <w:pPr>
              <w:pStyle w:val="style0"/>
              <w:spacing w:lineRule="auto" w:line="259"/>
              <w:rPr>
                <w:rFonts w:eastAsia="Calibri"/>
                <w:sz w:val="16"/>
                <w:szCs w:val="16"/>
              </w:rPr>
            </w:pPr>
            <w:r>
              <w:rPr>
                <w:rFonts w:eastAsia="Calibri"/>
                <w:sz w:val="16"/>
                <w:szCs w:val="16"/>
              </w:rPr>
              <w:t xml:space="preserve">(1) To identify patient-perceived factors influencing recovery during pre-discharge, bridging, and post-discharge stages; </w:t>
            </w:r>
            <w:r>
              <w:rPr>
                <w:rFonts w:eastAsia="Calibri"/>
                <w:sz w:val="16"/>
                <w:szCs w:val="16"/>
              </w:rPr>
              <w:t>(2) To identify factors important across all stages of transition.</w:t>
            </w:r>
          </w:p>
        </w:tc>
        <w:tc>
          <w:tcPr>
            <w:tcW w:w="775" w:type="dxa"/>
            <w:tcBorders/>
            <w:noWrap/>
            <w:hideMark/>
          </w:tcPr>
          <w:p>
            <w:pPr>
              <w:pStyle w:val="style0"/>
              <w:spacing w:lineRule="auto" w:line="259"/>
              <w:rPr>
                <w:rFonts w:eastAsia="Calibri"/>
                <w:sz w:val="16"/>
                <w:szCs w:val="16"/>
              </w:rPr>
            </w:pPr>
            <w:r>
              <w:rPr>
                <w:rFonts w:eastAsia="Calibri"/>
                <w:sz w:val="16"/>
                <w:szCs w:val="16"/>
              </w:rPr>
              <w:t>In-depth home interviews; open-ended readings; qualitative analysis software.</w:t>
            </w:r>
          </w:p>
        </w:tc>
        <w:tc>
          <w:tcPr>
            <w:tcW w:w="236" w:type="dxa"/>
            <w:tcBorders/>
            <w:noWrap/>
            <w:hideMark/>
          </w:tcPr>
          <w:p>
            <w:pPr>
              <w:pStyle w:val="style0"/>
              <w:spacing w:lineRule="auto" w:line="259"/>
              <w:rPr>
                <w:rFonts w:eastAsia="Calibri"/>
                <w:sz w:val="16"/>
                <w:szCs w:val="16"/>
              </w:rPr>
            </w:pPr>
            <w:r>
              <w:rPr>
                <w:rFonts w:eastAsia="Calibri"/>
                <w:sz w:val="16"/>
                <w:szCs w:val="16"/>
              </w:rPr>
              <w:t>62 participants</w:t>
            </w:r>
          </w:p>
        </w:tc>
        <w:tc>
          <w:tcPr>
            <w:tcW w:w="1463" w:type="dxa"/>
            <w:tcBorders/>
            <w:hideMark/>
          </w:tcPr>
          <w:p>
            <w:pPr>
              <w:pStyle w:val="style0"/>
              <w:spacing w:lineRule="auto" w:line="259"/>
              <w:rPr>
                <w:rFonts w:eastAsia="Calibri"/>
                <w:sz w:val="16"/>
                <w:szCs w:val="16"/>
              </w:rPr>
            </w:pPr>
            <w:r>
              <w:rPr>
                <w:rFonts w:eastAsia="Calibri"/>
                <w:sz w:val="16"/>
                <w:szCs w:val="16"/>
              </w:rPr>
              <w:t xml:space="preserve">Pre-discharge factors: diagnosis accuracy, treatment, financial resources. Bridging factors: access to health information, social support. Post-discharge factors: </w:t>
            </w:r>
            <w:r>
              <w:rPr>
                <w:rFonts w:eastAsia="Calibri"/>
                <w:sz w:val="16"/>
                <w:szCs w:val="16"/>
              </w:rPr>
              <w:t>personal characteristics, social support, home environment. Four cross-stage factors identified: financial resources, social support, access to health services, and personal stress.</w:t>
            </w:r>
          </w:p>
        </w:tc>
      </w:tr>
      <w:tr>
        <w:tblPrEx/>
        <w:trPr>
          <w:trHeight w:val="1071" w:hRule="atLeast"/>
        </w:trPr>
        <w:tc>
          <w:tcPr>
            <w:tcW w:w="867" w:type="dxa"/>
            <w:tcBorders/>
            <w:hideMark/>
          </w:tcPr>
          <w:p>
            <w:pPr>
              <w:pStyle w:val="style0"/>
              <w:spacing w:lineRule="auto" w:line="259"/>
              <w:rPr>
                <w:rFonts w:eastAsia="Calibri"/>
                <w:sz w:val="16"/>
                <w:szCs w:val="16"/>
              </w:rPr>
            </w:pPr>
            <w:r>
              <w:rPr>
                <w:rFonts w:eastAsia="Calibri"/>
                <w:sz w:val="16"/>
                <w:szCs w:val="16"/>
              </w:rPr>
              <w:t>A tale of 2 digital hospitals: A qualitative study of antimicrobial stewardship teams</w:t>
            </w:r>
          </w:p>
        </w:tc>
        <w:tc>
          <w:tcPr>
            <w:tcW w:w="559" w:type="dxa"/>
            <w:tcBorders/>
            <w:hideMark/>
          </w:tcPr>
          <w:p>
            <w:pPr>
              <w:pStyle w:val="style0"/>
              <w:spacing w:lineRule="auto" w:line="259"/>
              <w:rPr>
                <w:rFonts w:eastAsia="Calibri"/>
                <w:sz w:val="16"/>
                <w:szCs w:val="16"/>
              </w:rPr>
            </w:pPr>
            <w:r>
              <w:rPr>
                <w:rFonts w:eastAsia="Calibri"/>
                <w:sz w:val="16"/>
                <w:szCs w:val="16"/>
              </w:rPr>
              <w:t>Van Dort et al., 2024</w:t>
            </w:r>
          </w:p>
        </w:tc>
        <w:tc>
          <w:tcPr>
            <w:tcW w:w="867" w:type="dxa"/>
            <w:tcBorders/>
            <w:hideMark/>
          </w:tcPr>
          <w:p>
            <w:pPr>
              <w:pStyle w:val="style0"/>
              <w:spacing w:lineRule="auto" w:line="259"/>
              <w:rPr>
                <w:rFonts w:eastAsia="Calibri"/>
                <w:sz w:val="16"/>
                <w:szCs w:val="16"/>
              </w:rPr>
            </w:pPr>
            <w:r>
              <w:rPr>
                <w:rFonts w:eastAsia="Calibri"/>
                <w:sz w:val="16"/>
                <w:szCs w:val="16"/>
              </w:rPr>
              <w:t>A tale of 2 digital hospitals: A qualitative study of antimicrobial stewardship teams</w:t>
            </w:r>
          </w:p>
        </w:tc>
        <w:tc>
          <w:tcPr>
            <w:tcW w:w="392" w:type="dxa"/>
            <w:tcBorders/>
            <w:hideMark/>
          </w:tcPr>
          <w:p>
            <w:pPr>
              <w:pStyle w:val="style0"/>
              <w:spacing w:lineRule="auto" w:line="259"/>
              <w:rPr>
                <w:rFonts w:eastAsia="Calibri"/>
                <w:sz w:val="16"/>
                <w:szCs w:val="16"/>
              </w:rPr>
            </w:pPr>
            <w:r>
              <w:rPr>
                <w:rFonts w:eastAsia="Calibri"/>
                <w:sz w:val="16"/>
                <w:szCs w:val="16"/>
              </w:rPr>
              <w:t>2025</w:t>
            </w:r>
          </w:p>
        </w:tc>
        <w:tc>
          <w:tcPr>
            <w:tcW w:w="722" w:type="dxa"/>
            <w:tcBorders/>
            <w:hideMark/>
          </w:tcPr>
          <w:p>
            <w:pPr>
              <w:pStyle w:val="style0"/>
              <w:spacing w:lineRule="auto" w:line="259"/>
              <w:rPr>
                <w:rFonts w:eastAsia="Calibri"/>
                <w:sz w:val="16"/>
                <w:szCs w:val="16"/>
              </w:rPr>
            </w:pPr>
            <w:r>
              <w:rPr>
                <w:rFonts w:eastAsia="Calibri"/>
                <w:sz w:val="16"/>
                <w:szCs w:val="16"/>
              </w:rPr>
              <w:t>British Journal of Clinical Pharmacology</w:t>
            </w:r>
          </w:p>
        </w:tc>
        <w:tc>
          <w:tcPr>
            <w:tcW w:w="493" w:type="dxa"/>
            <w:tcBorders/>
            <w:hideMark/>
          </w:tcPr>
          <w:p>
            <w:pPr>
              <w:pStyle w:val="style0"/>
              <w:spacing w:lineRule="auto" w:line="259"/>
              <w:rPr>
                <w:rFonts w:eastAsia="Calibri"/>
                <w:sz w:val="16"/>
                <w:szCs w:val="16"/>
              </w:rPr>
            </w:pPr>
            <w:r>
              <w:rPr>
                <w:rFonts w:eastAsia="Calibri"/>
                <w:sz w:val="16"/>
                <w:szCs w:val="16"/>
              </w:rPr>
              <w:t>90</w:t>
            </w:r>
          </w:p>
        </w:tc>
        <w:tc>
          <w:tcPr>
            <w:tcW w:w="419" w:type="dxa"/>
            <w:tcBorders/>
            <w:hideMark/>
          </w:tcPr>
          <w:p>
            <w:pPr>
              <w:pStyle w:val="style0"/>
              <w:spacing w:lineRule="auto" w:line="259"/>
              <w:rPr>
                <w:rFonts w:eastAsia="Calibri"/>
                <w:sz w:val="16"/>
                <w:szCs w:val="16"/>
              </w:rPr>
            </w:pPr>
            <w:r>
              <w:rPr>
                <w:rFonts w:eastAsia="Calibri"/>
                <w:sz w:val="16"/>
                <w:szCs w:val="16"/>
              </w:rPr>
              <w:t>4</w:t>
            </w:r>
          </w:p>
        </w:tc>
        <w:tc>
          <w:tcPr>
            <w:tcW w:w="546" w:type="dxa"/>
            <w:tcBorders/>
            <w:hideMark/>
          </w:tcPr>
          <w:p>
            <w:pPr>
              <w:pStyle w:val="style0"/>
              <w:spacing w:lineRule="auto" w:line="259"/>
              <w:rPr>
                <w:rFonts w:eastAsia="Calibri"/>
                <w:sz w:val="16"/>
                <w:szCs w:val="16"/>
              </w:rPr>
            </w:pPr>
          </w:p>
        </w:tc>
        <w:tc>
          <w:tcPr>
            <w:tcW w:w="867" w:type="dxa"/>
            <w:tcBorders/>
            <w:hideMark/>
          </w:tcPr>
          <w:p>
            <w:pPr>
              <w:pStyle w:val="style0"/>
              <w:spacing w:lineRule="auto" w:line="259"/>
              <w:rPr>
                <w:rFonts w:eastAsia="Calibri"/>
                <w:sz w:val="16"/>
                <w:szCs w:val="16"/>
              </w:rPr>
            </w:pPr>
            <w:r>
              <w:rPr>
                <w:rFonts w:eastAsia="Calibri"/>
                <w:sz w:val="16"/>
                <w:szCs w:val="16"/>
              </w:rPr>
              <w:t>Qualitative study (contextual inquiry)</w:t>
            </w:r>
          </w:p>
        </w:tc>
        <w:tc>
          <w:tcPr>
            <w:tcW w:w="810" w:type="dxa"/>
            <w:tcBorders/>
            <w:hideMark/>
          </w:tcPr>
          <w:p>
            <w:pPr>
              <w:pStyle w:val="style0"/>
              <w:spacing w:lineRule="auto" w:line="259"/>
              <w:rPr>
                <w:rFonts w:eastAsia="Calibri"/>
                <w:sz w:val="16"/>
                <w:szCs w:val="16"/>
              </w:rPr>
            </w:pPr>
            <w:r>
              <w:rPr>
                <w:rFonts w:eastAsia="Calibri"/>
                <w:sz w:val="16"/>
                <w:szCs w:val="16"/>
              </w:rPr>
              <w:t>To examine and understand AMS team work processes across two digital hospitals and identify barriers/enablers to effective AMS.</w:t>
            </w:r>
          </w:p>
        </w:tc>
        <w:tc>
          <w:tcPr>
            <w:tcW w:w="775" w:type="dxa"/>
            <w:tcBorders/>
            <w:hideMark/>
          </w:tcPr>
          <w:p>
            <w:pPr>
              <w:pStyle w:val="style0"/>
              <w:spacing w:lineRule="auto" w:line="259"/>
              <w:rPr>
                <w:rFonts w:eastAsia="Calibri"/>
                <w:sz w:val="16"/>
                <w:szCs w:val="16"/>
              </w:rPr>
            </w:pPr>
            <w:r>
              <w:rPr>
                <w:rFonts w:eastAsia="Calibri"/>
                <w:sz w:val="16"/>
                <w:szCs w:val="16"/>
              </w:rPr>
              <w:t>Contextual inquiry using observations and semi-structured interviews; SEIPS model used for analysis.</w:t>
            </w:r>
          </w:p>
        </w:tc>
        <w:tc>
          <w:tcPr>
            <w:tcW w:w="236" w:type="dxa"/>
            <w:tcBorders/>
            <w:hideMark/>
          </w:tcPr>
          <w:p>
            <w:pPr>
              <w:pStyle w:val="style0"/>
              <w:spacing w:lineRule="auto" w:line="259"/>
              <w:rPr>
                <w:rFonts w:eastAsia="Calibri"/>
                <w:sz w:val="16"/>
                <w:szCs w:val="16"/>
              </w:rPr>
            </w:pPr>
            <w:r>
              <w:rPr>
                <w:rFonts w:eastAsia="Calibri"/>
                <w:sz w:val="16"/>
                <w:szCs w:val="16"/>
              </w:rPr>
              <w:t>15 AMS team members</w:t>
            </w:r>
          </w:p>
        </w:tc>
        <w:tc>
          <w:tcPr>
            <w:tcW w:w="1463" w:type="dxa"/>
            <w:tcBorders/>
            <w:hideMark/>
          </w:tcPr>
          <w:p>
            <w:pPr>
              <w:pStyle w:val="style0"/>
              <w:spacing w:lineRule="auto" w:line="259"/>
              <w:rPr>
                <w:rFonts w:eastAsia="Calibri"/>
                <w:sz w:val="16"/>
                <w:szCs w:val="16"/>
              </w:rPr>
            </w:pPr>
            <w:r>
              <w:rPr>
                <w:rFonts w:eastAsia="Calibri"/>
                <w:sz w:val="16"/>
                <w:szCs w:val="16"/>
              </w:rPr>
              <w:t>Hospitals used similar digital systems but differed in AMS practices. Dashboard used more where AMS team helped develop it and had user champions. Poor interoperability and lack of awareness reduced use in the second hospital. Strong AMS–prescriber relationships supported AMS. Organizational/cultural factors (executive support, prescriber autonomy, resources) strongly influenced AMS effectiveness.</w:t>
            </w:r>
          </w:p>
        </w:tc>
      </w:tr>
      <w:tr>
        <w:tblPrEx/>
        <w:trPr>
          <w:trHeight w:val="1848" w:hRule="atLeast"/>
        </w:trPr>
        <w:tc>
          <w:tcPr>
            <w:tcW w:w="867" w:type="dxa"/>
            <w:tcBorders/>
            <w:hideMark/>
          </w:tcPr>
          <w:p>
            <w:pPr>
              <w:pStyle w:val="style0"/>
              <w:spacing w:lineRule="auto" w:line="259"/>
              <w:rPr>
                <w:rFonts w:eastAsia="Calibri"/>
                <w:sz w:val="16"/>
                <w:szCs w:val="16"/>
              </w:rPr>
            </w:pPr>
            <w:r>
              <w:rPr>
                <w:rFonts w:eastAsia="Calibri"/>
                <w:sz w:val="16"/>
                <w:szCs w:val="16"/>
              </w:rPr>
              <w:t>Exploring Older People's Experiences and Factors Associated With 30</w:t>
            </w:r>
            <w:r>
              <w:rPr>
                <w:rFonts w:ascii="Cambria Math" w:cs="Cambria Math" w:eastAsia="Calibri" w:hAnsi="Cambria Math"/>
                <w:sz w:val="16"/>
                <w:szCs w:val="16"/>
              </w:rPr>
              <w:t>‐</w:t>
            </w:r>
            <w:r>
              <w:rPr>
                <w:rFonts w:eastAsia="Calibri"/>
                <w:sz w:val="16"/>
                <w:szCs w:val="16"/>
              </w:rPr>
              <w:t>Day Hospital Readmission: A Qualitative Study Using Interpretive Phenomenological Analysis</w:t>
            </w:r>
          </w:p>
        </w:tc>
        <w:tc>
          <w:tcPr>
            <w:tcW w:w="559" w:type="dxa"/>
            <w:tcBorders/>
            <w:noWrap/>
            <w:hideMark/>
          </w:tcPr>
          <w:p>
            <w:pPr>
              <w:pStyle w:val="style0"/>
              <w:spacing w:lineRule="auto" w:line="259"/>
              <w:rPr>
                <w:rFonts w:eastAsia="Calibri"/>
                <w:sz w:val="16"/>
                <w:szCs w:val="16"/>
              </w:rPr>
            </w:pPr>
            <w:r>
              <w:rPr>
                <w:rFonts w:eastAsia="Calibri"/>
                <w:sz w:val="16"/>
                <w:szCs w:val="16"/>
              </w:rPr>
              <w:t>Stavrou et al., 2024</w:t>
            </w:r>
          </w:p>
        </w:tc>
        <w:tc>
          <w:tcPr>
            <w:tcW w:w="867" w:type="dxa"/>
            <w:tcBorders/>
            <w:hideMark/>
          </w:tcPr>
          <w:p>
            <w:pPr>
              <w:pStyle w:val="style0"/>
              <w:spacing w:lineRule="auto" w:line="259"/>
              <w:rPr>
                <w:rFonts w:eastAsia="Calibri"/>
                <w:sz w:val="16"/>
                <w:szCs w:val="16"/>
              </w:rPr>
            </w:pPr>
            <w:r>
              <w:rPr>
                <w:rFonts w:eastAsia="Calibri"/>
                <w:sz w:val="16"/>
                <w:szCs w:val="16"/>
              </w:rPr>
              <w:t>Exploring Older People's Experiences and Factors Associated With 30</w:t>
            </w:r>
            <w:r>
              <w:rPr>
                <w:rFonts w:ascii="Cambria Math" w:cs="Cambria Math" w:eastAsia="Calibri" w:hAnsi="Cambria Math"/>
                <w:sz w:val="16"/>
                <w:szCs w:val="16"/>
              </w:rPr>
              <w:t>‐</w:t>
            </w:r>
            <w:r>
              <w:rPr>
                <w:rFonts w:eastAsia="Calibri"/>
                <w:sz w:val="16"/>
                <w:szCs w:val="16"/>
              </w:rPr>
              <w:t>Day Hospital Readmission: A Qualitative Study Using Interpretive Phenomenological Analysis</w:t>
            </w:r>
          </w:p>
        </w:tc>
        <w:tc>
          <w:tcPr>
            <w:tcW w:w="392" w:type="dxa"/>
            <w:tcBorders/>
            <w:noWrap/>
            <w:hideMark/>
          </w:tcPr>
          <w:p>
            <w:pPr>
              <w:pStyle w:val="style0"/>
              <w:spacing w:lineRule="auto" w:line="259"/>
              <w:rPr>
                <w:rFonts w:eastAsia="Calibri"/>
                <w:sz w:val="16"/>
                <w:szCs w:val="16"/>
              </w:rPr>
            </w:pPr>
            <w:r>
              <w:rPr>
                <w:rFonts w:eastAsia="Calibri"/>
                <w:sz w:val="16"/>
                <w:szCs w:val="16"/>
              </w:rPr>
              <w:t>2024</w:t>
            </w:r>
          </w:p>
        </w:tc>
        <w:tc>
          <w:tcPr>
            <w:tcW w:w="722" w:type="dxa"/>
            <w:tcBorders/>
            <w:hideMark/>
          </w:tcPr>
          <w:p>
            <w:pPr>
              <w:pStyle w:val="style0"/>
              <w:spacing w:lineRule="auto" w:line="259"/>
              <w:rPr>
                <w:rFonts w:eastAsia="Calibri"/>
                <w:sz w:val="16"/>
                <w:szCs w:val="16"/>
              </w:rPr>
            </w:pPr>
            <w:r>
              <w:rPr>
                <w:rFonts w:eastAsia="Calibri"/>
                <w:sz w:val="16"/>
                <w:szCs w:val="16"/>
              </w:rPr>
              <w:t>International Journal of Older People Nursing</w:t>
            </w:r>
          </w:p>
        </w:tc>
        <w:tc>
          <w:tcPr>
            <w:tcW w:w="493" w:type="dxa"/>
            <w:tcBorders/>
            <w:noWrap/>
            <w:hideMark/>
          </w:tcPr>
          <w:p>
            <w:pPr>
              <w:pStyle w:val="style0"/>
              <w:spacing w:lineRule="auto" w:line="259"/>
              <w:rPr>
                <w:rFonts w:eastAsia="Calibri"/>
                <w:sz w:val="16"/>
                <w:szCs w:val="16"/>
              </w:rPr>
            </w:pPr>
            <w:r>
              <w:rPr>
                <w:rFonts w:eastAsia="Calibri"/>
                <w:sz w:val="16"/>
                <w:szCs w:val="16"/>
              </w:rPr>
              <w:t>19</w:t>
            </w:r>
          </w:p>
        </w:tc>
        <w:tc>
          <w:tcPr>
            <w:tcW w:w="419" w:type="dxa"/>
            <w:tcBorders/>
            <w:noWrap/>
            <w:hideMark/>
          </w:tcPr>
          <w:p>
            <w:pPr>
              <w:pStyle w:val="style0"/>
              <w:spacing w:lineRule="auto" w:line="259"/>
              <w:rPr>
                <w:rFonts w:eastAsia="Calibri"/>
                <w:sz w:val="16"/>
                <w:szCs w:val="16"/>
              </w:rPr>
            </w:pPr>
            <w:r>
              <w:rPr>
                <w:rFonts w:eastAsia="Calibri"/>
                <w:sz w:val="16"/>
                <w:szCs w:val="16"/>
              </w:rPr>
              <w:t>6</w:t>
            </w:r>
          </w:p>
        </w:tc>
        <w:tc>
          <w:tcPr>
            <w:tcW w:w="546" w:type="dxa"/>
            <w:tcBorders/>
            <w:noWrap/>
            <w:hideMark/>
          </w:tcPr>
          <w:p>
            <w:pPr>
              <w:pStyle w:val="style0"/>
              <w:spacing w:lineRule="auto" w:line="259"/>
              <w:rPr>
                <w:rFonts w:eastAsia="Calibri"/>
                <w:sz w:val="16"/>
                <w:szCs w:val="16"/>
              </w:rPr>
            </w:pPr>
            <w:r>
              <w:rPr>
                <w:rFonts w:eastAsia="Calibri"/>
                <w:sz w:val="16"/>
                <w:szCs w:val="16"/>
              </w:rPr>
              <w:t>UK</w:t>
            </w:r>
          </w:p>
        </w:tc>
        <w:tc>
          <w:tcPr>
            <w:tcW w:w="867" w:type="dxa"/>
            <w:tcBorders/>
            <w:noWrap/>
            <w:hideMark/>
          </w:tcPr>
          <w:p>
            <w:pPr>
              <w:pStyle w:val="style0"/>
              <w:spacing w:lineRule="auto" w:line="259"/>
              <w:rPr>
                <w:rFonts w:eastAsia="Calibri"/>
                <w:sz w:val="16"/>
                <w:szCs w:val="16"/>
              </w:rPr>
            </w:pPr>
            <w:r>
              <w:rPr>
                <w:rFonts w:eastAsia="Calibri"/>
                <w:sz w:val="16"/>
                <w:szCs w:val="16"/>
              </w:rPr>
              <w:t>Qualitative study (Interpretive Phenomenological Analysis)</w:t>
            </w:r>
          </w:p>
        </w:tc>
        <w:tc>
          <w:tcPr>
            <w:tcW w:w="810" w:type="dxa"/>
            <w:tcBorders/>
            <w:hideMark/>
          </w:tcPr>
          <w:p>
            <w:pPr>
              <w:pStyle w:val="style0"/>
              <w:spacing w:lineRule="auto" w:line="259"/>
              <w:rPr>
                <w:rFonts w:eastAsia="Calibri"/>
                <w:sz w:val="16"/>
                <w:szCs w:val="16"/>
              </w:rPr>
            </w:pPr>
            <w:r>
              <w:rPr>
                <w:rFonts w:eastAsia="Calibri"/>
                <w:sz w:val="16"/>
                <w:szCs w:val="16"/>
              </w:rPr>
              <w:t>To explore older people's experiences of 30-day unplanned hospital readmission and understand what matters most to them.</w:t>
            </w:r>
          </w:p>
        </w:tc>
        <w:tc>
          <w:tcPr>
            <w:tcW w:w="775" w:type="dxa"/>
            <w:tcBorders/>
            <w:hideMark/>
          </w:tcPr>
          <w:p>
            <w:pPr>
              <w:pStyle w:val="style0"/>
              <w:spacing w:lineRule="auto" w:line="259"/>
              <w:rPr>
                <w:rFonts w:eastAsia="Calibri"/>
                <w:sz w:val="16"/>
                <w:szCs w:val="16"/>
              </w:rPr>
            </w:pPr>
            <w:r>
              <w:rPr>
                <w:rFonts w:eastAsia="Calibri"/>
                <w:sz w:val="16"/>
                <w:szCs w:val="16"/>
              </w:rPr>
              <w:t>Semi-structured qualitative interviews; IPA-based thematic analysis.</w:t>
            </w:r>
          </w:p>
        </w:tc>
        <w:tc>
          <w:tcPr>
            <w:tcW w:w="236" w:type="dxa"/>
            <w:tcBorders/>
            <w:noWrap/>
            <w:hideMark/>
          </w:tcPr>
          <w:p>
            <w:pPr>
              <w:pStyle w:val="style0"/>
              <w:spacing w:lineRule="auto" w:line="259"/>
              <w:rPr>
                <w:rFonts w:eastAsia="Calibri"/>
                <w:sz w:val="16"/>
                <w:szCs w:val="16"/>
              </w:rPr>
            </w:pPr>
            <w:r>
              <w:rPr>
                <w:rFonts w:eastAsia="Calibri"/>
                <w:sz w:val="16"/>
                <w:szCs w:val="16"/>
              </w:rPr>
              <w:t>10 participants (aged 65+)</w:t>
            </w:r>
          </w:p>
        </w:tc>
        <w:tc>
          <w:tcPr>
            <w:tcW w:w="1463" w:type="dxa"/>
            <w:tcBorders/>
            <w:hideMark/>
          </w:tcPr>
          <w:p>
            <w:pPr>
              <w:pStyle w:val="style0"/>
              <w:spacing w:lineRule="auto" w:line="259"/>
              <w:rPr>
                <w:rFonts w:eastAsia="Calibri"/>
                <w:sz w:val="16"/>
                <w:szCs w:val="16"/>
              </w:rPr>
            </w:pPr>
            <w:r>
              <w:rPr>
                <w:rFonts w:eastAsia="Calibri"/>
                <w:sz w:val="16"/>
                <w:szCs w:val="16"/>
              </w:rPr>
              <w:t xml:space="preserve">Four major themes: (1) </w:t>
            </w:r>
            <w:r>
              <w:rPr>
                <w:rFonts w:eastAsia="Calibri"/>
                <w:b/>
                <w:bCs/>
                <w:sz w:val="16"/>
                <w:szCs w:val="16"/>
              </w:rPr>
              <w:t>Lack of involvement</w:t>
            </w:r>
            <w:r>
              <w:rPr>
                <w:rFonts w:eastAsia="Calibri"/>
                <w:sz w:val="16"/>
                <w:szCs w:val="16"/>
              </w:rPr>
              <w:t xml:space="preserve"> in care decisions (“All about me without me”), (2) </w:t>
            </w:r>
            <w:r>
              <w:rPr>
                <w:rFonts w:eastAsia="Calibri"/>
                <w:b/>
                <w:bCs/>
                <w:sz w:val="16"/>
                <w:szCs w:val="16"/>
              </w:rPr>
              <w:t>Fragmented post-discharge support</w:t>
            </w:r>
            <w:r>
              <w:rPr>
                <w:rFonts w:eastAsia="Calibri"/>
                <w:sz w:val="16"/>
                <w:szCs w:val="16"/>
              </w:rPr>
              <w:t xml:space="preserve">, (3) </w:t>
            </w:r>
            <w:r>
              <w:rPr>
                <w:rFonts w:eastAsia="Calibri"/>
                <w:b/>
                <w:bCs/>
                <w:sz w:val="16"/>
                <w:szCs w:val="16"/>
              </w:rPr>
              <w:t>Factors driving readmission</w:t>
            </w:r>
            <w:r>
              <w:rPr>
                <w:rFonts w:eastAsia="Calibri"/>
                <w:sz w:val="16"/>
                <w:szCs w:val="16"/>
              </w:rPr>
              <w:t xml:space="preserve">, including feeling unwell and lack of support, and (4) </w:t>
            </w:r>
            <w:r>
              <w:rPr>
                <w:rFonts w:eastAsia="Calibri"/>
                <w:b/>
                <w:bCs/>
                <w:sz w:val="16"/>
                <w:szCs w:val="16"/>
              </w:rPr>
              <w:t>Disconnected health and social services</w:t>
            </w:r>
            <w:r>
              <w:rPr>
                <w:rFonts w:eastAsia="Calibri"/>
                <w:sz w:val="16"/>
                <w:szCs w:val="16"/>
              </w:rPr>
              <w:t>. Findings emphasise need for shared decision-making, better communication, coordinated care, and understanding patient contexts to reduce readmissions.</w:t>
            </w:r>
          </w:p>
        </w:tc>
      </w:tr>
      <w:tr>
        <w:tblPrEx/>
        <w:trPr>
          <w:trHeight w:val="1824" w:hRule="atLeast"/>
        </w:trPr>
        <w:tc>
          <w:tcPr>
            <w:tcW w:w="867" w:type="dxa"/>
            <w:tcBorders/>
            <w:hideMark/>
          </w:tcPr>
          <w:p>
            <w:pPr>
              <w:pStyle w:val="style0"/>
              <w:spacing w:lineRule="auto" w:line="259"/>
              <w:rPr>
                <w:rFonts w:eastAsia="Calibri"/>
                <w:sz w:val="16"/>
                <w:szCs w:val="16"/>
              </w:rPr>
            </w:pPr>
            <w:r>
              <w:rPr>
                <w:rFonts w:eastAsia="Calibri"/>
                <w:sz w:val="16"/>
                <w:szCs w:val="16"/>
              </w:rPr>
              <w:t>Towards reduction of preventable hospital readmission: Older people and family members' views on planned self</w:t>
            </w:r>
            <w:r>
              <w:rPr>
                <w:rFonts w:ascii="Cambria Math" w:cs="Cambria Math" w:eastAsia="Calibri" w:hAnsi="Cambria Math"/>
                <w:sz w:val="16"/>
                <w:szCs w:val="16"/>
              </w:rPr>
              <w:t>‐</w:t>
            </w:r>
            <w:r>
              <w:rPr>
                <w:rFonts w:eastAsia="Calibri"/>
                <w:sz w:val="16"/>
                <w:szCs w:val="16"/>
              </w:rPr>
              <w:t>management of care at home</w:t>
            </w:r>
          </w:p>
        </w:tc>
        <w:tc>
          <w:tcPr>
            <w:tcW w:w="559" w:type="dxa"/>
            <w:tcBorders/>
            <w:noWrap/>
            <w:hideMark/>
          </w:tcPr>
          <w:p>
            <w:pPr>
              <w:pStyle w:val="style0"/>
              <w:spacing w:lineRule="auto" w:line="259"/>
              <w:rPr>
                <w:rFonts w:eastAsia="Calibri"/>
                <w:sz w:val="16"/>
                <w:szCs w:val="16"/>
              </w:rPr>
            </w:pPr>
            <w:r>
              <w:rPr>
                <w:rFonts w:eastAsia="Calibri"/>
                <w:sz w:val="16"/>
                <w:szCs w:val="16"/>
              </w:rPr>
              <w:t>King et al., 2023</w:t>
            </w:r>
          </w:p>
        </w:tc>
        <w:tc>
          <w:tcPr>
            <w:tcW w:w="867" w:type="dxa"/>
            <w:tcBorders/>
            <w:hideMark/>
          </w:tcPr>
          <w:p>
            <w:pPr>
              <w:pStyle w:val="style0"/>
              <w:spacing w:lineRule="auto" w:line="259"/>
              <w:rPr>
                <w:rFonts w:eastAsia="Calibri"/>
                <w:sz w:val="16"/>
                <w:szCs w:val="16"/>
              </w:rPr>
            </w:pPr>
            <w:r>
              <w:rPr>
                <w:rFonts w:eastAsia="Calibri"/>
                <w:sz w:val="16"/>
                <w:szCs w:val="16"/>
              </w:rPr>
              <w:t>Towards reduction of preventable hospital readmission: Older people and family members' views on planned self</w:t>
            </w:r>
            <w:r>
              <w:rPr>
                <w:rFonts w:ascii="Cambria Math" w:cs="Cambria Math" w:eastAsia="Calibri" w:hAnsi="Cambria Math"/>
                <w:sz w:val="16"/>
                <w:szCs w:val="16"/>
              </w:rPr>
              <w:t>‐</w:t>
            </w:r>
            <w:r>
              <w:rPr>
                <w:rFonts w:eastAsia="Calibri"/>
                <w:sz w:val="16"/>
                <w:szCs w:val="16"/>
              </w:rPr>
              <w:t>management of care at home</w:t>
            </w:r>
          </w:p>
        </w:tc>
        <w:tc>
          <w:tcPr>
            <w:tcW w:w="392" w:type="dxa"/>
            <w:tcBorders/>
            <w:noWrap/>
            <w:hideMark/>
          </w:tcPr>
          <w:p>
            <w:pPr>
              <w:pStyle w:val="style0"/>
              <w:spacing w:lineRule="auto" w:line="259"/>
              <w:rPr>
                <w:rFonts w:eastAsia="Calibri"/>
                <w:sz w:val="16"/>
                <w:szCs w:val="16"/>
              </w:rPr>
            </w:pPr>
            <w:r>
              <w:rPr>
                <w:rFonts w:eastAsia="Calibri"/>
                <w:sz w:val="16"/>
                <w:szCs w:val="16"/>
              </w:rPr>
              <w:t>2023</w:t>
            </w:r>
          </w:p>
        </w:tc>
        <w:tc>
          <w:tcPr>
            <w:tcW w:w="722" w:type="dxa"/>
            <w:tcBorders/>
            <w:noWrap/>
            <w:hideMark/>
          </w:tcPr>
          <w:p>
            <w:pPr>
              <w:pStyle w:val="style0"/>
              <w:spacing w:lineRule="auto" w:line="259"/>
              <w:rPr>
                <w:rFonts w:eastAsia="Calibri"/>
                <w:sz w:val="16"/>
                <w:szCs w:val="16"/>
              </w:rPr>
            </w:pPr>
            <w:r>
              <w:rPr>
                <w:rFonts w:eastAsia="Calibri"/>
                <w:sz w:val="16"/>
                <w:szCs w:val="16"/>
              </w:rPr>
              <w:t>Journal of Clinical Nursing</w:t>
            </w:r>
          </w:p>
        </w:tc>
        <w:tc>
          <w:tcPr>
            <w:tcW w:w="493" w:type="dxa"/>
            <w:tcBorders/>
            <w:noWrap/>
            <w:hideMark/>
          </w:tcPr>
          <w:p>
            <w:pPr>
              <w:pStyle w:val="style0"/>
              <w:spacing w:lineRule="auto" w:line="259"/>
              <w:rPr>
                <w:rFonts w:eastAsia="Calibri"/>
                <w:sz w:val="16"/>
                <w:szCs w:val="16"/>
              </w:rPr>
            </w:pPr>
            <w:r>
              <w:rPr>
                <w:rFonts w:eastAsia="Calibri"/>
                <w:sz w:val="16"/>
                <w:szCs w:val="16"/>
              </w:rPr>
              <w:t>32</w:t>
            </w:r>
          </w:p>
        </w:tc>
        <w:tc>
          <w:tcPr>
            <w:tcW w:w="419" w:type="dxa"/>
            <w:tcBorders/>
            <w:noWrap/>
            <w:hideMark/>
          </w:tcPr>
          <w:p>
            <w:pPr>
              <w:pStyle w:val="style0"/>
              <w:spacing w:lineRule="auto" w:line="259"/>
              <w:rPr>
                <w:rFonts w:eastAsia="Calibri"/>
                <w:sz w:val="16"/>
                <w:szCs w:val="16"/>
              </w:rPr>
            </w:pPr>
            <w:r>
              <w:rPr>
                <w:rFonts w:eastAsia="Calibri"/>
                <w:sz w:val="16"/>
                <w:szCs w:val="16"/>
              </w:rPr>
              <w:t>15-16</w:t>
            </w:r>
          </w:p>
        </w:tc>
        <w:tc>
          <w:tcPr>
            <w:tcW w:w="546" w:type="dxa"/>
            <w:tcBorders/>
            <w:noWrap/>
            <w:hideMark/>
          </w:tcPr>
          <w:p>
            <w:pPr>
              <w:pStyle w:val="style0"/>
              <w:spacing w:lineRule="auto" w:line="259"/>
              <w:rPr>
                <w:rFonts w:eastAsia="Calibri"/>
                <w:sz w:val="16"/>
                <w:szCs w:val="16"/>
              </w:rPr>
            </w:pPr>
          </w:p>
        </w:tc>
        <w:tc>
          <w:tcPr>
            <w:tcW w:w="867" w:type="dxa"/>
            <w:tcBorders/>
            <w:hideMark/>
          </w:tcPr>
          <w:p>
            <w:pPr>
              <w:pStyle w:val="style0"/>
              <w:spacing w:lineRule="auto" w:line="259"/>
              <w:rPr>
                <w:rFonts w:eastAsia="Calibri"/>
                <w:sz w:val="16"/>
                <w:szCs w:val="16"/>
              </w:rPr>
            </w:pPr>
            <w:r>
              <w:rPr>
                <w:rFonts w:eastAsia="Calibri"/>
                <w:sz w:val="16"/>
                <w:szCs w:val="16"/>
              </w:rPr>
              <w:t>Qualitative exploratory design (Interpretive Description)</w:t>
            </w:r>
          </w:p>
        </w:tc>
        <w:tc>
          <w:tcPr>
            <w:tcW w:w="810" w:type="dxa"/>
            <w:tcBorders/>
            <w:hideMark/>
          </w:tcPr>
          <w:p>
            <w:pPr>
              <w:pStyle w:val="style0"/>
              <w:spacing w:lineRule="auto" w:line="259"/>
              <w:rPr>
                <w:rFonts w:eastAsia="Calibri"/>
                <w:sz w:val="16"/>
                <w:szCs w:val="16"/>
              </w:rPr>
            </w:pPr>
            <w:r>
              <w:rPr>
                <w:rFonts w:eastAsia="Calibri"/>
                <w:sz w:val="16"/>
                <w:szCs w:val="16"/>
              </w:rPr>
              <w:t>To investigate how older adults and their family members manage chronic health conditions at home after discharge and how discharge plans support their self-management.</w:t>
            </w:r>
          </w:p>
        </w:tc>
        <w:tc>
          <w:tcPr>
            <w:tcW w:w="775" w:type="dxa"/>
            <w:tcBorders/>
            <w:hideMark/>
          </w:tcPr>
          <w:p>
            <w:pPr>
              <w:pStyle w:val="style0"/>
              <w:spacing w:lineRule="auto" w:line="259"/>
              <w:rPr>
                <w:rFonts w:eastAsia="Calibri"/>
                <w:sz w:val="16"/>
                <w:szCs w:val="16"/>
              </w:rPr>
            </w:pPr>
            <w:r>
              <w:rPr>
                <w:rFonts w:eastAsia="Calibri"/>
                <w:sz w:val="16"/>
                <w:szCs w:val="16"/>
              </w:rPr>
              <w:t>Purposeful sampling; semi-structured interviews; thematic analysis guided by COREQ.</w:t>
            </w:r>
          </w:p>
        </w:tc>
        <w:tc>
          <w:tcPr>
            <w:tcW w:w="236" w:type="dxa"/>
            <w:tcBorders/>
            <w:hideMark/>
          </w:tcPr>
          <w:p>
            <w:pPr>
              <w:pStyle w:val="style0"/>
              <w:spacing w:lineRule="auto" w:line="259"/>
              <w:rPr>
                <w:rFonts w:eastAsia="Calibri"/>
                <w:sz w:val="16"/>
                <w:szCs w:val="16"/>
              </w:rPr>
            </w:pPr>
            <w:r>
              <w:rPr>
                <w:rFonts w:eastAsia="Calibri"/>
                <w:sz w:val="16"/>
                <w:szCs w:val="16"/>
              </w:rPr>
              <w:t>27 participants (19 recently discharged older adults + 8 family members)</w:t>
            </w:r>
          </w:p>
        </w:tc>
        <w:tc>
          <w:tcPr>
            <w:tcW w:w="1463" w:type="dxa"/>
            <w:tcBorders/>
            <w:hideMark/>
          </w:tcPr>
          <w:p>
            <w:pPr>
              <w:pStyle w:val="style0"/>
              <w:spacing w:lineRule="auto" w:line="259"/>
              <w:rPr>
                <w:rFonts w:eastAsia="Calibri"/>
                <w:sz w:val="16"/>
                <w:szCs w:val="16"/>
              </w:rPr>
            </w:pPr>
            <w:r>
              <w:rPr>
                <w:rFonts w:eastAsia="Calibri"/>
                <w:sz w:val="16"/>
                <w:szCs w:val="16"/>
              </w:rPr>
              <w:t xml:space="preserve">Five key themes: (1) </w:t>
            </w:r>
            <w:r>
              <w:rPr>
                <w:rFonts w:eastAsia="Calibri"/>
                <w:b/>
                <w:bCs/>
                <w:sz w:val="16"/>
                <w:szCs w:val="16"/>
              </w:rPr>
              <w:t>Post-discharge advice</w:t>
            </w:r>
            <w:r>
              <w:rPr>
                <w:rFonts w:eastAsia="Calibri"/>
                <w:sz w:val="16"/>
                <w:szCs w:val="16"/>
              </w:rPr>
              <w:t xml:space="preserve"> was often unclear or insufficient; (2) </w:t>
            </w:r>
            <w:r>
              <w:rPr>
                <w:rFonts w:eastAsia="Calibri"/>
                <w:b/>
                <w:bCs/>
                <w:sz w:val="16"/>
                <w:szCs w:val="16"/>
              </w:rPr>
              <w:t>Managing at home</w:t>
            </w:r>
            <w:r>
              <w:rPr>
                <w:rFonts w:eastAsia="Calibri"/>
                <w:sz w:val="16"/>
                <w:szCs w:val="16"/>
              </w:rPr>
              <w:t xml:space="preserve"> was challenging without structured plans; (3) </w:t>
            </w:r>
            <w:r>
              <w:rPr>
                <w:rFonts w:eastAsia="Calibri"/>
                <w:b/>
                <w:bCs/>
                <w:sz w:val="16"/>
                <w:szCs w:val="16"/>
              </w:rPr>
              <w:t>Recognition of deterioration</w:t>
            </w:r>
            <w:r>
              <w:rPr>
                <w:rFonts w:eastAsia="Calibri"/>
                <w:sz w:val="16"/>
                <w:szCs w:val="16"/>
              </w:rPr>
              <w:t xml:space="preserve"> relied heavily on experience and support; (4) </w:t>
            </w:r>
            <w:r>
              <w:rPr>
                <w:rFonts w:eastAsia="Calibri"/>
                <w:b/>
                <w:bCs/>
                <w:sz w:val="16"/>
                <w:szCs w:val="16"/>
              </w:rPr>
              <w:t>Community care and support</w:t>
            </w:r>
            <w:r>
              <w:rPr>
                <w:rFonts w:eastAsia="Calibri"/>
                <w:sz w:val="16"/>
                <w:szCs w:val="16"/>
              </w:rPr>
              <w:t xml:space="preserve"> </w:t>
            </w:r>
            <w:r>
              <w:rPr>
                <w:rFonts w:eastAsia="Calibri"/>
                <w:sz w:val="16"/>
                <w:szCs w:val="16"/>
              </w:rPr>
              <w:t xml:space="preserve">from GPs, pharmacists, and social services was crucial; (5) </w:t>
            </w:r>
            <w:r>
              <w:rPr>
                <w:rFonts w:eastAsia="Calibri"/>
                <w:b/>
                <w:bCs/>
                <w:sz w:val="16"/>
                <w:szCs w:val="16"/>
              </w:rPr>
              <w:t>Burden on others</w:t>
            </w:r>
            <w:r>
              <w:rPr>
                <w:rFonts w:eastAsia="Calibri"/>
                <w:sz w:val="16"/>
                <w:szCs w:val="16"/>
              </w:rPr>
              <w:t>, with family playing a vital role. Clearer discharge planning and nurse telephone follow-up could reduce preventable readmissions.</w:t>
            </w:r>
          </w:p>
        </w:tc>
      </w:tr>
      <w:tr>
        <w:tblPrEx/>
        <w:trPr>
          <w:trHeight w:val="1932" w:hRule="atLeast"/>
        </w:trPr>
        <w:tc>
          <w:tcPr>
            <w:tcW w:w="867" w:type="dxa"/>
            <w:tcBorders/>
            <w:hideMark/>
          </w:tcPr>
          <w:p>
            <w:pPr>
              <w:pStyle w:val="style0"/>
              <w:spacing w:lineRule="auto" w:line="259"/>
              <w:rPr>
                <w:rFonts w:eastAsia="Calibri"/>
                <w:sz w:val="16"/>
                <w:szCs w:val="16"/>
              </w:rPr>
            </w:pPr>
            <w:r>
              <w:rPr>
                <w:rFonts w:eastAsia="Calibri"/>
                <w:sz w:val="16"/>
                <w:szCs w:val="16"/>
              </w:rPr>
              <w:t>Prevention of re-hospitalization for acute exacerbations: perspectives of people with chronic obstructive pulmonary disease: a qualitative study</w:t>
            </w:r>
          </w:p>
        </w:tc>
        <w:tc>
          <w:tcPr>
            <w:tcW w:w="559" w:type="dxa"/>
            <w:tcBorders/>
            <w:noWrap/>
            <w:hideMark/>
          </w:tcPr>
          <w:p>
            <w:pPr>
              <w:pStyle w:val="style0"/>
              <w:spacing w:lineRule="auto" w:line="259"/>
              <w:rPr>
                <w:rFonts w:eastAsia="Calibri"/>
                <w:sz w:val="16"/>
                <w:szCs w:val="16"/>
              </w:rPr>
            </w:pPr>
            <w:r>
              <w:rPr>
                <w:rFonts w:eastAsia="Calibri"/>
                <w:sz w:val="16"/>
                <w:szCs w:val="16"/>
              </w:rPr>
              <w:t>Hobman</w:t>
            </w:r>
            <w:r>
              <w:rPr>
                <w:rFonts w:eastAsia="Calibri"/>
                <w:sz w:val="16"/>
                <w:szCs w:val="16"/>
              </w:rPr>
              <w:t xml:space="preserve"> et al. 2023</w:t>
            </w:r>
          </w:p>
        </w:tc>
        <w:tc>
          <w:tcPr>
            <w:tcW w:w="867" w:type="dxa"/>
            <w:tcBorders/>
            <w:hideMark/>
          </w:tcPr>
          <w:p>
            <w:pPr>
              <w:pStyle w:val="style0"/>
              <w:spacing w:lineRule="auto" w:line="259"/>
              <w:rPr>
                <w:rFonts w:eastAsia="Calibri"/>
                <w:sz w:val="16"/>
                <w:szCs w:val="16"/>
              </w:rPr>
            </w:pPr>
            <w:r>
              <w:rPr>
                <w:rFonts w:eastAsia="Calibri"/>
                <w:sz w:val="16"/>
                <w:szCs w:val="16"/>
              </w:rPr>
              <w:t>Prevention of re-hospitalization for acute exacerbations: perspectives of people with chronic obstructive pulmonary disease: a qualitative study</w:t>
            </w:r>
          </w:p>
        </w:tc>
        <w:tc>
          <w:tcPr>
            <w:tcW w:w="392" w:type="dxa"/>
            <w:tcBorders/>
            <w:noWrap/>
            <w:hideMark/>
          </w:tcPr>
          <w:p>
            <w:pPr>
              <w:pStyle w:val="style0"/>
              <w:spacing w:lineRule="auto" w:line="259"/>
              <w:rPr>
                <w:rFonts w:eastAsia="Calibri"/>
                <w:sz w:val="16"/>
                <w:szCs w:val="16"/>
              </w:rPr>
            </w:pPr>
            <w:r>
              <w:rPr>
                <w:rFonts w:eastAsia="Calibri"/>
                <w:sz w:val="16"/>
                <w:szCs w:val="16"/>
              </w:rPr>
              <w:t>2023</w:t>
            </w:r>
          </w:p>
        </w:tc>
        <w:tc>
          <w:tcPr>
            <w:tcW w:w="722" w:type="dxa"/>
            <w:tcBorders/>
            <w:hideMark/>
          </w:tcPr>
          <w:p>
            <w:pPr>
              <w:pStyle w:val="style0"/>
              <w:spacing w:lineRule="auto" w:line="259"/>
              <w:rPr>
                <w:rFonts w:eastAsia="Calibri"/>
                <w:sz w:val="16"/>
                <w:szCs w:val="16"/>
              </w:rPr>
            </w:pPr>
            <w:r>
              <w:rPr>
                <w:rFonts w:eastAsia="Calibri"/>
                <w:sz w:val="16"/>
                <w:szCs w:val="16"/>
              </w:rPr>
              <w:t>International Journal of Chronic Obstructive Pulmonary Disease</w:t>
            </w:r>
          </w:p>
        </w:tc>
        <w:tc>
          <w:tcPr>
            <w:tcW w:w="493" w:type="dxa"/>
            <w:tcBorders/>
            <w:noWrap/>
            <w:hideMark/>
          </w:tcPr>
          <w:p>
            <w:pPr>
              <w:pStyle w:val="style0"/>
              <w:spacing w:lineRule="auto" w:line="259"/>
              <w:rPr>
                <w:rFonts w:eastAsia="Calibri"/>
                <w:sz w:val="16"/>
                <w:szCs w:val="16"/>
              </w:rPr>
            </w:pPr>
          </w:p>
        </w:tc>
        <w:tc>
          <w:tcPr>
            <w:tcW w:w="419" w:type="dxa"/>
            <w:tcBorders/>
            <w:noWrap/>
            <w:hideMark/>
          </w:tcPr>
          <w:p>
            <w:pPr>
              <w:pStyle w:val="style0"/>
              <w:spacing w:lineRule="auto" w:line="259"/>
              <w:rPr>
                <w:rFonts w:eastAsia="Calibri"/>
                <w:sz w:val="16"/>
                <w:szCs w:val="16"/>
              </w:rPr>
            </w:pPr>
          </w:p>
        </w:tc>
        <w:tc>
          <w:tcPr>
            <w:tcW w:w="546" w:type="dxa"/>
            <w:tcBorders/>
            <w:noWrap/>
            <w:hideMark/>
          </w:tcPr>
          <w:p>
            <w:pPr>
              <w:pStyle w:val="style0"/>
              <w:spacing w:lineRule="auto" w:line="259"/>
              <w:rPr>
                <w:rFonts w:eastAsia="Calibri"/>
                <w:sz w:val="16"/>
                <w:szCs w:val="16"/>
              </w:rPr>
            </w:pPr>
          </w:p>
        </w:tc>
        <w:tc>
          <w:tcPr>
            <w:tcW w:w="867" w:type="dxa"/>
            <w:tcBorders/>
            <w:noWrap/>
            <w:hideMark/>
          </w:tcPr>
          <w:p>
            <w:pPr>
              <w:pStyle w:val="style0"/>
              <w:spacing w:lineRule="auto" w:line="259"/>
              <w:rPr>
                <w:rFonts w:eastAsia="Calibri"/>
                <w:sz w:val="16"/>
                <w:szCs w:val="16"/>
              </w:rPr>
            </w:pPr>
            <w:r>
              <w:rPr>
                <w:rFonts w:eastAsia="Calibri"/>
                <w:sz w:val="16"/>
                <w:szCs w:val="16"/>
              </w:rPr>
              <w:t>Qualitative study</w:t>
            </w:r>
          </w:p>
        </w:tc>
        <w:tc>
          <w:tcPr>
            <w:tcW w:w="810" w:type="dxa"/>
            <w:tcBorders/>
            <w:hideMark/>
          </w:tcPr>
          <w:p>
            <w:pPr>
              <w:pStyle w:val="style0"/>
              <w:spacing w:lineRule="auto" w:line="259"/>
              <w:rPr>
                <w:rFonts w:eastAsia="Calibri"/>
                <w:sz w:val="16"/>
                <w:szCs w:val="16"/>
              </w:rPr>
            </w:pPr>
            <w:r>
              <w:rPr>
                <w:rFonts w:eastAsia="Calibri"/>
                <w:sz w:val="16"/>
                <w:szCs w:val="16"/>
              </w:rPr>
              <w:t>To explore COPD patients’ personal perspectives on causes of exacerbations and strategies they believe help prevent rehospitalisation after AECOPD.</w:t>
            </w:r>
          </w:p>
        </w:tc>
        <w:tc>
          <w:tcPr>
            <w:tcW w:w="775" w:type="dxa"/>
            <w:tcBorders/>
            <w:hideMark/>
          </w:tcPr>
          <w:p>
            <w:pPr>
              <w:pStyle w:val="style0"/>
              <w:spacing w:lineRule="auto" w:line="259"/>
              <w:rPr>
                <w:rFonts w:eastAsia="Calibri"/>
                <w:sz w:val="16"/>
                <w:szCs w:val="16"/>
              </w:rPr>
            </w:pPr>
            <w:r>
              <w:rPr>
                <w:rFonts w:eastAsia="Calibri"/>
                <w:sz w:val="16"/>
                <w:szCs w:val="16"/>
              </w:rPr>
              <w:t>Semi-structured individual interviews; constructivist grounded theory analysis</w:t>
            </w:r>
          </w:p>
        </w:tc>
        <w:tc>
          <w:tcPr>
            <w:tcW w:w="236" w:type="dxa"/>
            <w:tcBorders/>
            <w:noWrap/>
            <w:hideMark/>
          </w:tcPr>
          <w:p>
            <w:pPr>
              <w:pStyle w:val="style0"/>
              <w:spacing w:lineRule="auto" w:line="259"/>
              <w:rPr>
                <w:rFonts w:eastAsia="Calibri"/>
                <w:sz w:val="16"/>
                <w:szCs w:val="16"/>
              </w:rPr>
            </w:pPr>
            <w:r>
              <w:rPr>
                <w:rFonts w:eastAsia="Calibri"/>
                <w:sz w:val="16"/>
                <w:szCs w:val="16"/>
              </w:rPr>
              <w:t>12 participants</w:t>
            </w:r>
          </w:p>
        </w:tc>
        <w:tc>
          <w:tcPr>
            <w:tcW w:w="1463" w:type="dxa"/>
            <w:tcBorders/>
            <w:hideMark/>
          </w:tcPr>
          <w:p>
            <w:pPr>
              <w:pStyle w:val="style0"/>
              <w:spacing w:lineRule="auto" w:line="259"/>
              <w:rPr>
                <w:rFonts w:eastAsia="Calibri"/>
                <w:sz w:val="16"/>
                <w:szCs w:val="16"/>
              </w:rPr>
            </w:pPr>
            <w:r>
              <w:rPr>
                <w:rFonts w:eastAsia="Calibri"/>
                <w:sz w:val="16"/>
                <w:szCs w:val="16"/>
              </w:rPr>
              <w:t xml:space="preserve">Three themes: </w:t>
            </w:r>
            <w:r>
              <w:rPr>
                <w:rFonts w:eastAsia="Calibri"/>
                <w:b/>
                <w:bCs/>
                <w:sz w:val="16"/>
                <w:szCs w:val="16"/>
              </w:rPr>
              <w:t>Being Positive</w:t>
            </w:r>
            <w:r>
              <w:rPr>
                <w:rFonts w:eastAsia="Calibri"/>
                <w:sz w:val="16"/>
                <w:szCs w:val="16"/>
              </w:rPr>
              <w:t xml:space="preserve"> (value of a positive mindset), </w:t>
            </w:r>
            <w:r>
              <w:rPr>
                <w:rFonts w:eastAsia="Calibri"/>
                <w:b/>
                <w:bCs/>
                <w:sz w:val="16"/>
                <w:szCs w:val="16"/>
              </w:rPr>
              <w:t>Being Proactive</w:t>
            </w:r>
            <w:r>
              <w:rPr>
                <w:rFonts w:eastAsia="Calibri"/>
                <w:sz w:val="16"/>
                <w:szCs w:val="16"/>
              </w:rPr>
              <w:t xml:space="preserve"> (taking practical preventive steps), and </w:t>
            </w:r>
            <w:r>
              <w:rPr>
                <w:rFonts w:eastAsia="Calibri"/>
                <w:b/>
                <w:bCs/>
                <w:sz w:val="16"/>
                <w:szCs w:val="16"/>
              </w:rPr>
              <w:t>Being in Control</w:t>
            </w:r>
            <w:r>
              <w:rPr>
                <w:rFonts w:eastAsia="Calibri"/>
                <w:sz w:val="16"/>
                <w:szCs w:val="16"/>
              </w:rPr>
              <w:t xml:space="preserve"> (sense of autonomy). All themes influenced by </w:t>
            </w:r>
            <w:r>
              <w:rPr>
                <w:rFonts w:eastAsia="Calibri"/>
                <w:b/>
                <w:bCs/>
                <w:sz w:val="16"/>
                <w:szCs w:val="16"/>
              </w:rPr>
              <w:t>Being Connected</w:t>
            </w:r>
            <w:r>
              <w:rPr>
                <w:rFonts w:eastAsia="Calibri"/>
                <w:sz w:val="16"/>
                <w:szCs w:val="16"/>
              </w:rPr>
              <w:t xml:space="preserve"> (support from family/others). Highlights need for self-efficacy programs and inclusion of family in wellbeing plans.</w:t>
            </w:r>
          </w:p>
        </w:tc>
      </w:tr>
      <w:tr>
        <w:tblPrEx/>
        <w:trPr>
          <w:trHeight w:val="2040" w:hRule="atLeast"/>
        </w:trPr>
        <w:tc>
          <w:tcPr>
            <w:tcW w:w="867" w:type="dxa"/>
            <w:tcBorders/>
            <w:hideMark/>
          </w:tcPr>
          <w:p>
            <w:pPr>
              <w:pStyle w:val="style0"/>
              <w:spacing w:lineRule="auto" w:line="259"/>
              <w:rPr>
                <w:rFonts w:eastAsia="Calibri"/>
                <w:sz w:val="16"/>
                <w:szCs w:val="16"/>
              </w:rPr>
            </w:pPr>
            <w:r>
              <w:rPr>
                <w:rFonts w:eastAsia="Calibri"/>
                <w:sz w:val="16"/>
                <w:szCs w:val="16"/>
              </w:rPr>
              <w:t xml:space="preserve">Patients’ perceptions of frequent hospital admissions: a qualitative interview study with older people above 65 </w:t>
            </w:r>
            <w:r>
              <w:rPr>
                <w:rFonts w:eastAsia="Calibri"/>
                <w:sz w:val="16"/>
                <w:szCs w:val="16"/>
              </w:rPr>
              <w:t>years of age</w:t>
            </w:r>
          </w:p>
        </w:tc>
        <w:tc>
          <w:tcPr>
            <w:tcW w:w="559" w:type="dxa"/>
            <w:tcBorders/>
            <w:noWrap/>
            <w:hideMark/>
          </w:tcPr>
          <w:p>
            <w:pPr>
              <w:pStyle w:val="style0"/>
              <w:spacing w:lineRule="auto" w:line="259"/>
              <w:rPr>
                <w:rFonts w:eastAsia="Calibri"/>
                <w:sz w:val="16"/>
                <w:szCs w:val="16"/>
              </w:rPr>
            </w:pPr>
            <w:r>
              <w:rPr>
                <w:rFonts w:eastAsia="Calibri"/>
                <w:sz w:val="16"/>
                <w:szCs w:val="16"/>
              </w:rPr>
              <w:t>Huang et al. 2020</w:t>
            </w:r>
          </w:p>
        </w:tc>
        <w:tc>
          <w:tcPr>
            <w:tcW w:w="867" w:type="dxa"/>
            <w:tcBorders/>
            <w:hideMark/>
          </w:tcPr>
          <w:p>
            <w:pPr>
              <w:pStyle w:val="style0"/>
              <w:spacing w:lineRule="auto" w:line="259"/>
              <w:rPr>
                <w:rFonts w:eastAsia="Calibri"/>
                <w:sz w:val="16"/>
                <w:szCs w:val="16"/>
              </w:rPr>
            </w:pPr>
            <w:r>
              <w:rPr>
                <w:rFonts w:eastAsia="Calibri"/>
                <w:sz w:val="16"/>
                <w:szCs w:val="16"/>
              </w:rPr>
              <w:t xml:space="preserve">Patients’ perceptions of frequent hospital admissions: a qualitative interview study with older people above 65 </w:t>
            </w:r>
            <w:r>
              <w:rPr>
                <w:rFonts w:eastAsia="Calibri"/>
                <w:sz w:val="16"/>
                <w:szCs w:val="16"/>
              </w:rPr>
              <w:t>years of age</w:t>
            </w:r>
          </w:p>
        </w:tc>
        <w:tc>
          <w:tcPr>
            <w:tcW w:w="392" w:type="dxa"/>
            <w:tcBorders/>
            <w:noWrap/>
            <w:hideMark/>
          </w:tcPr>
          <w:p>
            <w:pPr>
              <w:pStyle w:val="style0"/>
              <w:spacing w:lineRule="auto" w:line="259"/>
              <w:rPr>
                <w:rFonts w:eastAsia="Calibri"/>
                <w:sz w:val="16"/>
                <w:szCs w:val="16"/>
              </w:rPr>
            </w:pPr>
            <w:r>
              <w:rPr>
                <w:rFonts w:eastAsia="Calibri"/>
                <w:sz w:val="16"/>
                <w:szCs w:val="16"/>
              </w:rPr>
              <w:t>2020</w:t>
            </w:r>
          </w:p>
        </w:tc>
        <w:tc>
          <w:tcPr>
            <w:tcW w:w="722" w:type="dxa"/>
            <w:tcBorders/>
            <w:noWrap/>
            <w:hideMark/>
          </w:tcPr>
          <w:p>
            <w:pPr>
              <w:pStyle w:val="style0"/>
              <w:spacing w:lineRule="auto" w:line="259"/>
              <w:rPr>
                <w:rFonts w:eastAsia="Calibri"/>
                <w:sz w:val="16"/>
                <w:szCs w:val="16"/>
              </w:rPr>
            </w:pPr>
            <w:r>
              <w:rPr>
                <w:rFonts w:eastAsia="Calibri"/>
                <w:sz w:val="16"/>
                <w:szCs w:val="16"/>
              </w:rPr>
              <w:t>BMC Geriatrics</w:t>
            </w:r>
          </w:p>
        </w:tc>
        <w:tc>
          <w:tcPr>
            <w:tcW w:w="493" w:type="dxa"/>
            <w:tcBorders/>
            <w:noWrap/>
            <w:hideMark/>
          </w:tcPr>
          <w:p>
            <w:pPr>
              <w:pStyle w:val="style0"/>
              <w:spacing w:lineRule="auto" w:line="259"/>
              <w:rPr>
                <w:rFonts w:eastAsia="Calibri"/>
                <w:sz w:val="16"/>
                <w:szCs w:val="16"/>
              </w:rPr>
            </w:pPr>
            <w:r>
              <w:rPr>
                <w:rFonts w:eastAsia="Calibri"/>
                <w:sz w:val="16"/>
                <w:szCs w:val="16"/>
              </w:rPr>
              <w:t>20</w:t>
            </w:r>
          </w:p>
        </w:tc>
        <w:tc>
          <w:tcPr>
            <w:tcW w:w="419" w:type="dxa"/>
            <w:tcBorders/>
            <w:noWrap/>
            <w:hideMark/>
          </w:tcPr>
          <w:p>
            <w:pPr>
              <w:pStyle w:val="style0"/>
              <w:spacing w:lineRule="auto" w:line="259"/>
              <w:rPr>
                <w:rFonts w:eastAsia="Calibri"/>
                <w:sz w:val="16"/>
                <w:szCs w:val="16"/>
              </w:rPr>
            </w:pPr>
            <w:r>
              <w:rPr>
                <w:rFonts w:eastAsia="Calibri"/>
                <w:sz w:val="16"/>
                <w:szCs w:val="16"/>
              </w:rPr>
              <w:t>1</w:t>
            </w:r>
          </w:p>
        </w:tc>
        <w:tc>
          <w:tcPr>
            <w:tcW w:w="546" w:type="dxa"/>
            <w:tcBorders/>
            <w:noWrap/>
            <w:hideMark/>
          </w:tcPr>
          <w:p>
            <w:pPr>
              <w:pStyle w:val="style0"/>
              <w:spacing w:lineRule="auto" w:line="259"/>
              <w:rPr>
                <w:rFonts w:eastAsia="Calibri"/>
                <w:sz w:val="16"/>
                <w:szCs w:val="16"/>
              </w:rPr>
            </w:pPr>
          </w:p>
        </w:tc>
        <w:tc>
          <w:tcPr>
            <w:tcW w:w="867" w:type="dxa"/>
            <w:tcBorders/>
            <w:noWrap/>
            <w:hideMark/>
          </w:tcPr>
          <w:p>
            <w:pPr>
              <w:pStyle w:val="style0"/>
              <w:spacing w:lineRule="auto" w:line="259"/>
              <w:rPr>
                <w:rFonts w:eastAsia="Calibri"/>
                <w:sz w:val="16"/>
                <w:szCs w:val="16"/>
              </w:rPr>
            </w:pPr>
            <w:r>
              <w:rPr>
                <w:rFonts w:eastAsia="Calibri"/>
                <w:sz w:val="16"/>
                <w:szCs w:val="16"/>
              </w:rPr>
              <w:t>Qualitative interview study</w:t>
            </w:r>
          </w:p>
        </w:tc>
        <w:tc>
          <w:tcPr>
            <w:tcW w:w="810" w:type="dxa"/>
            <w:tcBorders/>
            <w:hideMark/>
          </w:tcPr>
          <w:p>
            <w:pPr>
              <w:pStyle w:val="style0"/>
              <w:spacing w:lineRule="auto" w:line="259"/>
              <w:rPr>
                <w:rFonts w:eastAsia="Calibri"/>
                <w:sz w:val="16"/>
                <w:szCs w:val="16"/>
              </w:rPr>
            </w:pPr>
            <w:r>
              <w:rPr>
                <w:rFonts w:eastAsia="Calibri"/>
                <w:sz w:val="16"/>
                <w:szCs w:val="16"/>
              </w:rPr>
              <w:t xml:space="preserve">To understand older patients’ perspectives on the causes of frequent hospital admissions and identify </w:t>
            </w:r>
            <w:r>
              <w:rPr>
                <w:rFonts w:eastAsia="Calibri"/>
                <w:sz w:val="16"/>
                <w:szCs w:val="16"/>
              </w:rPr>
              <w:t>consequences of being a frequent flyer.</w:t>
            </w:r>
          </w:p>
        </w:tc>
        <w:tc>
          <w:tcPr>
            <w:tcW w:w="775" w:type="dxa"/>
            <w:tcBorders/>
            <w:hideMark/>
          </w:tcPr>
          <w:p>
            <w:pPr>
              <w:pStyle w:val="style0"/>
              <w:spacing w:lineRule="auto" w:line="259"/>
              <w:rPr>
                <w:rFonts w:eastAsia="Calibri"/>
                <w:sz w:val="16"/>
                <w:szCs w:val="16"/>
              </w:rPr>
            </w:pPr>
            <w:r>
              <w:rPr>
                <w:rFonts w:eastAsia="Calibri"/>
                <w:sz w:val="16"/>
                <w:szCs w:val="16"/>
              </w:rPr>
              <w:t>Semi-structured interviews; COREQ guidelines; data coded using NVivo</w:t>
            </w:r>
          </w:p>
        </w:tc>
        <w:tc>
          <w:tcPr>
            <w:tcW w:w="236" w:type="dxa"/>
            <w:tcBorders/>
            <w:noWrap/>
            <w:hideMark/>
          </w:tcPr>
          <w:p>
            <w:pPr>
              <w:pStyle w:val="style0"/>
              <w:spacing w:lineRule="auto" w:line="259"/>
              <w:rPr>
                <w:rFonts w:eastAsia="Calibri"/>
                <w:sz w:val="16"/>
                <w:szCs w:val="16"/>
              </w:rPr>
            </w:pPr>
            <w:r>
              <w:rPr>
                <w:rFonts w:eastAsia="Calibri"/>
                <w:sz w:val="16"/>
                <w:szCs w:val="16"/>
              </w:rPr>
              <w:t>13 interviews</w:t>
            </w:r>
          </w:p>
        </w:tc>
        <w:tc>
          <w:tcPr>
            <w:tcW w:w="1463" w:type="dxa"/>
            <w:tcBorders/>
            <w:hideMark/>
          </w:tcPr>
          <w:p>
            <w:pPr>
              <w:pStyle w:val="style0"/>
              <w:spacing w:lineRule="auto" w:line="259"/>
              <w:rPr>
                <w:rFonts w:eastAsia="Calibri"/>
                <w:sz w:val="16"/>
                <w:szCs w:val="16"/>
              </w:rPr>
            </w:pPr>
            <w:r>
              <w:rPr>
                <w:rFonts w:eastAsia="Calibri"/>
                <w:sz w:val="16"/>
                <w:szCs w:val="16"/>
              </w:rPr>
              <w:t xml:space="preserve">Identified </w:t>
            </w:r>
            <w:r>
              <w:rPr>
                <w:rFonts w:eastAsia="Calibri"/>
                <w:b/>
                <w:bCs/>
                <w:sz w:val="16"/>
                <w:szCs w:val="16"/>
              </w:rPr>
              <w:t>17 perceived causes</w:t>
            </w:r>
            <w:r>
              <w:rPr>
                <w:rFonts w:eastAsia="Calibri"/>
                <w:sz w:val="16"/>
                <w:szCs w:val="16"/>
              </w:rPr>
              <w:t xml:space="preserve"> grouped into six themes (patient, drugs, primary care, secondary care, home, family). Consequences grouped into six </w:t>
            </w:r>
            <w:r>
              <w:rPr>
                <w:rFonts w:eastAsia="Calibri"/>
                <w:sz w:val="16"/>
                <w:szCs w:val="16"/>
              </w:rPr>
              <w:t>themes (body, daily life functioning, social participation, mental status, spiritual dimension). Frequent admissions seen as a “red flag” for deprivation across physical, mental, social, and spiritual domains.</w:t>
            </w:r>
          </w:p>
        </w:tc>
      </w:tr>
      <w:tr>
        <w:tblPrEx/>
        <w:trPr>
          <w:trHeight w:val="1392" w:hRule="atLeast"/>
        </w:trPr>
        <w:tc>
          <w:tcPr>
            <w:tcW w:w="867" w:type="dxa"/>
            <w:tcBorders/>
            <w:hideMark/>
          </w:tcPr>
          <w:p>
            <w:pPr>
              <w:pStyle w:val="style0"/>
              <w:spacing w:lineRule="auto" w:line="259"/>
              <w:rPr>
                <w:rFonts w:eastAsia="Calibri"/>
                <w:sz w:val="16"/>
                <w:szCs w:val="16"/>
              </w:rPr>
            </w:pPr>
            <w:r>
              <w:rPr>
                <w:rFonts w:eastAsia="Calibri"/>
                <w:sz w:val="16"/>
                <w:szCs w:val="16"/>
              </w:rPr>
              <w:t>Qualitative study assessing factors for 30-day readmissions: a head and neck oncology cohort</w:t>
            </w:r>
          </w:p>
        </w:tc>
        <w:tc>
          <w:tcPr>
            <w:tcW w:w="559" w:type="dxa"/>
            <w:tcBorders/>
            <w:noWrap/>
            <w:hideMark/>
          </w:tcPr>
          <w:p>
            <w:pPr>
              <w:pStyle w:val="style0"/>
              <w:spacing w:lineRule="auto" w:line="259"/>
              <w:rPr>
                <w:rFonts w:eastAsia="Calibri"/>
                <w:sz w:val="16"/>
                <w:szCs w:val="16"/>
              </w:rPr>
            </w:pPr>
            <w:r>
              <w:rPr>
                <w:rFonts w:eastAsia="Calibri"/>
                <w:sz w:val="16"/>
                <w:szCs w:val="16"/>
              </w:rPr>
              <w:t>Beatty et al., 2023</w:t>
            </w:r>
          </w:p>
        </w:tc>
        <w:tc>
          <w:tcPr>
            <w:tcW w:w="867" w:type="dxa"/>
            <w:tcBorders/>
            <w:hideMark/>
          </w:tcPr>
          <w:p>
            <w:pPr>
              <w:pStyle w:val="style0"/>
              <w:spacing w:lineRule="auto" w:line="259"/>
              <w:rPr>
                <w:rFonts w:eastAsia="Calibri"/>
                <w:sz w:val="16"/>
                <w:szCs w:val="16"/>
              </w:rPr>
            </w:pPr>
            <w:r>
              <w:rPr>
                <w:rFonts w:eastAsia="Calibri"/>
                <w:sz w:val="16"/>
                <w:szCs w:val="16"/>
              </w:rPr>
              <w:t>Qualitative study assessing factors for 30-day readmissions: a head and neck oncology cohort</w:t>
            </w:r>
          </w:p>
        </w:tc>
        <w:tc>
          <w:tcPr>
            <w:tcW w:w="392" w:type="dxa"/>
            <w:tcBorders/>
            <w:noWrap/>
            <w:hideMark/>
          </w:tcPr>
          <w:p>
            <w:pPr>
              <w:pStyle w:val="style0"/>
              <w:spacing w:lineRule="auto" w:line="259"/>
              <w:rPr>
                <w:rFonts w:eastAsia="Calibri"/>
                <w:sz w:val="16"/>
                <w:szCs w:val="16"/>
              </w:rPr>
            </w:pPr>
            <w:r>
              <w:rPr>
                <w:rFonts w:eastAsia="Calibri"/>
                <w:sz w:val="16"/>
                <w:szCs w:val="16"/>
              </w:rPr>
              <w:t>2023</w:t>
            </w:r>
          </w:p>
        </w:tc>
        <w:tc>
          <w:tcPr>
            <w:tcW w:w="722" w:type="dxa"/>
            <w:tcBorders/>
            <w:noWrap/>
            <w:hideMark/>
          </w:tcPr>
          <w:p>
            <w:pPr>
              <w:pStyle w:val="style0"/>
              <w:spacing w:lineRule="auto" w:line="259"/>
              <w:rPr>
                <w:rFonts w:eastAsia="Calibri"/>
                <w:sz w:val="16"/>
                <w:szCs w:val="16"/>
              </w:rPr>
            </w:pPr>
            <w:r>
              <w:rPr>
                <w:rFonts w:eastAsia="Calibri"/>
                <w:sz w:val="16"/>
                <w:szCs w:val="16"/>
              </w:rPr>
              <w:t>Annals of Otology, Rhinology &amp; Laryngology</w:t>
            </w:r>
          </w:p>
        </w:tc>
        <w:tc>
          <w:tcPr>
            <w:tcW w:w="493" w:type="dxa"/>
            <w:tcBorders/>
            <w:noWrap/>
            <w:hideMark/>
          </w:tcPr>
          <w:p>
            <w:pPr>
              <w:pStyle w:val="style0"/>
              <w:spacing w:lineRule="auto" w:line="259"/>
              <w:rPr>
                <w:rFonts w:eastAsia="Calibri"/>
                <w:sz w:val="16"/>
                <w:szCs w:val="16"/>
              </w:rPr>
            </w:pPr>
            <w:r>
              <w:rPr>
                <w:rFonts w:eastAsia="Calibri"/>
                <w:sz w:val="16"/>
                <w:szCs w:val="16"/>
              </w:rPr>
              <w:t>132</w:t>
            </w:r>
          </w:p>
        </w:tc>
        <w:tc>
          <w:tcPr>
            <w:tcW w:w="419" w:type="dxa"/>
            <w:tcBorders/>
            <w:noWrap/>
            <w:hideMark/>
          </w:tcPr>
          <w:p>
            <w:pPr>
              <w:pStyle w:val="style0"/>
              <w:spacing w:lineRule="auto" w:line="259"/>
              <w:rPr>
                <w:rFonts w:eastAsia="Calibri"/>
                <w:sz w:val="16"/>
                <w:szCs w:val="16"/>
              </w:rPr>
            </w:pPr>
            <w:r>
              <w:rPr>
                <w:rFonts w:eastAsia="Calibri"/>
                <w:sz w:val="16"/>
                <w:szCs w:val="16"/>
              </w:rPr>
              <w:t>11</w:t>
            </w:r>
          </w:p>
        </w:tc>
        <w:tc>
          <w:tcPr>
            <w:tcW w:w="546" w:type="dxa"/>
            <w:tcBorders/>
            <w:noWrap/>
            <w:hideMark/>
          </w:tcPr>
          <w:p>
            <w:pPr>
              <w:pStyle w:val="style0"/>
              <w:spacing w:lineRule="auto" w:line="259"/>
              <w:rPr>
                <w:rFonts w:eastAsia="Calibri"/>
                <w:sz w:val="16"/>
                <w:szCs w:val="16"/>
              </w:rPr>
            </w:pPr>
          </w:p>
        </w:tc>
        <w:tc>
          <w:tcPr>
            <w:tcW w:w="867" w:type="dxa"/>
            <w:tcBorders/>
            <w:noWrap/>
            <w:hideMark/>
          </w:tcPr>
          <w:p>
            <w:pPr>
              <w:pStyle w:val="style0"/>
              <w:spacing w:lineRule="auto" w:line="259"/>
              <w:rPr>
                <w:rFonts w:eastAsia="Calibri"/>
                <w:sz w:val="16"/>
                <w:szCs w:val="16"/>
              </w:rPr>
            </w:pPr>
            <w:r>
              <w:rPr>
                <w:rFonts w:eastAsia="Calibri"/>
                <w:sz w:val="16"/>
                <w:szCs w:val="16"/>
              </w:rPr>
              <w:t>Qualitative key-informant interview study</w:t>
            </w:r>
          </w:p>
        </w:tc>
        <w:tc>
          <w:tcPr>
            <w:tcW w:w="810" w:type="dxa"/>
            <w:tcBorders/>
            <w:hideMark/>
          </w:tcPr>
          <w:p>
            <w:pPr>
              <w:pStyle w:val="style0"/>
              <w:spacing w:lineRule="auto" w:line="259"/>
              <w:rPr>
                <w:rFonts w:eastAsia="Calibri"/>
                <w:sz w:val="16"/>
                <w:szCs w:val="16"/>
              </w:rPr>
            </w:pPr>
            <w:r>
              <w:rPr>
                <w:rFonts w:eastAsia="Calibri"/>
                <w:sz w:val="16"/>
                <w:szCs w:val="16"/>
              </w:rPr>
              <w:t>To assess patient-identified factors contributing to 30-day readmissions following head and neck cancer surgery.</w:t>
            </w:r>
          </w:p>
        </w:tc>
        <w:tc>
          <w:tcPr>
            <w:tcW w:w="775" w:type="dxa"/>
            <w:tcBorders/>
            <w:hideMark/>
          </w:tcPr>
          <w:p>
            <w:pPr>
              <w:pStyle w:val="style0"/>
              <w:spacing w:lineRule="auto" w:line="259"/>
              <w:rPr>
                <w:rFonts w:eastAsia="Calibri"/>
                <w:sz w:val="16"/>
                <w:szCs w:val="16"/>
              </w:rPr>
            </w:pPr>
            <w:r>
              <w:rPr>
                <w:rFonts w:eastAsia="Calibri"/>
                <w:sz w:val="16"/>
                <w:szCs w:val="16"/>
              </w:rPr>
              <w:t>Key-informant interviews; inductive coding of transcripts to generate themes</w:t>
            </w:r>
          </w:p>
        </w:tc>
        <w:tc>
          <w:tcPr>
            <w:tcW w:w="236" w:type="dxa"/>
            <w:tcBorders/>
            <w:noWrap/>
            <w:hideMark/>
          </w:tcPr>
          <w:p>
            <w:pPr>
              <w:pStyle w:val="style0"/>
              <w:spacing w:lineRule="auto" w:line="259"/>
              <w:rPr>
                <w:rFonts w:eastAsia="Calibri"/>
                <w:sz w:val="16"/>
                <w:szCs w:val="16"/>
              </w:rPr>
            </w:pPr>
            <w:r>
              <w:rPr>
                <w:rFonts w:eastAsia="Calibri"/>
                <w:sz w:val="16"/>
                <w:szCs w:val="16"/>
              </w:rPr>
              <w:t>13 participants</w:t>
            </w:r>
          </w:p>
        </w:tc>
        <w:tc>
          <w:tcPr>
            <w:tcW w:w="1463" w:type="dxa"/>
            <w:tcBorders/>
            <w:hideMark/>
          </w:tcPr>
          <w:p>
            <w:pPr>
              <w:pStyle w:val="style0"/>
              <w:spacing w:lineRule="auto" w:line="259"/>
              <w:rPr>
                <w:rFonts w:eastAsia="Calibri"/>
                <w:sz w:val="16"/>
                <w:szCs w:val="16"/>
              </w:rPr>
            </w:pPr>
            <w:r>
              <w:rPr>
                <w:rFonts w:eastAsia="Calibri"/>
                <w:sz w:val="16"/>
                <w:szCs w:val="16"/>
              </w:rPr>
              <w:t>46% of patients (n=6) felt unready for discharge; 83% of those believed their readmission was avoidable. Patients experienced unexpected events at home and lacked adequate discharge information. Findings suggest some patients may be discharged too early and require improved education, discharge checklists, and assessment of home-care competency to reduce avoidable readmissions.</w:t>
            </w:r>
          </w:p>
        </w:tc>
      </w:tr>
      <w:tr>
        <w:tblPrEx/>
        <w:trPr>
          <w:trHeight w:val="1800" w:hRule="atLeast"/>
        </w:trPr>
        <w:tc>
          <w:tcPr>
            <w:tcW w:w="867" w:type="dxa"/>
            <w:tcBorders/>
            <w:hideMark/>
          </w:tcPr>
          <w:p>
            <w:pPr>
              <w:pStyle w:val="style0"/>
              <w:spacing w:lineRule="auto" w:line="259"/>
              <w:rPr>
                <w:rFonts w:eastAsia="Calibri"/>
                <w:sz w:val="16"/>
                <w:szCs w:val="16"/>
              </w:rPr>
            </w:pPr>
            <w:r>
              <w:rPr>
                <w:rFonts w:eastAsia="Calibri"/>
                <w:sz w:val="16"/>
                <w:szCs w:val="16"/>
              </w:rPr>
              <w:t>Preventability of unplanned readmissions within 30 days of discharge: A cross-sectional, single-</w:t>
            </w:r>
            <w:r>
              <w:rPr>
                <w:rFonts w:eastAsia="Calibri"/>
                <w:sz w:val="16"/>
                <w:szCs w:val="16"/>
              </w:rPr>
              <w:t>center</w:t>
            </w:r>
            <w:r>
              <w:rPr>
                <w:rFonts w:eastAsia="Calibri"/>
                <w:sz w:val="16"/>
                <w:szCs w:val="16"/>
              </w:rPr>
              <w:t xml:space="preserve"> study</w:t>
            </w:r>
          </w:p>
        </w:tc>
        <w:tc>
          <w:tcPr>
            <w:tcW w:w="559" w:type="dxa"/>
            <w:tcBorders/>
            <w:noWrap/>
            <w:hideMark/>
          </w:tcPr>
          <w:p>
            <w:pPr>
              <w:pStyle w:val="style0"/>
              <w:spacing w:lineRule="auto" w:line="259"/>
              <w:rPr>
                <w:rFonts w:eastAsia="Calibri"/>
                <w:sz w:val="16"/>
                <w:szCs w:val="16"/>
              </w:rPr>
            </w:pPr>
            <w:r>
              <w:rPr>
                <w:rFonts w:eastAsia="Calibri"/>
                <w:sz w:val="16"/>
                <w:szCs w:val="16"/>
              </w:rPr>
              <w:t>van der Does et al., 2020</w:t>
            </w:r>
          </w:p>
        </w:tc>
        <w:tc>
          <w:tcPr>
            <w:tcW w:w="867" w:type="dxa"/>
            <w:tcBorders/>
            <w:hideMark/>
          </w:tcPr>
          <w:p>
            <w:pPr>
              <w:pStyle w:val="style0"/>
              <w:spacing w:lineRule="auto" w:line="259"/>
              <w:rPr>
                <w:rFonts w:eastAsia="Calibri"/>
                <w:sz w:val="16"/>
                <w:szCs w:val="16"/>
              </w:rPr>
            </w:pPr>
            <w:r>
              <w:rPr>
                <w:rFonts w:eastAsia="Calibri"/>
                <w:sz w:val="16"/>
                <w:szCs w:val="16"/>
              </w:rPr>
              <w:t>Preventability of unplanned readmissions within 30 days of discharge: A cross-sectional, single-</w:t>
            </w:r>
            <w:r>
              <w:rPr>
                <w:rFonts w:eastAsia="Calibri"/>
                <w:sz w:val="16"/>
                <w:szCs w:val="16"/>
              </w:rPr>
              <w:t>center</w:t>
            </w:r>
            <w:r>
              <w:rPr>
                <w:rFonts w:eastAsia="Calibri"/>
                <w:sz w:val="16"/>
                <w:szCs w:val="16"/>
              </w:rPr>
              <w:t xml:space="preserve"> study</w:t>
            </w:r>
          </w:p>
        </w:tc>
        <w:tc>
          <w:tcPr>
            <w:tcW w:w="392" w:type="dxa"/>
            <w:tcBorders/>
            <w:noWrap/>
            <w:hideMark/>
          </w:tcPr>
          <w:p>
            <w:pPr>
              <w:pStyle w:val="style0"/>
              <w:spacing w:lineRule="auto" w:line="259"/>
              <w:rPr>
                <w:rFonts w:eastAsia="Calibri"/>
                <w:sz w:val="16"/>
                <w:szCs w:val="16"/>
              </w:rPr>
            </w:pPr>
            <w:r>
              <w:rPr>
                <w:rFonts w:eastAsia="Calibri"/>
                <w:sz w:val="16"/>
                <w:szCs w:val="16"/>
              </w:rPr>
              <w:t>2020</w:t>
            </w:r>
          </w:p>
        </w:tc>
        <w:tc>
          <w:tcPr>
            <w:tcW w:w="722" w:type="dxa"/>
            <w:tcBorders/>
            <w:noWrap/>
            <w:hideMark/>
          </w:tcPr>
          <w:p>
            <w:pPr>
              <w:pStyle w:val="style0"/>
              <w:spacing w:lineRule="auto" w:line="259"/>
              <w:rPr>
                <w:rFonts w:eastAsia="Calibri"/>
                <w:sz w:val="16"/>
                <w:szCs w:val="16"/>
              </w:rPr>
            </w:pPr>
            <w:r>
              <w:rPr>
                <w:rFonts w:eastAsia="Calibri"/>
                <w:sz w:val="16"/>
                <w:szCs w:val="16"/>
              </w:rPr>
              <w:t>PLoS</w:t>
            </w:r>
            <w:r>
              <w:rPr>
                <w:rFonts w:eastAsia="Calibri"/>
                <w:sz w:val="16"/>
                <w:szCs w:val="16"/>
              </w:rPr>
              <w:t xml:space="preserve"> One</w:t>
            </w:r>
          </w:p>
        </w:tc>
        <w:tc>
          <w:tcPr>
            <w:tcW w:w="493" w:type="dxa"/>
            <w:tcBorders/>
            <w:noWrap/>
            <w:hideMark/>
          </w:tcPr>
          <w:p>
            <w:pPr>
              <w:pStyle w:val="style0"/>
              <w:spacing w:lineRule="auto" w:line="259"/>
              <w:rPr>
                <w:rFonts w:eastAsia="Calibri"/>
                <w:sz w:val="16"/>
                <w:szCs w:val="16"/>
              </w:rPr>
            </w:pPr>
            <w:r>
              <w:rPr>
                <w:rFonts w:eastAsia="Calibri"/>
                <w:sz w:val="16"/>
                <w:szCs w:val="16"/>
              </w:rPr>
              <w:t>15</w:t>
            </w:r>
          </w:p>
        </w:tc>
        <w:tc>
          <w:tcPr>
            <w:tcW w:w="419" w:type="dxa"/>
            <w:tcBorders/>
            <w:noWrap/>
            <w:hideMark/>
          </w:tcPr>
          <w:p>
            <w:pPr>
              <w:pStyle w:val="style0"/>
              <w:spacing w:lineRule="auto" w:line="259"/>
              <w:rPr>
                <w:rFonts w:eastAsia="Calibri"/>
                <w:sz w:val="16"/>
                <w:szCs w:val="16"/>
              </w:rPr>
            </w:pPr>
            <w:r>
              <w:rPr>
                <w:rFonts w:eastAsia="Calibri"/>
                <w:sz w:val="16"/>
                <w:szCs w:val="16"/>
              </w:rPr>
              <w:t>4</w:t>
            </w:r>
          </w:p>
        </w:tc>
        <w:tc>
          <w:tcPr>
            <w:tcW w:w="546" w:type="dxa"/>
            <w:tcBorders/>
            <w:noWrap/>
            <w:hideMark/>
          </w:tcPr>
          <w:p>
            <w:pPr>
              <w:pStyle w:val="style0"/>
              <w:spacing w:lineRule="auto" w:line="259"/>
              <w:rPr>
                <w:rFonts w:eastAsia="Calibri"/>
                <w:sz w:val="16"/>
                <w:szCs w:val="16"/>
              </w:rPr>
            </w:pPr>
          </w:p>
        </w:tc>
        <w:tc>
          <w:tcPr>
            <w:tcW w:w="867" w:type="dxa"/>
            <w:tcBorders/>
            <w:noWrap/>
            <w:hideMark/>
          </w:tcPr>
          <w:p>
            <w:pPr>
              <w:pStyle w:val="style0"/>
              <w:spacing w:lineRule="auto" w:line="259"/>
              <w:rPr>
                <w:rFonts w:eastAsia="Calibri"/>
                <w:sz w:val="16"/>
                <w:szCs w:val="16"/>
              </w:rPr>
            </w:pPr>
            <w:r>
              <w:rPr>
                <w:rFonts w:eastAsia="Calibri"/>
                <w:sz w:val="16"/>
                <w:szCs w:val="16"/>
              </w:rPr>
              <w:t xml:space="preserve">Qualitative study </w:t>
            </w:r>
          </w:p>
        </w:tc>
        <w:tc>
          <w:tcPr>
            <w:tcW w:w="810" w:type="dxa"/>
            <w:tcBorders/>
            <w:hideMark/>
          </w:tcPr>
          <w:p>
            <w:pPr>
              <w:pStyle w:val="style0"/>
              <w:spacing w:lineRule="auto" w:line="259"/>
              <w:rPr>
                <w:rFonts w:eastAsia="Calibri"/>
                <w:sz w:val="16"/>
                <w:szCs w:val="16"/>
              </w:rPr>
            </w:pPr>
            <w:r>
              <w:rPr>
                <w:rFonts w:eastAsia="Calibri"/>
                <w:sz w:val="16"/>
                <w:szCs w:val="16"/>
              </w:rPr>
              <w:t>To identify the preventability, determinants, and causes of unplanned 30-day readmissions using a multidisciplinary assessment including patient perspectives.</w:t>
            </w:r>
          </w:p>
        </w:tc>
        <w:tc>
          <w:tcPr>
            <w:tcW w:w="775" w:type="dxa"/>
            <w:tcBorders/>
            <w:hideMark/>
          </w:tcPr>
          <w:p>
            <w:pPr>
              <w:pStyle w:val="style0"/>
              <w:spacing w:lineRule="auto" w:line="259"/>
              <w:rPr>
                <w:rFonts w:eastAsia="Calibri"/>
                <w:sz w:val="16"/>
                <w:szCs w:val="16"/>
              </w:rPr>
            </w:pPr>
            <w:r>
              <w:rPr>
                <w:rFonts w:eastAsia="Calibri"/>
                <w:sz w:val="16"/>
                <w:szCs w:val="16"/>
              </w:rPr>
              <w:t>Residents assessed preventability using a structured tool; multidisciplinary case review meetings; logistic regression for determinants; patient interviews used when available.</w:t>
            </w:r>
          </w:p>
        </w:tc>
        <w:tc>
          <w:tcPr>
            <w:tcW w:w="236" w:type="dxa"/>
            <w:tcBorders/>
            <w:noWrap/>
            <w:hideMark/>
          </w:tcPr>
          <w:p>
            <w:pPr>
              <w:pStyle w:val="style0"/>
              <w:spacing w:lineRule="auto" w:line="259"/>
              <w:rPr>
                <w:rFonts w:eastAsia="Calibri"/>
                <w:sz w:val="16"/>
                <w:szCs w:val="16"/>
              </w:rPr>
            </w:pPr>
            <w:r>
              <w:rPr>
                <w:rFonts w:eastAsia="Calibri"/>
                <w:sz w:val="16"/>
                <w:szCs w:val="16"/>
              </w:rPr>
              <w:t>430 patients</w:t>
            </w:r>
          </w:p>
        </w:tc>
        <w:tc>
          <w:tcPr>
            <w:tcW w:w="1463" w:type="dxa"/>
            <w:tcBorders/>
            <w:hideMark/>
          </w:tcPr>
          <w:p>
            <w:pPr>
              <w:pStyle w:val="style0"/>
              <w:spacing w:lineRule="auto" w:line="259"/>
              <w:rPr>
                <w:rFonts w:eastAsia="Calibri"/>
                <w:sz w:val="16"/>
                <w:szCs w:val="16"/>
              </w:rPr>
            </w:pPr>
            <w:r>
              <w:rPr>
                <w:rFonts w:eastAsia="Calibri"/>
                <w:sz w:val="16"/>
                <w:szCs w:val="16"/>
              </w:rPr>
              <w:t>13% of readmissions were potentially preventable. Main causes were diagnostic issues (30%), medication problems (27%), and management problems (27%). Age was significantly associated with preventable readmissions (OR 2.42). Multidisciplinary meetings changed preventability decisions in 11% of cases. Patient interviews contributed valuable insight in 26% of cases.</w:t>
            </w:r>
          </w:p>
        </w:tc>
      </w:tr>
    </w:tbl>
    <w:p>
      <w:pPr>
        <w:pStyle w:val="style0"/>
        <w:rPr>
          <w:color w:val="ee0000"/>
        </w:rPr>
      </w:pPr>
    </w:p>
    <w:tbl>
      <w:tblPr>
        <w:tblStyle w:val="style154"/>
        <w:tblW w:w="0" w:type="auto"/>
        <w:tblLook w:val="04A0" w:firstRow="1" w:lastRow="0" w:firstColumn="1" w:lastColumn="0" w:noHBand="0" w:noVBand="1"/>
      </w:tblPr>
      <w:tblGrid>
        <w:gridCol w:w="792"/>
        <w:gridCol w:w="1294"/>
        <w:gridCol w:w="1266"/>
        <w:gridCol w:w="1053"/>
        <w:gridCol w:w="1064"/>
        <w:gridCol w:w="1130"/>
        <w:gridCol w:w="1371"/>
        <w:gridCol w:w="1267"/>
      </w:tblGrid>
      <w:tr>
        <w:trPr/>
        <w:tc>
          <w:tcPr>
            <w:tcW w:w="1214" w:type="dxa"/>
            <w:tcBorders/>
          </w:tcPr>
          <w:p>
            <w:pPr>
              <w:pStyle w:val="style0"/>
              <w:spacing w:after="169"/>
              <w:jc w:val="center"/>
              <w:rPr>
                <w:b/>
                <w:bCs/>
                <w:i/>
                <w:iCs/>
              </w:rPr>
            </w:pPr>
            <w:r>
              <w:rPr>
                <w:b/>
                <w:bCs/>
                <w:i/>
                <w:iCs/>
              </w:rPr>
              <w:t>Author(s), Year</w:t>
            </w:r>
            <w:r>
              <w:rPr>
                <w:b/>
                <w:bCs/>
                <w:i/>
                <w:iCs/>
              </w:rPr>
              <w:t xml:space="preserve"> and </w:t>
            </w:r>
          </w:p>
          <w:p>
            <w:pPr>
              <w:pStyle w:val="style0"/>
              <w:spacing w:after="169"/>
              <w:jc w:val="center"/>
              <w:rPr>
                <w:b/>
                <w:bCs/>
                <w:i/>
                <w:iCs/>
              </w:rPr>
            </w:pPr>
            <w:r>
              <w:rPr>
                <w:b/>
                <w:bCs/>
                <w:i/>
                <w:iCs/>
              </w:rPr>
              <w:t>Title</w:t>
            </w:r>
          </w:p>
        </w:tc>
        <w:tc>
          <w:tcPr>
            <w:tcW w:w="797" w:type="dxa"/>
            <w:tcBorders/>
          </w:tcPr>
          <w:p>
            <w:pPr>
              <w:pStyle w:val="style0"/>
              <w:spacing w:after="169"/>
              <w:jc w:val="center"/>
              <w:rPr>
                <w:b/>
                <w:bCs/>
                <w:i/>
                <w:iCs/>
              </w:rPr>
            </w:pPr>
            <w:r>
              <w:rPr>
                <w:b/>
                <w:bCs/>
                <w:i/>
                <w:iCs/>
              </w:rPr>
              <w:t xml:space="preserve">Study aim </w:t>
            </w:r>
          </w:p>
        </w:tc>
        <w:tc>
          <w:tcPr>
            <w:tcW w:w="889" w:type="dxa"/>
            <w:tcBorders/>
          </w:tcPr>
          <w:p>
            <w:pPr>
              <w:pStyle w:val="style0"/>
              <w:spacing w:after="169"/>
              <w:jc w:val="center"/>
              <w:rPr>
                <w:b/>
                <w:bCs/>
                <w:i/>
                <w:iCs/>
              </w:rPr>
            </w:pPr>
            <w:r>
              <w:rPr>
                <w:b/>
                <w:bCs/>
                <w:i/>
                <w:iCs/>
              </w:rPr>
              <w:t xml:space="preserve">Study design </w:t>
            </w:r>
          </w:p>
        </w:tc>
        <w:tc>
          <w:tcPr>
            <w:tcW w:w="1296" w:type="dxa"/>
            <w:tcBorders/>
          </w:tcPr>
          <w:p>
            <w:pPr>
              <w:pStyle w:val="style0"/>
              <w:spacing w:after="169"/>
              <w:jc w:val="center"/>
              <w:rPr>
                <w:b/>
                <w:bCs/>
                <w:i/>
                <w:iCs/>
              </w:rPr>
            </w:pPr>
            <w:r>
              <w:rPr>
                <w:b/>
                <w:bCs/>
                <w:i/>
                <w:iCs/>
              </w:rPr>
              <w:t xml:space="preserve">Population and settings </w:t>
            </w:r>
          </w:p>
        </w:tc>
        <w:tc>
          <w:tcPr>
            <w:tcW w:w="1146" w:type="dxa"/>
            <w:tcBorders/>
          </w:tcPr>
          <w:p>
            <w:pPr>
              <w:pStyle w:val="style0"/>
              <w:spacing w:after="169"/>
              <w:jc w:val="center"/>
              <w:rPr>
                <w:b/>
                <w:bCs/>
                <w:i/>
                <w:iCs/>
              </w:rPr>
            </w:pPr>
            <w:r>
              <w:rPr>
                <w:b/>
                <w:bCs/>
                <w:i/>
                <w:iCs/>
              </w:rPr>
              <w:t xml:space="preserve">Type of microbial infection </w:t>
            </w:r>
          </w:p>
        </w:tc>
        <w:tc>
          <w:tcPr>
            <w:tcW w:w="1204" w:type="dxa"/>
            <w:tcBorders/>
          </w:tcPr>
          <w:p>
            <w:pPr>
              <w:pStyle w:val="style0"/>
              <w:spacing w:after="169"/>
              <w:jc w:val="center"/>
              <w:rPr>
                <w:b/>
                <w:bCs/>
                <w:i/>
                <w:iCs/>
              </w:rPr>
            </w:pPr>
            <w:r>
              <w:rPr>
                <w:b/>
                <w:bCs/>
                <w:i/>
                <w:iCs/>
              </w:rPr>
              <w:t xml:space="preserve">Key outcomes </w:t>
            </w:r>
          </w:p>
        </w:tc>
        <w:tc>
          <w:tcPr>
            <w:tcW w:w="1435" w:type="dxa"/>
            <w:tcBorders/>
          </w:tcPr>
          <w:p>
            <w:pPr>
              <w:pStyle w:val="style0"/>
              <w:spacing w:after="169"/>
              <w:jc w:val="center"/>
              <w:rPr>
                <w:b/>
                <w:bCs/>
                <w:i/>
                <w:iCs/>
              </w:rPr>
            </w:pPr>
            <w:r>
              <w:rPr>
                <w:b/>
                <w:bCs/>
                <w:i/>
                <w:iCs/>
              </w:rPr>
              <w:t xml:space="preserve">Public health and social care implications </w:t>
            </w:r>
          </w:p>
        </w:tc>
        <w:tc>
          <w:tcPr>
            <w:tcW w:w="1261" w:type="dxa"/>
            <w:tcBorders/>
          </w:tcPr>
          <w:p>
            <w:pPr>
              <w:pStyle w:val="style0"/>
              <w:spacing w:after="169"/>
              <w:jc w:val="center"/>
              <w:rPr>
                <w:b/>
                <w:bCs/>
                <w:i/>
                <w:iCs/>
              </w:rPr>
            </w:pPr>
            <w:r>
              <w:rPr>
                <w:b/>
                <w:bCs/>
                <w:i/>
                <w:iCs/>
              </w:rPr>
              <w:t xml:space="preserve">Key limitations </w:t>
            </w:r>
          </w:p>
        </w:tc>
      </w:tr>
      <w:tr>
        <w:tblPrEx/>
        <w:trPr/>
        <w:tc>
          <w:tcPr>
            <w:tcW w:w="1214" w:type="dxa"/>
            <w:tcBorders/>
          </w:tcPr>
          <w:p>
            <w:pPr>
              <w:pStyle w:val="style0"/>
              <w:spacing w:after="169"/>
              <w:rPr/>
            </w:pPr>
            <w:r>
              <w:rPr>
                <w:color w:val="000000"/>
              </w:rPr>
              <w:t xml:space="preserve">McPeake </w:t>
            </w:r>
            <w:r>
              <w:rPr>
                <w:i/>
                <w:iCs/>
                <w:color w:val="000000"/>
              </w:rPr>
              <w:t xml:space="preserve">et al., </w:t>
            </w:r>
            <w:r>
              <w:rPr>
                <w:color w:val="000000"/>
              </w:rPr>
              <w:t>2025</w:t>
            </w:r>
          </w:p>
        </w:tc>
        <w:tc>
          <w:tcPr>
            <w:tcW w:w="797" w:type="dxa"/>
            <w:tcBorders/>
          </w:tcPr>
          <w:p>
            <w:pPr>
              <w:pStyle w:val="style0"/>
              <w:spacing w:after="169"/>
              <w:rPr/>
            </w:pPr>
            <w:r>
              <w:t>Study of patient and family experience of readmission to hospital following a critical illness.</w:t>
            </w:r>
          </w:p>
        </w:tc>
        <w:tc>
          <w:tcPr>
            <w:tcW w:w="889" w:type="dxa"/>
            <w:tcBorders/>
          </w:tcPr>
          <w:p>
            <w:pPr>
              <w:pStyle w:val="style0"/>
              <w:spacing w:after="169"/>
              <w:rPr/>
            </w:pPr>
            <w:r>
              <w:t>A qualitative descriptive study based on semi-structured interviews.</w:t>
            </w:r>
          </w:p>
        </w:tc>
        <w:tc>
          <w:tcPr>
            <w:tcW w:w="1296" w:type="dxa"/>
            <w:tcBorders/>
          </w:tcPr>
          <w:p>
            <w:pPr>
              <w:pStyle w:val="style0"/>
              <w:spacing w:after="169"/>
              <w:rPr/>
            </w:pPr>
            <w:r>
              <w:t>15 adult critical care survivors and 5 family members from a UK inner-city teaching hospital.</w:t>
            </w:r>
          </w:p>
        </w:tc>
        <w:tc>
          <w:tcPr>
            <w:tcW w:w="1146" w:type="dxa"/>
            <w:tcBorders/>
          </w:tcPr>
          <w:p>
            <w:pPr>
              <w:pStyle w:val="style0"/>
              <w:spacing w:after="169"/>
              <w:rPr>
                <w:highlight w:val="yellow"/>
              </w:rPr>
            </w:pPr>
            <w:r>
              <w:t>Restricted to complications of infections following critical illness.</w:t>
            </w:r>
          </w:p>
        </w:tc>
        <w:tc>
          <w:tcPr>
            <w:tcW w:w="1204" w:type="dxa"/>
            <w:tcBorders/>
          </w:tcPr>
          <w:p>
            <w:pPr>
              <w:pStyle w:val="style0"/>
              <w:spacing w:after="169"/>
              <w:rPr>
                <w:highlight w:val="yellow"/>
              </w:rPr>
            </w:pPr>
            <w:r>
              <w:t>Reasons behind finding of readmission were lack of discharge planning, persistent disease as well as inaccessibility to care.</w:t>
            </w:r>
          </w:p>
        </w:tc>
        <w:tc>
          <w:tcPr>
            <w:tcW w:w="1435" w:type="dxa"/>
            <w:tcBorders/>
          </w:tcPr>
          <w:p>
            <w:pPr>
              <w:pStyle w:val="style0"/>
              <w:spacing w:after="169"/>
              <w:rPr>
                <w:highlight w:val="yellow"/>
              </w:rPr>
            </w:pPr>
            <w:r>
              <w:t xml:space="preserve">This article highlights the need to improve discharge coordination, post discharge support and integration of social </w:t>
            </w:r>
            <w:r>
              <w:t>care in an attempt to reduce the number of unplanned readmissions.</w:t>
            </w:r>
          </w:p>
        </w:tc>
        <w:tc>
          <w:tcPr>
            <w:tcW w:w="1261" w:type="dxa"/>
            <w:tcBorders/>
          </w:tcPr>
          <w:p>
            <w:pPr>
              <w:pStyle w:val="style0"/>
              <w:spacing w:after="169"/>
              <w:rPr>
                <w:highlight w:val="yellow"/>
              </w:rPr>
            </w:pPr>
            <w:r>
              <w:t xml:space="preserve">Limited size of the sample; a qualitative design, which restricts generalizability; lack of individual separation of microbial </w:t>
            </w:r>
            <w:r>
              <w:t>pathogens.</w:t>
            </w:r>
          </w:p>
        </w:tc>
      </w:tr>
      <w:tr>
        <w:tblPrEx/>
        <w:trPr/>
        <w:tc>
          <w:tcPr>
            <w:tcW w:w="1214" w:type="dxa"/>
            <w:tcBorders/>
          </w:tcPr>
          <w:p>
            <w:pPr>
              <w:pStyle w:val="style0"/>
              <w:spacing w:after="169"/>
              <w:rPr/>
            </w:pPr>
            <w:r>
              <w:rPr>
                <w:color w:val="000000"/>
              </w:rPr>
              <w:t xml:space="preserve">Lazzarino </w:t>
            </w:r>
            <w:r>
              <w:rPr>
                <w:i/>
                <w:iCs/>
                <w:color w:val="000000"/>
              </w:rPr>
              <w:t xml:space="preserve">et al., </w:t>
            </w:r>
            <w:r>
              <w:rPr>
                <w:color w:val="000000"/>
              </w:rPr>
              <w:t>2025</w:t>
            </w:r>
          </w:p>
        </w:tc>
        <w:tc>
          <w:tcPr>
            <w:tcW w:w="797" w:type="dxa"/>
            <w:tcBorders/>
          </w:tcPr>
          <w:p>
            <w:pPr>
              <w:pStyle w:val="style0"/>
              <w:spacing w:after="169"/>
              <w:rPr/>
            </w:pPr>
            <w:r>
              <w:t>To​‍​‌‍​‍‌ study the experiences of sepsis survivors and their families and to evaluate how the use of digital alerts might have influenced the sepsis journey</w:t>
            </w:r>
          </w:p>
        </w:tc>
        <w:tc>
          <w:tcPr>
            <w:tcW w:w="889" w:type="dxa"/>
            <w:tcBorders/>
          </w:tcPr>
          <w:p>
            <w:pPr>
              <w:pStyle w:val="style0"/>
              <w:spacing w:after="169"/>
              <w:rPr/>
            </w:pPr>
            <w:r>
              <w:t>A qualitative study that included semi-structured interviews and focus groups</w:t>
            </w:r>
          </w:p>
        </w:tc>
        <w:tc>
          <w:tcPr>
            <w:tcW w:w="1296" w:type="dxa"/>
            <w:tcBorders/>
          </w:tcPr>
          <w:p>
            <w:pPr>
              <w:pStyle w:val="style0"/>
              <w:spacing w:after="169"/>
              <w:rPr/>
            </w:pPr>
            <w:r>
              <w:t>11 adult sepsis survivors and 5 family members from England</w:t>
            </w:r>
          </w:p>
        </w:tc>
        <w:tc>
          <w:tcPr>
            <w:tcW w:w="1146" w:type="dxa"/>
            <w:tcBorders/>
          </w:tcPr>
          <w:p>
            <w:pPr>
              <w:pStyle w:val="style0"/>
              <w:spacing w:after="169"/>
              <w:rPr/>
            </w:pPr>
            <w:r>
              <w:t>Sepsis, including urosepsis and pelvic infections</w:t>
            </w:r>
          </w:p>
        </w:tc>
        <w:tc>
          <w:tcPr>
            <w:tcW w:w="1204" w:type="dxa"/>
            <w:tcBorders/>
          </w:tcPr>
          <w:p>
            <w:pPr>
              <w:pStyle w:val="style0"/>
              <w:spacing w:after="169"/>
              <w:rPr/>
            </w:pPr>
            <w:r>
              <w:t>Slow recognition of sepsis and care gaps led to the increase of the disease severity and the development of post-sepsis complications</w:t>
            </w:r>
          </w:p>
        </w:tc>
        <w:tc>
          <w:tcPr>
            <w:tcW w:w="1435" w:type="dxa"/>
            <w:tcBorders/>
          </w:tcPr>
          <w:p>
            <w:pPr>
              <w:pStyle w:val="style0"/>
              <w:spacing w:after="169"/>
              <w:rPr/>
            </w:pPr>
            <w:r>
              <w:t>Enables the utilization of digital alerts for the purpose of early detection, ensuring continuity of care, and lessening the infection-related readmissions as well as the long-term care burden</w:t>
            </w:r>
          </w:p>
        </w:tc>
        <w:tc>
          <w:tcPr>
            <w:tcW w:w="1261" w:type="dxa"/>
            <w:tcBorders/>
          </w:tcPr>
          <w:p>
            <w:pPr>
              <w:pStyle w:val="style0"/>
              <w:spacing w:after="169"/>
              <w:rPr/>
            </w:pPr>
            <w:r>
              <w:t>The small sample size; the qualitative design limits generalisation; there is limited direct measurement of rehospitalisation ​‍​‌‍​‍‌outcomes</w:t>
            </w:r>
          </w:p>
        </w:tc>
      </w:tr>
      <w:tr>
        <w:tblPrEx/>
        <w:trPr/>
        <w:tc>
          <w:tcPr>
            <w:tcW w:w="1214" w:type="dxa"/>
            <w:tcBorders/>
          </w:tcPr>
          <w:p>
            <w:pPr>
              <w:pStyle w:val="style0"/>
              <w:spacing w:after="169"/>
              <w:rPr/>
            </w:pPr>
            <w:r>
              <w:rPr>
                <w:color w:val="000000"/>
              </w:rPr>
              <w:t xml:space="preserve">Elkjær </w:t>
            </w:r>
            <w:r>
              <w:rPr>
                <w:i/>
                <w:iCs/>
                <w:color w:val="000000"/>
              </w:rPr>
              <w:t>et al.</w:t>
            </w:r>
            <w:r>
              <w:rPr>
                <w:i/>
                <w:iCs/>
                <w:color w:val="000000"/>
              </w:rPr>
              <w:t>,</w:t>
            </w:r>
            <w:r>
              <w:rPr>
                <w:i/>
                <w:iCs/>
                <w:color w:val="000000"/>
              </w:rPr>
              <w:t xml:space="preserve"> </w:t>
            </w:r>
            <w:r>
              <w:rPr>
                <w:color w:val="000000"/>
              </w:rPr>
              <w:t>2023</w:t>
            </w:r>
          </w:p>
        </w:tc>
        <w:tc>
          <w:tcPr>
            <w:tcW w:w="797" w:type="dxa"/>
            <w:tcBorders/>
          </w:tcPr>
          <w:p>
            <w:pPr>
              <w:pStyle w:val="style0"/>
              <w:spacing w:after="169"/>
              <w:rPr/>
            </w:pPr>
            <w:r>
              <w:t>To​‍​‌‍​‍‌ understand the lived experience of unexpected hospital readmission in elderly patients receiving home care</w:t>
            </w:r>
          </w:p>
        </w:tc>
        <w:tc>
          <w:tcPr>
            <w:tcW w:w="889" w:type="dxa"/>
            <w:tcBorders/>
          </w:tcPr>
          <w:p>
            <w:pPr>
              <w:pStyle w:val="style0"/>
              <w:spacing w:after="169"/>
              <w:rPr/>
            </w:pPr>
            <w:r>
              <w:t>Qualitative research based on semi-structured interviews</w:t>
            </w:r>
          </w:p>
        </w:tc>
        <w:tc>
          <w:tcPr>
            <w:tcW w:w="1296" w:type="dxa"/>
            <w:tcBorders/>
          </w:tcPr>
          <w:p>
            <w:pPr>
              <w:pStyle w:val="style0"/>
              <w:spacing w:after="169"/>
              <w:rPr/>
            </w:pPr>
            <w:r>
              <w:t>12 adults aged 65–95 receiving homecare and readmitted to Eds</w:t>
            </w:r>
          </w:p>
        </w:tc>
        <w:tc>
          <w:tcPr>
            <w:tcW w:w="1146" w:type="dxa"/>
            <w:tcBorders/>
          </w:tcPr>
          <w:p>
            <w:pPr>
              <w:pStyle w:val="style0"/>
              <w:spacing w:after="169"/>
              <w:rPr/>
            </w:pPr>
            <w:r>
              <w:t>Implication of infection-related symptom deterioration after discharge</w:t>
            </w:r>
          </w:p>
        </w:tc>
        <w:tc>
          <w:tcPr>
            <w:tcW w:w="1204" w:type="dxa"/>
            <w:tcBorders/>
          </w:tcPr>
          <w:p>
            <w:pPr>
              <w:pStyle w:val="style0"/>
              <w:spacing w:after="169"/>
              <w:rPr/>
            </w:pPr>
            <w:r>
              <w:t xml:space="preserve">Infer that the </w:t>
            </w:r>
            <w:r>
              <w:t>readmission at hospital</w:t>
            </w:r>
            <w:r>
              <w:t xml:space="preserve"> was a consequence due to an early discharge from the hospital, insufficient treatment at home, and lack of security</w:t>
            </w:r>
            <w:r>
              <w:t xml:space="preserve">, </w:t>
            </w:r>
            <w:r>
              <w:t xml:space="preserve">which leads to initiation of microbial infection at home. Therefore, patients are suffering from server health-issues. </w:t>
            </w:r>
          </w:p>
        </w:tc>
        <w:tc>
          <w:tcPr>
            <w:tcW w:w="1435" w:type="dxa"/>
            <w:tcBorders/>
          </w:tcPr>
          <w:p>
            <w:pPr>
              <w:pStyle w:val="style0"/>
              <w:spacing w:after="169"/>
              <w:rPr/>
            </w:pPr>
            <w:r>
              <w:t>Emphasizes urgent necessity for a more robust community care system, improved discharge planning, and the involvement of the family so as to be able to prevent infection-</w:t>
            </w:r>
            <w:r>
              <w:t>related readmissions that are avoidable</w:t>
            </w:r>
          </w:p>
        </w:tc>
        <w:tc>
          <w:tcPr>
            <w:tcW w:w="1261" w:type="dxa"/>
            <w:tcBorders/>
          </w:tcPr>
          <w:p>
            <w:pPr>
              <w:pStyle w:val="style0"/>
              <w:spacing w:after="169"/>
              <w:rPr/>
            </w:pPr>
            <w:r>
              <w:t>The small sample size; direct transferability limitation; not specifying particular microbial ​‍​‌‍​‍‌infections</w:t>
            </w:r>
          </w:p>
        </w:tc>
      </w:tr>
      <w:tr>
        <w:tblPrEx/>
        <w:trPr/>
        <w:tc>
          <w:tcPr>
            <w:tcW w:w="1214" w:type="dxa"/>
            <w:tcBorders/>
          </w:tcPr>
          <w:p>
            <w:pPr>
              <w:pStyle w:val="style0"/>
              <w:spacing w:after="169"/>
              <w:rPr/>
            </w:pPr>
            <w:r>
              <w:rPr>
                <w:color w:val="000000"/>
              </w:rPr>
              <w:t xml:space="preserve">Yeatts </w:t>
            </w:r>
            <w:r>
              <w:rPr>
                <w:i/>
                <w:iCs/>
                <w:color w:val="000000"/>
              </w:rPr>
              <w:t xml:space="preserve">et al., </w:t>
            </w:r>
            <w:r>
              <w:rPr>
                <w:color w:val="000000"/>
              </w:rPr>
              <w:t>2025</w:t>
            </w:r>
          </w:p>
        </w:tc>
        <w:tc>
          <w:tcPr>
            <w:tcW w:w="797" w:type="dxa"/>
            <w:tcBorders/>
          </w:tcPr>
          <w:p>
            <w:pPr>
              <w:pStyle w:val="style0"/>
              <w:spacing w:after="169"/>
              <w:rPr/>
            </w:pPr>
            <w:r>
              <w:t>Explore​‍​‌‍​‍‌ patient perceptions of factors that lead to unplanned readmissions during transitions from hospital to home</w:t>
            </w:r>
          </w:p>
        </w:tc>
        <w:tc>
          <w:tcPr>
            <w:tcW w:w="889" w:type="dxa"/>
            <w:tcBorders/>
          </w:tcPr>
          <w:p>
            <w:pPr>
              <w:pStyle w:val="style0"/>
              <w:spacing w:after="169"/>
              <w:rPr/>
            </w:pPr>
            <w:r>
              <w:t>Qualitative in-depth interviews conducted at the participants' homes</w:t>
            </w:r>
          </w:p>
        </w:tc>
        <w:tc>
          <w:tcPr>
            <w:tcW w:w="1296" w:type="dxa"/>
            <w:tcBorders/>
          </w:tcPr>
          <w:p>
            <w:pPr>
              <w:pStyle w:val="style0"/>
              <w:spacing w:after="169"/>
              <w:rPr/>
            </w:pPr>
            <w:r>
              <w:t>62 adults recently discharged from hospital</w:t>
            </w:r>
          </w:p>
        </w:tc>
        <w:tc>
          <w:tcPr>
            <w:tcW w:w="1146" w:type="dxa"/>
            <w:tcBorders/>
          </w:tcPr>
          <w:p>
            <w:pPr>
              <w:pStyle w:val="style0"/>
              <w:spacing w:after="169"/>
              <w:rPr/>
            </w:pPr>
            <w:r>
              <w:t>Infection-related conditions such as cellulitis, pneumonia, bronchitis</w:t>
            </w:r>
          </w:p>
        </w:tc>
        <w:tc>
          <w:tcPr>
            <w:tcW w:w="1204" w:type="dxa"/>
            <w:tcBorders/>
          </w:tcPr>
          <w:p>
            <w:pPr>
              <w:pStyle w:val="style0"/>
              <w:spacing w:after="169"/>
              <w:rPr/>
            </w:pPr>
            <w:r>
              <w:t>Inefficient discharge information, lack of social support, and living in an unsafe home environment contributed to the risk of readmission</w:t>
            </w:r>
          </w:p>
        </w:tc>
        <w:tc>
          <w:tcPr>
            <w:tcW w:w="1435" w:type="dxa"/>
            <w:tcBorders/>
          </w:tcPr>
          <w:p>
            <w:pPr>
              <w:pStyle w:val="style0"/>
              <w:spacing w:after="169"/>
              <w:rPr/>
            </w:pPr>
            <w:r>
              <w:t>Emphasizes the necessity of better infection instruction, follow-up after discharge, and support from the social care sector to halt infection comeback and subsequent hospitalisation</w:t>
            </w:r>
          </w:p>
        </w:tc>
        <w:tc>
          <w:tcPr>
            <w:tcW w:w="1261" w:type="dxa"/>
            <w:tcBorders/>
          </w:tcPr>
          <w:p>
            <w:pPr>
              <w:pStyle w:val="style0"/>
              <w:spacing w:after="169"/>
              <w:rPr/>
            </w:pPr>
            <w:r>
              <w:t>Infections were not the primary focus; the qualitative design limits the possibility of establishing a cause-effect ​‍​‌‍​‍‌relationship</w:t>
            </w:r>
          </w:p>
        </w:tc>
      </w:tr>
      <w:tr>
        <w:tblPrEx/>
        <w:trPr/>
        <w:tc>
          <w:tcPr>
            <w:tcW w:w="1214" w:type="dxa"/>
            <w:tcBorders/>
          </w:tcPr>
          <w:p>
            <w:pPr>
              <w:pStyle w:val="style0"/>
              <w:spacing w:after="169"/>
              <w:rPr/>
            </w:pPr>
            <w:r>
              <w:rPr>
                <w:color w:val="000000"/>
              </w:rPr>
              <w:t xml:space="preserve">Van Dort </w:t>
            </w:r>
            <w:r>
              <w:rPr>
                <w:i/>
                <w:iCs/>
                <w:color w:val="000000"/>
              </w:rPr>
              <w:t xml:space="preserve">et al., </w:t>
            </w:r>
            <w:r>
              <w:rPr>
                <w:color w:val="000000"/>
              </w:rPr>
              <w:t>2024</w:t>
            </w:r>
          </w:p>
        </w:tc>
        <w:tc>
          <w:tcPr>
            <w:tcW w:w="797" w:type="dxa"/>
            <w:tcBorders/>
          </w:tcPr>
          <w:p>
            <w:pPr>
              <w:pStyle w:val="style0"/>
              <w:spacing w:after="169"/>
              <w:rPr/>
            </w:pPr>
            <w:r>
              <w:t xml:space="preserve">Comparison​‍​‌‍​‍‌ of the antimicrobial stewardship (AMS) work processes examination and the use of digital tools between </w:t>
            </w:r>
            <w:r>
              <w:t>two hospitals</w:t>
            </w:r>
          </w:p>
        </w:tc>
        <w:tc>
          <w:tcPr>
            <w:tcW w:w="889" w:type="dxa"/>
            <w:tcBorders/>
          </w:tcPr>
          <w:p>
            <w:pPr>
              <w:pStyle w:val="style0"/>
              <w:spacing w:after="169"/>
              <w:rPr/>
            </w:pPr>
            <w:r>
              <w:t>Qualitative research through using semi-structured interviews and observation taken under SEIPS model guidance</w:t>
            </w:r>
          </w:p>
        </w:tc>
        <w:tc>
          <w:tcPr>
            <w:tcW w:w="1296" w:type="dxa"/>
            <w:tcBorders/>
          </w:tcPr>
          <w:p>
            <w:pPr>
              <w:pStyle w:val="style0"/>
              <w:spacing w:after="169"/>
              <w:rPr/>
            </w:pPr>
            <w:r>
              <w:t>Team members (n=15)</w:t>
            </w:r>
          </w:p>
        </w:tc>
        <w:tc>
          <w:tcPr>
            <w:tcW w:w="1146" w:type="dxa"/>
            <w:tcBorders/>
          </w:tcPr>
          <w:p>
            <w:pPr>
              <w:pStyle w:val="style0"/>
              <w:spacing w:after="169"/>
              <w:rPr/>
            </w:pPr>
            <w:r>
              <w:t>General bacterial infections requiring antimicrobial therapy (not disease-specific)</w:t>
            </w:r>
          </w:p>
        </w:tc>
        <w:tc>
          <w:tcPr>
            <w:tcW w:w="1204" w:type="dxa"/>
            <w:tcBorders/>
          </w:tcPr>
          <w:p>
            <w:pPr>
              <w:pStyle w:val="style0"/>
              <w:spacing w:after="169"/>
              <w:rPr/>
            </w:pPr>
            <w:r>
              <w:t>Successful AMS was influenced by factors such as support from the organisation, involvement of the clinicians, interoper</w:t>
            </w:r>
            <w:r>
              <w:t>ability, and user champions for digital tools</w:t>
            </w:r>
          </w:p>
        </w:tc>
        <w:tc>
          <w:tcPr>
            <w:tcW w:w="1435" w:type="dxa"/>
            <w:tcBorders/>
          </w:tcPr>
          <w:p>
            <w:pPr>
              <w:pStyle w:val="style0"/>
              <w:spacing w:after="169"/>
              <w:rPr/>
            </w:pPr>
            <w:r>
              <w:t xml:space="preserve">Robust AMS systems have the potential to lessen the misuse of antimicrobials, decrease infection-related complications, and </w:t>
            </w:r>
            <w:r>
              <w:t>contribute to the prevention of avoidable hospital readmissions; thus, emphasizing the need for integrated digital systems and leadership support throughout the healthcare services</w:t>
            </w:r>
          </w:p>
        </w:tc>
        <w:tc>
          <w:tcPr>
            <w:tcW w:w="1261" w:type="dxa"/>
            <w:tcBorders/>
          </w:tcPr>
          <w:p>
            <w:pPr>
              <w:pStyle w:val="style0"/>
              <w:spacing w:after="169"/>
              <w:rPr/>
            </w:pPr>
            <w:r>
              <w:t xml:space="preserve">The study was limited by a small sample size; only two hospitals were included in the study; the results may not be </w:t>
            </w:r>
            <w:r>
              <w:t>generalizable; the study does not directly measure patient readmission ​‍​‌‍​‍‌outcomes</w:t>
            </w:r>
          </w:p>
        </w:tc>
      </w:tr>
      <w:tr>
        <w:tblPrEx/>
        <w:trPr/>
        <w:tc>
          <w:tcPr>
            <w:tcW w:w="1214" w:type="dxa"/>
            <w:tcBorders/>
          </w:tcPr>
          <w:p>
            <w:pPr>
              <w:pStyle w:val="style0"/>
              <w:spacing w:after="169"/>
              <w:rPr>
                <w:color w:val="000000"/>
              </w:rPr>
            </w:pPr>
            <w:r>
              <w:rPr>
                <w:color w:val="000000"/>
              </w:rPr>
              <w:t xml:space="preserve">Stavrou </w:t>
            </w:r>
            <w:r>
              <w:rPr>
                <w:i/>
                <w:iCs/>
                <w:color w:val="000000"/>
              </w:rPr>
              <w:t xml:space="preserve">et al., </w:t>
            </w:r>
            <w:r>
              <w:rPr>
                <w:color w:val="000000"/>
              </w:rPr>
              <w:t>2024</w:t>
            </w:r>
          </w:p>
        </w:tc>
        <w:tc>
          <w:tcPr>
            <w:tcW w:w="797" w:type="dxa"/>
            <w:tcBorders/>
          </w:tcPr>
          <w:p>
            <w:pPr>
              <w:pStyle w:val="style0"/>
              <w:spacing w:after="169"/>
              <w:rPr/>
            </w:pPr>
            <w:r>
              <w:t>Analyse</w:t>
            </w:r>
            <w:r>
              <w:t xml:space="preserve"> 30-day unplanned hospital readmission in the older adult, and identify the factors that contributed to it.</w:t>
            </w:r>
          </w:p>
        </w:tc>
        <w:tc>
          <w:tcPr>
            <w:tcW w:w="889" w:type="dxa"/>
            <w:tcBorders/>
          </w:tcPr>
          <w:p>
            <w:pPr>
              <w:pStyle w:val="style0"/>
              <w:spacing w:after="169"/>
              <w:rPr/>
            </w:pPr>
            <w:r>
              <w:t>Qualitative research with interpretive phenomenological analysis.</w:t>
            </w:r>
          </w:p>
        </w:tc>
        <w:tc>
          <w:tcPr>
            <w:tcW w:w="1296" w:type="dxa"/>
            <w:tcBorders/>
          </w:tcPr>
          <w:p>
            <w:pPr>
              <w:pStyle w:val="style0"/>
              <w:rPr>
                <w:highlight w:val="yellow"/>
              </w:rPr>
            </w:pPr>
            <w:r>
              <w:t>The participants were adults aged 65 years and more who had an unexpected readmission within 30 days after a big tertiary hospital in the UK.</w:t>
            </w:r>
          </w:p>
        </w:tc>
        <w:tc>
          <w:tcPr>
            <w:tcW w:w="1146" w:type="dxa"/>
            <w:tcBorders/>
          </w:tcPr>
          <w:p>
            <w:pPr>
              <w:pStyle w:val="style0"/>
              <w:spacing w:after="169"/>
              <w:rPr>
                <w:highlight w:val="yellow"/>
              </w:rPr>
            </w:pPr>
            <w:r>
              <w:t>Specifically, includes as broader causes infection-related readmissions.</w:t>
            </w:r>
          </w:p>
        </w:tc>
        <w:tc>
          <w:tcPr>
            <w:tcW w:w="1204" w:type="dxa"/>
            <w:tcBorders/>
          </w:tcPr>
          <w:p>
            <w:pPr>
              <w:pStyle w:val="style0"/>
              <w:spacing w:after="169"/>
              <w:rPr>
                <w:highlight w:val="yellow"/>
              </w:rPr>
            </w:pPr>
            <w:r>
              <w:t>Lack of communication, premature discharge, inadequate post-discharge follow-up, and weak health and social care integration are some of the factors that led to the readmission of the patients to the hospital.</w:t>
            </w:r>
          </w:p>
        </w:tc>
        <w:tc>
          <w:tcPr>
            <w:tcW w:w="1435" w:type="dxa"/>
            <w:tcBorders/>
          </w:tcPr>
          <w:p>
            <w:pPr>
              <w:pStyle w:val="style0"/>
              <w:spacing w:after="169"/>
              <w:rPr/>
            </w:pPr>
            <w:r>
              <w:t xml:space="preserve">The study emphasises the necessity of a coordinated infection follow-up, more accurate discharge communication, and integrated health–social care services to lower the number of unplanned readmissions that can be eliminated in older </w:t>
            </w:r>
            <w:r>
              <w:t>adults.</w:t>
            </w:r>
          </w:p>
        </w:tc>
        <w:tc>
          <w:tcPr>
            <w:tcW w:w="1261" w:type="dxa"/>
            <w:tcBorders/>
          </w:tcPr>
          <w:p>
            <w:pPr>
              <w:pStyle w:val="style0"/>
              <w:spacing w:after="169"/>
              <w:rPr/>
            </w:pPr>
            <w:r>
              <w:t>Small sample size; single-centre study; qualitative design limits generalisability; does not isolate microbial infections as a primary ​‍​‌‍​‍‌cause.</w:t>
            </w:r>
          </w:p>
        </w:tc>
      </w:tr>
      <w:tr>
        <w:tblPrEx/>
        <w:trPr/>
        <w:tc>
          <w:tcPr>
            <w:tcW w:w="1214" w:type="dxa"/>
            <w:tcBorders/>
          </w:tcPr>
          <w:p>
            <w:pPr>
              <w:pStyle w:val="style0"/>
              <w:spacing w:after="169"/>
              <w:rPr>
                <w:color w:val="000000"/>
              </w:rPr>
            </w:pPr>
            <w:r>
              <w:rPr>
                <w:color w:val="000000"/>
              </w:rPr>
              <w:t xml:space="preserve">King </w:t>
            </w:r>
            <w:r>
              <w:rPr>
                <w:i/>
                <w:iCs/>
                <w:color w:val="000000"/>
              </w:rPr>
              <w:t xml:space="preserve">et al., </w:t>
            </w:r>
            <w:r>
              <w:rPr>
                <w:color w:val="000000"/>
              </w:rPr>
              <w:t>2023</w:t>
            </w:r>
          </w:p>
        </w:tc>
        <w:tc>
          <w:tcPr>
            <w:tcW w:w="797" w:type="dxa"/>
            <w:tcBorders/>
          </w:tcPr>
          <w:p>
            <w:pPr>
              <w:pStyle w:val="style0"/>
              <w:spacing w:after="169"/>
              <w:rPr/>
            </w:pPr>
            <w:r>
              <w:t>To​‍​‌‍​‍‌ understand how elderly people and their family members handle the progression of chronic diseases at home after discharge in order to avoid hospital readmissions that could have been prevented</w:t>
            </w:r>
          </w:p>
        </w:tc>
        <w:tc>
          <w:tcPr>
            <w:tcW w:w="889" w:type="dxa"/>
            <w:tcBorders/>
          </w:tcPr>
          <w:p>
            <w:pPr>
              <w:pStyle w:val="style0"/>
              <w:spacing w:after="169"/>
              <w:rPr/>
            </w:pPr>
            <w:r>
              <w:t>Qualitative exploratory study using Interpretive Description</w:t>
            </w:r>
          </w:p>
        </w:tc>
        <w:tc>
          <w:tcPr>
            <w:tcW w:w="1296" w:type="dxa"/>
            <w:tcBorders/>
          </w:tcPr>
          <w:p>
            <w:pPr>
              <w:pStyle w:val="style0"/>
              <w:spacing w:after="169"/>
              <w:rPr/>
            </w:pPr>
            <w:r>
              <w:t>27 community-dwelling older adults with chronic conditions and 8 family members, post-hospital discharge</w:t>
            </w:r>
          </w:p>
        </w:tc>
        <w:tc>
          <w:tcPr>
            <w:tcW w:w="1146" w:type="dxa"/>
            <w:tcBorders/>
          </w:tcPr>
          <w:p>
            <w:pPr>
              <w:pStyle w:val="style0"/>
              <w:spacing w:after="169"/>
              <w:rPr/>
            </w:pPr>
            <w:r>
              <w:t>Deterioration due to infection included in chronic illness management</w:t>
            </w:r>
          </w:p>
        </w:tc>
        <w:tc>
          <w:tcPr>
            <w:tcW w:w="1204" w:type="dxa"/>
            <w:tcBorders/>
          </w:tcPr>
          <w:p>
            <w:pPr>
              <w:pStyle w:val="style0"/>
              <w:spacing w:after="169"/>
              <w:rPr/>
            </w:pPr>
            <w:r>
              <w:t>Insufficient discharge instructions, little awareness of worsening condition, and follow-up that was too weak to improve the situation all led to the risk of readmission; family, GPs, and pharmacists were main sources of support</w:t>
            </w:r>
          </w:p>
        </w:tc>
        <w:tc>
          <w:tcPr>
            <w:tcW w:w="1435" w:type="dxa"/>
            <w:tcBorders/>
          </w:tcPr>
          <w:p>
            <w:pPr>
              <w:pStyle w:val="style0"/>
              <w:spacing w:after="169"/>
              <w:rPr/>
            </w:pPr>
            <w:r>
              <w:t>It promotes the prevention of avoidable readmissions through the emphasis on discharge planning that is well organised, education on the early infection warning, follow-up by a nurse, and strengthened primary–community care integration</w:t>
            </w:r>
          </w:p>
        </w:tc>
        <w:tc>
          <w:tcPr>
            <w:tcW w:w="1261" w:type="dxa"/>
            <w:tcBorders/>
          </w:tcPr>
          <w:p>
            <w:pPr>
              <w:pStyle w:val="style0"/>
              <w:spacing w:after="169"/>
              <w:rPr/>
            </w:pPr>
            <w:r>
              <w:t>Small, purposive sample; reliance on self-reported experiences; absence of clinical outcome data; microbial causes not examined ​‍​‌‍​‍‌separately</w:t>
            </w:r>
          </w:p>
        </w:tc>
      </w:tr>
      <w:tr>
        <w:tblPrEx/>
        <w:trPr/>
        <w:tc>
          <w:tcPr>
            <w:tcW w:w="1214" w:type="dxa"/>
            <w:tcBorders/>
          </w:tcPr>
          <w:p>
            <w:pPr>
              <w:pStyle w:val="style0"/>
              <w:spacing w:after="169"/>
              <w:rPr>
                <w:color w:val="000000"/>
              </w:rPr>
            </w:pPr>
            <w:r>
              <w:rPr>
                <w:color w:val="000000"/>
              </w:rPr>
              <w:t>Hobman</w:t>
            </w:r>
            <w:r>
              <w:rPr>
                <w:color w:val="000000"/>
              </w:rPr>
              <w:t xml:space="preserve"> </w:t>
            </w:r>
            <w:r>
              <w:rPr>
                <w:i/>
                <w:iCs/>
                <w:color w:val="000000"/>
              </w:rPr>
              <w:t xml:space="preserve">et al., </w:t>
            </w:r>
            <w:r>
              <w:rPr>
                <w:color w:val="000000"/>
              </w:rPr>
              <w:t>2023</w:t>
            </w:r>
          </w:p>
        </w:tc>
        <w:tc>
          <w:tcPr>
            <w:tcW w:w="797" w:type="dxa"/>
            <w:tcBorders/>
          </w:tcPr>
          <w:p>
            <w:pPr>
              <w:pStyle w:val="style0"/>
              <w:spacing w:after="169"/>
              <w:rPr/>
            </w:pPr>
            <w:r>
              <w:t>Explore​‍​‌‍​‍‌ patient views regarding the causes of AECOPD and the measures to prevent rehospitalisation</w:t>
            </w:r>
          </w:p>
        </w:tc>
        <w:tc>
          <w:tcPr>
            <w:tcW w:w="889" w:type="dxa"/>
            <w:tcBorders/>
          </w:tcPr>
          <w:p>
            <w:pPr>
              <w:pStyle w:val="style0"/>
              <w:spacing w:after="169"/>
              <w:rPr/>
            </w:pPr>
            <w:r>
              <w:t>Qualitative study using constructivist grounded theory</w:t>
            </w:r>
          </w:p>
        </w:tc>
        <w:tc>
          <w:tcPr>
            <w:tcW w:w="1296" w:type="dxa"/>
            <w:tcBorders/>
          </w:tcPr>
          <w:p>
            <w:pPr>
              <w:pStyle w:val="style0"/>
              <w:spacing w:after="169"/>
              <w:rPr/>
            </w:pPr>
            <w:r>
              <w:t>12 adults with COPD, interviewed one year post-hospitalisation for AECOPD</w:t>
            </w:r>
          </w:p>
        </w:tc>
        <w:tc>
          <w:tcPr>
            <w:tcW w:w="1146" w:type="dxa"/>
            <w:tcBorders/>
          </w:tcPr>
          <w:p>
            <w:pPr>
              <w:pStyle w:val="style0"/>
              <w:spacing w:after="169"/>
              <w:rPr/>
            </w:pPr>
            <w:r>
              <w:t>Respiratory viral and bacterial infections leading to AECOPD</w:t>
            </w:r>
          </w:p>
        </w:tc>
        <w:tc>
          <w:tcPr>
            <w:tcW w:w="1204" w:type="dxa"/>
            <w:tcBorders/>
          </w:tcPr>
          <w:p>
            <w:pPr>
              <w:pStyle w:val="style0"/>
              <w:spacing w:after="169"/>
              <w:rPr/>
            </w:pPr>
            <w:r>
              <w:t xml:space="preserve">Patients highlighted self-efficacy, symptom management, and family support; infection was less recognised by patients than supported by </w:t>
            </w:r>
            <w:r>
              <w:t>clinical evidence</w:t>
            </w:r>
          </w:p>
        </w:tc>
        <w:tc>
          <w:tcPr>
            <w:tcW w:w="1435" w:type="dxa"/>
            <w:tcBorders/>
          </w:tcPr>
          <w:p>
            <w:pPr>
              <w:pStyle w:val="style0"/>
              <w:spacing w:after="169"/>
              <w:rPr/>
            </w:pPr>
            <w:r>
              <w:t>Emphasises the importance of patient-centred education about infection triggers, early symptom recognition, and community-based self-manage</w:t>
            </w:r>
            <w:r>
              <w:t>ment programmes with family involvement to diminish readmissions</w:t>
            </w:r>
          </w:p>
        </w:tc>
        <w:tc>
          <w:tcPr>
            <w:tcW w:w="1261" w:type="dxa"/>
            <w:tcBorders/>
          </w:tcPr>
          <w:p>
            <w:pPr>
              <w:pStyle w:val="style0"/>
              <w:spacing w:after="169"/>
              <w:rPr/>
            </w:pPr>
            <w:r>
              <w:t>Limited number of participants; single country setting; based on self-reported beliefs; no clinical confirmation of infection ​‍​‌‍​‍‌causes</w:t>
            </w:r>
          </w:p>
        </w:tc>
      </w:tr>
      <w:tr>
        <w:tblPrEx/>
        <w:trPr/>
        <w:tc>
          <w:tcPr>
            <w:tcW w:w="1214" w:type="dxa"/>
            <w:tcBorders/>
          </w:tcPr>
          <w:p>
            <w:pPr>
              <w:pStyle w:val="style0"/>
              <w:spacing w:after="169"/>
              <w:rPr>
                <w:color w:val="000000"/>
              </w:rPr>
            </w:pPr>
            <w:r>
              <w:rPr>
                <w:color w:val="000000"/>
              </w:rPr>
              <w:t xml:space="preserve">Huang </w:t>
            </w:r>
            <w:r>
              <w:rPr>
                <w:i/>
                <w:iCs/>
                <w:color w:val="000000"/>
              </w:rPr>
              <w:t xml:space="preserve">et al., </w:t>
            </w:r>
            <w:r>
              <w:rPr>
                <w:color w:val="000000"/>
              </w:rPr>
              <w:t>2020</w:t>
            </w:r>
          </w:p>
        </w:tc>
        <w:tc>
          <w:tcPr>
            <w:tcW w:w="797" w:type="dxa"/>
            <w:tcBorders/>
          </w:tcPr>
          <w:p>
            <w:pPr>
              <w:pStyle w:val="style0"/>
              <w:spacing w:after="169"/>
              <w:rPr/>
            </w:pPr>
            <w:r>
              <w:t>Older​‍​‌‍​‍‌ patients’ views regarding the causes and effects of their frequent hospital visits were investigated.</w:t>
            </w:r>
          </w:p>
        </w:tc>
        <w:tc>
          <w:tcPr>
            <w:tcW w:w="889" w:type="dxa"/>
            <w:tcBorders/>
          </w:tcPr>
          <w:p>
            <w:pPr>
              <w:pStyle w:val="style0"/>
              <w:spacing w:after="169"/>
              <w:rPr/>
            </w:pPr>
            <w:r>
              <w:t>Qualitative interview study (COREQ-guided)</w:t>
            </w:r>
          </w:p>
        </w:tc>
        <w:tc>
          <w:tcPr>
            <w:tcW w:w="1296" w:type="dxa"/>
            <w:tcBorders/>
          </w:tcPr>
          <w:p>
            <w:pPr>
              <w:pStyle w:val="style0"/>
              <w:spacing w:after="169"/>
              <w:rPr/>
            </w:pPr>
            <w:r>
              <w:t>13 hospitalised adults aged ≥65 years with ≥4 admissions in 12 months</w:t>
            </w:r>
          </w:p>
        </w:tc>
        <w:tc>
          <w:tcPr>
            <w:tcW w:w="1146" w:type="dxa"/>
            <w:tcBorders/>
          </w:tcPr>
          <w:p>
            <w:pPr>
              <w:pStyle w:val="style0"/>
              <w:spacing w:after="169"/>
              <w:rPr/>
            </w:pPr>
            <w:r>
              <w:t>I</w:t>
            </w:r>
            <w:r>
              <w:t>nfections reported as part of multi-morbidity and deterioration</w:t>
            </w:r>
          </w:p>
        </w:tc>
        <w:tc>
          <w:tcPr>
            <w:tcW w:w="1204" w:type="dxa"/>
            <w:tcBorders/>
          </w:tcPr>
          <w:p>
            <w:pPr>
              <w:pStyle w:val="style0"/>
              <w:spacing w:after="169"/>
              <w:rPr/>
            </w:pPr>
            <w:r>
              <w:t>Repeated hospitalizations were associated with preventable causes of patient, medication, primary care, home, and social care domains; mental, social, and daily functioning were strongly negatively affected.</w:t>
            </w:r>
          </w:p>
        </w:tc>
        <w:tc>
          <w:tcPr>
            <w:tcW w:w="1435" w:type="dxa"/>
            <w:tcBorders/>
          </w:tcPr>
          <w:p>
            <w:pPr>
              <w:pStyle w:val="style0"/>
              <w:spacing w:after="169"/>
              <w:rPr>
                <w:highlight w:val="yellow"/>
              </w:rPr>
            </w:pPr>
            <w:r>
              <w:t>It also takes common hospitalization as a red flag of unmet medical and social requirements; it is compliant with integrated care, prompt infection diagnosis and improved community and primary care assistance in reducing the number of preventable admissions.</w:t>
            </w:r>
          </w:p>
        </w:tc>
        <w:tc>
          <w:tcPr>
            <w:tcW w:w="1261" w:type="dxa"/>
            <w:tcBorders/>
          </w:tcPr>
          <w:p>
            <w:pPr>
              <w:pStyle w:val="style0"/>
              <w:spacing w:after="169"/>
              <w:rPr>
                <w:highlight w:val="yellow"/>
              </w:rPr>
            </w:pPr>
            <w:r>
              <w:t>Limited in size; hospital location; based on patient perceptions; fails to single out individual infections.</w:t>
            </w:r>
          </w:p>
        </w:tc>
      </w:tr>
      <w:tr>
        <w:tblPrEx/>
        <w:trPr/>
        <w:tc>
          <w:tcPr>
            <w:tcW w:w="1214" w:type="dxa"/>
            <w:tcBorders/>
          </w:tcPr>
          <w:p>
            <w:pPr>
              <w:pStyle w:val="style0"/>
              <w:spacing w:after="169"/>
              <w:rPr>
                <w:color w:val="000000"/>
              </w:rPr>
            </w:pPr>
            <w:r>
              <w:rPr>
                <w:color w:val="000000"/>
              </w:rPr>
              <w:t xml:space="preserve">Beatty </w:t>
            </w:r>
            <w:r>
              <w:rPr>
                <w:i/>
                <w:iCs/>
                <w:color w:val="000000"/>
              </w:rPr>
              <w:t xml:space="preserve">et al. </w:t>
            </w:r>
            <w:r>
              <w:rPr>
                <w:color w:val="000000"/>
              </w:rPr>
              <w:t>2023</w:t>
            </w:r>
          </w:p>
        </w:tc>
        <w:tc>
          <w:tcPr>
            <w:tcW w:w="797" w:type="dxa"/>
            <w:tcBorders/>
          </w:tcPr>
          <w:p>
            <w:pPr>
              <w:pStyle w:val="style0"/>
              <w:spacing w:after="169"/>
              <w:rPr/>
            </w:pPr>
            <w:r>
              <w:t xml:space="preserve">Explore​‍​‌‍​‍‌ patient-reported factors that led to 30-day readmissions of head and </w:t>
            </w:r>
            <w:r>
              <w:t>neck cancer surgery patients.</w:t>
            </w:r>
          </w:p>
        </w:tc>
        <w:tc>
          <w:tcPr>
            <w:tcW w:w="889" w:type="dxa"/>
            <w:tcBorders/>
          </w:tcPr>
          <w:p>
            <w:pPr>
              <w:pStyle w:val="style0"/>
              <w:spacing w:after="169"/>
              <w:rPr/>
            </w:pPr>
            <w:r>
              <w:t>A qualitative study performed through key informant interviews.</w:t>
            </w:r>
          </w:p>
        </w:tc>
        <w:tc>
          <w:tcPr>
            <w:tcW w:w="1296" w:type="dxa"/>
            <w:tcBorders/>
          </w:tcPr>
          <w:p>
            <w:pPr>
              <w:pStyle w:val="style0"/>
              <w:spacing w:after="169"/>
              <w:rPr/>
            </w:pPr>
            <w:r>
              <w:t xml:space="preserve">11-13 post-operative head and neck oncology patients </w:t>
            </w:r>
            <w:r>
              <w:t>who were readmitted within 30 days.</w:t>
            </w:r>
          </w:p>
        </w:tc>
        <w:tc>
          <w:tcPr>
            <w:tcW w:w="1146" w:type="dxa"/>
            <w:tcBorders/>
          </w:tcPr>
          <w:p>
            <w:pPr>
              <w:pStyle w:val="style0"/>
              <w:spacing w:after="169"/>
              <w:rPr/>
            </w:pPr>
            <w:r>
              <w:t xml:space="preserve">Post-surgical infections at the operative sites (accounted for 27.3% of </w:t>
            </w:r>
            <w:r>
              <w:t>readmissions).</w:t>
            </w:r>
          </w:p>
        </w:tc>
        <w:tc>
          <w:tcPr>
            <w:tcW w:w="1204" w:type="dxa"/>
            <w:tcBorders/>
          </w:tcPr>
          <w:p>
            <w:pPr>
              <w:pStyle w:val="style0"/>
              <w:spacing w:after="169"/>
              <w:rPr/>
            </w:pPr>
            <w:r>
              <w:t xml:space="preserve">A great number of patients declared that they were not adequately </w:t>
            </w:r>
            <w:r>
              <w:t>prepared for the discharge; infections and device-related complications were the most frequent and perceived as preventable; the absence of clear, practical discharge instruction was one of the factors that led to the risk of readmission.</w:t>
            </w:r>
          </w:p>
        </w:tc>
        <w:tc>
          <w:tcPr>
            <w:tcW w:w="1435" w:type="dxa"/>
            <w:tcBorders/>
          </w:tcPr>
          <w:p>
            <w:pPr>
              <w:pStyle w:val="style0"/>
              <w:spacing w:after="169"/>
              <w:rPr/>
            </w:pPr>
            <w:r>
              <w:t>It confirms the necessity of better discharge education, infection preventio</w:t>
            </w:r>
            <w:r>
              <w:t>n guidance, and home care equipment competency checks to decrease the number of unplanned readmissions and relieve the acute services.</w:t>
            </w:r>
          </w:p>
        </w:tc>
        <w:tc>
          <w:tcPr>
            <w:tcW w:w="1261" w:type="dxa"/>
            <w:tcBorders/>
          </w:tcPr>
          <w:p>
            <w:pPr>
              <w:pStyle w:val="style0"/>
              <w:spacing w:after="169"/>
              <w:rPr/>
            </w:pPr>
            <w:r>
              <w:t>Little sample size; single specialty and centre; poor generalis</w:t>
            </w:r>
            <w:r>
              <w:t>ability; reliant on patient recollection and perceptions.</w:t>
            </w:r>
          </w:p>
        </w:tc>
      </w:tr>
      <w:tr>
        <w:tblPrEx/>
        <w:trPr/>
        <w:tc>
          <w:tcPr>
            <w:tcW w:w="1214" w:type="dxa"/>
            <w:tcBorders/>
          </w:tcPr>
          <w:p>
            <w:pPr>
              <w:pStyle w:val="style0"/>
              <w:spacing w:after="169"/>
              <w:rPr>
                <w:color w:val="000000"/>
                <w:lang w:val="nl-NL"/>
              </w:rPr>
            </w:pPr>
            <w:r>
              <w:rPr>
                <w:color w:val="000000"/>
                <w:lang w:val="nl-NL"/>
              </w:rPr>
              <w:t xml:space="preserve">van der Does </w:t>
            </w:r>
            <w:r>
              <w:rPr>
                <w:i/>
                <w:iCs/>
                <w:color w:val="000000"/>
                <w:lang w:val="nl-NL"/>
              </w:rPr>
              <w:t xml:space="preserve">et al., </w:t>
            </w:r>
            <w:r>
              <w:rPr>
                <w:color w:val="000000"/>
                <w:lang w:val="nl-NL"/>
              </w:rPr>
              <w:t>2020</w:t>
            </w:r>
          </w:p>
        </w:tc>
        <w:tc>
          <w:tcPr>
            <w:tcW w:w="797" w:type="dxa"/>
            <w:tcBorders/>
          </w:tcPr>
          <w:p>
            <w:pPr>
              <w:pStyle w:val="style0"/>
              <w:spacing w:after="169"/>
              <w:rPr/>
            </w:pPr>
            <w:r>
              <w:t>To​‍​‌‍​‍‌ recognise the preventability, hospital readmission causes, and 30-day unplanned hospital readmission determinants</w:t>
            </w:r>
          </w:p>
        </w:tc>
        <w:tc>
          <w:tcPr>
            <w:tcW w:w="889" w:type="dxa"/>
            <w:tcBorders/>
          </w:tcPr>
          <w:p>
            <w:pPr>
              <w:pStyle w:val="style0"/>
              <w:spacing w:after="169"/>
              <w:rPr/>
            </w:pPr>
            <w:r>
              <w:t>Prospective cross-sectional, single-centre study</w:t>
            </w:r>
          </w:p>
        </w:tc>
        <w:tc>
          <w:tcPr>
            <w:tcW w:w="1296" w:type="dxa"/>
            <w:tcBorders/>
          </w:tcPr>
          <w:p>
            <w:pPr>
              <w:pStyle w:val="style0"/>
              <w:spacing w:after="169"/>
              <w:rPr/>
            </w:pPr>
            <w:r>
              <w:t>430 adult patients within 30 days readmitted to an urban teaching hospital</w:t>
            </w:r>
          </w:p>
        </w:tc>
        <w:tc>
          <w:tcPr>
            <w:tcW w:w="1146" w:type="dxa"/>
            <w:tcBorders/>
          </w:tcPr>
          <w:p>
            <w:pPr>
              <w:pStyle w:val="style0"/>
              <w:spacing w:after="169"/>
              <w:rPr/>
            </w:pPr>
            <w:r>
              <w:t>Infection-related readmissions were traced back to failures in diagnostic and management</w:t>
            </w:r>
          </w:p>
        </w:tc>
        <w:tc>
          <w:tcPr>
            <w:tcW w:w="1204" w:type="dxa"/>
            <w:tcBorders/>
          </w:tcPr>
          <w:p>
            <w:pPr>
              <w:pStyle w:val="style0"/>
              <w:spacing w:after="169"/>
              <w:rPr/>
            </w:pPr>
            <w:r>
              <w:t>About 13% of readmissions were potentially preventable; chief issues were diagnostic, medication and care management problems; older age raised the risk of preventability</w:t>
            </w:r>
          </w:p>
        </w:tc>
        <w:tc>
          <w:tcPr>
            <w:tcW w:w="1435" w:type="dxa"/>
            <w:tcBorders/>
          </w:tcPr>
          <w:p>
            <w:pPr>
              <w:pStyle w:val="style0"/>
              <w:spacing w:after="169"/>
              <w:rPr/>
            </w:pPr>
            <w:r>
              <w:t xml:space="preserve">Underlines the importance of multidisciplinary review and patient involvement in lowering the number of preventable readmissions, thereby also including infection-related </w:t>
            </w:r>
            <w:r>
              <w:t>failures in diagnosis and treatment continuity</w:t>
            </w:r>
          </w:p>
        </w:tc>
        <w:tc>
          <w:tcPr>
            <w:tcW w:w="1261" w:type="dxa"/>
            <w:tcBorders/>
          </w:tcPr>
          <w:p>
            <w:pPr>
              <w:pStyle w:val="style0"/>
              <w:spacing w:after="169"/>
              <w:rPr/>
            </w:pPr>
            <w:r>
              <w:t>The single-centre design restricts generalisability; infection types were not clearly specified; the follow-up period was ​‍​‌‍​‍‌short</w:t>
            </w:r>
          </w:p>
        </w:tc>
      </w:tr>
      <w:bookmarkStart w:id="95" w:name="_Toc217496788"/>
    </w:tbl>
    <w:p>
      <w:pPr>
        <w:pStyle w:val="style5"/>
        <w:rPr/>
      </w:pPr>
    </w:p>
    <w:p>
      <w:pPr>
        <w:pStyle w:val="style5"/>
        <w:rPr/>
      </w:pPr>
      <w:r>
        <w:t>Table 4.1: Summary table of selected articles</w:t>
      </w:r>
      <w:bookmarkEnd w:id="95"/>
      <w:r>
        <w:t xml:space="preserve"> </w:t>
      </w:r>
    </w:p>
    <w:p>
      <w:pPr>
        <w:pStyle w:val="style0"/>
        <w:numPr>
          <w:ilvl w:val="0"/>
          <w:numId w:val="0"/>
        </w:numPr>
        <w:rPr/>
      </w:pPr>
    </w:p>
    <w:bookmarkStart w:id="96" w:name="_Toc218894217"/>
    <w:p>
      <w:pPr>
        <w:pStyle w:val="style2"/>
        <w:rPr/>
      </w:pPr>
      <w:r>
        <w:t>4.4 Quality appraisal of included studies using CASP</w:t>
      </w:r>
      <w:bookmarkEnd w:id="96"/>
      <w:r>
        <w:t xml:space="preserve"> </w:t>
      </w:r>
    </w:p>
    <w:p>
      <w:pPr>
        <w:pStyle w:val="style0"/>
        <w:spacing w:after="169"/>
        <w:rPr/>
      </w:pPr>
      <w:r>
        <w:t>Quality​‍​‌‍​‍‌ appraisal represents a vital stage in a systematic literature review as it enables the identification of the credibility, rigour and relevance of the evidences included</w:t>
      </w:r>
      <w:r>
        <w:t xml:space="preserve"> (</w:t>
      </w:r>
      <w:r>
        <w:rPr>
          <w:color w:val="000000"/>
        </w:rPr>
        <w:t>Shaheen</w:t>
      </w:r>
      <w:r>
        <w:rPr>
          <w:color w:val="000000"/>
        </w:rPr>
        <w:t xml:space="preserve"> </w:t>
      </w:r>
      <w:r>
        <w:rPr>
          <w:i/>
          <w:iCs/>
          <w:color w:val="000000"/>
        </w:rPr>
        <w:t xml:space="preserve">et al. </w:t>
      </w:r>
      <w:r>
        <w:rPr>
          <w:color w:val="000000"/>
        </w:rPr>
        <w:t>2023</w:t>
      </w:r>
      <w:r>
        <w:t>)</w:t>
      </w:r>
      <w:r>
        <w:t xml:space="preserve">. The Critical Appraisal Skills Programme (CASP) tool was the instrument of choice for this review because the majority of the selected studies (11 articles) were of qualitative or mixed observational designs, and CASP is very appropriate for the evaluation of such methodologies. </w:t>
      </w:r>
      <w:r>
        <w:t>This tool makes an organized and clear evaluation of the objectives of the study, the approach to the study, the methods used in data gathering, analysis, ethics and general implications to practice.</w:t>
      </w:r>
      <w:r>
        <w:t xml:space="preserve"> </w:t>
      </w:r>
    </w:p>
    <w:p>
      <w:pPr>
        <w:pStyle w:val="style0"/>
        <w:spacing w:after="169"/>
        <w:rPr/>
      </w:pPr>
      <w:r>
        <w:t>The quality assessment procedure was guided by the appropriate CASP qualitative checklist uniformly for all 11 studies included in the review</w:t>
      </w:r>
      <w:r>
        <w:t xml:space="preserve"> </w:t>
      </w:r>
      <w:r>
        <w:rPr>
          <w:color w:val="ee0000"/>
        </w:rPr>
        <w:t>[</w:t>
      </w:r>
      <w:r>
        <w:rPr>
          <w:b/>
          <w:bCs/>
          <w:i/>
          <w:iCs/>
          <w:color w:val="ee0000"/>
        </w:rPr>
        <w:t>Referred to Appendix 1</w:t>
      </w:r>
      <w:r>
        <w:rPr>
          <w:color w:val="ee0000"/>
        </w:rPr>
        <w:t>]</w:t>
      </w:r>
      <w:r>
        <w:t>. Each paper was thoroughly examined and evaluated against the main CASP questions. To facilitate the understanding and comparison of the results, the answers were restricted to “Yes” or “No”, thus indicating whether each study sufficiently met the criterion. Such an approach is in line with the principles of transparency and it does not allow for the over-interpretation of the quality of ​‍​‌‍​‍‌studies.</w:t>
      </w:r>
    </w:p>
    <w:bookmarkStart w:id="97" w:name="_Toc218894218"/>
    <w:p>
      <w:pPr>
        <w:pStyle w:val="style2"/>
        <w:rPr/>
      </w:pPr>
      <w:r>
        <w:t>4.5 Thematic synthesis of findings</w:t>
      </w:r>
      <w:bookmarkEnd w:id="97"/>
      <w:r>
        <w:t xml:space="preserve"> </w:t>
      </w:r>
    </w:p>
    <w:bookmarkStart w:id="98" w:name="_Toc218894219"/>
    <w:p>
      <w:pPr>
        <w:pStyle w:val="style3"/>
        <w:rPr/>
      </w:pPr>
      <w:r>
        <w:t>4.5.1 Theme 1: Microbial infections as a key driver of adult rehospitalisation</w:t>
      </w:r>
      <w:bookmarkEnd w:id="98"/>
    </w:p>
    <w:p>
      <w:pPr>
        <w:pStyle w:val="style0"/>
        <w:spacing w:after="169"/>
        <w:rPr/>
      </w:pPr>
      <w:r>
        <w:t>The​‍​‌‍​</w:t>
      </w:r>
      <w:r>
        <w:t xml:space="preserve"> </w:t>
      </w:r>
      <w:r>
        <w:t>first theme is closely related to first objective as it identified prevalence and different types of microbial infections that caused adult rehospitalisation in the UK and similar health systems. In the research that was chosen, infections made a significant and consistent call for unplanned readmissions. Respiratory infections were the cause that appeared most frequently, especially in adults with chronic diseases like COPD, where the acute exacerbations were in most cases the result of bacterial or viral infections (</w:t>
      </w:r>
      <w:r>
        <w:t>Hobman</w:t>
      </w:r>
      <w:r>
        <w:t xml:space="preserve"> </w:t>
      </w:r>
      <w:r>
        <w:rPr>
          <w:i/>
          <w:iCs/>
        </w:rPr>
        <w:t>et al.,</w:t>
      </w:r>
      <w:r>
        <w:t xml:space="preserve"> 2023). In addition, post-surgical infections as well as device-related complications were the main factors that pushed the needle, particularly in complex surgical cohorts, where infection led to a large proportion of 30-day readmissions (Beatty </w:t>
      </w:r>
      <w:r>
        <w:rPr>
          <w:i/>
          <w:iCs/>
        </w:rPr>
        <w:t>et al.,</w:t>
      </w:r>
      <w:r>
        <w:t xml:space="preserve"> 2023). The research pointed out that elderly people, as the group most at risk, due to multimorbidity, frailty, and that their immunity is getting weaker, these factors increased the chance of infections going without resolution, which led to rehospitalisation (Elkjær </w:t>
      </w:r>
      <w:r>
        <w:rPr>
          <w:i/>
          <w:iCs/>
        </w:rPr>
        <w:t>et al.,</w:t>
      </w:r>
      <w:r>
        <w:t xml:space="preserve"> 2023; Stavrou </w:t>
      </w:r>
      <w:r>
        <w:rPr>
          <w:i/>
          <w:iCs/>
        </w:rPr>
        <w:t>et al.,</w:t>
      </w:r>
      <w:r>
        <w:t xml:space="preserve"> 2024). Several studies, far from being indifferent to this issue, have emphasized that infections most of the time, after discharge, continue to develop due to the patient's early discharge, poor monitoring, and weak community support (King </w:t>
      </w:r>
      <w:r>
        <w:rPr>
          <w:i/>
          <w:iCs/>
        </w:rPr>
        <w:t>et al.,</w:t>
      </w:r>
      <w:r>
        <w:t xml:space="preserve"> 2023; Huang </w:t>
      </w:r>
      <w:r>
        <w:rPr>
          <w:i/>
          <w:iCs/>
        </w:rPr>
        <w:t>et al.,</w:t>
      </w:r>
      <w:r>
        <w:t xml:space="preserve"> 2020). The main point here, their discoveries, show that infection-related rehospitalisation is patient care post-discharge infection management that has systemic gaps rather than isolated failures at the clinical level, thus pointing to the research's main objective ​‍​‌‍​‍‌directly.</w:t>
      </w:r>
    </w:p>
    <w:bookmarkStart w:id="99" w:name="_Toc218894220"/>
    <w:p>
      <w:pPr>
        <w:pStyle w:val="style3"/>
        <w:rPr/>
      </w:pPr>
      <w:r>
        <w:t>4.5.2 Theme 2: Infection control gaps and antimicrobial stewardship challenges</w:t>
      </w:r>
      <w:bookmarkEnd w:id="99"/>
      <w:r>
        <w:t xml:space="preserve"> </w:t>
      </w:r>
    </w:p>
    <w:p>
      <w:pPr>
        <w:pStyle w:val="style0"/>
        <w:spacing w:after="169"/>
        <w:rPr/>
      </w:pPr>
      <w:r>
        <w:t xml:space="preserve">Theme​‍​‌‍​‍‌ 2 </w:t>
      </w:r>
      <w:r>
        <w:t>addresses</w:t>
      </w:r>
      <w:r>
        <w:t xml:space="preserve"> </w:t>
      </w:r>
      <w:r>
        <w:t>Objective</w:t>
      </w:r>
      <w:r>
        <w:t xml:space="preserve"> 2. It closely scrutinizes public health issues faced by community as a result of difficulties in infection control and rise of antimicrobial resistance (AMR), leading to more infections followed by </w:t>
      </w:r>
      <w:r>
        <w:t>rehospitalizations. L</w:t>
      </w:r>
      <w:r>
        <w:t xml:space="preserve">ack of proper antimicrobial stewardship has been identified as main source of unnecessary readmissions. van der Does </w:t>
      </w:r>
      <w:r>
        <w:rPr>
          <w:i/>
          <w:iCs/>
        </w:rPr>
        <w:t>et al.</w:t>
      </w:r>
      <w:r>
        <w:t xml:space="preserve"> (2020) recognised medication-related problems, among which suboptimal antibiotic </w:t>
      </w:r>
      <w:r>
        <w:t xml:space="preserve">management, as major causes of potentially preventable readmissions. </w:t>
      </w:r>
      <w:r>
        <w:t xml:space="preserve">Beatty </w:t>
      </w:r>
      <w:r>
        <w:rPr>
          <w:i/>
          <w:iCs/>
        </w:rPr>
        <w:t>et al.</w:t>
      </w:r>
      <w:r>
        <w:t xml:space="preserve"> (2023) and </w:t>
      </w:r>
      <w:r>
        <w:t>Hobman</w:t>
      </w:r>
      <w:r>
        <w:t xml:space="preserve"> </w:t>
      </w:r>
      <w:r>
        <w:rPr>
          <w:i/>
          <w:iCs/>
        </w:rPr>
        <w:t>et al.</w:t>
      </w:r>
      <w:r>
        <w:t xml:space="preserve"> (2023) identified the irregular prescribing practice and the lack of post-discharge follow-up as the factors that resulted in risk of recurrent infections. The failure to use antimicrobials appropriately by the hospital teams, primary care providers, and patients was caused by miscommunication between them, increasing the risk of reinfection and AMR (Elkjær </w:t>
      </w:r>
      <w:r>
        <w:rPr>
          <w:i/>
          <w:iCs/>
        </w:rPr>
        <w:t>et al.,</w:t>
      </w:r>
      <w:r>
        <w:t xml:space="preserve"> 2023). Notably, organisational barriers, including a lack of stewardship control, disjointed digital systems and lack of cross-sector coordination led to poor infection surveillance and control. </w:t>
      </w:r>
      <w:r>
        <w:t xml:space="preserve">Such findings are consistent with research aim as they reveal that infection-related rehospitalisation is </w:t>
      </w:r>
      <w:r>
        <w:t>an issue</w:t>
      </w:r>
      <w:r>
        <w:t xml:space="preserve"> of clinical realm </w:t>
      </w:r>
      <w:r>
        <w:t>and</w:t>
      </w:r>
      <w:r>
        <w:t xml:space="preserve"> public health challenge at systemic level, which calls for implementation of antimicrobial stewardship strategies coordinated across the ​‍​‌‍​‍‌board.</w:t>
      </w:r>
    </w:p>
    <w:tbl>
      <w:tblPr>
        <w:tblStyle w:val="style154"/>
        <w:tblW w:w="0" w:type="auto"/>
        <w:tblLook w:val="04A0" w:firstRow="1" w:lastRow="0" w:firstColumn="1" w:lastColumn="0" w:noHBand="0" w:noVBand="1"/>
      </w:tblPr>
      <w:tblGrid>
        <w:gridCol w:w="3284"/>
        <w:gridCol w:w="5958"/>
      </w:tblGrid>
      <w:tr>
        <w:trPr/>
        <w:tc>
          <w:tcPr>
            <w:tcW w:w="0" w:type="auto"/>
            <w:tcBorders/>
          </w:tcPr>
          <w:p>
            <w:pPr>
              <w:pStyle w:val="style0"/>
              <w:spacing w:after="169"/>
              <w:jc w:val="center"/>
              <w:rPr>
                <w:b/>
                <w:bCs/>
                <w:i/>
                <w:iCs/>
              </w:rPr>
            </w:pPr>
            <w:r>
              <w:rPr>
                <w:b/>
                <w:bCs/>
                <w:i/>
                <w:iCs/>
              </w:rPr>
              <w:t xml:space="preserve">Infection control / AMR focus </w:t>
            </w:r>
          </w:p>
        </w:tc>
        <w:tc>
          <w:tcPr>
            <w:tcW w:w="0" w:type="auto"/>
            <w:tcBorders/>
          </w:tcPr>
          <w:p>
            <w:pPr>
              <w:pStyle w:val="style0"/>
              <w:spacing w:after="169"/>
              <w:jc w:val="center"/>
              <w:rPr>
                <w:b/>
                <w:bCs/>
                <w:i/>
                <w:iCs/>
              </w:rPr>
            </w:pPr>
            <w:r>
              <w:rPr>
                <w:b/>
                <w:bCs/>
                <w:i/>
                <w:iCs/>
              </w:rPr>
              <w:t xml:space="preserve">Key relevance to rehospitalisation </w:t>
            </w:r>
          </w:p>
        </w:tc>
      </w:tr>
      <w:tr>
        <w:tblPrEx/>
        <w:trPr/>
        <w:tc>
          <w:tcPr>
            <w:tcW w:w="0" w:type="auto"/>
            <w:tcBorders/>
          </w:tcPr>
          <w:p>
            <w:pPr>
              <w:pStyle w:val="style0"/>
              <w:spacing w:after="169"/>
              <w:rPr/>
            </w:pPr>
            <w:r>
              <w:t>Medication-related issues</w:t>
            </w:r>
          </w:p>
        </w:tc>
        <w:tc>
          <w:tcPr>
            <w:tcW w:w="0" w:type="auto"/>
            <w:tcBorders/>
          </w:tcPr>
          <w:p>
            <w:pPr>
              <w:pStyle w:val="style0"/>
              <w:spacing w:after="169"/>
              <w:rPr/>
            </w:pPr>
            <w:r>
              <w:t>Antibiotic management associated with preventable readmissions</w:t>
            </w:r>
          </w:p>
        </w:tc>
      </w:tr>
      <w:tr>
        <w:tblPrEx/>
        <w:trPr/>
        <w:tc>
          <w:tcPr>
            <w:tcW w:w="0" w:type="auto"/>
            <w:tcBorders/>
          </w:tcPr>
          <w:p>
            <w:pPr>
              <w:pStyle w:val="style0"/>
              <w:spacing w:after="169"/>
              <w:rPr/>
            </w:pPr>
            <w:r>
              <w:t>Respiratory infection management</w:t>
            </w:r>
          </w:p>
        </w:tc>
        <w:tc>
          <w:tcPr>
            <w:tcW w:w="0" w:type="auto"/>
            <w:tcBorders/>
          </w:tcPr>
          <w:p>
            <w:pPr>
              <w:pStyle w:val="style0"/>
              <w:spacing w:after="169"/>
              <w:rPr/>
            </w:pPr>
            <w:r>
              <w:t>Poor antimicrobial follow-up will enhance relapse risk</w:t>
            </w:r>
          </w:p>
        </w:tc>
      </w:tr>
      <w:tr>
        <w:tblPrEx/>
        <w:trPr/>
        <w:tc>
          <w:tcPr>
            <w:tcW w:w="0" w:type="auto"/>
            <w:tcBorders/>
          </w:tcPr>
          <w:p>
            <w:pPr>
              <w:pStyle w:val="style0"/>
              <w:spacing w:after="169"/>
              <w:rPr/>
            </w:pPr>
            <w:r>
              <w:t>Post-surgical infection control</w:t>
            </w:r>
          </w:p>
        </w:tc>
        <w:tc>
          <w:tcPr>
            <w:tcW w:w="0" w:type="auto"/>
            <w:tcBorders/>
          </w:tcPr>
          <w:p>
            <w:pPr>
              <w:pStyle w:val="style0"/>
              <w:spacing w:after="169"/>
              <w:rPr/>
            </w:pPr>
            <w:r>
              <w:t>Inconsistent prescribing raised reinfection rates</w:t>
            </w:r>
          </w:p>
        </w:tc>
      </w:tr>
      <w:tr>
        <w:tblPrEx/>
        <w:trPr/>
        <w:tc>
          <w:tcPr>
            <w:tcW w:w="0" w:type="auto"/>
            <w:tcBorders/>
          </w:tcPr>
          <w:p>
            <w:pPr>
              <w:pStyle w:val="style0"/>
              <w:spacing w:after="169"/>
              <w:rPr/>
            </w:pPr>
            <w:r>
              <w:t>Care coordination</w:t>
            </w:r>
          </w:p>
        </w:tc>
        <w:tc>
          <w:tcPr>
            <w:tcW w:w="0" w:type="auto"/>
            <w:tcBorders/>
          </w:tcPr>
          <w:p>
            <w:pPr>
              <w:pStyle w:val="style0"/>
              <w:spacing w:after="169"/>
              <w:rPr/>
            </w:pPr>
            <w:r>
              <w:t>Weak stewardship and communication gaps identified</w:t>
            </w:r>
          </w:p>
        </w:tc>
      </w:tr>
      <w:tr>
        <w:tblPrEx/>
        <w:trPr/>
        <w:tc>
          <w:tcPr>
            <w:tcW w:w="0" w:type="auto"/>
            <w:tcBorders/>
          </w:tcPr>
          <w:p>
            <w:pPr>
              <w:pStyle w:val="style0"/>
              <w:spacing w:after="169"/>
              <w:rPr/>
            </w:pPr>
            <w:r>
              <w:t>Discharge planning</w:t>
            </w:r>
          </w:p>
        </w:tc>
        <w:tc>
          <w:tcPr>
            <w:tcW w:w="0" w:type="auto"/>
            <w:tcBorders/>
          </w:tcPr>
          <w:p>
            <w:pPr>
              <w:pStyle w:val="style0"/>
              <w:spacing w:after="169"/>
              <w:rPr/>
            </w:pPr>
            <w:r>
              <w:t>Limited antimicrobial guidance post-discharge</w:t>
            </w:r>
          </w:p>
        </w:tc>
      </w:tr>
      <w:bookmarkStart w:id="100" w:name="_Toc217496790"/>
    </w:tbl>
    <w:p>
      <w:pPr>
        <w:pStyle w:val="style5"/>
        <w:rPr/>
      </w:pPr>
    </w:p>
    <w:p>
      <w:pPr>
        <w:pStyle w:val="style5"/>
        <w:rPr/>
      </w:pPr>
      <w:r>
        <w:t>Table 4.</w:t>
      </w:r>
      <w:r>
        <w:t>2</w:t>
      </w:r>
      <w:r>
        <w:t>: Infection Control and AMR Challenges</w:t>
      </w:r>
      <w:bookmarkEnd w:id="100"/>
    </w:p>
    <w:p>
      <w:pPr>
        <w:pStyle w:val="style0"/>
        <w:numPr>
          <w:ilvl w:val="0"/>
          <w:numId w:val="0"/>
        </w:numPr>
        <w:rPr/>
      </w:pPr>
    </w:p>
    <w:bookmarkStart w:id="101" w:name="_Toc218894221"/>
    <w:p>
      <w:pPr>
        <w:pStyle w:val="style3"/>
        <w:rPr/>
      </w:pPr>
      <w:r>
        <w:t>4.5.3 Theme 3: Impact of infection-related rehospitalisation on adult social care systems</w:t>
      </w:r>
      <w:bookmarkEnd w:id="101"/>
      <w:r>
        <w:t xml:space="preserve"> </w:t>
      </w:r>
    </w:p>
    <w:p>
      <w:pPr>
        <w:pStyle w:val="style0"/>
        <w:spacing w:after="169"/>
        <w:rPr/>
      </w:pPr>
      <w:r>
        <w:t>Through​‍​‌‍​‍‌ qualitative data, theme of repeated infection-driven hospitalizations is used to illustrate link between these events and pressure that adult social care systems and community resources experience due to sustained infection-related rehospitalisation</w:t>
      </w:r>
      <w:r>
        <w:t xml:space="preserve">, </w:t>
      </w:r>
      <w:r>
        <w:rPr>
          <w:color w:val="ee0000"/>
        </w:rPr>
        <w:t>which is evident with objective 3</w:t>
      </w:r>
      <w:r>
        <w:t xml:space="preserve">. </w:t>
      </w:r>
      <w:r>
        <w:t xml:space="preserve">These statistics indicate that readmissions caused by recurring infections frequently happen to indicate poorly addressed care requirements and is not a clinical failure. </w:t>
      </w:r>
      <w:r>
        <w:t>According</w:t>
      </w:r>
      <w:r>
        <w:t xml:space="preserve"> </w:t>
      </w:r>
      <w:r>
        <w:t xml:space="preserve">to McPeake </w:t>
      </w:r>
      <w:r>
        <w:rPr>
          <w:i/>
          <w:iCs/>
        </w:rPr>
        <w:t>et al.</w:t>
      </w:r>
      <w:r>
        <w:t xml:space="preserve"> (2025), after discharge, patients and families endure a great emotional and practical burden, especially in the case when ongoing infection symptoms are not supported at home. Lazzarino </w:t>
      </w:r>
      <w:r>
        <w:rPr>
          <w:i/>
          <w:iCs/>
        </w:rPr>
        <w:t>et al.</w:t>
      </w:r>
      <w:r>
        <w:t xml:space="preserve"> (2025) found that sepsis survivors depend heavily on family carers since there is a limited community-follow-up, which leads to an increase in social care dependency. Older adults referred to the concept of readmission as “inevitable” when they lacked enough homecare to manage infection recovery (Elkjær </w:t>
      </w:r>
      <w:r>
        <w:rPr>
          <w:i/>
          <w:iCs/>
        </w:rPr>
        <w:t>et al.,</w:t>
      </w:r>
      <w:r>
        <w:t xml:space="preserve"> 2023). </w:t>
      </w:r>
      <w:r>
        <w:t xml:space="preserve">According to Stavrou </w:t>
      </w:r>
      <w:r>
        <w:rPr>
          <w:i/>
          <w:iCs/>
        </w:rPr>
        <w:t>et al.</w:t>
      </w:r>
      <w:r>
        <w:t xml:space="preserve"> (2024) and Huang </w:t>
      </w:r>
      <w:r>
        <w:rPr>
          <w:i/>
          <w:iCs/>
        </w:rPr>
        <w:t>et al. (</w:t>
      </w:r>
      <w:r>
        <w:t xml:space="preserve">2020), gaps in discharge planning, poorly aligned social services, and the lack of self-management support were identified. </w:t>
      </w:r>
      <w:r>
        <w:t>These</w:t>
      </w:r>
      <w:r>
        <w:t xml:space="preserve"> </w:t>
      </w:r>
      <w:r>
        <w:t>findings are consistent with research aim as they set infection-related rehospitalisation as an indicator of disintegration of health–social care ​‍​‌‍​‍‌system.</w:t>
      </w:r>
    </w:p>
    <w:tbl>
      <w:tblPr>
        <w:tblStyle w:val="style154"/>
        <w:tblW w:w="0" w:type="auto"/>
        <w:tblLook w:val="04A0" w:firstRow="1" w:lastRow="0" w:firstColumn="1" w:lastColumn="0" w:noHBand="0" w:noVBand="1"/>
      </w:tblPr>
      <w:tblGrid>
        <w:gridCol w:w="4621"/>
        <w:gridCol w:w="4621"/>
      </w:tblGrid>
      <w:tr>
        <w:trPr/>
        <w:tc>
          <w:tcPr>
            <w:tcW w:w="4621" w:type="dxa"/>
            <w:tcBorders/>
          </w:tcPr>
          <w:p>
            <w:pPr>
              <w:pStyle w:val="style0"/>
              <w:spacing w:after="169"/>
              <w:jc w:val="center"/>
              <w:rPr>
                <w:b/>
                <w:bCs/>
                <w:i/>
                <w:iCs/>
              </w:rPr>
            </w:pPr>
            <w:r>
              <w:rPr>
                <w:b/>
                <w:bCs/>
                <w:i/>
                <w:iCs/>
              </w:rPr>
              <w:t xml:space="preserve">Population </w:t>
            </w:r>
          </w:p>
        </w:tc>
        <w:tc>
          <w:tcPr>
            <w:tcW w:w="4621" w:type="dxa"/>
            <w:tcBorders/>
          </w:tcPr>
          <w:p>
            <w:pPr>
              <w:pStyle w:val="style0"/>
              <w:spacing w:after="169"/>
              <w:jc w:val="center"/>
              <w:rPr>
                <w:b/>
                <w:bCs/>
                <w:i/>
                <w:iCs/>
              </w:rPr>
            </w:pPr>
            <w:r>
              <w:rPr>
                <w:b/>
                <w:bCs/>
                <w:i/>
                <w:iCs/>
              </w:rPr>
              <w:t xml:space="preserve">Social care implication </w:t>
            </w:r>
          </w:p>
        </w:tc>
      </w:tr>
      <w:tr>
        <w:tblPrEx/>
        <w:trPr/>
        <w:tc>
          <w:tcPr>
            <w:tcW w:w="4621" w:type="dxa"/>
            <w:tcBorders/>
          </w:tcPr>
          <w:p>
            <w:pPr>
              <w:pStyle w:val="style0"/>
              <w:spacing w:after="169"/>
              <w:rPr/>
            </w:pPr>
            <w:r>
              <w:t>Post-ICU adults</w:t>
            </w:r>
          </w:p>
        </w:tc>
        <w:tc>
          <w:tcPr>
            <w:tcW w:w="4621" w:type="dxa"/>
            <w:tcBorders/>
          </w:tcPr>
          <w:p>
            <w:pPr>
              <w:pStyle w:val="style0"/>
              <w:spacing w:after="169"/>
              <w:rPr/>
            </w:pPr>
            <w:r>
              <w:t>Increased family and informal care burden</w:t>
            </w:r>
          </w:p>
        </w:tc>
      </w:tr>
      <w:tr>
        <w:tblPrEx/>
        <w:trPr/>
        <w:tc>
          <w:tcPr>
            <w:tcW w:w="4621" w:type="dxa"/>
            <w:tcBorders/>
          </w:tcPr>
          <w:p>
            <w:pPr>
              <w:pStyle w:val="style0"/>
              <w:spacing w:after="169"/>
              <w:rPr/>
            </w:pPr>
            <w:r>
              <w:t>Sepsis survivors</w:t>
            </w:r>
          </w:p>
        </w:tc>
        <w:tc>
          <w:tcPr>
            <w:tcW w:w="4621" w:type="dxa"/>
            <w:tcBorders/>
          </w:tcPr>
          <w:p>
            <w:pPr>
              <w:pStyle w:val="style0"/>
              <w:spacing w:after="169"/>
              <w:rPr/>
            </w:pPr>
            <w:r>
              <w:t>Ongoing community support needs</w:t>
            </w:r>
          </w:p>
        </w:tc>
      </w:tr>
      <w:tr>
        <w:tblPrEx/>
        <w:trPr/>
        <w:tc>
          <w:tcPr>
            <w:tcW w:w="4621" w:type="dxa"/>
            <w:tcBorders/>
          </w:tcPr>
          <w:p>
            <w:pPr>
              <w:pStyle w:val="style0"/>
              <w:spacing w:after="169"/>
              <w:rPr/>
            </w:pPr>
            <w:r>
              <w:t>Older adults</w:t>
            </w:r>
          </w:p>
        </w:tc>
        <w:tc>
          <w:tcPr>
            <w:tcW w:w="4621" w:type="dxa"/>
            <w:tcBorders/>
          </w:tcPr>
          <w:p>
            <w:pPr>
              <w:pStyle w:val="style0"/>
              <w:spacing w:after="169"/>
              <w:rPr/>
            </w:pPr>
            <w:r>
              <w:t>Poor discharge–social care coordination</w:t>
            </w:r>
          </w:p>
        </w:tc>
      </w:tr>
      <w:tr>
        <w:tblPrEx/>
        <w:trPr/>
        <w:tc>
          <w:tcPr>
            <w:tcW w:w="4621" w:type="dxa"/>
            <w:tcBorders/>
          </w:tcPr>
          <w:p>
            <w:pPr>
              <w:pStyle w:val="style0"/>
              <w:spacing w:after="169"/>
              <w:rPr/>
            </w:pPr>
            <w:r>
              <w:t>Adults ≥65 years</w:t>
            </w:r>
          </w:p>
        </w:tc>
        <w:tc>
          <w:tcPr>
            <w:tcW w:w="4621" w:type="dxa"/>
            <w:tcBorders/>
          </w:tcPr>
          <w:p>
            <w:pPr>
              <w:pStyle w:val="style0"/>
              <w:spacing w:after="169"/>
              <w:rPr/>
            </w:pPr>
            <w:r>
              <w:t>Readmission linked to unmet home support</w:t>
            </w:r>
          </w:p>
        </w:tc>
      </w:tr>
      <w:tr>
        <w:tblPrEx/>
        <w:trPr/>
        <w:tc>
          <w:tcPr>
            <w:tcW w:w="4621" w:type="dxa"/>
            <w:tcBorders/>
          </w:tcPr>
          <w:p>
            <w:pPr>
              <w:pStyle w:val="style0"/>
              <w:spacing w:after="169"/>
              <w:rPr/>
            </w:pPr>
            <w:r>
              <w:t>Recently discharged adults</w:t>
            </w:r>
          </w:p>
        </w:tc>
        <w:tc>
          <w:tcPr>
            <w:tcW w:w="4621" w:type="dxa"/>
            <w:tcBorders/>
          </w:tcPr>
          <w:p>
            <w:pPr>
              <w:pStyle w:val="style0"/>
              <w:spacing w:after="169"/>
              <w:rPr/>
            </w:pPr>
            <w:r>
              <w:t>Limited transition support to home</w:t>
            </w:r>
          </w:p>
        </w:tc>
      </w:tr>
      <w:bookmarkStart w:id="102" w:name="_Toc217496791"/>
    </w:tbl>
    <w:p>
      <w:pPr>
        <w:pStyle w:val="style5"/>
        <w:rPr/>
      </w:pPr>
    </w:p>
    <w:p>
      <w:pPr>
        <w:pStyle w:val="style5"/>
        <w:rPr/>
      </w:pPr>
      <w:r>
        <w:t>Table 4.</w:t>
      </w:r>
      <w:r>
        <w:t>3</w:t>
      </w:r>
      <w:r>
        <w:t>: Social care impact</w:t>
      </w:r>
      <w:bookmarkEnd w:id="102"/>
      <w:r>
        <w:t xml:space="preserve"> </w:t>
      </w:r>
    </w:p>
    <w:p>
      <w:pPr>
        <w:pStyle w:val="style0"/>
        <w:numPr>
          <w:ilvl w:val="0"/>
          <w:numId w:val="0"/>
        </w:numPr>
        <w:rPr/>
      </w:pPr>
    </w:p>
    <w:bookmarkStart w:id="103" w:name="_Toc218894222"/>
    <w:p>
      <w:pPr>
        <w:pStyle w:val="style3"/>
        <w:rPr/>
      </w:pPr>
      <w:r>
        <w:t>4.5.4 Theme 4: Strategies to reduce infection-related rehospitalisation</w:t>
      </w:r>
      <w:bookmarkEnd w:id="103"/>
      <w:r>
        <w:t xml:space="preserve"> </w:t>
      </w:r>
    </w:p>
    <w:p>
      <w:pPr>
        <w:pStyle w:val="style0"/>
        <w:spacing w:after="169"/>
        <w:rPr/>
      </w:pPr>
      <w:r>
        <w:t>This theme</w:t>
      </w:r>
      <w:r>
        <w:t xml:space="preserve"> is a direct reflection of Objective </w:t>
      </w:r>
      <w:r>
        <w:t xml:space="preserve">4 </w:t>
      </w:r>
      <w:r>
        <w:t xml:space="preserve">as it presents practical measures based on the evidence to decrease the infection-related rehospitalisation and enhance public health and social care outcomes. The studies focused on the effectiveness of well-organized, patient-centred discharge planning and providing clear education about the signs of infection. King </w:t>
      </w:r>
      <w:r>
        <w:rPr>
          <w:i/>
          <w:iCs/>
        </w:rPr>
        <w:t>et al.</w:t>
      </w:r>
      <w:r>
        <w:t xml:space="preserve"> (2023) provided evidence that a well-planned self-management support and the participation of family carers significantly lowered the rate of preventable readmissions. </w:t>
      </w:r>
      <w:r>
        <w:t>Hobman</w:t>
      </w:r>
      <w:r>
        <w:t xml:space="preserve"> </w:t>
      </w:r>
      <w:r>
        <w:rPr>
          <w:i/>
          <w:iCs/>
        </w:rPr>
        <w:t>et al.</w:t>
      </w:r>
      <w:r>
        <w:t xml:space="preserve"> (2023) pointed to early follow-up and having an infection-related exacerbation action plan as being essential in relapse prevention. Moreover, system-level and digital strategies were not less significant; Van Dort </w:t>
      </w:r>
      <w:r>
        <w:rPr>
          <w:i/>
          <w:iCs/>
        </w:rPr>
        <w:t>et al.</w:t>
      </w:r>
      <w:r>
        <w:t xml:space="preserve"> (2024) proved that a robust antimicrobial stewardship and digital integration led to prescribing safety, whereas van der Does </w:t>
      </w:r>
      <w:r>
        <w:rPr>
          <w:i/>
          <w:iCs/>
        </w:rPr>
        <w:t>et al.</w:t>
      </w:r>
      <w:r>
        <w:t xml:space="preserve"> (2020) found that multidisciplinary reviews were instrumental in lessening preventable readmissions. Together, these pieces of evidence are in line with the research objective by providing a set of feasible, system-wide solutions to reduce the rate of infection-driven ​‍​‌‍​‍‌rehospitalisation.</w:t>
      </w:r>
    </w:p>
    <w:bookmarkStart w:id="104" w:name="_Toc218894223"/>
    <w:p>
      <w:pPr>
        <w:pStyle w:val="style2"/>
        <w:rPr/>
      </w:pPr>
      <w:r>
        <w:t>4.6 Chapter summary</w:t>
      </w:r>
      <w:bookmarkEnd w:id="104"/>
      <w:r>
        <w:t xml:space="preserve"> </w:t>
      </w:r>
    </w:p>
    <w:p>
      <w:pPr>
        <w:pStyle w:val="style0"/>
        <w:rPr>
          <w:rFonts w:eastAsia="Times New Roman"/>
          <w:b/>
          <w:sz w:val="24"/>
        </w:rPr>
      </w:pPr>
      <w:r>
        <w:t>This​‍​‌‍​‍‌ chapter combined data that identified microbial infections as main cause of repeated hospitalisation of adults, and these have significant consequences for public health and social care. The following chapter will critically review these results concerning policy, clinical practice, and theory. It will also discuss the ways of decreasing infection-related rehospitalisation in the ​‍​‌‍​‍‌UK.</w:t>
      </w:r>
      <w:r>
        <w:br w:type="page"/>
      </w:r>
    </w:p>
    <w:bookmarkStart w:id="105" w:name="_Toc214575509"/>
    <w:bookmarkStart w:id="106" w:name="_Toc218894224"/>
    <w:p>
      <w:pPr>
        <w:pStyle w:val="style1"/>
        <w:rPr/>
      </w:pPr>
      <w:r>
        <w:t>Chapter 5: Discussion</w:t>
      </w:r>
      <w:bookmarkEnd w:id="105"/>
      <w:bookmarkEnd w:id="106"/>
      <w:r>
        <w:t xml:space="preserve"> </w:t>
      </w:r>
    </w:p>
    <w:bookmarkStart w:id="107" w:name="_Toc218894225"/>
    <w:p>
      <w:pPr>
        <w:pStyle w:val="style2"/>
        <w:rPr/>
      </w:pPr>
      <w:r>
        <w:t>5.1 Chapter introduction</w:t>
      </w:r>
      <w:bookmarkEnd w:id="107"/>
      <w:r>
        <w:t xml:space="preserve"> </w:t>
      </w:r>
    </w:p>
    <w:p>
      <w:pPr>
        <w:pStyle w:val="style0"/>
        <w:rPr/>
      </w:pPr>
      <w:r>
        <w:t xml:space="preserve">The​‍​‌‍​‍‌ chapter </w:t>
      </w:r>
      <w:r>
        <w:t>discusses</w:t>
      </w:r>
      <w:r>
        <w:t xml:space="preserve"> about outcome of </w:t>
      </w:r>
      <w:r>
        <w:t xml:space="preserve">systematic </w:t>
      </w:r>
      <w:r>
        <w:t>literature review</w:t>
      </w:r>
      <w:r>
        <w:t xml:space="preserve">, where </w:t>
      </w:r>
      <w:r>
        <w:t>it was investigated if microbial infections could have led to rehospitalisation of adults in UK and how this has an impact on public health and social care. In chapter 4, the main themes have been discovered which are infection-caused readmission, breaches in care, and system stress or overload. Here, the discussion is explaining those results, drawing connections with existing evidence and theoretical models, and pondering on their importance for healthcare policy, clinical practice, and integrated care ​‍​‌‍​‍‌delivery.</w:t>
      </w:r>
    </w:p>
    <w:p>
      <w:pPr>
        <w:pStyle w:val="style0"/>
        <w:rPr/>
      </w:pPr>
    </w:p>
    <w:bookmarkStart w:id="108" w:name="_Toc218894226"/>
    <w:p>
      <w:pPr>
        <w:pStyle w:val="style2"/>
        <w:rPr/>
      </w:pPr>
      <w:r>
        <w:t>5.2 Interpretation of key findings in relation to research objectives</w:t>
      </w:r>
      <w:bookmarkEnd w:id="108"/>
      <w:r>
        <w:t xml:space="preserve"> </w:t>
      </w:r>
    </w:p>
    <w:bookmarkStart w:id="109" w:name="_Toc218894227"/>
    <w:p>
      <w:pPr>
        <w:pStyle w:val="style3"/>
        <w:rPr/>
      </w:pPr>
      <w:r>
        <w:t>5.2.1 Theme 1: Microbial infection as a determinant of adult rehospitalisation</w:t>
      </w:r>
      <w:bookmarkEnd w:id="109"/>
      <w:r>
        <w:t xml:space="preserve"> </w:t>
      </w:r>
    </w:p>
    <w:p>
      <w:pPr>
        <w:pStyle w:val="style0"/>
        <w:rPr/>
      </w:pPr>
      <w:r>
        <w:t>This​‍​‌‍​‍‌ review shows that microbial infections are a leading cause of unplanned rehospitalisation of adults in the UK. The most common triggers of readmission were respiratory infections, sepsis-related complications, and post-surgical infections, especially in the case of older people and patients with chronic conditions. Just as an illustration, respiratory infections caused exacerbations and lead to hospital readmission of patients with COPD (</w:t>
      </w:r>
      <w:r>
        <w:t>Hobman</w:t>
      </w:r>
      <w:r>
        <w:t xml:space="preserve"> </w:t>
      </w:r>
      <w:r>
        <w:rPr>
          <w:i/>
          <w:iCs/>
        </w:rPr>
        <w:t>et al.</w:t>
      </w:r>
      <w:r>
        <w:rPr>
          <w:i/>
          <w:iCs/>
        </w:rPr>
        <w:t xml:space="preserve"> </w:t>
      </w:r>
      <w:r>
        <w:t xml:space="preserve">2023), and post-operative infections were the main reason for a high percentage of early readmissions among surgical patients (Beatty </w:t>
      </w:r>
      <w:r>
        <w:rPr>
          <w:i/>
          <w:iCs/>
        </w:rPr>
        <w:t>et al.</w:t>
      </w:r>
      <w:r>
        <w:t xml:space="preserve"> 2023). On the other hand, the increasing number of sepsis survivors going through infection-related complications have their risk of rehospitalisation going up (Lazzarino </w:t>
      </w:r>
      <w:r>
        <w:rPr>
          <w:i/>
          <w:iCs/>
        </w:rPr>
        <w:t>et al.</w:t>
      </w:r>
      <w:r>
        <w:t xml:space="preserve"> 2025).</w:t>
      </w:r>
    </w:p>
    <w:p>
      <w:pPr>
        <w:pStyle w:val="style0"/>
        <w:rPr/>
      </w:pPr>
      <w:r>
        <w:t xml:space="preserve">The studies imply that rehospitalisation is in most cases a result of the infection getting worse after discharge and not just an issue of substandard acute inpatient care. In fact, some of the research papers pinpointed the discharge process as being too early, inadequate monitoring, and the lack of community follow-up being the main reasons for patients getting infected at home (Elkjær </w:t>
      </w:r>
      <w:r>
        <w:rPr>
          <w:i/>
          <w:iCs/>
        </w:rPr>
        <w:t>et al.</w:t>
      </w:r>
      <w:r>
        <w:t xml:space="preserve"> 2023; King </w:t>
      </w:r>
      <w:r>
        <w:rPr>
          <w:i/>
          <w:iCs/>
        </w:rPr>
        <w:t>et al.</w:t>
      </w:r>
      <w:r>
        <w:t xml:space="preserve"> 2023; Stavrou </w:t>
      </w:r>
      <w:r>
        <w:rPr>
          <w:i/>
          <w:iCs/>
        </w:rPr>
        <w:t>et al.</w:t>
      </w:r>
      <w:r>
        <w:t xml:space="preserve"> 2024). It turned out that patients and their families were lacking the necessary knowledge and skills to supervise an infection after discharge which in turn raised the risk of worsened condition and hospital readmission (McPeake </w:t>
      </w:r>
      <w:r>
        <w:rPr>
          <w:i/>
          <w:iCs/>
        </w:rPr>
        <w:t>et al.</w:t>
      </w:r>
      <w:r>
        <w:t xml:space="preserve"> 2025; Yeatts </w:t>
      </w:r>
      <w:r>
        <w:rPr>
          <w:i/>
          <w:iCs/>
        </w:rPr>
        <w:t>et al.</w:t>
      </w:r>
      <w:r>
        <w:t xml:space="preserve"> 2025). Thus, infection-related readmissions are more like a manifestation of healthcare system problems in the continuum of care rather than being blamed solely on the ​‍​‌‍​‍‌clinicians.</w:t>
      </w:r>
    </w:p>
    <w:p>
      <w:pPr>
        <w:pStyle w:val="style0"/>
        <w:rPr/>
      </w:pPr>
      <w:r>
        <w:t xml:space="preserve">These​‍​‌‍​‍‌ results were in large part in line with what was expected. It was no surprise that a heavy load of infection-related readmissions among elderly people was a result of their frailty, having multiple diseases, and weaker immune systems (Huang </w:t>
      </w:r>
      <w:r>
        <w:rPr>
          <w:i/>
          <w:iCs/>
        </w:rPr>
        <w:t>et al.</w:t>
      </w:r>
      <w:r>
        <w:t xml:space="preserve"> 2020; Stavrou </w:t>
      </w:r>
      <w:r>
        <w:rPr>
          <w:i/>
          <w:iCs/>
        </w:rPr>
        <w:t>et al.</w:t>
      </w:r>
      <w:r>
        <w:t xml:space="preserve"> 2024). On the other hand, a significant result was the little attention paid to particular pathogens. Instead, the majority of the research highlighted the failures in discharge planning, community care, and follow-up rather than the microbiological causes (van der Does </w:t>
      </w:r>
      <w:r>
        <w:rPr>
          <w:i/>
          <w:iCs/>
        </w:rPr>
        <w:t>et al.</w:t>
      </w:r>
      <w:r>
        <w:t xml:space="preserve"> 2020). There are other possible explanations that need to be taken into account. </w:t>
      </w:r>
      <w:r>
        <w:t xml:space="preserve">There are comorbidities, social vulnerability, and loss of self-care ability that can contribute to increased effects of infections (Elkjær </w:t>
      </w:r>
      <w:r>
        <w:rPr>
          <w:i/>
          <w:iCs/>
        </w:rPr>
        <w:t>et al.</w:t>
      </w:r>
      <w:r>
        <w:t xml:space="preserve"> 2023). In addition, such factors as low awareness of infections within the community, as an outcome of the insufficient access to diagnoses and follow-up, can lead to late treatment and readmission (Lazzarino </w:t>
      </w:r>
      <w:r>
        <w:rPr>
          <w:i/>
          <w:iCs/>
        </w:rPr>
        <w:t>et al.</w:t>
      </w:r>
      <w:r>
        <w:t xml:space="preserve"> 2025; van der Does </w:t>
      </w:r>
      <w:r>
        <w:rPr>
          <w:i/>
          <w:iCs/>
        </w:rPr>
        <w:t>et al.</w:t>
      </w:r>
      <w:r>
        <w:t xml:space="preserve"> 2020). </w:t>
      </w:r>
      <w:r>
        <w:t>To sum up, the data show that microbial infections continue to be the major and systemic factor behind adult rehospitalisation in the ​‍​‌‍​‍‌UK.</w:t>
      </w:r>
    </w:p>
    <w:bookmarkStart w:id="110" w:name="_Toc218894228"/>
    <w:p>
      <w:pPr>
        <w:pStyle w:val="style3"/>
        <w:rPr/>
      </w:pPr>
      <w:r>
        <w:t>5.2.2 Theme 2: Infection control failure and antimicrobial stewardship challenges</w:t>
      </w:r>
      <w:bookmarkEnd w:id="110"/>
      <w:r>
        <w:t xml:space="preserve"> </w:t>
      </w:r>
    </w:p>
    <w:p>
      <w:pPr>
        <w:pStyle w:val="style0"/>
        <w:rPr/>
      </w:pPr>
      <w:r>
        <w:t xml:space="preserve">The​‍​‌‍​‍‌ evidence indicates that infection control and antimicrobial stewardship deficiencies represent a significant part of the problem of adult avoidable rehospitalisation in the UK. A few pieces of research have focused on the issue of insufficient infection surveillance after </w:t>
      </w:r>
      <w:r>
        <w:t xml:space="preserve">discharge, discontinuity of antibiotic treatment and inconsistent stewardship across care settings. As a result of infection monitoring lapses in the community, patients usually return to hospitals with up to-date or recurring infections (van der Does </w:t>
      </w:r>
      <w:r>
        <w:rPr>
          <w:i/>
          <w:iCs/>
        </w:rPr>
        <w:t>et al.</w:t>
      </w:r>
      <w:r>
        <w:t xml:space="preserve"> 2020; Yeatts </w:t>
      </w:r>
      <w:r>
        <w:rPr>
          <w:i/>
          <w:iCs/>
        </w:rPr>
        <w:t>et al.</w:t>
      </w:r>
      <w:r>
        <w:t xml:space="preserve"> 2025).</w:t>
      </w:r>
    </w:p>
    <w:p>
      <w:pPr>
        <w:pStyle w:val="style0"/>
        <w:rPr/>
      </w:pPr>
      <w:r>
        <w:t xml:space="preserve">Incomplete antimicrobial continuation was mentioned as a major point of concern repeatedly. </w:t>
      </w:r>
      <w:r>
        <w:t xml:space="preserve">It was proved in the studies that patients were discharged with complex antibiotic therapy but were receiving minimal or no follow ups and instructions. This led to either missing doses, discontinuation of antibiotics, or even misuse of antibiotics and this made them more susceptible to readmission and reinfection (McPeake </w:t>
      </w:r>
      <w:r>
        <w:rPr>
          <w:i/>
          <w:iCs/>
        </w:rPr>
        <w:t>et al.</w:t>
      </w:r>
      <w:r>
        <w:t xml:space="preserve"> 2025; King </w:t>
      </w:r>
      <w:r>
        <w:rPr>
          <w:i/>
          <w:iCs/>
        </w:rPr>
        <w:t>et al.</w:t>
      </w:r>
      <w:r>
        <w:t xml:space="preserve"> 2023). To the extent of the health of the population, it is rather significant as the abuse of antimicrobials leads to threat of AMR, which ultimately complicates the process of dealing with infections and clogs hospitals. </w:t>
      </w:r>
      <w:r>
        <w:t xml:space="preserve">Although digital alert systems were proven to be helpful in the early recognition of infection worsening, nevertheless, their application was not uniform among services (Lazzarino </w:t>
      </w:r>
      <w:r>
        <w:rPr>
          <w:i/>
          <w:iCs/>
        </w:rPr>
        <w:t>et al.</w:t>
      </w:r>
      <w:r>
        <w:t xml:space="preserve"> ​‍​‌‍​‍‌2025).</w:t>
      </w:r>
    </w:p>
    <w:p>
      <w:pPr>
        <w:pStyle w:val="style0"/>
        <w:rPr/>
      </w:pPr>
      <w:r>
        <w:t xml:space="preserve">These​‍​‌‍​‍‌ findings are in line with the broader literature that has shown a connection between inappropriate antimicrobial stewardship, unnecessary readmissions, and elevated AMR rates. </w:t>
      </w:r>
      <w:r>
        <w:t xml:space="preserve">According to van Dort </w:t>
      </w:r>
      <w:r>
        <w:rPr>
          <w:i/>
          <w:iCs/>
        </w:rPr>
        <w:t>et al.</w:t>
      </w:r>
      <w:r>
        <w:t xml:space="preserve"> (2024), the efficacy of stewardship varied greatly across the different hospitals due to the differences in digital infrastructure, leadership support, and team integration. Thus, it is possible that the infection-related readmissions are more the outcome of the organisational systems than the choice made by individual clinicians. </w:t>
      </w:r>
    </w:p>
    <w:p>
      <w:pPr>
        <w:pStyle w:val="style0"/>
        <w:rPr/>
      </w:pPr>
      <w:r>
        <w:t xml:space="preserve">Patients were not very aware of the need to complete antibiotic courses, even those who had multiple admissions (Huang </w:t>
      </w:r>
      <w:r>
        <w:rPr>
          <w:i/>
          <w:iCs/>
        </w:rPr>
        <w:t>et al.</w:t>
      </w:r>
      <w:r>
        <w:t xml:space="preserve"> 2020; McPeake </w:t>
      </w:r>
      <w:r>
        <w:rPr>
          <w:i/>
          <w:iCs/>
        </w:rPr>
        <w:t>et al.</w:t>
      </w:r>
      <w:r>
        <w:t xml:space="preserve"> 2025). Moreover, organisational and digital issues like poor system interoperability and lack of shared records were more detrimental to the results than individual prescribing mistakes (van Dort </w:t>
      </w:r>
      <w:r>
        <w:rPr>
          <w:i/>
          <w:iCs/>
        </w:rPr>
        <w:t>et al.</w:t>
      </w:r>
      <w:r>
        <w:t xml:space="preserve"> ​‍​‌‍​‍‌2024).</w:t>
      </w:r>
    </w:p>
    <w:p>
      <w:pPr>
        <w:pStyle w:val="style0"/>
        <w:rPr/>
      </w:pPr>
      <w:r>
        <w:t xml:space="preserve">Other causes may include system level demands such as staff shortages, high discharge loads and community resources. Differences in the readmission rates can also be explained by the levels of the maturity of antimicrobial stewardship between NHS trusts (van der Does </w:t>
      </w:r>
      <w:r>
        <w:rPr>
          <w:i/>
          <w:iCs/>
        </w:rPr>
        <w:t>et al.</w:t>
      </w:r>
      <w:r>
        <w:t xml:space="preserve"> 2020). </w:t>
      </w:r>
      <w:r>
        <w:t>T</w:t>
      </w:r>
      <w:r>
        <w:t>he results point to infection control and stewardship being key public health priorities for reducing adult ​‍​‌‍​‍‌rehospitalisation.</w:t>
      </w:r>
    </w:p>
    <w:bookmarkStart w:id="111" w:name="_Toc218894229"/>
    <w:p>
      <w:pPr>
        <w:pStyle w:val="style3"/>
        <w:rPr/>
      </w:pPr>
      <w:r>
        <w:t>5.2.3 Theme 3: Impact of infection-related rehospitalisation on adult social care</w:t>
      </w:r>
      <w:bookmarkEnd w:id="111"/>
      <w:r>
        <w:t xml:space="preserve"> </w:t>
      </w:r>
    </w:p>
    <w:p>
      <w:pPr>
        <w:pStyle w:val="style0"/>
        <w:rPr/>
      </w:pPr>
      <w:r>
        <w:t>I</w:t>
      </w:r>
      <w:r>
        <w:t xml:space="preserve">nfection-related hospitalisations can serve as an indicator of adult social care needs that have not been addressed. Most research has used the concept of patient re-admission failure clinically but has also mentioned it as a failure in community post-discharge support more. It is the lack of sufficient home care, medication help, and infection monitoring that makes infected older adults recovering prone to hospital readmission (Elkjær </w:t>
      </w:r>
      <w:r>
        <w:rPr>
          <w:i/>
          <w:iCs/>
        </w:rPr>
        <w:t>et al.</w:t>
      </w:r>
      <w:r>
        <w:t xml:space="preserve"> 2023; Stavrou </w:t>
      </w:r>
      <w:r>
        <w:rPr>
          <w:i/>
          <w:iCs/>
        </w:rPr>
        <w:t>et al.</w:t>
      </w:r>
      <w:r>
        <w:t xml:space="preserve"> 2024).</w:t>
      </w:r>
    </w:p>
    <w:p>
      <w:pPr>
        <w:pStyle w:val="style0"/>
        <w:rPr/>
      </w:pPr>
      <w:r>
        <w:t>Repeated infection-related hospitalisations le</w:t>
      </w:r>
      <w:r>
        <w:t>a</w:t>
      </w:r>
      <w:r>
        <w:t>d</w:t>
      </w:r>
      <w:r>
        <w:t>s</w:t>
      </w:r>
      <w:r>
        <w:t xml:space="preserve"> to family and informal carers </w:t>
      </w:r>
      <w:r>
        <w:t>experiencing</w:t>
      </w:r>
      <w:r>
        <w:t xml:space="preserve"> </w:t>
      </w:r>
      <w:r>
        <w:t xml:space="preserve">various levels of emotional, physical, and financial distress. According to McPeake </w:t>
      </w:r>
      <w:r>
        <w:rPr>
          <w:i/>
          <w:iCs/>
        </w:rPr>
        <w:t>et al.</w:t>
      </w:r>
      <w:r>
        <w:t xml:space="preserve">, </w:t>
      </w:r>
      <w:r>
        <w:t xml:space="preserve">(2025), family members suffer from anxiety, fatigue, and insecurity when they take care of infection recovery at home, especially in the case of critical illness. King </w:t>
      </w:r>
      <w:r>
        <w:rPr>
          <w:i/>
          <w:iCs/>
        </w:rPr>
        <w:t>et al.</w:t>
      </w:r>
      <w:r>
        <w:t xml:space="preserve">, </w:t>
      </w:r>
      <w:r>
        <w:t>(2023) shared experience where carers were often left alone to manage the complex infection-related care tasks without getting any training or professional support. The extent to which the informal carers were depended on was more than what was expected, and it points to a transfer of care responsibility from formal services to the ​‍​‌‍​‍‌families.</w:t>
      </w:r>
    </w:p>
    <w:p>
      <w:pPr>
        <w:pStyle w:val="style0"/>
        <w:rPr>
          <w:highlight w:val="yellow"/>
        </w:rPr>
      </w:pPr>
      <w:r>
        <w:t xml:space="preserve">The​‍​‌‍​‍‌ results are very much in line with a scenario where hospital discharge routines are not well co-ordinated with community-based social care. Research showed that referral delays, lack of clear care plans, and poor communication between hospitals, primary care, and social services were the main factors leading to infection recurrence and hospital readmissions that could have been avoided (Yeatts </w:t>
      </w:r>
      <w:r>
        <w:rPr>
          <w:i/>
          <w:iCs/>
        </w:rPr>
        <w:t>et al.</w:t>
      </w:r>
      <w:r>
        <w:t xml:space="preserve"> 2025; Huang </w:t>
      </w:r>
      <w:r>
        <w:rPr>
          <w:i/>
          <w:iCs/>
        </w:rPr>
        <w:t>et al.</w:t>
      </w:r>
      <w:r>
        <w:t xml:space="preserve"> 2020). </w:t>
      </w:r>
      <w:r>
        <w:t xml:space="preserve">In </w:t>
      </w:r>
      <w:r>
        <w:t xml:space="preserve">addition, Elkjær </w:t>
      </w:r>
      <w:r>
        <w:rPr>
          <w:i/>
          <w:iCs/>
        </w:rPr>
        <w:t>et al.</w:t>
      </w:r>
      <w:r>
        <w:t>,</w:t>
      </w:r>
      <w:r>
        <w:t xml:space="preserve"> (2023) have stated that readmission seemed to be inescapable to some elderly patients due to the inconsistency of in-home support. </w:t>
      </w:r>
    </w:p>
    <w:p>
      <w:pPr>
        <w:pStyle w:val="style0"/>
        <w:rPr/>
      </w:pPr>
      <w:r>
        <w:t xml:space="preserve">The challenge of health and social care system integration in the UK was one of the major issues addressed. As Beatty </w:t>
      </w:r>
      <w:r>
        <w:rPr>
          <w:i/>
          <w:iCs/>
        </w:rPr>
        <w:t>et al.</w:t>
      </w:r>
      <w:r>
        <w:rPr>
          <w:i/>
          <w:iCs/>
        </w:rPr>
        <w:t>,</w:t>
      </w:r>
      <w:r>
        <w:t xml:space="preserve"> (2023) and van der Does </w:t>
      </w:r>
      <w:r>
        <w:rPr>
          <w:i/>
          <w:iCs/>
        </w:rPr>
        <w:t>et al.</w:t>
      </w:r>
      <w:r>
        <w:rPr>
          <w:i/>
          <w:iCs/>
        </w:rPr>
        <w:t>,</w:t>
      </w:r>
      <w:r>
        <w:t xml:space="preserve"> (2020) indicated, the absence of follow-up care and support was the cause of the majority of hospital readmissions that could be prevented, which is more reasonable as opposed to the severity of the illness itself. </w:t>
      </w:r>
      <w:r>
        <w:t xml:space="preserve">Additionally, differences in local authority funding and the resulting variability in services may explain the disparities in social care capacity and the risk of readmission (Stavrou </w:t>
      </w:r>
      <w:r>
        <w:rPr>
          <w:i/>
          <w:iCs/>
        </w:rPr>
        <w:t>et al.</w:t>
      </w:r>
      <w:r>
        <w:rPr>
          <w:i/>
          <w:iCs/>
        </w:rPr>
        <w:t xml:space="preserve"> </w:t>
      </w:r>
      <w:r>
        <w:t>2024).</w:t>
      </w:r>
      <w:r>
        <w:t xml:space="preserve"> </w:t>
      </w:r>
      <w:r>
        <w:t>In general, the results indicate that infection-related rehospitalization is just a symptom of the failures of adult social care and care integration systems, which means that coordinated health and social care responses are still ​‍​‌‍​‍‌needed.</w:t>
      </w:r>
    </w:p>
    <w:bookmarkStart w:id="112" w:name="_Toc218894230"/>
    <w:p>
      <w:pPr>
        <w:pStyle w:val="style3"/>
        <w:rPr/>
      </w:pPr>
      <w:r>
        <w:t>5.2.4 Theme 4: Strategies to reduce infection-related rehospitalisation</w:t>
      </w:r>
      <w:bookmarkEnd w:id="112"/>
      <w:r>
        <w:t xml:space="preserve"> </w:t>
      </w:r>
    </w:p>
    <w:p>
      <w:pPr>
        <w:pStyle w:val="style0"/>
        <w:rPr>
          <w:highlight w:val="yellow"/>
        </w:rPr>
      </w:pPr>
      <w:r>
        <w:t xml:space="preserve">The​‍​‌‍​‍‌ results provide specific ways to limit infection-related rehospitalisation. The main intervention across the various studies was improved discharge planning. </w:t>
      </w:r>
      <w:r>
        <w:t xml:space="preserve">Deteriorated discharge communication and poor infection instruction leads to enhancement of readmission rate </w:t>
      </w:r>
      <w:r>
        <w:t xml:space="preserve">(McPeake </w:t>
      </w:r>
      <w:r>
        <w:rPr>
          <w:i/>
          <w:iCs/>
        </w:rPr>
        <w:t>et al.</w:t>
      </w:r>
      <w:r>
        <w:rPr>
          <w:i/>
          <w:iCs/>
        </w:rPr>
        <w:t xml:space="preserve"> </w:t>
      </w:r>
      <w:r>
        <w:t xml:space="preserve">2025; Beatty </w:t>
      </w:r>
      <w:r>
        <w:rPr>
          <w:i/>
          <w:iCs/>
        </w:rPr>
        <w:t>et al.</w:t>
      </w:r>
      <w:r>
        <w:rPr>
          <w:i/>
          <w:iCs/>
        </w:rPr>
        <w:t xml:space="preserve"> </w:t>
      </w:r>
      <w:r>
        <w:t xml:space="preserve">2023). Patients and carers could make a safer recovery at home by receiving clear and understandable instructions regarding symptoms of infections, taking drugs, and </w:t>
      </w:r>
      <w:r>
        <w:t>follow-up meetings with healthcare providers</w:t>
      </w:r>
      <w:r>
        <w:t xml:space="preserve"> (King </w:t>
      </w:r>
      <w:r>
        <w:rPr>
          <w:i/>
          <w:iCs/>
        </w:rPr>
        <w:t>et al.</w:t>
      </w:r>
      <w:r>
        <w:t xml:space="preserve"> 2023). </w:t>
      </w:r>
    </w:p>
    <w:p>
      <w:pPr>
        <w:pStyle w:val="style0"/>
        <w:rPr/>
      </w:pPr>
      <w:r>
        <w:t>Early infection follow-up was another important preventive measure of infection. The studies found out that post-discharge review delays enabled infections to deteriorate especially in aged patients and those with chronic comorbidities (</w:t>
      </w:r>
      <w:r>
        <w:t>Hobman</w:t>
      </w:r>
      <w:r>
        <w:t xml:space="preserve"> </w:t>
      </w:r>
      <w:r>
        <w:rPr>
          <w:i/>
          <w:iCs/>
        </w:rPr>
        <w:t>et al.</w:t>
      </w:r>
      <w:r>
        <w:t xml:space="preserve"> 2023; Stavrou </w:t>
      </w:r>
      <w:r>
        <w:rPr>
          <w:i/>
          <w:iCs/>
        </w:rPr>
        <w:t>et al.</w:t>
      </w:r>
      <w:r>
        <w:t xml:space="preserve"> 2024). Frequent visits of the community nurses or the primary care team served to clear up on any suspicion and promoted timely intervention before the situation got severe to the point of hospital readmission (Huang </w:t>
      </w:r>
      <w:r>
        <w:rPr>
          <w:i/>
          <w:iCs/>
        </w:rPr>
        <w:t>et al.</w:t>
      </w:r>
      <w:r>
        <w:t xml:space="preserve"> 2020). The primary component of prevention of infection was the education of patients and their </w:t>
      </w:r>
      <w:r>
        <w:t>nursing personnels</w:t>
      </w:r>
      <w:r>
        <w:t xml:space="preserve">. </w:t>
      </w:r>
      <w:r>
        <w:t xml:space="preserve">Few studies stressed that patients and their families lacked knowledge about infection symptoms and appropriate antimicrobial use (Yeatts </w:t>
      </w:r>
      <w:r>
        <w:rPr>
          <w:i/>
          <w:iCs/>
        </w:rPr>
        <w:t>et al.</w:t>
      </w:r>
      <w:r>
        <w:t xml:space="preserve"> 2025; King </w:t>
      </w:r>
      <w:r>
        <w:rPr>
          <w:i/>
          <w:iCs/>
        </w:rPr>
        <w:t>et al.</w:t>
      </w:r>
      <w:r>
        <w:t xml:space="preserve"> 2023). Self-management was enhanced, and dependence on emergency services decreased due to the education. It is evident that decreasing rehospitalisation is not merely a medical issue but also involves education and social ​‍​‌‍​‍‌aspects.</w:t>
      </w:r>
    </w:p>
    <w:p>
      <w:pPr>
        <w:pStyle w:val="style0"/>
        <w:rPr>
          <w:highlight w:val="yellow"/>
        </w:rPr>
      </w:pPr>
      <w:r>
        <w:t xml:space="preserve">System-level​‍​‌‍​‍‌ strategies were of the same importance. </w:t>
      </w:r>
      <w:r>
        <w:t xml:space="preserve">The use of digitally-enabled alerts and antimicrobial stewardship systems improved the process of infection detection and the process of prescription safety (Lazzarino </w:t>
      </w:r>
      <w:r>
        <w:rPr>
          <w:i/>
          <w:iCs/>
        </w:rPr>
        <w:t>et al.</w:t>
      </w:r>
      <w:r>
        <w:t xml:space="preserve"> 2025; Van Dort </w:t>
      </w:r>
      <w:r>
        <w:rPr>
          <w:i/>
          <w:iCs/>
        </w:rPr>
        <w:t>et al.</w:t>
      </w:r>
      <w:r>
        <w:t xml:space="preserve"> 2024). </w:t>
      </w:r>
      <w:r>
        <w:t>C</w:t>
      </w:r>
      <w:r>
        <w:t xml:space="preserve">ombined digital tools resulted in more reasonable decision-making when it comes to antimicrobial use and reduced infections-induced complications. </w:t>
      </w:r>
      <w:r>
        <w:t>M</w:t>
      </w:r>
      <w:r>
        <w:t xml:space="preserve">ultidisciplinary reviews assisted in identifying and preventing readmission due to infections. </w:t>
      </w:r>
    </w:p>
    <w:p>
      <w:pPr>
        <w:pStyle w:val="style0"/>
        <w:rPr/>
      </w:pPr>
      <w:r>
        <w:t xml:space="preserve">Through these measures, clinical failures as well as systemic failures are being addressed. As a matter of fact, they are aligned to the UK policy priorities, which encourage integrated care systems and prevention-based care. The findings confirm that individual clinical intervention is not enough. What is required is multi-level interventions that will integrate hospitals, primary care, social care, and digital systems to reduce infection-related rehospitalisation rates and protect the population. </w:t>
      </w:r>
    </w:p>
    <w:bookmarkStart w:id="113" w:name="_Toc218894231"/>
    <w:p>
      <w:pPr>
        <w:pStyle w:val="style2"/>
        <w:rPr/>
      </w:pPr>
      <w:r>
        <w:t>5.3 Theoretical interpretation: System theory perspective</w:t>
      </w:r>
      <w:bookmarkEnd w:id="113"/>
      <w:r>
        <w:t xml:space="preserve"> </w:t>
      </w:r>
    </w:p>
    <w:p>
      <w:pPr>
        <w:pStyle w:val="style0"/>
        <w:rPr/>
      </w:pPr>
      <w:r>
        <w:t xml:space="preserve">Systems​‍​‌‍​‍‌ Theory, which was developed by von </w:t>
      </w:r>
      <w:r>
        <w:t>Bertalanffy</w:t>
      </w:r>
      <w:r>
        <w:t xml:space="preserve"> in the 1950s, considers health and social care as one system that is interconnected rather than separate services</w:t>
      </w:r>
      <w:r>
        <w:t xml:space="preserve"> (</w:t>
      </w:r>
      <w:r>
        <w:rPr>
          <w:color w:val="000000"/>
        </w:rPr>
        <w:t>Sifo</w:t>
      </w:r>
      <w:r>
        <w:rPr>
          <w:color w:val="000000"/>
        </w:rPr>
        <w:t>, 2025</w:t>
      </w:r>
      <w:r>
        <w:t>)</w:t>
      </w:r>
      <w:r>
        <w:t xml:space="preserve">. Based on this review, the results are in line with this theory. Infection-related rehospitalisation did not represent isolated clinical failures when viewed from the medical </w:t>
      </w:r>
      <w:r>
        <w:t>point of view only. The infections came from the weak links between hospital, community care, social services, and public health systems.</w:t>
      </w:r>
    </w:p>
    <w:p>
      <w:pPr>
        <w:pStyle w:val="style0"/>
        <w:rPr/>
      </w:pPr>
      <w:r>
        <w:t xml:space="preserve">According to the results, patients were left to get worse frequently after being discharged due to lack of coordination and follow-up being limited. Infections worsened after hospital teams, GPs, and social care providers failed to share the necessary information. </w:t>
      </w:r>
      <w:r>
        <w:t>This goes to argue the Systems Theory that failure in one aspect of the system impacts the entire system. Therefore, in case of delayed social care input there was inadequate assistance with medication, hygiene and symptom monitoring resulting in the risk of infection and readmission</w:t>
      </w:r>
      <w:r>
        <w:t xml:space="preserve"> (</w:t>
      </w:r>
      <w:r>
        <w:rPr>
          <w:color w:val="000000"/>
        </w:rPr>
        <w:t xml:space="preserve">Abdelhalim </w:t>
      </w:r>
      <w:r>
        <w:rPr>
          <w:i/>
          <w:iCs/>
          <w:color w:val="000000"/>
        </w:rPr>
        <w:t xml:space="preserve">et al. </w:t>
      </w:r>
      <w:r>
        <w:rPr>
          <w:color w:val="000000"/>
        </w:rPr>
        <w:t>2024</w:t>
      </w:r>
      <w:r>
        <w:t>)</w:t>
      </w:r>
      <w:r>
        <w:t xml:space="preserve">. </w:t>
      </w:r>
    </w:p>
    <w:p>
      <w:pPr>
        <w:pStyle w:val="style0"/>
        <w:rPr/>
      </w:pPr>
      <w:r>
        <w:t xml:space="preserve">Additionally,​‍​‌‍​‍‌ the results bring to light the issue of fragmented responsibility. No single service was accountable for infection management post-discharge. This resulted in lack of antimicrobial monitoring and infection surveillance. </w:t>
      </w:r>
      <w:r>
        <w:t>According to system theory</w:t>
      </w:r>
      <w:r>
        <w:t>, these shortcomings represent poor system integration and not individual mistakes.</w:t>
      </w:r>
    </w:p>
    <w:p>
      <w:pPr>
        <w:pStyle w:val="style0"/>
        <w:rPr/>
      </w:pPr>
      <w:r>
        <w:t>The review takes Systems Theory further by focusing it on infection-related rehospitalisation. It illustrates that infections serve as points of the shake that reveal the system flaws. When services are isolated, infection control is compromised and consequently, the number of rehospitalisation increases. On the other hand, when the system is functioning as a whole, recovery is better and hospital readmissions are fewer. This evidence supports Systems Theory as a legitimate framework for comprehending and dealing with infection-related ​‍​‌‍​‍‌rehospitalisation.</w:t>
      </w:r>
    </w:p>
    <w:bookmarkStart w:id="114" w:name="_Toc218894232"/>
    <w:p>
      <w:pPr>
        <w:pStyle w:val="style2"/>
        <w:rPr/>
      </w:pPr>
      <w:r>
        <w:t>5.4 Implications of the findings</w:t>
      </w:r>
      <w:bookmarkEnd w:id="114"/>
      <w:r>
        <w:t xml:space="preserve"> </w:t>
      </w:r>
    </w:p>
    <w:bookmarkStart w:id="115" w:name="_Toc218894233"/>
    <w:p>
      <w:pPr>
        <w:pStyle w:val="style3"/>
        <w:rPr/>
      </w:pPr>
      <w:r>
        <w:t>5.4.1 Implication for public health</w:t>
      </w:r>
      <w:bookmarkEnd w:id="115"/>
      <w:r>
        <w:t xml:space="preserve"> </w:t>
      </w:r>
    </w:p>
    <w:p>
      <w:pPr>
        <w:pStyle w:val="style0"/>
        <w:rPr/>
      </w:pPr>
      <w:r>
        <w:t>In​‍​‌‍​‍‌ fact, infection-related rehospitalisation is a problem mostly of public health system, which is preventable</w:t>
      </w:r>
      <w:r>
        <w:t xml:space="preserve">; </w:t>
      </w:r>
      <w:r>
        <w:t>thus, not an inevitable clinical outcome</w:t>
      </w:r>
      <w:r>
        <w:t xml:space="preserve"> (</w:t>
      </w:r>
      <w:r>
        <w:rPr>
          <w:color w:val="000000"/>
        </w:rPr>
        <w:t xml:space="preserve">Babich </w:t>
      </w:r>
      <w:r>
        <w:rPr>
          <w:i/>
          <w:iCs/>
          <w:color w:val="000000"/>
        </w:rPr>
        <w:t xml:space="preserve">et al. </w:t>
      </w:r>
      <w:r>
        <w:rPr>
          <w:color w:val="000000"/>
        </w:rPr>
        <w:t>2021</w:t>
      </w:r>
      <w:r>
        <w:t>)</w:t>
      </w:r>
      <w:r>
        <w:t xml:space="preserve">. Analysis shows that quite many readmissions happened because post-discharge infections were not detected, monitored, or treated properly. </w:t>
      </w:r>
      <w:r>
        <w:t xml:space="preserve">Therefore, </w:t>
      </w:r>
      <w:r>
        <w:t>connection between inpatient care and community/PT care infection surveillance must be strengthened to facilitate a continuing infection monitoring system even after hospital discharge.</w:t>
      </w:r>
    </w:p>
    <w:p>
      <w:pPr>
        <w:pStyle w:val="style0"/>
        <w:rPr/>
      </w:pPr>
      <w:r>
        <w:t>Besides that, antimicrobial stewardship in hospital, GP, community nursing, and social care settings must be one of the main priorities</w:t>
      </w:r>
      <w:r>
        <w:t xml:space="preserve"> (</w:t>
      </w:r>
      <w:r>
        <w:rPr>
          <w:color w:val="000000"/>
        </w:rPr>
        <w:t>Davey, and Aveyard, 2022</w:t>
      </w:r>
      <w:r>
        <w:t>)</w:t>
      </w:r>
      <w:r>
        <w:t xml:space="preserve">. Fragmented antibiotic prescribing and lack of follow-up lead to an increase in the risk of relapse and are also a cause of antimicrobial resistance (AMR). Thus, early intervention, </w:t>
      </w:r>
      <w:r>
        <w:t>like</w:t>
      </w:r>
      <w:r>
        <w:t xml:space="preserve"> timely review of infection symptoms and ensuring adherence to the medication, will certainly decrease the infection severity level and, consequently, inhibit the necessity of hospital admission</w:t>
      </w:r>
      <w:r>
        <w:t xml:space="preserve"> (</w:t>
      </w:r>
      <w:r>
        <w:rPr>
          <w:color w:val="000000"/>
        </w:rPr>
        <w:t xml:space="preserve">Wang </w:t>
      </w:r>
      <w:r>
        <w:rPr>
          <w:i/>
          <w:iCs/>
          <w:color w:val="000000"/>
        </w:rPr>
        <w:t xml:space="preserve">et al. </w:t>
      </w:r>
      <w:r>
        <w:rPr>
          <w:color w:val="000000"/>
        </w:rPr>
        <w:t>2021</w:t>
      </w:r>
      <w:r>
        <w:t>)</w:t>
      </w:r>
      <w:r>
        <w:t>. On top of that, artificially, from a public health viewpoint, there is less need for acute services, less AMR escalation, and, obviously, the health benefits for the population will be increased, including older people and those with long-standing health conditions who are particularly vulnerable to health ​‍​‌‍​‍‌inequalities.</w:t>
      </w:r>
    </w:p>
    <w:bookmarkStart w:id="116" w:name="_Toc218894234"/>
    <w:p>
      <w:pPr>
        <w:pStyle w:val="style3"/>
        <w:rPr/>
      </w:pPr>
      <w:r>
        <w:t>5.4.2 Implications for clinical practice</w:t>
      </w:r>
      <w:bookmarkEnd w:id="116"/>
      <w:r>
        <w:t xml:space="preserve"> </w:t>
      </w:r>
    </w:p>
    <w:p>
      <w:pPr>
        <w:pStyle w:val="style0"/>
        <w:rPr/>
      </w:pPr>
      <w:r>
        <w:t xml:space="preserve">The​‍​‌‍​‍‌ results suggest infection-focused discharge education is vital in lower adult rehospitalisation. Several patients and carers revealed that they had a poor understanding of infection symptoms, antibiotic usage, and the point of getting help. Providing infection education to patients in a clear, straightforward, and repetitive manner at discharge will facilitate prompt infection recognition </w:t>
      </w:r>
      <w:r>
        <w:t>and</w:t>
      </w:r>
      <w:r>
        <w:t xml:space="preserve"> give support to timely intervention</w:t>
      </w:r>
      <w:r>
        <w:t xml:space="preserve"> (</w:t>
      </w:r>
      <w:r>
        <w:rPr>
          <w:color w:val="000000"/>
        </w:rPr>
        <w:t>ALOteiby</w:t>
      </w:r>
      <w:r>
        <w:rPr>
          <w:color w:val="000000"/>
        </w:rPr>
        <w:t xml:space="preserve"> </w:t>
      </w:r>
      <w:r>
        <w:rPr>
          <w:i/>
          <w:iCs/>
          <w:color w:val="000000"/>
        </w:rPr>
        <w:t xml:space="preserve">et al. </w:t>
      </w:r>
      <w:r>
        <w:rPr>
          <w:color w:val="000000"/>
        </w:rPr>
        <w:t>2025</w:t>
      </w:r>
      <w:r>
        <w:t>)</w:t>
      </w:r>
      <w:r>
        <w:t>.</w:t>
      </w:r>
    </w:p>
    <w:p>
      <w:pPr>
        <w:pStyle w:val="style0"/>
        <w:rPr>
          <w:highlight w:val="yellow"/>
        </w:rPr>
      </w:pPr>
      <w:r>
        <w:t xml:space="preserve">Multidisciplinary teams are major players in post-discharge monitoring. Through the effective coordination between hospital clinicians, GPs, nurses, pharmacists, and social care workers, </w:t>
      </w:r>
      <w:r>
        <w:t>the continuity of infection management gets to be maintained very well</w:t>
      </w:r>
      <w:r>
        <w:t xml:space="preserve"> (</w:t>
      </w:r>
      <w:r>
        <w:rPr>
          <w:color w:val="000000"/>
        </w:rPr>
        <w:t xml:space="preserve">Khatri </w:t>
      </w:r>
      <w:r>
        <w:rPr>
          <w:i/>
          <w:iCs/>
          <w:color w:val="000000"/>
        </w:rPr>
        <w:t xml:space="preserve">et al. </w:t>
      </w:r>
      <w:r>
        <w:rPr>
          <w:color w:val="000000"/>
        </w:rPr>
        <w:t>2023</w:t>
      </w:r>
      <w:r>
        <w:t>)</w:t>
      </w:r>
      <w:r>
        <w:t xml:space="preserve">. </w:t>
      </w:r>
      <w:r>
        <w:t xml:space="preserve">The use of regular follow-up, medication review, and home-based assessment can result in the decrease of the risk of relapse and the avoidance of redundant hospital readmission. </w:t>
      </w:r>
    </w:p>
    <w:p>
      <w:pPr>
        <w:pStyle w:val="style0"/>
        <w:rPr/>
      </w:pPr>
      <w:r>
        <w:t>A situation where no one is clearly responsible for infection follow-up very often results in the occurrence of gaps in care. Assigning roles for the monitoring of infection symptoms, the review of antimicrobial treatment, and communication changes in patient condition can significantly improve patient safety. In essence, clinical practice should not be limited to hospital-based treatment only but should embrace an infection management approach after discharge that is shared and ​‍​‌‍​‍‌system-wide.</w:t>
      </w:r>
    </w:p>
    <w:bookmarkStart w:id="117" w:name="_Toc218894235"/>
    <w:p>
      <w:pPr>
        <w:pStyle w:val="style3"/>
        <w:rPr/>
      </w:pPr>
      <w:r>
        <w:t>5.4.3 Implications for adult social care services</w:t>
      </w:r>
      <w:bookmarkEnd w:id="117"/>
      <w:r>
        <w:t xml:space="preserve"> </w:t>
      </w:r>
    </w:p>
    <w:p>
      <w:pPr>
        <w:pStyle w:val="style0"/>
        <w:rPr/>
      </w:pPr>
      <w:r>
        <w:t xml:space="preserve">The​‍​‌‍​‍‌ study’s findings demonstrate that adult social care services have a significant impact on the recovery of infection cases after hospital discharge. In fact, social care teams that get involved in a patient’s case early can detect infection deterioration signs and thus, prevent the patient from being </w:t>
      </w:r>
      <w:r>
        <w:t>hospitalized</w:t>
      </w:r>
      <w:r>
        <w:t xml:space="preserve"> (</w:t>
      </w:r>
      <w:r>
        <w:rPr>
          <w:color w:val="000000"/>
        </w:rPr>
        <w:t xml:space="preserve">McGaughey </w:t>
      </w:r>
      <w:r>
        <w:rPr>
          <w:i/>
          <w:iCs/>
          <w:color w:val="000000"/>
        </w:rPr>
        <w:t xml:space="preserve">et al. </w:t>
      </w:r>
      <w:r>
        <w:rPr>
          <w:color w:val="000000"/>
        </w:rPr>
        <w:t>2021</w:t>
      </w:r>
      <w:r>
        <w:t>)</w:t>
      </w:r>
      <w:r>
        <w:t xml:space="preserve">. A large number of patients, especially elderly people, find it difficult to maintain their hygiene, stay mobile and take their medicines regularly without the intervention of a support person. </w:t>
      </w:r>
      <w:r>
        <w:t xml:space="preserve">This is one of the primary factors that can make early social care involvement so efficient because it can disintegrate these risks. </w:t>
      </w:r>
    </w:p>
    <w:p>
      <w:pPr>
        <w:pStyle w:val="style0"/>
        <w:rPr/>
      </w:pPr>
      <w:r>
        <w:t>Without a doubt investing in home-based support is the right thing to do. Assistance with personal hygiene, dressing and medication which are all key to infection control in the community is at the core of practical support. In addition to giving patients and carers a sense of security which in turn diminishes their anxiety and dependence on emergency services, regular home visits also offer an opportunity to patients and carers of catching up</w:t>
      </w:r>
      <w:r>
        <w:t xml:space="preserve"> (</w:t>
      </w:r>
      <w:r>
        <w:rPr>
          <w:color w:val="000000"/>
        </w:rPr>
        <w:t xml:space="preserve">Regen </w:t>
      </w:r>
      <w:r>
        <w:rPr>
          <w:i/>
          <w:iCs/>
          <w:color w:val="000000"/>
        </w:rPr>
        <w:t xml:space="preserve">et al. </w:t>
      </w:r>
      <w:r>
        <w:rPr>
          <w:color w:val="000000"/>
        </w:rPr>
        <w:t>2022</w:t>
      </w:r>
      <w:r>
        <w:t>)</w:t>
      </w:r>
      <w:r>
        <w:t>.</w:t>
      </w:r>
    </w:p>
    <w:p>
      <w:pPr>
        <w:pStyle w:val="style0"/>
        <w:rPr/>
      </w:pPr>
      <w:r>
        <w:t>In order to provide seamless care, there is an absolute need for more effective collaboration between the NHS and local authorities</w:t>
      </w:r>
      <w:r>
        <w:t xml:space="preserve"> (</w:t>
      </w:r>
      <w:r>
        <w:rPr>
          <w:color w:val="000000"/>
        </w:rPr>
        <w:t xml:space="preserve">Allen </w:t>
      </w:r>
      <w:r>
        <w:rPr>
          <w:i/>
          <w:iCs/>
          <w:color w:val="000000"/>
        </w:rPr>
        <w:t xml:space="preserve">et al. </w:t>
      </w:r>
      <w:r>
        <w:rPr>
          <w:color w:val="000000"/>
        </w:rPr>
        <w:t>2024</w:t>
      </w:r>
      <w:r>
        <w:t>)</w:t>
      </w:r>
      <w:r>
        <w:t xml:space="preserve">. Frequently, the lack of sharing of information and delay in the issuance of referrals to social care result in infection recovery being neglected. </w:t>
      </w:r>
      <w:r>
        <w:t xml:space="preserve">Integrated planning, shared care records and well-defined referral paths can help in improving coordination. </w:t>
      </w:r>
      <w:r>
        <w:t>In short, it is through the adult social care services that hospital resistance to infection can be increased and overcrowding of hospitals can be ​‍​‌‍​‍‌prevented.</w:t>
      </w:r>
    </w:p>
    <w:bookmarkStart w:id="118" w:name="_Toc218894236"/>
    <w:p>
      <w:pPr>
        <w:pStyle w:val="style2"/>
        <w:rPr/>
      </w:pPr>
      <w:r>
        <w:t>5.5 Limitation of the review</w:t>
      </w:r>
      <w:bookmarkEnd w:id="118"/>
    </w:p>
    <w:p>
      <w:pPr>
        <w:pStyle w:val="style0"/>
        <w:rPr/>
      </w:pPr>
      <w:r>
        <w:t xml:space="preserve">There​‍​‌‍​‍‌ are a number of limitations to this systematic review that should be taken into account. The majority of qualitative studies restrict the determining of a direct cause and effect relationship between microbial infections and adult rehospitalisation by the researchers. </w:t>
      </w:r>
      <w:r>
        <w:t>Qualitative data is very informative</w:t>
      </w:r>
      <w:r>
        <w:t xml:space="preserve">; however, </w:t>
      </w:r>
      <w:r>
        <w:t>it does not provide an opportunity to measure the infection rates or the level of risks</w:t>
      </w:r>
      <w:r>
        <w:t xml:space="preserve"> (</w:t>
      </w:r>
      <w:r>
        <w:rPr>
          <w:color w:val="000000"/>
        </w:rPr>
        <w:t xml:space="preserve">Lowe </w:t>
      </w:r>
      <w:r>
        <w:rPr>
          <w:i/>
          <w:iCs/>
          <w:color w:val="000000"/>
        </w:rPr>
        <w:t xml:space="preserve">et al. </w:t>
      </w:r>
      <w:r>
        <w:rPr>
          <w:color w:val="000000"/>
        </w:rPr>
        <w:t>2021</w:t>
      </w:r>
      <w:r>
        <w:t>)</w:t>
      </w:r>
      <w:r>
        <w:t xml:space="preserve">. </w:t>
      </w:r>
      <w:r>
        <w:t>Moreover, the majority of studies did not offer pathogen-specific data, which hinders the comprehension of the contribution of various microorganisms to readmissions.</w:t>
      </w:r>
    </w:p>
    <w:p>
      <w:pPr>
        <w:pStyle w:val="style0"/>
        <w:rPr/>
      </w:pPr>
      <w:r>
        <w:t xml:space="preserve">Small sample sizes and the repeated use of single-centre designs make it difficult for the results to be applicable to the larger UK population. </w:t>
      </w:r>
      <w:r>
        <w:t>Despite the fact that the UK strong focus is appropriate to this research purpose, it restricts the international comparison and transfer of it to other health systems. In addition, analysis in terms of socio-economic status and ethnicity was not performed in the review. These factors are not new to determine the risk of infection, access to care, and rehospitalisation</w:t>
      </w:r>
      <w:r>
        <w:t xml:space="preserve">; however, </w:t>
      </w:r>
      <w:r>
        <w:t xml:space="preserve">they were not adequately investigated in the included studies. Consequently, it can lead to an under-reporting of the structural inequalities. </w:t>
      </w:r>
    </w:p>
    <w:bookmarkStart w:id="119" w:name="_Toc218894237"/>
    <w:p>
      <w:pPr>
        <w:pStyle w:val="style2"/>
        <w:rPr/>
      </w:pPr>
      <w:r>
        <w:t xml:space="preserve">5.6 Chapter </w:t>
      </w:r>
      <w:r>
        <w:t>s</w:t>
      </w:r>
      <w:r>
        <w:t>ummary</w:t>
      </w:r>
      <w:bookmarkEnd w:id="119"/>
    </w:p>
    <w:p>
      <w:pPr>
        <w:pStyle w:val="style0"/>
        <w:rPr/>
      </w:pPr>
      <w:r>
        <w:t>This​‍​‌‍​‍‌ chapter demonstrated that infection-related rehospitalisation is more than just a clinical problem, it is a system-level failure that concerns hospitals, public health, and social care. The results were in strong agreement with the research aim and objectives as they brought to light the infection drivers, stewardship gaps, and social care pressures. Mainly, the discussion pointed out that integrated and prevention-focused care is what is needed. The following chapter will wrap up the study and provide well-grounded recommendations whole have been drawn from the ​‍​‌‍​‍‌evidence.</w:t>
      </w:r>
    </w:p>
    <w:p>
      <w:pPr>
        <w:pStyle w:val="style0"/>
        <w:rPr>
          <w:rFonts w:eastAsia="Times New Roman"/>
          <w:b/>
          <w:sz w:val="24"/>
        </w:rPr>
      </w:pPr>
      <w:r>
        <w:br w:type="page"/>
      </w:r>
    </w:p>
    <w:bookmarkStart w:id="120" w:name="_Toc214575510"/>
    <w:bookmarkStart w:id="121" w:name="_Toc218894238"/>
    <w:p>
      <w:pPr>
        <w:pStyle w:val="style1"/>
        <w:rPr/>
      </w:pPr>
      <w:r>
        <w:t>Chapter 6: Conclusion</w:t>
      </w:r>
      <w:bookmarkEnd w:id="120"/>
      <w:bookmarkEnd w:id="121"/>
      <w:r>
        <w:t xml:space="preserve"> </w:t>
      </w:r>
    </w:p>
    <w:bookmarkStart w:id="122" w:name="_Toc218894239"/>
    <w:p>
      <w:pPr>
        <w:pStyle w:val="style2"/>
        <w:rPr/>
      </w:pPr>
      <w:r>
        <w:t xml:space="preserve">6.1 </w:t>
      </w:r>
      <w:r>
        <w:t>Introduction</w:t>
      </w:r>
      <w:bookmarkEnd w:id="122"/>
    </w:p>
    <w:p>
      <w:pPr>
        <w:pStyle w:val="style0"/>
        <w:rPr>
          <w:color w:val="ee0000"/>
        </w:rPr>
      </w:pPr>
      <w:r>
        <w:rPr>
          <w:color w:val="ee0000"/>
        </w:rPr>
        <w:t>The purpose of this study was to investigate how microbial infections cause adult rehospitalisation in the UK and the public health and social care consequences that come with them. The main question of the study was on exploring how microbial infections lead to rehospitalisation and thus add to system pressures. There were three aims that determined the focus of this study: (</w:t>
      </w:r>
      <w:r>
        <w:rPr>
          <w:color w:val="ee0000"/>
        </w:rPr>
        <w:t>i</w:t>
      </w:r>
      <w:r>
        <w:rPr>
          <w:color w:val="ee0000"/>
        </w:rPr>
        <w:t>) microbial infection patterns, (ii) public health challenges, and (iii) social care impacts.</w:t>
      </w:r>
    </w:p>
    <w:p>
      <w:pPr>
        <w:pStyle w:val="style0"/>
        <w:rPr/>
      </w:pPr>
    </w:p>
    <w:bookmarkStart w:id="123" w:name="_Toc218894240"/>
    <w:p>
      <w:pPr>
        <w:pStyle w:val="style2"/>
        <w:rPr/>
      </w:pPr>
      <w:r>
        <w:t xml:space="preserve">6.2 </w:t>
      </w:r>
      <w:r>
        <w:t>Overall conclusio</w:t>
      </w:r>
      <w:r>
        <w:t>n</w:t>
      </w:r>
      <w:bookmarkEnd w:id="123"/>
      <w:r>
        <w:t xml:space="preserve"> </w:t>
      </w:r>
    </w:p>
    <w:p>
      <w:pPr>
        <w:pStyle w:val="style0"/>
        <w:rPr/>
      </w:pPr>
      <w:r>
        <w:t>The​‍​‌‍​‍‌ research finds that microbial infections are key factor</w:t>
      </w:r>
      <w:r>
        <w:t>s</w:t>
      </w:r>
      <w:r>
        <w:t xml:space="preserve"> contributing to adult rehospitalisation in UK. The data reveals that infection-related readmissions are hardly ever the result of infection alone; they are caused by broad system-level failures in both healthcare and social care. </w:t>
      </w:r>
      <w:r>
        <w:t>The factors that are facilitating unplanned readmissions include: deficiency in discharge planning, continuity of antimicrobial treatment, and community care inaccessibility to address post-discharge worsening of the infection cases. Hospitals, primary care, and social services do not communicate with each other, and it leads to greater risk of rehospitalisation because of infection. These findings indicate that rehospitalisation related to infection is caused by discontinuous care pathways and is not due to single clinical mistakes.</w:t>
      </w:r>
      <w:r>
        <w:t xml:space="preserve"> </w:t>
      </w:r>
      <w:r>
        <w:t>To sum up, the possibility of reducing readmissions lies with the proper infection management, the thorough antimicrobial stewardship, as well as the well-functioning integration between health and social care systems, and not merely by concentrating on inpatient ​‍​‌‍​‍‌care.</w:t>
      </w:r>
    </w:p>
    <w:p>
      <w:pPr>
        <w:pStyle w:val="style0"/>
        <w:rPr/>
      </w:pPr>
    </w:p>
    <w:bookmarkStart w:id="124" w:name="_Toc218894241"/>
    <w:p>
      <w:pPr>
        <w:pStyle w:val="style2"/>
        <w:rPr/>
      </w:pPr>
      <w:r>
        <w:t>6.</w:t>
      </w:r>
      <w:r>
        <w:t>3</w:t>
      </w:r>
      <w:r>
        <w:t xml:space="preserve"> Summary of key findings aligned with research objectives</w:t>
      </w:r>
      <w:bookmarkEnd w:id="124"/>
      <w:r>
        <w:t xml:space="preserve"> </w:t>
      </w:r>
    </w:p>
    <w:bookmarkStart w:id="125" w:name="_Toc218894242"/>
    <w:p>
      <w:pPr>
        <w:pStyle w:val="style3"/>
        <w:rPr/>
      </w:pPr>
      <w:r>
        <w:t>6.</w:t>
      </w:r>
      <w:r>
        <w:t>3.</w:t>
      </w:r>
      <w:r>
        <w:t xml:space="preserve">1 </w:t>
      </w:r>
      <w:r>
        <w:t>Objective 1: Microbial infections and rehospitalisation</w:t>
      </w:r>
      <w:bookmarkEnd w:id="125"/>
      <w:r>
        <w:t xml:space="preserve"> </w:t>
      </w:r>
    </w:p>
    <w:p>
      <w:pPr>
        <w:pStyle w:val="style0"/>
        <w:rPr/>
      </w:pPr>
      <w:r>
        <w:t xml:space="preserve">The​‍​‌‍​‍‌ review indicates that microbial infections play a major part in return of adult patients for emergency hospital treatment in UK. </w:t>
      </w:r>
      <w:r>
        <w:t>It states respiratory infections, sepsis associated conditions, and post-surgical infections.</w:t>
      </w:r>
      <w:r>
        <w:t xml:space="preserve"> </w:t>
      </w:r>
      <w:r>
        <w:t xml:space="preserve">Respiratory infection being the most common reason for readmissions of adults with long-term conditions, whereas sepsis and surgical site infections were complications leading to </w:t>
      </w:r>
      <w:r>
        <w:t>be</w:t>
      </w:r>
      <w:r>
        <w:t xml:space="preserve"> most serious after discharge. The elderly and people suffering from several diseases at the same time were more at risk due to their lowered immunity, weakness, and the complexity of their care needs. In a number of instances, infections remained or became worse after the patient was discharged from the hospital due to the discharge being too early, follow-up being limited, and community monitoring being weak. The results indicate that infection-related rehospitalisation is mainly impacted by patient vulnerability and gaps in post-discharge care, rather than hospital treatment alone, thus directly fulfilling first research ​‍​‌‍​‍‌objective.</w:t>
      </w:r>
    </w:p>
    <w:bookmarkStart w:id="126" w:name="_Toc218894243"/>
    <w:p>
      <w:pPr>
        <w:pStyle w:val="style3"/>
        <w:rPr/>
      </w:pPr>
      <w:r>
        <w:t>6.</w:t>
      </w:r>
      <w:r>
        <w:t>3</w:t>
      </w:r>
      <w:r>
        <w:t>.2 Objective 2: Public health challenges</w:t>
      </w:r>
      <w:bookmarkEnd w:id="126"/>
      <w:r>
        <w:t xml:space="preserve"> </w:t>
      </w:r>
    </w:p>
    <w:p>
      <w:pPr>
        <w:pStyle w:val="style0"/>
        <w:rPr/>
      </w:pPr>
      <w:r>
        <w:t xml:space="preserve">The​‍​‌‍​‍‌ results emphasize </w:t>
      </w:r>
      <w:r>
        <w:t>on</w:t>
      </w:r>
      <w:r>
        <w:t xml:space="preserve"> significant public health problems associated with infection control and antimicrobial stewardship. It was found that there are gaps in trace of infections after patients are discharged, continuation of antibiotic treatment, and communication between hospital and community services.</w:t>
      </w:r>
      <w:r>
        <w:t xml:space="preserve"> I</w:t>
      </w:r>
      <w:r>
        <w:t xml:space="preserve">mproper use of antimicrobials increases risk of getting infected again and preventable readmissions </w:t>
      </w:r>
      <w:r>
        <w:t>and</w:t>
      </w:r>
      <w:r>
        <w:t xml:space="preserve"> leads to AMR. AMR became a very serious and alarming public health issue as ineffective treatment resulted from irresponsible </w:t>
      </w:r>
      <w:r>
        <w:t xml:space="preserve">prescribing and patients' lack of understanding of antibiotics. </w:t>
      </w:r>
      <w:r>
        <w:t>In addition, the transmission of infections was not that well managed because of organizational barriers including disintegrated digital systems as well as different stewardship initiatives within NHS environments.</w:t>
      </w:r>
      <w:r>
        <w:t xml:space="preserve"> </w:t>
      </w:r>
      <w:r>
        <w:t>In</w:t>
      </w:r>
      <w:r>
        <w:t xml:space="preserve"> </w:t>
      </w:r>
      <w:r>
        <w:t>general, the review demonstrates that infection-related rehospitalisation is a symptom of broader public health system's flaws</w:t>
      </w:r>
      <w:r>
        <w:t xml:space="preserve">; </w:t>
      </w:r>
      <w:r>
        <w:t>thus, there should be coordinated stewardship and prevention-oriented ​‍​‌‍​‍‌approaches.</w:t>
      </w:r>
    </w:p>
    <w:bookmarkStart w:id="127" w:name="_Toc218894244"/>
    <w:p>
      <w:pPr>
        <w:pStyle w:val="style3"/>
        <w:rPr/>
      </w:pPr>
      <w:r>
        <w:t>6.</w:t>
      </w:r>
      <w:r>
        <w:t>3</w:t>
      </w:r>
      <w:r>
        <w:t>.3 Objective 3: Impact on adult social care</w:t>
      </w:r>
      <w:bookmarkEnd w:id="127"/>
      <w:r>
        <w:t xml:space="preserve"> </w:t>
      </w:r>
    </w:p>
    <w:p>
      <w:pPr>
        <w:pStyle w:val="style0"/>
        <w:rPr/>
      </w:pPr>
      <w:r>
        <w:t>According​‍​‌‍​‍‌ to the review, infection-related rehospitalisation impacts adult social care systems and families by placing a heavy load on them. Repeated infections cause an increase in use of informal carers</w:t>
      </w:r>
      <w:r>
        <w:t xml:space="preserve">, </w:t>
      </w:r>
      <w:r>
        <w:t xml:space="preserve">which puts such carers at risk of emotional, physical, and financial strain, mainly when dealing with situation of elderly people with multiple complex needs. A number of hospital readmissions were outcome of unmet support needs at home rather than natural progression of clinical decline. </w:t>
      </w:r>
      <w:r>
        <w:t>Poor coordination in the activities of hospital discharge team and community/social care services was a recurrent issue that led to the late home support, lack of medication adherence, and lack of infection monitoring. The families tended to fill such gaps without providing any instructions and resources to them.</w:t>
      </w:r>
      <w:r>
        <w:t xml:space="preserve"> </w:t>
      </w:r>
      <w:r>
        <w:t xml:space="preserve">These results draw attention to the fact that infection-related rehospitalisation is a healthcare issue </w:t>
      </w:r>
      <w:r>
        <w:t>and</w:t>
      </w:r>
      <w:r>
        <w:t xml:space="preserve"> social care challenge</w:t>
      </w:r>
      <w:r>
        <w:t>;</w:t>
      </w:r>
      <w:r>
        <w:t xml:space="preserve"> hence</w:t>
      </w:r>
      <w:r>
        <w:t>,</w:t>
      </w:r>
      <w:r>
        <w:t xml:space="preserve"> emphasis on necessity of better discharge planning and community-based support</w:t>
      </w:r>
      <w:r>
        <w:t xml:space="preserve">, </w:t>
      </w:r>
      <w:r>
        <w:t>which should be more ​‍​‌‍​‍‌integrated.</w:t>
      </w:r>
    </w:p>
    <w:bookmarkStart w:id="128" w:name="_Toc218894245"/>
    <w:p>
      <w:pPr>
        <w:pStyle w:val="style3"/>
        <w:rPr/>
      </w:pPr>
      <w:r>
        <w:t>6.</w:t>
      </w:r>
      <w:r>
        <w:t>3</w:t>
      </w:r>
      <w:r>
        <w:t>.4 Objective 4: Strategies to reduce rehospitalisation</w:t>
      </w:r>
      <w:bookmarkEnd w:id="128"/>
      <w:r>
        <w:t xml:space="preserve"> </w:t>
      </w:r>
    </w:p>
    <w:p>
      <w:pPr>
        <w:pStyle w:val="style0"/>
        <w:rPr/>
      </w:pPr>
      <w:r>
        <w:t xml:space="preserve">The​‍​‌‍​‍‌ results point that infection-related rehospitalisation can hardly be reduced </w:t>
      </w:r>
      <w:r>
        <w:t>through</w:t>
      </w:r>
      <w:r>
        <w:t xml:space="preserve"> isolated clinical actions; however, requires multi-level and coordinated strategies. Better discharge planning, with detailed infection-related guidance and medication instructions, was always found to decrease preventable readmissions. </w:t>
      </w:r>
      <w:r>
        <w:t>Soon after discharge follow-up enabled detection of the infection that was progressing to a worse situation before the patient would be required back to hospital particularly among elderly. Digital technologies such as alerts and built-in antimicrobial stewardship tools, helped to identify the problem on time, prescribe safely, and enhance continuity of care. Above all, the mechanism that connects hospitals, primary care, public health, and social care services with one another to bridge the gaps throughout the entire care pathway is integrated care.</w:t>
      </w:r>
      <w:r>
        <w:t xml:space="preserve"> </w:t>
      </w:r>
      <w:r>
        <w:t>In essence, each of these measures is a direct response to the system-level failures that were revealed during the review and is in line with the NHS prevention-focused priorities of cutting down on avoidable rehospitalisation and enhancing public health and social care ​‍​‌‍​‍‌outcomes.</w:t>
      </w:r>
    </w:p>
    <w:bookmarkStart w:id="129" w:name="_Toc218894246"/>
    <w:p>
      <w:pPr>
        <w:pStyle w:val="style2"/>
        <w:rPr/>
      </w:pPr>
      <w:r>
        <w:t>6.</w:t>
      </w:r>
      <w:r>
        <w:t>4</w:t>
      </w:r>
      <w:r>
        <w:t xml:space="preserve"> Reflection on research approach</w:t>
      </w:r>
      <w:bookmarkEnd w:id="129"/>
      <w:r>
        <w:t xml:space="preserve"> </w:t>
      </w:r>
    </w:p>
    <w:p>
      <w:pPr>
        <w:pStyle w:val="style0"/>
        <w:rPr/>
      </w:pPr>
      <w:r>
        <w:t>The​‍​‌‍​‍‌ systematic literature review method was quite helpful in achieving the research objective</w:t>
      </w:r>
      <w:r>
        <w:t>;</w:t>
      </w:r>
      <w:r>
        <w:t xml:space="preserve"> since</w:t>
      </w:r>
      <w:r>
        <w:t>,</w:t>
      </w:r>
      <w:r>
        <w:t xml:space="preserve"> it provided a way to organize and clearly present UK-centred evidence of infection-related rehospitalisation. By applying thematic </w:t>
      </w:r>
      <w:r>
        <w:t>analysis</w:t>
      </w:r>
      <w:r>
        <w:t>, the researchers were able to uncover the multi-faceted nature of the relationships existing between clinical care, public health, and social care systems, which would not be possible with quantitative methods only</w:t>
      </w:r>
      <w:r>
        <w:t xml:space="preserve"> (</w:t>
      </w:r>
      <w:r>
        <w:rPr>
          <w:color w:val="000000"/>
        </w:rPr>
        <w:t>Burgher</w:t>
      </w:r>
      <w:r>
        <w:rPr>
          <w:color w:val="000000"/>
        </w:rPr>
        <w:t xml:space="preserve"> </w:t>
      </w:r>
      <w:r>
        <w:rPr>
          <w:i/>
          <w:iCs/>
          <w:color w:val="000000"/>
        </w:rPr>
        <w:t xml:space="preserve">et al. </w:t>
      </w:r>
      <w:r>
        <w:rPr>
          <w:color w:val="000000"/>
        </w:rPr>
        <w:t>2023</w:t>
      </w:r>
      <w:r>
        <w:t>)</w:t>
      </w:r>
      <w:r>
        <w:t xml:space="preserve">. A major revelation, which was, in fact, unexpected, was the </w:t>
      </w:r>
      <w:r>
        <w:t>social</w:t>
      </w:r>
      <w:r>
        <w:t xml:space="preserve"> care deficiencies revealed to have a strong impact on infection relapse and readmission risk, thus pointing to failures in the overall system outside the hospital environment. It is worth mentioning that </w:t>
      </w:r>
      <w:r>
        <w:t>patients</w:t>
      </w:r>
      <w:r>
        <w:t xml:space="preserve"> </w:t>
      </w:r>
      <w:r>
        <w:t>in general did not know much about infection management after discharge even though they were given clinical treatment. These considerations serve as proof that infection-related rehospitalisation is a system-level issue and therefore, the choice of methodology is ​‍​‌‍​‍‌justified.</w:t>
      </w:r>
    </w:p>
    <w:bookmarkStart w:id="130" w:name="_Toc218894247"/>
    <w:p>
      <w:pPr>
        <w:pStyle w:val="style2"/>
        <w:rPr/>
      </w:pPr>
      <w:r>
        <w:t>6.</w:t>
      </w:r>
      <w:r>
        <w:t>5</w:t>
      </w:r>
      <w:r>
        <w:t xml:space="preserve"> Recommendations for practice</w:t>
      </w:r>
      <w:bookmarkEnd w:id="130"/>
      <w:r>
        <w:t xml:space="preserve"> </w:t>
      </w:r>
    </w:p>
    <w:p>
      <w:pPr>
        <w:pStyle w:val="style0"/>
        <w:rPr/>
      </w:pPr>
      <w:r>
        <w:t>This​‍​‌‍​‍‌ review indicates a list of practice-oriented measures that can help lower infection-related rehospitalisation</w:t>
      </w:r>
      <w:r>
        <w:t xml:space="preserve"> and positively </w:t>
      </w:r>
      <w:r>
        <w:t>impact social</w:t>
      </w:r>
      <w:r>
        <w:t xml:space="preserve"> care settings</w:t>
      </w:r>
      <w:r>
        <w:t>;</w:t>
      </w:r>
      <w:r>
        <w:t xml:space="preserve"> however, it accepts that there are limitations in UK health and social care systems.</w:t>
      </w:r>
    </w:p>
    <w:bookmarkStart w:id="131" w:name="_Toc218894248"/>
    <w:p>
      <w:pPr>
        <w:pStyle w:val="style3"/>
        <w:rPr/>
      </w:pPr>
      <w:r>
        <w:t>6.</w:t>
      </w:r>
      <w:r>
        <w:t>5</w:t>
      </w:r>
      <w:r>
        <w:t xml:space="preserve">.1 </w:t>
      </w:r>
      <w:r>
        <w:t>Public health practice</w:t>
      </w:r>
      <w:bookmarkEnd w:id="131"/>
      <w:r>
        <w:t xml:space="preserve"> </w:t>
      </w:r>
    </w:p>
    <w:p>
      <w:pPr>
        <w:pStyle w:val="style0"/>
        <w:rPr/>
      </w:pPr>
      <w:r>
        <w:t xml:space="preserve">Monitoring of infections after a discharge can be made more effective if the observation is within the confines of hospitals </w:t>
      </w:r>
      <w:r>
        <w:t>and</w:t>
      </w:r>
      <w:r>
        <w:t xml:space="preserve"> extended to the community</w:t>
      </w:r>
      <w:r>
        <w:t xml:space="preserve"> (</w:t>
      </w:r>
      <w:r>
        <w:t>like</w:t>
      </w:r>
      <w:r>
        <w:t xml:space="preserve"> primary care practitioners, health visitors, carers,</w:t>
      </w:r>
      <w:r>
        <w:t xml:space="preserve"> and so on</w:t>
      </w:r>
      <w:r>
        <w:t>)</w:t>
      </w:r>
      <w:r>
        <w:t>, especially for vulnerable adults. Better communication and information sharing between hospitals, general practitioner (GP) services, and public health can lead to quicker identification of the worsening of an infection</w:t>
      </w:r>
      <w:r>
        <w:t xml:space="preserve"> (</w:t>
      </w:r>
      <w:r>
        <w:rPr>
          <w:color w:val="000000"/>
        </w:rPr>
        <w:t>Filip</w:t>
      </w:r>
      <w:r>
        <w:rPr>
          <w:color w:val="000000"/>
        </w:rPr>
        <w:t xml:space="preserve"> </w:t>
      </w:r>
      <w:r>
        <w:rPr>
          <w:i/>
          <w:iCs/>
          <w:color w:val="000000"/>
        </w:rPr>
        <w:t xml:space="preserve">et al. </w:t>
      </w:r>
      <w:r>
        <w:rPr>
          <w:color w:val="000000"/>
        </w:rPr>
        <w:t>2022</w:t>
      </w:r>
      <w:r>
        <w:t>)</w:t>
      </w:r>
      <w:r>
        <w:t>. Taking antimicrobial stewardship practice to the community and social care levels may also be helpful in controlling antibiotic overuse and thereby preventing antimicrobial resistance that is responsible for the appearance and spread of infections as well as subsequent hospitalisations.</w:t>
      </w:r>
    </w:p>
    <w:bookmarkStart w:id="132" w:name="_Toc218894249"/>
    <w:p>
      <w:pPr>
        <w:pStyle w:val="style3"/>
        <w:rPr/>
      </w:pPr>
      <w:r>
        <w:t>6.</w:t>
      </w:r>
      <w:r>
        <w:t>5</w:t>
      </w:r>
      <w:r>
        <w:t>.2 Clinical practice</w:t>
      </w:r>
      <w:bookmarkEnd w:id="132"/>
      <w:r>
        <w:t xml:space="preserve"> </w:t>
      </w:r>
    </w:p>
    <w:p>
      <w:pPr>
        <w:pStyle w:val="style0"/>
        <w:rPr/>
      </w:pPr>
      <w:r>
        <w:t>Discharge infection education should form an integral part of discharge process where information given to patients and their caregivers must be simple and straightforward</w:t>
      </w:r>
      <w:r>
        <w:t xml:space="preserve"> (</w:t>
      </w:r>
      <w:r>
        <w:rPr>
          <w:color w:val="000000"/>
        </w:rPr>
        <w:t>Topham</w:t>
      </w:r>
      <w:r>
        <w:rPr>
          <w:color w:val="000000"/>
        </w:rPr>
        <w:t xml:space="preserve"> </w:t>
      </w:r>
      <w:r>
        <w:rPr>
          <w:i/>
          <w:iCs/>
          <w:color w:val="000000"/>
        </w:rPr>
        <w:t xml:space="preserve">et al. </w:t>
      </w:r>
      <w:r>
        <w:rPr>
          <w:color w:val="000000"/>
        </w:rPr>
        <w:t>2022</w:t>
      </w:r>
      <w:r>
        <w:t xml:space="preserve">). Therefore, </w:t>
      </w:r>
      <w:r>
        <w:t>they can readily understand the sign</w:t>
      </w:r>
      <w:r>
        <w:t>s</w:t>
      </w:r>
      <w:r>
        <w:t xml:space="preserve"> of danger and the importance of following the treatment regime. Collective accountability of healthcare professionals coming from different disciplines, such as pharmacists and community nurses, may result in better continuity of care</w:t>
      </w:r>
      <w:r>
        <w:t xml:space="preserve">, </w:t>
      </w:r>
      <w:r>
        <w:t>when patients move from one stage to another</w:t>
      </w:r>
      <w:r>
        <w:t xml:space="preserve">; </w:t>
      </w:r>
      <w:r>
        <w:t>thus</w:t>
      </w:r>
      <w:r>
        <w:t>,</w:t>
      </w:r>
      <w:r>
        <w:t xml:space="preserve"> less chance of infections progressing due to discharge gaps.</w:t>
      </w:r>
    </w:p>
    <w:bookmarkStart w:id="133" w:name="_Toc218894250"/>
    <w:p>
      <w:pPr>
        <w:pStyle w:val="style3"/>
        <w:rPr/>
      </w:pPr>
      <w:r>
        <w:t>6.</w:t>
      </w:r>
      <w:r>
        <w:t>5</w:t>
      </w:r>
      <w:r>
        <w:t>.3 Adult social care practice</w:t>
      </w:r>
      <w:bookmarkEnd w:id="133"/>
      <w:r>
        <w:t xml:space="preserve"> </w:t>
      </w:r>
    </w:p>
    <w:p>
      <w:pPr>
        <w:pStyle w:val="style0"/>
        <w:rPr/>
      </w:pPr>
      <w:r>
        <w:t xml:space="preserve">Social care services when engaged early in the discharge planning can be a significant help in identifying the practical problems that hinder infection recovery at a patient's home. More resources in home care, like help in taking medication and home hygiene monitoring, can be instrumental in following infection control measures. </w:t>
      </w:r>
      <w:r>
        <w:t xml:space="preserve">An established relationship between the local authorities and the NHS services </w:t>
      </w:r>
      <w:r>
        <w:t>may</w:t>
      </w:r>
      <w:r>
        <w:t xml:space="preserve"> </w:t>
      </w:r>
      <w:r>
        <w:t>lead to more effective responses and, therefore, reduced cases of avoidable rehospitalisation</w:t>
      </w:r>
      <w:r>
        <w:t xml:space="preserve"> (</w:t>
      </w:r>
      <w:r>
        <w:rPr>
          <w:color w:val="000000"/>
        </w:rPr>
        <w:t>Ford</w:t>
      </w:r>
      <w:r>
        <w:rPr>
          <w:color w:val="000000"/>
        </w:rPr>
        <w:t xml:space="preserve"> </w:t>
      </w:r>
      <w:r>
        <w:rPr>
          <w:i/>
          <w:iCs/>
          <w:color w:val="000000"/>
        </w:rPr>
        <w:t xml:space="preserve">et al. </w:t>
      </w:r>
      <w:r>
        <w:rPr>
          <w:color w:val="000000"/>
        </w:rPr>
        <w:t>2022</w:t>
      </w:r>
      <w:r>
        <w:t>)</w:t>
      </w:r>
      <w:r>
        <w:t>.</w:t>
      </w:r>
      <w:r>
        <w:t xml:space="preserve"> </w:t>
      </w:r>
    </w:p>
    <w:bookmarkStart w:id="134" w:name="_Toc218894251"/>
    <w:p>
      <w:pPr>
        <w:pStyle w:val="style2"/>
        <w:rPr/>
      </w:pPr>
      <w:r>
        <w:t>6.</w:t>
      </w:r>
      <w:r>
        <w:t>6</w:t>
      </w:r>
      <w:r>
        <w:t xml:space="preserve"> Recommendations for future research</w:t>
      </w:r>
      <w:bookmarkEnd w:id="134"/>
    </w:p>
    <w:p>
      <w:pPr>
        <w:pStyle w:val="style0"/>
        <w:rPr/>
      </w:pPr>
      <w:r>
        <w:t xml:space="preserve">Future research It may be possible to expand this review to use quantitative methods to calculate the infection-specific rehospitalisation rates and to better identify high-risk groups. Longitudinal studies would be useful in examining the long-term outcomes of infection recovery after 30 days and in getting an understanding of repetitive patterns of readmission </w:t>
      </w:r>
      <w:r>
        <w:t>(</w:t>
      </w:r>
      <w:r>
        <w:rPr>
          <w:color w:val="000000"/>
        </w:rPr>
        <w:t>Foster</w:t>
      </w:r>
      <w:r>
        <w:rPr>
          <w:color w:val="000000"/>
        </w:rPr>
        <w:t>, 2024</w:t>
      </w:r>
      <w:r>
        <w:t>)</w:t>
      </w:r>
      <w:r>
        <w:t>. The inclusion of the socio-economic status and ethnic diversity in the research would play a significant role in providing an insight into the disparities in the load of infections and the access to post-discharge care. In addition to this, the role of digital tools, antimicrobial stewardship programmes, and the combination of health-social care services on the decrease of infection-related rehospitalisation in different UK Leading environments is to be evaluated through further research.</w:t>
      </w:r>
      <w:r>
        <w:t xml:space="preserve"> </w:t>
      </w:r>
    </w:p>
    <w:bookmarkStart w:id="135" w:name="_Toc218894252"/>
    <w:p>
      <w:pPr>
        <w:pStyle w:val="style2"/>
        <w:rPr/>
      </w:pPr>
      <w:r>
        <w:t>6.</w:t>
      </w:r>
      <w:r>
        <w:t>7</w:t>
      </w:r>
      <w:r>
        <w:t xml:space="preserve"> Contribution to knowledge</w:t>
      </w:r>
      <w:bookmarkEnd w:id="135"/>
      <w:r>
        <w:t xml:space="preserve"> </w:t>
      </w:r>
    </w:p>
    <w:p>
      <w:pPr>
        <w:pStyle w:val="style0"/>
        <w:rPr/>
      </w:pPr>
      <w:r>
        <w:t xml:space="preserve">This​‍​‌‍​‍‌ study shifts the focus of infection-related </w:t>
      </w:r>
      <w:r>
        <w:t>rehospitalizations</w:t>
      </w:r>
      <w:r>
        <w:t xml:space="preserve"> in adults from being viewed as individual clinical failures to a systemic problem of the healthcare system. It unites the public health, clinical care, and adult social care sectors by demonstrating how discontinuities in areas such as discharge planning, antimicrobial stewardship, and </w:t>
      </w:r>
      <w:r>
        <w:t>community support lead to readmission risk</w:t>
      </w:r>
      <w:r>
        <w:t xml:space="preserve"> (</w:t>
      </w:r>
      <w:r>
        <w:rPr>
          <w:color w:val="000000"/>
        </w:rPr>
        <w:t>Patel</w:t>
      </w:r>
      <w:r>
        <w:rPr>
          <w:color w:val="000000"/>
        </w:rPr>
        <w:t xml:space="preserve"> </w:t>
      </w:r>
      <w:r>
        <w:rPr>
          <w:i/>
          <w:iCs/>
          <w:color w:val="000000"/>
        </w:rPr>
        <w:t xml:space="preserve">et al. </w:t>
      </w:r>
      <w:r>
        <w:rPr>
          <w:color w:val="000000"/>
        </w:rPr>
        <w:t>2022</w:t>
      </w:r>
      <w:r>
        <w:t>)</w:t>
      </w:r>
      <w:r>
        <w:t xml:space="preserve">. Systems Theory is used to deepen the insight into the healthcare system by revealing how hospitals, primary care, social services, and public health are parts of one system </w:t>
      </w:r>
      <w:r>
        <w:t xml:space="preserve">and </w:t>
      </w:r>
      <w:r>
        <w:t xml:space="preserve">are </w:t>
      </w:r>
      <w:r>
        <w:t>interdependent, meaning that lack of coordination leads to infection recurrence</w:t>
      </w:r>
      <w:r>
        <w:t xml:space="preserve"> and readmissions</w:t>
      </w:r>
      <w:r>
        <w:t xml:space="preserve">. This holistic approach unveils the gap in the current literature, which is mainly focused on in-hospital care. The study is extremely pertinent to healthcare policy in the UK and is in line with the integration of care systems, prevention, and decreasing the load on acute services initiatives. The research </w:t>
      </w:r>
      <w:r>
        <w:t>promotes</w:t>
      </w:r>
      <w:r>
        <w:t xml:space="preserve"> </w:t>
      </w:r>
      <w:r>
        <w:t>a service design that puts continuity, shared responsibility, and infection management at the system ​‍​‌‍​‍‌level.</w:t>
      </w:r>
    </w:p>
    <w:p>
      <w:pPr>
        <w:pStyle w:val="style0"/>
        <w:spacing w:after="0"/>
        <w:rPr/>
      </w:pPr>
      <w:r>
        <w:t xml:space="preserve"> </w:t>
      </w:r>
      <w:r>
        <w:tab/>
      </w:r>
      <w:r>
        <w:rPr>
          <w:rFonts w:eastAsia="Calibri"/>
        </w:rPr>
        <w:t xml:space="preserve"> </w:t>
      </w:r>
    </w:p>
    <w:p>
      <w:pPr>
        <w:pStyle w:val="style0"/>
        <w:rPr>
          <w:rFonts w:eastAsia="Times New Roman"/>
          <w:b/>
          <w:sz w:val="24"/>
        </w:rPr>
      </w:pPr>
      <w:r>
        <w:br w:type="page"/>
      </w:r>
    </w:p>
    <w:bookmarkStart w:id="136" w:name="_Toc214575511"/>
    <w:bookmarkStart w:id="137" w:name="_Toc218894253"/>
    <w:p>
      <w:pPr>
        <w:pStyle w:val="style1"/>
        <w:ind w:left="12" w:right="6"/>
        <w:rPr>
          <w:rFonts w:cs="Arial"/>
        </w:rPr>
      </w:pPr>
      <w:r>
        <w:rPr>
          <w:rFonts w:cs="Arial"/>
        </w:rPr>
        <w:t>Reference list</w:t>
      </w:r>
      <w:bookmarkEnd w:id="136"/>
      <w:bookmarkEnd w:id="137"/>
      <w:r>
        <w:rPr>
          <w:rFonts w:cs="Arial"/>
        </w:rPr>
        <w:t xml:space="preserve"> </w:t>
      </w:r>
    </w:p>
    <w:p>
      <w:pPr>
        <w:pStyle w:val="style0"/>
        <w:rPr/>
      </w:pPr>
      <w:r>
        <w:t>Abam, J., 2025. Quality Improvement Project: Improving Access to Early Intervention for Prediabetic Patients in Primary Care.</w:t>
      </w:r>
      <w:r>
        <w:t xml:space="preserve"> </w:t>
      </w:r>
      <w:r>
        <w:rPr/>
        <w:fldChar w:fldCharType="begin"/>
      </w:r>
      <w:r>
        <w:instrText xml:space="preserve"> HYPERLINK "https://arch.astate.edu/cgi/viewcontent.cgi?article=1101&amp;context=dnp-projects" </w:instrText>
      </w:r>
      <w:r>
        <w:rPr/>
        <w:fldChar w:fldCharType="separate"/>
      </w:r>
      <w:r>
        <w:rPr>
          <w:rStyle w:val="style85"/>
        </w:rPr>
        <w:t>https://arch.astate.edu/cgi/viewcontent.cgi?article=1101&amp;context=dnp-projects</w:t>
      </w:r>
      <w:r>
        <w:rPr/>
        <w:fldChar w:fldCharType="end"/>
      </w:r>
      <w:r>
        <w:t xml:space="preserve"> </w:t>
      </w:r>
    </w:p>
    <w:p>
      <w:pPr>
        <w:pStyle w:val="style0"/>
        <w:rPr/>
      </w:pPr>
      <w:r>
        <w:t>Adeleke, O. and Olajide, O., 2024. Conceptual framework for health-care project management: past and emerging models. </w:t>
      </w:r>
      <w:r>
        <w:rPr>
          <w:i/>
          <w:iCs/>
        </w:rPr>
        <w:t>Int J Multidisciplinary Res Growth Evaluation</w:t>
      </w:r>
      <w:r>
        <w:t>, </w:t>
      </w:r>
      <w:r>
        <w:rPr>
          <w:i/>
          <w:iCs/>
        </w:rPr>
        <w:t>5</w:t>
      </w:r>
      <w:r>
        <w:t>, pp.1685-700.</w:t>
      </w:r>
      <w:r>
        <w:t xml:space="preserve"> </w:t>
      </w:r>
      <w:r>
        <w:rPr/>
        <w:fldChar w:fldCharType="begin"/>
      </w:r>
      <w:r>
        <w:instrText xml:space="preserve"> HYPERLINK "https://doi.org/10.54660/.IJMRGE.2024.5.3.1084-10" </w:instrText>
      </w:r>
      <w:r>
        <w:rPr/>
        <w:fldChar w:fldCharType="separate"/>
      </w:r>
      <w:r>
        <w:rPr>
          <w:rStyle w:val="style85"/>
        </w:rPr>
        <w:t>https://doi.org/10.54660/.IJMRGE.2024.5.3.1084-10</w:t>
      </w:r>
      <w:r>
        <w:rPr/>
        <w:fldChar w:fldCharType="end"/>
      </w:r>
      <w:r>
        <w:t xml:space="preserve"> </w:t>
      </w:r>
    </w:p>
    <w:bookmarkStart w:id="138" w:name="_Hlk213677885"/>
    <w:p>
      <w:pPr>
        <w:pStyle w:val="style0"/>
        <w:rPr/>
      </w:pPr>
      <w:r>
        <w:t>Alanazi</w:t>
      </w:r>
      <w:bookmarkEnd w:id="138"/>
      <w:r>
        <w:t xml:space="preserve">, A.H.K., Alhazmi, A.M., </w:t>
      </w:r>
      <w:r>
        <w:t>Alruwaili</w:t>
      </w:r>
      <w:r>
        <w:t xml:space="preserve">, F.B., Alenzi, R.R.S., </w:t>
      </w:r>
      <w:r>
        <w:t>Alhazmy</w:t>
      </w:r>
      <w:r>
        <w:t>, A.M. and Alshammari, N.S.M., (2024). Nursing care for patients before and after surgery: strategies to ensure safe and effective recovery. </w:t>
      </w:r>
      <w:r>
        <w:rPr>
          <w:i/>
          <w:iCs/>
        </w:rPr>
        <w:t>Gland Surgery</w:t>
      </w:r>
      <w:r>
        <w:t>, </w:t>
      </w:r>
      <w:r>
        <w:rPr>
          <w:i/>
          <w:iCs/>
        </w:rPr>
        <w:t>9</w:t>
      </w:r>
      <w:r>
        <w:t>(2), pp.478-484.</w:t>
      </w:r>
      <w:r>
        <w:t xml:space="preserve"> </w:t>
      </w:r>
      <w:r>
        <w:rPr/>
        <w:fldChar w:fldCharType="begin"/>
      </w:r>
      <w:r>
        <w:instrText xml:space="preserve"> HYPERLINK "http://www.glandsurgery.net/index.php/GS/article/download/126/110" </w:instrText>
      </w:r>
      <w:r>
        <w:rPr/>
        <w:fldChar w:fldCharType="separate"/>
      </w:r>
      <w:r>
        <w:rPr>
          <w:rStyle w:val="style85"/>
        </w:rPr>
        <w:t>http://www.glandsurgery.net/index.php/GS/article/download/126/110</w:t>
      </w:r>
      <w:r>
        <w:rPr/>
        <w:fldChar w:fldCharType="end"/>
      </w:r>
      <w:r>
        <w:t xml:space="preserve"> </w:t>
      </w:r>
    </w:p>
    <w:p>
      <w:pPr>
        <w:pStyle w:val="style0"/>
        <w:rPr/>
      </w:pPr>
      <w:r>
        <w:t>Alharahsheh, H.H. and Pius, A., 2020. A review of key paradigms: Positivism VS interpretivism. </w:t>
      </w:r>
      <w:r>
        <w:rPr>
          <w:i/>
          <w:iCs/>
        </w:rPr>
        <w:t>Global academic journal of humanities and social sciences</w:t>
      </w:r>
      <w:r>
        <w:t>, </w:t>
      </w:r>
      <w:r>
        <w:rPr>
          <w:i/>
          <w:iCs/>
        </w:rPr>
        <w:t>2</w:t>
      </w:r>
      <w:r>
        <w:t>(3), pp.39-43.</w:t>
      </w:r>
      <w:r>
        <w:t xml:space="preserve"> </w:t>
      </w:r>
      <w:r>
        <w:rPr/>
        <w:fldChar w:fldCharType="begin"/>
      </w:r>
      <w:r>
        <w:instrText xml:space="preserve"> HYPERLINK "https://doi.org/10.36348/gajhss.2020.v02i03.001" </w:instrText>
      </w:r>
      <w:r>
        <w:rPr/>
        <w:fldChar w:fldCharType="separate"/>
      </w:r>
      <w:r>
        <w:rPr>
          <w:rStyle w:val="style85"/>
        </w:rPr>
        <w:t>https://doi.org/10.36348/gajhss.2020.v02i03.001</w:t>
      </w:r>
      <w:r>
        <w:rPr/>
        <w:fldChar w:fldCharType="end"/>
      </w:r>
      <w:r>
        <w:t xml:space="preserve"> </w:t>
      </w:r>
    </w:p>
    <w:p>
      <w:pPr>
        <w:pStyle w:val="style0"/>
        <w:rPr/>
      </w:pPr>
      <w:r>
        <w:t>Ali, M., Shah, A.A. and Shah, S.A.A., 2021. Positivism and interpretivism. </w:t>
      </w:r>
      <w:r>
        <w:rPr>
          <w:i/>
          <w:iCs/>
        </w:rPr>
        <w:t>Qlantic</w:t>
      </w:r>
      <w:r>
        <w:rPr>
          <w:i/>
          <w:iCs/>
        </w:rPr>
        <w:t xml:space="preserve"> Journal of Social Sciences</w:t>
      </w:r>
      <w:r>
        <w:t>, </w:t>
      </w:r>
      <w:r>
        <w:rPr>
          <w:i/>
          <w:iCs/>
        </w:rPr>
        <w:t>2</w:t>
      </w:r>
      <w:r>
        <w:t>(1), pp.20-26.</w:t>
      </w:r>
      <w:r>
        <w:t xml:space="preserve"> </w:t>
      </w:r>
      <w:r>
        <w:rPr/>
        <w:fldChar w:fldCharType="begin"/>
      </w:r>
      <w:r>
        <w:instrText xml:space="preserve"> HYPERLINK "https://doi.org/10.55737/qjss.928180731" </w:instrText>
      </w:r>
      <w:r>
        <w:rPr/>
        <w:fldChar w:fldCharType="separate"/>
      </w:r>
      <w:r>
        <w:rPr>
          <w:rStyle w:val="style85"/>
        </w:rPr>
        <w:t>https://doi.org/10.55737/qjss.928180731</w:t>
      </w:r>
      <w:r>
        <w:rPr/>
        <w:fldChar w:fldCharType="end"/>
      </w:r>
      <w:r>
        <w:t xml:space="preserve"> </w:t>
      </w:r>
    </w:p>
    <w:p>
      <w:pPr>
        <w:pStyle w:val="style0"/>
        <w:rPr/>
      </w:pPr>
      <w:r>
        <w:t>Aljamali</w:t>
      </w:r>
      <w:r>
        <w:t>, N.M., Al-</w:t>
      </w:r>
      <w:r>
        <w:t>zubaidy</w:t>
      </w:r>
      <w:r>
        <w:t>, Z.H. and Enad, A.H., 2021. Bacterial infection and common bacterial diseases: A Review. </w:t>
      </w:r>
      <w:r>
        <w:rPr>
          <w:i/>
          <w:iCs/>
        </w:rPr>
        <w:t xml:space="preserve">Pharm. </w:t>
      </w:r>
      <w:r>
        <w:rPr>
          <w:i/>
          <w:iCs/>
        </w:rPr>
        <w:t>Nanotechnol</w:t>
      </w:r>
      <w:r>
        <w:t>, </w:t>
      </w:r>
      <w:r>
        <w:rPr>
          <w:i/>
          <w:iCs/>
        </w:rPr>
        <w:t>3</w:t>
      </w:r>
      <w:r>
        <w:t>, pp.13-23.</w:t>
      </w:r>
      <w:r>
        <w:t xml:space="preserve"> </w:t>
      </w:r>
      <w:r>
        <w:rPr/>
        <w:fldChar w:fldCharType="begin"/>
      </w:r>
      <w:r>
        <w:instrText xml:space="preserve"> HYPERLINK "https://www.researchgate.net/profile/Nagham-Aljamali/publication/355485693_Bacterial_Infection_and_Common_Bacterial_Diseases_A_Review/links/61750719eef53e51e1db7f03/Bacterial-Infection-and-Common-Bacterial-Diseases-A-Review.pdf" </w:instrText>
      </w:r>
      <w:r>
        <w:rPr/>
        <w:fldChar w:fldCharType="separate"/>
      </w:r>
      <w:r>
        <w:rPr>
          <w:rStyle w:val="style85"/>
        </w:rPr>
        <w:t>https://www.researchgate.net/profile/Nagham-Aljamali/publication/355485693_Bacterial_Infection_and_Common_Bacterial_Diseases_A_Review/links/61750719eef53e51e1db7f03/Bacterial-Infection-and-Common-Bacterial-Diseases-A-Review.pdf</w:t>
      </w:r>
      <w:r>
        <w:rPr/>
        <w:fldChar w:fldCharType="end"/>
      </w:r>
      <w:r>
        <w:t xml:space="preserve"> </w:t>
      </w:r>
    </w:p>
    <w:p>
      <w:pPr>
        <w:pStyle w:val="style0"/>
        <w:rPr/>
      </w:pPr>
      <w:r>
        <w:t xml:space="preserve">Alkhateeb, F.A., </w:t>
      </w:r>
      <w:r>
        <w:t>Alabyati</w:t>
      </w:r>
      <w:r>
        <w:t xml:space="preserve">, A.G., </w:t>
      </w:r>
      <w:r>
        <w:t>Hazzazi</w:t>
      </w:r>
      <w:r>
        <w:t>, F.M., Abdulrazaq, F.A. and Almutairi, R.A.A., 2025. Role of Social Services in Enabling Families to Care for Long-Stay Patients after Discharge from the Hospital: A Comprehensive Review. </w:t>
      </w:r>
      <w:r>
        <w:rPr>
          <w:i/>
          <w:iCs/>
        </w:rPr>
        <w:t>Saudi J Med Pharm Sci</w:t>
      </w:r>
      <w:r>
        <w:t>, </w:t>
      </w:r>
      <w:r>
        <w:rPr>
          <w:i/>
          <w:iCs/>
        </w:rPr>
        <w:t>11</w:t>
      </w:r>
      <w:r>
        <w:t>(5), pp.394-400.</w:t>
      </w:r>
      <w:r>
        <w:t xml:space="preserve"> </w:t>
      </w:r>
      <w:r>
        <w:rPr/>
        <w:fldChar w:fldCharType="begin"/>
      </w:r>
      <w:r>
        <w:instrText xml:space="preserve"> HYPERLINK "https://doi.org/10.36348/sjmps.2025.v11i05.005" </w:instrText>
      </w:r>
      <w:r>
        <w:rPr/>
        <w:fldChar w:fldCharType="separate"/>
      </w:r>
      <w:r>
        <w:rPr>
          <w:rStyle w:val="style85"/>
        </w:rPr>
        <w:t>https://doi.org/10.36348/sjmps.2025.v11i05.005</w:t>
      </w:r>
      <w:r>
        <w:rPr/>
        <w:fldChar w:fldCharType="end"/>
      </w:r>
      <w:r>
        <w:t xml:space="preserve"> </w:t>
      </w:r>
    </w:p>
    <w:p>
      <w:pPr>
        <w:pStyle w:val="style0"/>
        <w:rPr/>
      </w:pPr>
      <w:r>
        <w:t>Allen, L.N., Rechel, B., Alton, D., Pettigrew, L.M., McKee, M., Pinto, A.D., Exley, J., Turner-Moss, E., Thomas, K., Mallender, J. and Rajan, D., 2024. Integrating public health and primary care: a framework for seamless collaboration. </w:t>
      </w:r>
      <w:r>
        <w:rPr>
          <w:i/>
          <w:iCs/>
        </w:rPr>
        <w:t>BJGP open</w:t>
      </w:r>
      <w:r>
        <w:t>, </w:t>
      </w:r>
      <w:r>
        <w:rPr>
          <w:i/>
          <w:iCs/>
        </w:rPr>
        <w:t>8</w:t>
      </w:r>
      <w:r>
        <w:t>(4).</w:t>
      </w:r>
      <w:r>
        <w:t xml:space="preserve"> </w:t>
      </w:r>
      <w:r>
        <w:rPr/>
        <w:fldChar w:fldCharType="begin"/>
      </w:r>
      <w:r>
        <w:instrText xml:space="preserve"> HYPERLINK "https://doi.org/10.3399/BJGPO.2024.0096" </w:instrText>
      </w:r>
      <w:r>
        <w:rPr/>
        <w:fldChar w:fldCharType="separate"/>
      </w:r>
      <w:r>
        <w:rPr>
          <w:rStyle w:val="style85"/>
        </w:rPr>
        <w:t>https://doi.org/10.3399/BJGPO.2024.0096</w:t>
      </w:r>
      <w:r>
        <w:rPr/>
        <w:fldChar w:fldCharType="end"/>
      </w:r>
      <w:r>
        <w:t xml:space="preserve"> </w:t>
      </w:r>
    </w:p>
    <w:p>
      <w:pPr>
        <w:pStyle w:val="style0"/>
        <w:rPr/>
      </w:pPr>
      <w:r>
        <w:t>ALOteiby</w:t>
      </w:r>
      <w:r>
        <w:t xml:space="preserve">, N.S.M., </w:t>
      </w:r>
      <w:r>
        <w:t>Kulayb</w:t>
      </w:r>
      <w:r>
        <w:t xml:space="preserve">, F.Z.M.B., </w:t>
      </w:r>
      <w:r>
        <w:t>Alobayli</w:t>
      </w:r>
      <w:r>
        <w:t>, M.Y.S. and Morjan, M.M.A., 2025. The Role of Nursing in Enhancing Infection Prevention in Healthcare Settings.</w:t>
      </w:r>
      <w:r>
        <w:t xml:space="preserve"> </w:t>
      </w:r>
      <w:r>
        <w:rPr/>
        <w:fldChar w:fldCharType="begin"/>
      </w:r>
      <w:r>
        <w:instrText xml:space="preserve"> HYPERLINK "https://sjr-publishing.com/wp-content/uploads/2019/03/The-Role-of-Nursing-in-Enhancing-Infection-Prevention-in-Healthcare-Settings.pdf" </w:instrText>
      </w:r>
      <w:r>
        <w:rPr/>
        <w:fldChar w:fldCharType="separate"/>
      </w:r>
      <w:r>
        <w:rPr>
          <w:rStyle w:val="style85"/>
        </w:rPr>
        <w:t>https://sjr-publishing.com/wp-content/uploads/2019/03/The-Role-of-Nursing-in-Enhancing-Infection-Prevention-in-Healthcare-Settings.pdf</w:t>
      </w:r>
      <w:r>
        <w:rPr/>
        <w:fldChar w:fldCharType="end"/>
      </w:r>
      <w:r>
        <w:t xml:space="preserve"> </w:t>
      </w:r>
    </w:p>
    <w:p>
      <w:pPr>
        <w:pStyle w:val="style0"/>
        <w:rPr/>
      </w:pPr>
      <w:r>
        <w:t>Ashiru-</w:t>
      </w:r>
      <w:r>
        <w:t>Oredope</w:t>
      </w:r>
      <w:r>
        <w:t>, D., Cunningham, N., Casale, E., Muller-Pebody, B., Hope, R., Brown, C.S. and Hopkins, S., 2023. Reporting England’s progress towards the ambitions in the UK action plan for antimicrobial resistance: the English surveillance programme for antimicrobial utilisation and resistance (ESPAUR). </w:t>
      </w:r>
      <w:r>
        <w:rPr>
          <w:i/>
          <w:iCs/>
        </w:rPr>
        <w:t>Journal of Antimicrobial Chemotherapy</w:t>
      </w:r>
      <w:r>
        <w:t>, </w:t>
      </w:r>
      <w:r>
        <w:rPr>
          <w:i/>
          <w:iCs/>
        </w:rPr>
        <w:t>78</w:t>
      </w:r>
      <w:r>
        <w:t>(10), pp.2387-2391.</w:t>
      </w:r>
      <w:r>
        <w:t xml:space="preserve"> </w:t>
      </w:r>
      <w:r>
        <w:rPr/>
        <w:fldChar w:fldCharType="begin"/>
      </w:r>
      <w:r>
        <w:instrText xml:space="preserve"> HYPERLINK "https://doi.org/10.1093/jac/dkad248" </w:instrText>
      </w:r>
      <w:r>
        <w:rPr/>
        <w:fldChar w:fldCharType="separate"/>
      </w:r>
      <w:r>
        <w:rPr>
          <w:rStyle w:val="style85"/>
        </w:rPr>
        <w:t>https://doi.org/10.1093/jac/dkad248</w:t>
      </w:r>
      <w:r>
        <w:rPr/>
        <w:fldChar w:fldCharType="end"/>
      </w:r>
      <w:r>
        <w:t xml:space="preserve"> </w:t>
      </w:r>
    </w:p>
    <w:p>
      <w:pPr>
        <w:pStyle w:val="style0"/>
        <w:rPr/>
      </w:pPr>
      <w:r>
        <w:t>Azarian, M., Yu, H., Shiferaw, A.T. and Stevik, T.K., 2023. Do we perform systematic literature review right? A scientific mapping and methodological assessment. </w:t>
      </w:r>
      <w:r>
        <w:rPr>
          <w:i/>
          <w:iCs/>
        </w:rPr>
        <w:t>Logistics</w:t>
      </w:r>
      <w:r>
        <w:t>, </w:t>
      </w:r>
      <w:r>
        <w:rPr>
          <w:i/>
          <w:iCs/>
        </w:rPr>
        <w:t>7</w:t>
      </w:r>
      <w:r>
        <w:t>(4), p.89.</w:t>
      </w:r>
      <w:r>
        <w:t xml:space="preserve"> </w:t>
      </w:r>
      <w:r>
        <w:rPr/>
        <w:fldChar w:fldCharType="begin"/>
      </w:r>
      <w:r>
        <w:instrText xml:space="preserve"> HYPERLINK "https://doi.org/10.3390/logistics7040089" </w:instrText>
      </w:r>
      <w:r>
        <w:rPr/>
        <w:fldChar w:fldCharType="separate"/>
      </w:r>
      <w:r>
        <w:rPr>
          <w:rStyle w:val="style85"/>
        </w:rPr>
        <w:t>https://doi.org/10.3390/logistics7040089</w:t>
      </w:r>
      <w:r>
        <w:rPr/>
        <w:fldChar w:fldCharType="end"/>
      </w:r>
      <w:r>
        <w:t xml:space="preserve"> </w:t>
      </w:r>
    </w:p>
    <w:p>
      <w:pPr>
        <w:pStyle w:val="style0"/>
        <w:rPr/>
      </w:pPr>
      <w:r>
        <w:t xml:space="preserve">Babich, T., Eliakim-Raz, N., Turjeman, A., Pujol, M., </w:t>
      </w:r>
      <w:r>
        <w:t>Carratalà</w:t>
      </w:r>
      <w:r>
        <w:t>, J., Shaw, E., Gomila Grange, A., Vuong, C., Addy, I., Wiegand, I. and Grier, S., 2021. Risk factors for hospital readmission following complicated urinary tract infection. </w:t>
      </w:r>
      <w:r>
        <w:rPr>
          <w:i/>
          <w:iCs/>
        </w:rPr>
        <w:t>Scientific Reports</w:t>
      </w:r>
      <w:r>
        <w:t>, </w:t>
      </w:r>
      <w:r>
        <w:rPr>
          <w:i/>
          <w:iCs/>
        </w:rPr>
        <w:t>11</w:t>
      </w:r>
      <w:r>
        <w:t>(1), p.6926.</w:t>
      </w:r>
      <w:r>
        <w:rPr>
          <w:rFonts w:ascii="Segoe UI" w:cs="Segoe UI" w:hAnsi="Segoe UI"/>
          <w:color w:val="222222"/>
          <w:shd w:val="clear" w:color="auto" w:fill="ffffff"/>
        </w:rPr>
        <w:t xml:space="preserve"> </w:t>
      </w:r>
      <w:r>
        <w:rPr/>
        <w:fldChar w:fldCharType="begin"/>
      </w:r>
      <w:r>
        <w:instrText xml:space="preserve"> HYPERLINK "https://doi.org/10.1038/s41598-021-86246-7" </w:instrText>
      </w:r>
      <w:r>
        <w:rPr/>
        <w:fldChar w:fldCharType="separate"/>
      </w:r>
      <w:r>
        <w:rPr>
          <w:rStyle w:val="style85"/>
        </w:rPr>
        <w:t>https://doi.org/10.1038/s41598-021-86246-7</w:t>
      </w:r>
      <w:r>
        <w:rPr/>
        <w:fldChar w:fldCharType="end"/>
      </w:r>
      <w:r>
        <w:t xml:space="preserve"> </w:t>
      </w:r>
    </w:p>
    <w:p>
      <w:pPr>
        <w:pStyle w:val="style0"/>
        <w:rPr/>
      </w:pPr>
      <w:r>
        <w:t>Beatty, S., Penn, J., O’Donnell, M. and Villwock, J., 2023. Qualitative study assessing factors for 30-day readmissions: a head and neck oncology cohort. </w:t>
      </w:r>
      <w:r>
        <w:rPr>
          <w:i/>
          <w:iCs/>
        </w:rPr>
        <w:t>Annals of Otology, Rhinology &amp; Laryngology</w:t>
      </w:r>
      <w:r>
        <w:t>, </w:t>
      </w:r>
      <w:r>
        <w:rPr>
          <w:i/>
          <w:iCs/>
        </w:rPr>
        <w:t>132</w:t>
      </w:r>
      <w:r>
        <w:t>(11), pp.1293-1299.</w:t>
      </w:r>
      <w:r>
        <w:t xml:space="preserve"> </w:t>
      </w:r>
      <w:r>
        <w:rPr/>
        <w:fldChar w:fldCharType="begin"/>
      </w:r>
      <w:r>
        <w:instrText xml:space="preserve"> HYPERLINK "https://doi.org/10.1177/00034894221147809" </w:instrText>
      </w:r>
      <w:r>
        <w:rPr/>
        <w:fldChar w:fldCharType="separate"/>
      </w:r>
      <w:r>
        <w:rPr>
          <w:rStyle w:val="style85"/>
        </w:rPr>
        <w:t>https://doi.org/10.1177/00034894221147809</w:t>
      </w:r>
      <w:r>
        <w:rPr/>
        <w:fldChar w:fldCharType="end"/>
      </w:r>
      <w:r>
        <w:t xml:space="preserve"> </w:t>
      </w:r>
    </w:p>
    <w:p>
      <w:pPr>
        <w:pStyle w:val="style0"/>
        <w:rPr/>
      </w:pPr>
      <w:r>
        <w:t>Bensken</w:t>
      </w:r>
      <w:r>
        <w:t xml:space="preserve">, W.P., Alberti, P.M. and </w:t>
      </w:r>
      <w:r>
        <w:t>Koroukian</w:t>
      </w:r>
      <w:r>
        <w:t>, S.M., (2021). Health-related social needs and increased readmission rates: findings from the nationwide readmissions database. </w:t>
      </w:r>
      <w:r>
        <w:rPr>
          <w:i/>
          <w:iCs/>
        </w:rPr>
        <w:t>Journal of general internal medicine</w:t>
      </w:r>
      <w:r>
        <w:t>, </w:t>
      </w:r>
      <w:r>
        <w:rPr>
          <w:i/>
          <w:iCs/>
        </w:rPr>
        <w:t>36</w:t>
      </w:r>
      <w:r>
        <w:t>(5), pp.1173-1180.</w:t>
      </w:r>
      <w:r>
        <w:t xml:space="preserve"> </w:t>
      </w:r>
      <w:r>
        <w:rPr/>
        <w:fldChar w:fldCharType="begin"/>
      </w:r>
      <w:r>
        <w:instrText xml:space="preserve"> HYPERLINK "https://doi.org/10.1007/s11606-021-06646-3" </w:instrText>
      </w:r>
      <w:r>
        <w:rPr/>
        <w:fldChar w:fldCharType="separate"/>
      </w:r>
      <w:r>
        <w:rPr>
          <w:rStyle w:val="style85"/>
        </w:rPr>
        <w:t>https://doi.org/10.1007/s11606-021-06646-3</w:t>
      </w:r>
      <w:r>
        <w:rPr/>
        <w:fldChar w:fldCharType="end"/>
      </w:r>
      <w:r>
        <w:t xml:space="preserve"> </w:t>
      </w:r>
    </w:p>
    <w:p>
      <w:pPr>
        <w:pStyle w:val="style0"/>
        <w:rPr/>
      </w:pPr>
      <w:r>
        <w:t>Boncea</w:t>
      </w:r>
      <w:r>
        <w:t xml:space="preserve">, E.E., Expert, P., Honeyford, K., </w:t>
      </w:r>
      <w:r>
        <w:t>Kinderlerer</w:t>
      </w:r>
      <w:r>
        <w:t>, A., Mitchell, C., Cooke, G.S., Mercuri, L. and Costelloe, C.E., (2021). Association between intrahospital transfer and hospital-acquired infection in the elderly: a retrospective case–control study in a UK hospital network. </w:t>
      </w:r>
      <w:r>
        <w:rPr>
          <w:i/>
          <w:iCs/>
        </w:rPr>
        <w:t>BMJ quality &amp; safety</w:t>
      </w:r>
      <w:r>
        <w:t>, </w:t>
      </w:r>
      <w:r>
        <w:rPr>
          <w:i/>
          <w:iCs/>
        </w:rPr>
        <w:t>30</w:t>
      </w:r>
      <w:r>
        <w:t xml:space="preserve">(6), pp.457-466. </w:t>
      </w:r>
      <w:r>
        <w:rPr/>
        <w:fldChar w:fldCharType="begin"/>
      </w:r>
      <w:r>
        <w:instrText xml:space="preserve"> HYPERLINK "https://doi.org/10.1136/bmjqs-2020-012124" </w:instrText>
      </w:r>
      <w:r>
        <w:rPr/>
        <w:fldChar w:fldCharType="separate"/>
      </w:r>
      <w:r>
        <w:rPr>
          <w:rStyle w:val="style85"/>
        </w:rPr>
        <w:t>https://doi.org/10.1136/bmjqs-2020-012124</w:t>
      </w:r>
      <w:r>
        <w:rPr/>
        <w:fldChar w:fldCharType="end"/>
      </w:r>
      <w:r>
        <w:t xml:space="preserve"> </w:t>
      </w:r>
    </w:p>
    <w:p>
      <w:pPr>
        <w:pStyle w:val="style0"/>
        <w:rPr/>
      </w:pPr>
      <w:r>
        <w:t>Boone, A.W., McCoy, T.P., Kennedy-Malone, L., Wallace, D.C. and Yasin, R., 2023. Characteristics of Hospitalized Adults 55 and Older With Clostridioides difficile Infection. </w:t>
      </w:r>
      <w:r>
        <w:rPr>
          <w:i/>
          <w:iCs/>
        </w:rPr>
        <w:t>Gastroenterology Nursing</w:t>
      </w:r>
      <w:r>
        <w:t>, </w:t>
      </w:r>
      <w:r>
        <w:rPr>
          <w:i/>
          <w:iCs/>
        </w:rPr>
        <w:t>46</w:t>
      </w:r>
      <w:r>
        <w:t>(3), pp.181-196.</w:t>
      </w:r>
      <w:r>
        <w:t xml:space="preserve"> </w:t>
      </w:r>
      <w:r>
        <w:rPr/>
        <w:fldChar w:fldCharType="begin"/>
      </w:r>
      <w:r>
        <w:instrText xml:space="preserve"> HYPERLINK "https://doi.org/10.1097/SGA.0000000000000728" </w:instrText>
      </w:r>
      <w:r>
        <w:rPr/>
        <w:fldChar w:fldCharType="separate"/>
      </w:r>
      <w:r>
        <w:rPr>
          <w:rStyle w:val="style85"/>
        </w:rPr>
        <w:t>https://doi.org/10.1097/SGA.0000000000000728</w:t>
      </w:r>
      <w:r>
        <w:rPr/>
        <w:fldChar w:fldCharType="end"/>
      </w:r>
      <w:r>
        <w:t xml:space="preserve"> </w:t>
      </w:r>
    </w:p>
    <w:p>
      <w:pPr>
        <w:pStyle w:val="style0"/>
        <w:rPr/>
      </w:pPr>
      <w:r>
        <w:t>Boutzoukas</w:t>
      </w:r>
      <w:r>
        <w:t>, A. and Doi, Y., 2025. The global epidemiology of carbapenem-resistant Acinetobacter baumannii. </w:t>
      </w:r>
      <w:r>
        <w:rPr>
          <w:i/>
          <w:iCs/>
        </w:rPr>
        <w:t>JAC-antimicrobial resistance</w:t>
      </w:r>
      <w:r>
        <w:t>, </w:t>
      </w:r>
      <w:r>
        <w:rPr>
          <w:i/>
          <w:iCs/>
        </w:rPr>
        <w:t>7</w:t>
      </w:r>
      <w:r>
        <w:t>(4), p.dlaf134.</w:t>
      </w:r>
      <w:r>
        <w:t xml:space="preserve"> </w:t>
      </w:r>
      <w:r>
        <w:rPr/>
        <w:fldChar w:fldCharType="begin"/>
      </w:r>
      <w:r>
        <w:instrText xml:space="preserve"> HYPERLINK "https://doi.org/10.1093/jacamr/dlaf134" </w:instrText>
      </w:r>
      <w:r>
        <w:rPr/>
        <w:fldChar w:fldCharType="separate"/>
      </w:r>
      <w:r>
        <w:rPr>
          <w:rStyle w:val="style85"/>
        </w:rPr>
        <w:t>https://doi.org/10.1093/jacamr/dlaf134</w:t>
      </w:r>
      <w:r>
        <w:rPr/>
        <w:fldChar w:fldCharType="end"/>
      </w:r>
      <w:r>
        <w:t xml:space="preserve"> </w:t>
      </w:r>
    </w:p>
    <w:p>
      <w:pPr>
        <w:pStyle w:val="style0"/>
        <w:rPr/>
      </w:pPr>
      <w:r>
        <w:t>Braun, V. and Clarke, V., 2022. Conceptual and design thinking for thematic analysis. </w:t>
      </w:r>
      <w:r>
        <w:rPr>
          <w:i/>
          <w:iCs/>
        </w:rPr>
        <w:t>Qualitative psychology</w:t>
      </w:r>
      <w:r>
        <w:t>, </w:t>
      </w:r>
      <w:r>
        <w:rPr>
          <w:i/>
          <w:iCs/>
        </w:rPr>
        <w:t>9</w:t>
      </w:r>
      <w:r>
        <w:t>(1), p.3.</w:t>
      </w:r>
      <w:r>
        <w:t xml:space="preserve"> </w:t>
      </w:r>
      <w:r>
        <w:rPr/>
        <w:fldChar w:fldCharType="begin"/>
      </w:r>
      <w:r>
        <w:instrText xml:space="preserve"> HYPERLINK "https://uwe-repository.worktribe.com/index.php/preview/7165036/Conceptual%20and%20design%20thinking%20for%20thematic%20analysis.pdf" </w:instrText>
      </w:r>
      <w:r>
        <w:rPr/>
        <w:fldChar w:fldCharType="separate"/>
      </w:r>
      <w:r>
        <w:rPr>
          <w:rStyle w:val="style85"/>
        </w:rPr>
        <w:t>https://uwe-repository.worktribe.com/index.php/preview/7165036/Conceptual%20and%20design%20thinking%20for%20thematic%20analysis.pdf</w:t>
      </w:r>
      <w:r>
        <w:rPr/>
        <w:fldChar w:fldCharType="end"/>
      </w:r>
      <w:r>
        <w:t xml:space="preserve"> </w:t>
      </w:r>
    </w:p>
    <w:p>
      <w:pPr>
        <w:pStyle w:val="style0"/>
        <w:rPr/>
      </w:pPr>
      <w:r>
        <w:t>Brown, N.M., Goodman, A.L., Horner, C., Jenkins, A. and Brown, E.M., 2021. Treatment of methicillin-resistant Staphylococcus aureus (MRSA): updated guidelines from the UK. </w:t>
      </w:r>
      <w:r>
        <w:rPr>
          <w:i/>
          <w:iCs/>
        </w:rPr>
        <w:t>JAC-antimicrobial resistance</w:t>
      </w:r>
      <w:r>
        <w:t>, </w:t>
      </w:r>
      <w:r>
        <w:rPr>
          <w:i/>
          <w:iCs/>
        </w:rPr>
        <w:t>3</w:t>
      </w:r>
      <w:r>
        <w:t>(1), p.dlaa114.</w:t>
      </w:r>
      <w:r>
        <w:t xml:space="preserve"> </w:t>
      </w:r>
      <w:r>
        <w:rPr/>
        <w:fldChar w:fldCharType="begin"/>
      </w:r>
      <w:r>
        <w:instrText xml:space="preserve"> HYPERLINK "https://doi.org/10.1093/jacamr/dlaa114" </w:instrText>
      </w:r>
      <w:r>
        <w:rPr/>
        <w:fldChar w:fldCharType="separate"/>
      </w:r>
      <w:r>
        <w:rPr>
          <w:rStyle w:val="style85"/>
        </w:rPr>
        <w:t>https://doi.org/10.1093/jacamr/dlaa114</w:t>
      </w:r>
      <w:r>
        <w:rPr/>
        <w:fldChar w:fldCharType="end"/>
      </w:r>
      <w:r>
        <w:t xml:space="preserve"> </w:t>
      </w:r>
    </w:p>
    <w:p>
      <w:pPr>
        <w:pStyle w:val="style0"/>
        <w:rPr>
          <w:color w:val="000000"/>
        </w:rPr>
      </w:pPr>
      <w:r>
        <w:rPr>
          <w:color w:val="000000"/>
        </w:rPr>
        <w:t>Burgher, T., Shepherd, V. and Nollett, C., 2023. Effective approaches to public involvement in care home research: a systematic review and narrative synthesis. </w:t>
      </w:r>
      <w:r>
        <w:rPr>
          <w:i/>
          <w:iCs/>
          <w:color w:val="000000"/>
        </w:rPr>
        <w:t>Research Involvement and Engagement</w:t>
      </w:r>
      <w:r>
        <w:rPr>
          <w:color w:val="000000"/>
        </w:rPr>
        <w:t>, </w:t>
      </w:r>
      <w:r>
        <w:rPr>
          <w:i/>
          <w:iCs/>
          <w:color w:val="000000"/>
        </w:rPr>
        <w:t>9</w:t>
      </w:r>
      <w:r>
        <w:rPr>
          <w:color w:val="000000"/>
        </w:rPr>
        <w:t>(1), p.38.</w:t>
      </w:r>
      <w:r>
        <w:rPr>
          <w:color w:val="000000"/>
        </w:rPr>
        <w:t xml:space="preserve"> </w:t>
      </w:r>
      <w:r>
        <w:rPr/>
        <w:fldChar w:fldCharType="begin"/>
      </w:r>
      <w:r>
        <w:instrText xml:space="preserve"> HYPERLINK "https://doi.org/10.1186/s40900-023-00453-2" </w:instrText>
      </w:r>
      <w:r>
        <w:rPr/>
        <w:fldChar w:fldCharType="separate"/>
      </w:r>
      <w:r>
        <w:rPr>
          <w:rStyle w:val="style85"/>
        </w:rPr>
        <w:t>https://doi.org/10.1186/s40900-023-00453-2</w:t>
      </w:r>
      <w:r>
        <w:rPr/>
        <w:fldChar w:fldCharType="end"/>
      </w:r>
      <w:r>
        <w:rPr>
          <w:color w:val="000000"/>
        </w:rPr>
        <w:t xml:space="preserve"> </w:t>
      </w:r>
    </w:p>
    <w:p>
      <w:pPr>
        <w:pStyle w:val="style0"/>
        <w:rPr/>
      </w:pPr>
      <w:r>
        <w:t xml:space="preserve">Calderwood, M.S., Anderson, D.J., </w:t>
      </w:r>
      <w:r>
        <w:t>Bratzler</w:t>
      </w:r>
      <w:r>
        <w:t xml:space="preserve">, D.W., Dellinger, E.P., Garcia-Houchins, S., Maragakis, L.L., Nyquist, A.C., Perkins, K.M., Preas, M.A., Saiman, L. and </w:t>
      </w:r>
      <w:r>
        <w:t>Schaffzin</w:t>
      </w:r>
      <w:r>
        <w:t>, J.K., 2023. Strategies to prevent surgical site infections in acute-care hospitals: 2022 Update. </w:t>
      </w:r>
      <w:r>
        <w:rPr>
          <w:i/>
          <w:iCs/>
        </w:rPr>
        <w:t>Infection Control &amp; Hospital Epidemiology</w:t>
      </w:r>
      <w:r>
        <w:t>, </w:t>
      </w:r>
      <w:r>
        <w:rPr>
          <w:i/>
          <w:iCs/>
        </w:rPr>
        <w:t>44</w:t>
      </w:r>
      <w:r>
        <w:t>(5), pp.695-720.</w:t>
      </w:r>
      <w:r>
        <w:t xml:space="preserve"> </w:t>
      </w:r>
      <w:r>
        <w:rPr/>
        <w:fldChar w:fldCharType="begin"/>
      </w:r>
      <w:r>
        <w:instrText xml:space="preserve"> HYPERLINK "https://doi.org/10.1017/ice.2023.67" </w:instrText>
      </w:r>
      <w:r>
        <w:rPr/>
        <w:fldChar w:fldCharType="separate"/>
      </w:r>
      <w:r>
        <w:rPr>
          <w:rStyle w:val="style85"/>
        </w:rPr>
        <w:t>https://doi.org/10.1017/ice.2023.67</w:t>
      </w:r>
      <w:r>
        <w:rPr/>
        <w:fldChar w:fldCharType="end"/>
      </w:r>
      <w:r>
        <w:t xml:space="preserve"> </w:t>
      </w:r>
    </w:p>
    <w:p>
      <w:pPr>
        <w:pStyle w:val="style0"/>
        <w:rPr/>
      </w:pPr>
      <w:r>
        <w:t>Campbell, K.A., Cammer, A., Moisey, L.L., Orr, E., Whitmore, C. and Jack, S.M., 2024. Critically appraising and utilising qualitative health research evidence in nutrition practice. </w:t>
      </w:r>
      <w:r>
        <w:rPr>
          <w:i/>
          <w:iCs/>
        </w:rPr>
        <w:t>Journal of Human Nutrition and Dietetics</w:t>
      </w:r>
      <w:r>
        <w:t>, </w:t>
      </w:r>
      <w:r>
        <w:rPr>
          <w:i/>
          <w:iCs/>
        </w:rPr>
        <w:t>37</w:t>
      </w:r>
      <w:r>
        <w:t>(1), pp.377-387.</w:t>
      </w:r>
      <w:r>
        <w:t xml:space="preserve"> </w:t>
      </w:r>
      <w:r>
        <w:rPr/>
        <w:fldChar w:fldCharType="begin"/>
      </w:r>
      <w:r>
        <w:instrText xml:space="preserve"> HYPERLINK "https://doi.org/10.1111/jhn.13259" </w:instrText>
      </w:r>
      <w:r>
        <w:rPr/>
        <w:fldChar w:fldCharType="separate"/>
      </w:r>
      <w:r>
        <w:rPr>
          <w:rStyle w:val="style85"/>
        </w:rPr>
        <w:t>https://doi.org/10.1111/jhn.13259</w:t>
      </w:r>
      <w:r>
        <w:rPr/>
        <w:fldChar w:fldCharType="end"/>
      </w:r>
      <w:r>
        <w:t xml:space="preserve"> </w:t>
      </w:r>
    </w:p>
    <w:p>
      <w:pPr>
        <w:pStyle w:val="style0"/>
        <w:rPr/>
      </w:pPr>
      <w:r>
        <w:t>Codda</w:t>
      </w:r>
      <w:r>
        <w:t>, G., 2024. Next Generation Sequencing-based detection and characterization of microbial pathogens causing invasive infections and outbreaks in ICU: Towards improved management of the high-risk patient.</w:t>
      </w:r>
      <w:r>
        <w:t xml:space="preserve"> </w:t>
      </w:r>
      <w:r>
        <w:rPr/>
        <w:fldChar w:fldCharType="begin"/>
      </w:r>
      <w:r>
        <w:instrText xml:space="preserve"> HYPERLINK "https://tesidottorato.depositolegale.it/bitstream/20.500.14242/68706/1/phdunige_3582503.pdf" </w:instrText>
      </w:r>
      <w:r>
        <w:rPr/>
        <w:fldChar w:fldCharType="separate"/>
      </w:r>
      <w:r>
        <w:rPr>
          <w:rStyle w:val="style85"/>
        </w:rPr>
        <w:t>https://tesidottorato.depositolegale.it/bitstream/20.500.14242/68706/1/phdunige_3582503.pdf</w:t>
      </w:r>
      <w:r>
        <w:rPr/>
        <w:fldChar w:fldCharType="end"/>
      </w:r>
      <w:r>
        <w:t xml:space="preserve"> </w:t>
      </w:r>
    </w:p>
    <w:p>
      <w:pPr>
        <w:pStyle w:val="style0"/>
        <w:rPr/>
      </w:pPr>
      <w:r>
        <w:t xml:space="preserve">Committee of Public Accounts, (2024). Antimicrobial resistance: addressing the risks. Available at: </w:t>
      </w:r>
      <w:r>
        <w:rPr/>
        <w:fldChar w:fldCharType="begin"/>
      </w:r>
      <w:r>
        <w:instrText xml:space="preserve"> HYPERLINK "https://publications.parliament.uk/pa/cm5901/cmselect/cmpubacc/646/report.html" </w:instrText>
      </w:r>
      <w:r>
        <w:rPr/>
        <w:fldChar w:fldCharType="separate"/>
      </w:r>
      <w:r>
        <w:rPr>
          <w:rStyle w:val="style85"/>
        </w:rPr>
        <w:t>https://publications.parliament.uk/pa/cm5901/cmselect/cmpubacc/646/report.html</w:t>
      </w:r>
      <w:r>
        <w:rPr/>
        <w:fldChar w:fldCharType="end"/>
      </w:r>
      <w:r>
        <w:t xml:space="preserve"> </w:t>
      </w:r>
    </w:p>
    <w:p>
      <w:pPr>
        <w:pStyle w:val="style0"/>
        <w:rPr/>
      </w:pPr>
      <w:r>
        <w:t xml:space="preserve">Coppa, K., Kim, E.J., Oppenheim, M.I., Bock, K.R., Conigliaro, J. and Hirsch, J.S., (2021). Examination of post-discharge follow-up appointment status and 30-day </w:t>
      </w:r>
      <w:r>
        <w:t>readmission. </w:t>
      </w:r>
      <w:r>
        <w:rPr>
          <w:i/>
          <w:iCs/>
        </w:rPr>
        <w:t>Journal of General Internal Medicine</w:t>
      </w:r>
      <w:r>
        <w:t>, </w:t>
      </w:r>
      <w:r>
        <w:rPr>
          <w:i/>
          <w:iCs/>
        </w:rPr>
        <w:t>36</w:t>
      </w:r>
      <w:r>
        <w:t>(5), pp.1214-1221.</w:t>
      </w:r>
      <w:r>
        <w:t xml:space="preserve"> </w:t>
      </w:r>
      <w:r>
        <w:rPr/>
        <w:fldChar w:fldCharType="begin"/>
      </w:r>
      <w:r>
        <w:instrText xml:space="preserve"> HYPERLINK "https://doi.org/10.1007/s11606-020-06569-5" </w:instrText>
      </w:r>
      <w:r>
        <w:rPr/>
        <w:fldChar w:fldCharType="separate"/>
      </w:r>
      <w:r>
        <w:rPr>
          <w:rStyle w:val="style85"/>
        </w:rPr>
        <w:t>https://doi.org/10.1007/s11606-020-06569-5</w:t>
      </w:r>
      <w:r>
        <w:rPr/>
        <w:fldChar w:fldCharType="end"/>
      </w:r>
      <w:r>
        <w:t xml:space="preserve"> </w:t>
      </w:r>
      <w:r>
        <w:t xml:space="preserve"> </w:t>
      </w:r>
    </w:p>
    <w:p>
      <w:pPr>
        <w:pStyle w:val="style0"/>
        <w:rPr/>
      </w:pPr>
      <w:r>
        <w:t xml:space="preserve">Cristina, M.L., Spagnolo, A.M., </w:t>
      </w:r>
      <w:r>
        <w:t>Giribone</w:t>
      </w:r>
      <w:r>
        <w:t xml:space="preserve">, L., </w:t>
      </w:r>
      <w:r>
        <w:t>Demartini</w:t>
      </w:r>
      <w:r>
        <w:t>, A. and Sartini, M., 2021. Epidemiology and prevention of healthcare-associated infections in geriatric patients: a narrative review. </w:t>
      </w:r>
      <w:r>
        <w:rPr>
          <w:i/>
          <w:iCs/>
        </w:rPr>
        <w:t>International journal of environmental research and public health</w:t>
      </w:r>
      <w:r>
        <w:t>, </w:t>
      </w:r>
      <w:r>
        <w:rPr>
          <w:i/>
          <w:iCs/>
        </w:rPr>
        <w:t>18</w:t>
      </w:r>
      <w:r>
        <w:t>(10), p.5333.</w:t>
      </w:r>
      <w:r>
        <w:t xml:space="preserve"> </w:t>
      </w:r>
      <w:r>
        <w:rPr/>
        <w:fldChar w:fldCharType="begin"/>
      </w:r>
      <w:r>
        <w:instrText xml:space="preserve"> HYPERLINK "https://doi.org/10.3390/ijerph18105333" </w:instrText>
      </w:r>
      <w:r>
        <w:rPr/>
        <w:fldChar w:fldCharType="separate"/>
      </w:r>
      <w:r>
        <w:rPr>
          <w:rStyle w:val="style85"/>
        </w:rPr>
        <w:t>https://doi.org/10.3390/ijerph18105333</w:t>
      </w:r>
      <w:r>
        <w:rPr/>
        <w:fldChar w:fldCharType="end"/>
      </w:r>
      <w:r>
        <w:t xml:space="preserve"> </w:t>
      </w:r>
    </w:p>
    <w:p>
      <w:pPr>
        <w:pStyle w:val="style0"/>
        <w:rPr/>
      </w:pPr>
      <w:r>
        <w:t>Davey, K. and Aveyard, H., 2022. Nurses’ perceptions of their role in antimicrobial stewardship within the hospital environment. An integrative literature review. </w:t>
      </w:r>
      <w:r>
        <w:rPr>
          <w:i/>
          <w:iCs/>
        </w:rPr>
        <w:t>Journal of Clinical Nursing</w:t>
      </w:r>
      <w:r>
        <w:t>, </w:t>
      </w:r>
      <w:r>
        <w:rPr>
          <w:i/>
          <w:iCs/>
        </w:rPr>
        <w:t>31</w:t>
      </w:r>
      <w:r>
        <w:t>(21-22), pp.3011-3020.</w:t>
      </w:r>
      <w:r>
        <w:t xml:space="preserve"> </w:t>
      </w:r>
      <w:r>
        <w:rPr/>
        <w:fldChar w:fldCharType="begin"/>
      </w:r>
      <w:r>
        <w:instrText xml:space="preserve"> HYPERLINK "https://doi.org/10.1111/jocn.16204" </w:instrText>
      </w:r>
      <w:r>
        <w:rPr/>
        <w:fldChar w:fldCharType="separate"/>
      </w:r>
      <w:r>
        <w:rPr>
          <w:rStyle w:val="style85"/>
        </w:rPr>
        <w:t>https://doi.org/10.1111/jocn.16204</w:t>
      </w:r>
      <w:r>
        <w:rPr/>
        <w:fldChar w:fldCharType="end"/>
      </w:r>
      <w:r>
        <w:t xml:space="preserve"> </w:t>
      </w:r>
    </w:p>
    <w:p>
      <w:pPr>
        <w:pStyle w:val="style0"/>
        <w:rPr/>
      </w:pPr>
      <w:r>
        <w:t>Elkjær, M., Gram, B., Mogensen, C.B., Brabrand, M. and Primdahl, J., 2023. Readmission is experienced as inevitable among older adults receiving homecare: A qualitative interview study. </w:t>
      </w:r>
      <w:r>
        <w:rPr>
          <w:i/>
          <w:iCs/>
        </w:rPr>
        <w:t>Scandinavian Journal of Caring Sciences</w:t>
      </w:r>
      <w:r>
        <w:t>, </w:t>
      </w:r>
      <w:r>
        <w:rPr>
          <w:i/>
          <w:iCs/>
        </w:rPr>
        <w:t>37</w:t>
      </w:r>
      <w:r>
        <w:t>(3), pp.740-751.</w:t>
      </w:r>
      <w:r>
        <w:t xml:space="preserve"> </w:t>
      </w:r>
      <w:r>
        <w:rPr/>
        <w:fldChar w:fldCharType="begin"/>
      </w:r>
      <w:r>
        <w:instrText xml:space="preserve"> HYPERLINK "https://doi.org/10.1111/scs.13157" </w:instrText>
      </w:r>
      <w:r>
        <w:rPr/>
        <w:fldChar w:fldCharType="separate"/>
      </w:r>
      <w:r>
        <w:rPr>
          <w:rStyle w:val="style85"/>
        </w:rPr>
        <w:t>https://doi.org/10.1111/scs.13157</w:t>
      </w:r>
      <w:r>
        <w:rPr/>
        <w:fldChar w:fldCharType="end"/>
      </w:r>
      <w:r>
        <w:t xml:space="preserve"> </w:t>
      </w:r>
    </w:p>
    <w:p>
      <w:pPr>
        <w:pStyle w:val="style0"/>
        <w:rPr/>
      </w:pPr>
      <w:r>
        <w:t xml:space="preserve">Eubank, T.A., </w:t>
      </w:r>
      <w:r>
        <w:t>Jantarathaneewat</w:t>
      </w:r>
      <w:r>
        <w:t>, K., Jo, J. and Garey, K.W., (2024). Estimating Clostridioides difficile infection-associated readmission rates: A systematic review and meta-analysis. </w:t>
      </w:r>
      <w:r>
        <w:rPr>
          <w:i/>
          <w:iCs/>
        </w:rPr>
        <w:t>Infection Control &amp; Hospital Epidemiology</w:t>
      </w:r>
      <w:r>
        <w:t>, </w:t>
      </w:r>
      <w:r>
        <w:rPr>
          <w:i/>
          <w:iCs/>
        </w:rPr>
        <w:t>45</w:t>
      </w:r>
      <w:r>
        <w:t>(10), pp.1197-1201.</w:t>
      </w:r>
      <w:r>
        <w:t xml:space="preserve"> </w:t>
      </w:r>
      <w:r>
        <w:rPr/>
        <w:fldChar w:fldCharType="begin"/>
      </w:r>
      <w:r>
        <w:instrText xml:space="preserve"> HYPERLINK "https://doi.org/10.1017/ice.2024.94" </w:instrText>
      </w:r>
      <w:r>
        <w:rPr/>
        <w:fldChar w:fldCharType="separate"/>
      </w:r>
      <w:r>
        <w:rPr>
          <w:rStyle w:val="style85"/>
        </w:rPr>
        <w:t>https://doi.org/10.1017/ice.2024.94</w:t>
      </w:r>
      <w:r>
        <w:rPr/>
        <w:fldChar w:fldCharType="end"/>
      </w:r>
      <w:r>
        <w:t xml:space="preserve"> </w:t>
      </w:r>
    </w:p>
    <w:p>
      <w:pPr>
        <w:pStyle w:val="style0"/>
        <w:rPr/>
      </w:pPr>
      <w:r>
        <w:t>Eusebio, C. and Leary, A., 2025. Admission avoidance in UK healthcare: What works and what doesn’t? A hermeneutic review. </w:t>
      </w:r>
      <w:r>
        <w:rPr>
          <w:i/>
          <w:iCs/>
        </w:rPr>
        <w:t>medRxiv</w:t>
      </w:r>
      <w:r>
        <w:t>, pp.2025-03.</w:t>
      </w:r>
      <w:r>
        <w:t xml:space="preserve"> </w:t>
      </w:r>
      <w:r>
        <w:rPr/>
        <w:fldChar w:fldCharType="begin"/>
      </w:r>
      <w:r>
        <w:instrText xml:space="preserve"> HYPERLINK "https://doi.org/10.1101/2025.03.06.25323302" </w:instrText>
      </w:r>
      <w:r>
        <w:rPr/>
        <w:fldChar w:fldCharType="separate"/>
      </w:r>
      <w:r>
        <w:rPr>
          <w:rStyle w:val="style85"/>
        </w:rPr>
        <w:t>https://doi.org/10.1101/2025.03.06.25323302</w:t>
      </w:r>
      <w:r>
        <w:rPr/>
        <w:fldChar w:fldCharType="end"/>
      </w:r>
      <w:r>
        <w:t xml:space="preserve"> </w:t>
      </w:r>
    </w:p>
    <w:p>
      <w:pPr>
        <w:pStyle w:val="style0"/>
        <w:rPr/>
      </w:pPr>
      <w:r>
        <w:t>Farooq, U., Tarar, Z.I., Chaudhary, A.J., Alayli, A.E., Kamal, F., Niu, C. and Qureshi, K., (2024). Infection-Related Readmissions Are Rising among Patients with Hepatorenal Syndrome: A Nationwide Analysis. </w:t>
      </w:r>
      <w:r>
        <w:rPr>
          <w:i/>
          <w:iCs/>
        </w:rPr>
        <w:t>Livers</w:t>
      </w:r>
      <w:r>
        <w:t>, </w:t>
      </w:r>
      <w:r>
        <w:rPr>
          <w:i/>
          <w:iCs/>
        </w:rPr>
        <w:t>4</w:t>
      </w:r>
      <w:r>
        <w:t xml:space="preserve">(2), pp.268-274. </w:t>
      </w:r>
      <w:r>
        <w:rPr/>
        <w:fldChar w:fldCharType="begin"/>
      </w:r>
      <w:r>
        <w:instrText xml:space="preserve"> HYPERLINK "https://doi.org/10.3390/livers4020019" </w:instrText>
      </w:r>
      <w:r>
        <w:rPr/>
        <w:fldChar w:fldCharType="separate"/>
      </w:r>
      <w:r>
        <w:rPr>
          <w:rStyle w:val="style85"/>
        </w:rPr>
        <w:t>https://doi.org/10.3390/livers4020019</w:t>
      </w:r>
      <w:r>
        <w:rPr/>
        <w:fldChar w:fldCharType="end"/>
      </w:r>
      <w:r>
        <w:t xml:space="preserve"> </w:t>
      </w:r>
    </w:p>
    <w:p>
      <w:pPr>
        <w:pStyle w:val="style0"/>
        <w:rPr/>
      </w:pPr>
      <w:r>
        <w:t>Félix, I.B. and Henriques, A., 2021. Medication adherence and related determinants in older people with multimorbidity: a cross</w:t>
      </w:r>
      <w:r>
        <w:rPr>
          <w:rFonts w:ascii="Cambria Math" w:cs="Cambria Math" w:hAnsi="Cambria Math"/>
        </w:rPr>
        <w:t>‐</w:t>
      </w:r>
      <w:r>
        <w:t>sectional study. In </w:t>
      </w:r>
      <w:r>
        <w:rPr>
          <w:i/>
          <w:iCs/>
        </w:rPr>
        <w:t>Nursing forum</w:t>
      </w:r>
      <w:r>
        <w:t xml:space="preserve">. </w:t>
      </w:r>
      <w:r>
        <w:rPr>
          <w:i/>
          <w:iCs/>
        </w:rPr>
        <w:t>56</w:t>
      </w:r>
      <w:r>
        <w:t>(4), pp. 834-843.</w:t>
      </w:r>
      <w:r>
        <w:t xml:space="preserve"> </w:t>
      </w:r>
      <w:r>
        <w:rPr/>
        <w:fldChar w:fldCharType="begin"/>
      </w:r>
      <w:r>
        <w:instrText xml:space="preserve"> HYPERLINK "https://doi.org/10.1111/nuf.12619" </w:instrText>
      </w:r>
      <w:r>
        <w:rPr/>
        <w:fldChar w:fldCharType="separate"/>
      </w:r>
      <w:r>
        <w:rPr>
          <w:rStyle w:val="style85"/>
        </w:rPr>
        <w:t>https://doi.org/10.1111/nuf.12619</w:t>
      </w:r>
      <w:r>
        <w:rPr/>
        <w:fldChar w:fldCharType="end"/>
      </w:r>
    </w:p>
    <w:p>
      <w:pPr>
        <w:pStyle w:val="style0"/>
        <w:rPr>
          <w:color w:val="000000"/>
        </w:rPr>
      </w:pPr>
      <w:r>
        <w:rPr>
          <w:color w:val="000000"/>
        </w:rPr>
        <w:t xml:space="preserve">Filip, R., Gheorghita Puscaselu, R., </w:t>
      </w:r>
      <w:r>
        <w:rPr>
          <w:color w:val="000000"/>
        </w:rPr>
        <w:t>Anchidin-Norocel</w:t>
      </w:r>
      <w:r>
        <w:rPr>
          <w:color w:val="000000"/>
        </w:rPr>
        <w:t xml:space="preserve">, L., </w:t>
      </w:r>
      <w:r>
        <w:rPr>
          <w:color w:val="000000"/>
        </w:rPr>
        <w:t>Dimian</w:t>
      </w:r>
      <w:r>
        <w:rPr>
          <w:color w:val="000000"/>
        </w:rPr>
        <w:t>, M. and Savage, W.K., 2022. Global challenges to public health care systems during the COVID-19 pandemic: a review of pandemic measures and problems. </w:t>
      </w:r>
      <w:r>
        <w:rPr>
          <w:i/>
          <w:iCs/>
          <w:color w:val="000000"/>
        </w:rPr>
        <w:t>Journal of personalized medicine</w:t>
      </w:r>
      <w:r>
        <w:rPr>
          <w:color w:val="000000"/>
        </w:rPr>
        <w:t>, </w:t>
      </w:r>
      <w:r>
        <w:rPr>
          <w:i/>
          <w:iCs/>
          <w:color w:val="000000"/>
        </w:rPr>
        <w:t>12</w:t>
      </w:r>
      <w:r>
        <w:rPr>
          <w:color w:val="000000"/>
        </w:rPr>
        <w:t>(8), p.1295.</w:t>
      </w:r>
      <w:r>
        <w:rPr>
          <w:color w:val="000000"/>
        </w:rPr>
        <w:t xml:space="preserve"> </w:t>
      </w:r>
      <w:r>
        <w:rPr/>
        <w:fldChar w:fldCharType="begin"/>
      </w:r>
      <w:r>
        <w:instrText xml:space="preserve"> HYPERLINK "https://doi.org/10.3390/jpm12081295" </w:instrText>
      </w:r>
      <w:r>
        <w:rPr/>
        <w:fldChar w:fldCharType="separate"/>
      </w:r>
      <w:r>
        <w:rPr>
          <w:rStyle w:val="style85"/>
        </w:rPr>
        <w:t>https://doi.org/10.3390/jpm12081295</w:t>
      </w:r>
      <w:r>
        <w:rPr/>
        <w:fldChar w:fldCharType="end"/>
      </w:r>
      <w:r>
        <w:rPr>
          <w:color w:val="000000"/>
        </w:rPr>
        <w:t xml:space="preserve"> </w:t>
      </w:r>
    </w:p>
    <w:p>
      <w:pPr>
        <w:pStyle w:val="style0"/>
        <w:rPr/>
      </w:pPr>
      <w:r>
        <w:t xml:space="preserve">Fleischmann-Struzek, C., Rose, N., </w:t>
      </w:r>
      <w:r>
        <w:t>Ditscheid</w:t>
      </w:r>
      <w:r>
        <w:t xml:space="preserve">, B., Draeger, L., </w:t>
      </w:r>
      <w:r>
        <w:t>Dröge</w:t>
      </w:r>
      <w:r>
        <w:t xml:space="preserve">, P., Freytag, A., Goldhahn, L., </w:t>
      </w:r>
      <w:r>
        <w:t>Kannengießer</w:t>
      </w:r>
      <w:r>
        <w:t xml:space="preserve">, L., </w:t>
      </w:r>
      <w:r>
        <w:t>Kimmig</w:t>
      </w:r>
      <w:r>
        <w:t>, A., Matthäus-Krämer, C. and Ruhnke, T., 2024. Understanding health care pathways of patients with sepsis: Protocol of a mixed-methods analysis of health care utilization, experiences, and needs of patients with and after sepsis. </w:t>
      </w:r>
      <w:r>
        <w:rPr>
          <w:i/>
          <w:iCs/>
        </w:rPr>
        <w:t>BMC Health Services Research</w:t>
      </w:r>
      <w:r>
        <w:t>, </w:t>
      </w:r>
      <w:r>
        <w:rPr>
          <w:i/>
          <w:iCs/>
        </w:rPr>
        <w:t>24</w:t>
      </w:r>
      <w:r>
        <w:t>(1), p.40.</w:t>
      </w:r>
      <w:r>
        <w:t xml:space="preserve"> </w:t>
      </w:r>
      <w:r>
        <w:rPr/>
        <w:fldChar w:fldCharType="begin"/>
      </w:r>
      <w:r>
        <w:instrText xml:space="preserve"> HYPERLINK "https://doi.org/10.1186/s12913-023-10509-4" </w:instrText>
      </w:r>
      <w:r>
        <w:rPr/>
        <w:fldChar w:fldCharType="separate"/>
      </w:r>
      <w:r>
        <w:rPr>
          <w:rStyle w:val="style85"/>
        </w:rPr>
        <w:t>https://doi.org/10.1186/s12913-023-10509-4</w:t>
      </w:r>
      <w:r>
        <w:rPr/>
        <w:fldChar w:fldCharType="end"/>
      </w:r>
      <w:r>
        <w:t xml:space="preserve"> </w:t>
      </w:r>
    </w:p>
    <w:p>
      <w:pPr>
        <w:pStyle w:val="style0"/>
        <w:rPr>
          <w:color w:val="ee0000"/>
        </w:rPr>
      </w:pPr>
      <w:r>
        <w:rPr>
          <w:color w:val="ee0000"/>
        </w:rPr>
        <w:t>Fongang, C.L.M., 2023. Refusal of care in vulnerable people: Case of the elderly.</w:t>
      </w:r>
      <w:r>
        <w:rPr>
          <w:color w:val="ee0000"/>
        </w:rPr>
        <w:t xml:space="preserve"> </w:t>
      </w:r>
      <w:r>
        <w:rPr/>
        <w:fldChar w:fldCharType="begin"/>
      </w:r>
      <w:r>
        <w:instrText xml:space="preserve"> HYPERLINK "https://doi.org/10.30574/wjarr.2023.18.3.1136" </w:instrText>
      </w:r>
      <w:r>
        <w:rPr/>
        <w:fldChar w:fldCharType="separate"/>
      </w:r>
      <w:r>
        <w:rPr>
          <w:rStyle w:val="style85"/>
        </w:rPr>
        <w:t>https://doi.org/10.30574/wjarr.2023.18.3.1136</w:t>
      </w:r>
      <w:r>
        <w:rPr/>
        <w:fldChar w:fldCharType="end"/>
      </w:r>
      <w:r>
        <w:rPr>
          <w:color w:val="ee0000"/>
        </w:rPr>
        <w:t xml:space="preserve"> </w:t>
      </w:r>
    </w:p>
    <w:p>
      <w:pPr>
        <w:pStyle w:val="style0"/>
        <w:rPr>
          <w:color w:val="000000"/>
        </w:rPr>
      </w:pPr>
      <w:r>
        <w:rPr>
          <w:color w:val="000000"/>
        </w:rPr>
        <w:t>Ford, J., Knight, J., Brittain, J., Bentley, C., Sowden, S., Castro, A., Doran, T. and Cookson, R., 2022. Reducing inequality in avoidable emergency admissions: Case studies of local health care systems in England using a realist approach. </w:t>
      </w:r>
      <w:r>
        <w:rPr>
          <w:i/>
          <w:iCs/>
          <w:color w:val="000000"/>
        </w:rPr>
        <w:t>Journal of Health Services Research &amp; Policy</w:t>
      </w:r>
      <w:r>
        <w:rPr>
          <w:color w:val="000000"/>
        </w:rPr>
        <w:t>, </w:t>
      </w:r>
      <w:r>
        <w:rPr>
          <w:i/>
          <w:iCs/>
          <w:color w:val="000000"/>
        </w:rPr>
        <w:t>27</w:t>
      </w:r>
      <w:r>
        <w:rPr>
          <w:color w:val="000000"/>
        </w:rPr>
        <w:t>(1), pp.31-40.</w:t>
      </w:r>
      <w:r>
        <w:rPr>
          <w:color w:val="000000"/>
        </w:rPr>
        <w:t xml:space="preserve"> </w:t>
      </w:r>
      <w:r>
        <w:rPr/>
        <w:fldChar w:fldCharType="begin"/>
      </w:r>
      <w:r>
        <w:instrText xml:space="preserve"> HYPERLINK "https://doi.org/10.1177/13558196211021618" </w:instrText>
      </w:r>
      <w:r>
        <w:rPr/>
        <w:fldChar w:fldCharType="separate"/>
      </w:r>
      <w:r>
        <w:rPr>
          <w:rStyle w:val="style85"/>
        </w:rPr>
        <w:t>https://doi.org/10.1177/13558196211021618</w:t>
      </w:r>
      <w:r>
        <w:rPr/>
        <w:fldChar w:fldCharType="end"/>
      </w:r>
      <w:r>
        <w:rPr>
          <w:color w:val="000000"/>
        </w:rPr>
        <w:t xml:space="preserve"> </w:t>
      </w:r>
    </w:p>
    <w:p>
      <w:pPr>
        <w:pStyle w:val="style0"/>
        <w:rPr/>
      </w:pPr>
      <w:r>
        <w:t>Forstner, J.M., 2024. </w:t>
      </w:r>
      <w:r>
        <w:rPr>
          <w:i/>
          <w:iCs/>
        </w:rPr>
        <w:t>Continuity of care at the interface of primary care and other healthcare providers</w:t>
      </w:r>
      <w:r>
        <w:t>.</w:t>
      </w:r>
      <w:r>
        <w:t xml:space="preserve"> </w:t>
      </w:r>
      <w:r>
        <w:rPr/>
        <w:fldChar w:fldCharType="begin"/>
      </w:r>
      <w:r>
        <w:instrText xml:space="preserve"> HYPERLINK "https://doi.org/10.11588/heidok.00034846" </w:instrText>
      </w:r>
      <w:r>
        <w:rPr/>
        <w:fldChar w:fldCharType="separate"/>
      </w:r>
      <w:r>
        <w:rPr>
          <w:rStyle w:val="style85"/>
        </w:rPr>
        <w:t>https://doi.org/10.11588/heidok.00034846</w:t>
      </w:r>
      <w:r>
        <w:rPr/>
        <w:fldChar w:fldCharType="end"/>
      </w:r>
      <w:r>
        <w:t xml:space="preserve"> </w:t>
      </w:r>
    </w:p>
    <w:p>
      <w:pPr>
        <w:pStyle w:val="style0"/>
        <w:rPr>
          <w:color w:val="000000"/>
        </w:rPr>
      </w:pPr>
      <w:r>
        <w:rPr>
          <w:color w:val="000000"/>
        </w:rPr>
        <w:t>Foster, J., 2024. Understanding Long-Term Effects of Viral Infections: Epidemiological Insights into Post-Infection Syndromes. </w:t>
      </w:r>
      <w:r>
        <w:rPr>
          <w:i/>
          <w:iCs/>
          <w:color w:val="000000"/>
        </w:rPr>
        <w:t>Insight into Epidemiology</w:t>
      </w:r>
      <w:r>
        <w:rPr>
          <w:color w:val="000000"/>
        </w:rPr>
        <w:t>, </w:t>
      </w:r>
      <w:r>
        <w:rPr>
          <w:i/>
          <w:iCs/>
          <w:color w:val="000000"/>
        </w:rPr>
        <w:t>1</w:t>
      </w:r>
      <w:r>
        <w:rPr>
          <w:color w:val="000000"/>
        </w:rPr>
        <w:t>(1).</w:t>
      </w:r>
      <w:r>
        <w:rPr>
          <w:color w:val="000000"/>
        </w:rPr>
        <w:t xml:space="preserve"> </w:t>
      </w:r>
      <w:r>
        <w:rPr/>
        <w:fldChar w:fldCharType="begin"/>
      </w:r>
      <w:r>
        <w:instrText xml:space="preserve"> HYPERLINK "https://docentra.com/longterm-viral-infections" </w:instrText>
      </w:r>
      <w:r>
        <w:rPr/>
        <w:fldChar w:fldCharType="separate"/>
      </w:r>
      <w:r>
        <w:rPr>
          <w:rStyle w:val="style85"/>
        </w:rPr>
        <w:t>https://docentra.com/longterm-viral-infections</w:t>
      </w:r>
      <w:r>
        <w:rPr/>
        <w:fldChar w:fldCharType="end"/>
      </w:r>
      <w:r>
        <w:rPr>
          <w:color w:val="000000"/>
        </w:rPr>
        <w:t xml:space="preserve"> </w:t>
      </w:r>
    </w:p>
    <w:p>
      <w:pPr>
        <w:pStyle w:val="style0"/>
        <w:rPr/>
      </w:pPr>
      <w:r>
        <w:t>Freedman, S. and Wolf, R., 2023. The NHS productivity puzzle. </w:t>
      </w:r>
      <w:r>
        <w:rPr>
          <w:i/>
          <w:iCs/>
        </w:rPr>
        <w:t>Institute for Government. Jun</w:t>
      </w:r>
      <w:r>
        <w:t>, pp.2023-06.</w:t>
      </w:r>
      <w:r>
        <w:t xml:space="preserve"> </w:t>
      </w:r>
      <w:r>
        <w:rPr/>
        <w:fldChar w:fldCharType="begin"/>
      </w:r>
      <w:r>
        <w:instrText xml:space="preserve"> HYPERLINK "https://www.instituteforgovernment.org.uk/sites/default/files/2023-06/nhs-productivity-puzzle.pdf" </w:instrText>
      </w:r>
      <w:r>
        <w:rPr/>
        <w:fldChar w:fldCharType="separate"/>
      </w:r>
      <w:r>
        <w:rPr>
          <w:rStyle w:val="style85"/>
        </w:rPr>
        <w:t>https://www.instituteforgovernment.org.uk/sites/default/files/2023-06/nhs-productivity-puzzle.pdf</w:t>
      </w:r>
      <w:r>
        <w:rPr/>
        <w:fldChar w:fldCharType="end"/>
      </w:r>
      <w:r>
        <w:t xml:space="preserve"> </w:t>
      </w:r>
    </w:p>
    <w:p>
      <w:pPr>
        <w:pStyle w:val="style0"/>
        <w:rPr/>
      </w:pPr>
      <w:r>
        <w:t xml:space="preserve">Glans, M., Kragh Ekstam, A., Jakobsson, U., Bondesson, Å. and </w:t>
      </w:r>
      <w:r>
        <w:t>Midlöv</w:t>
      </w:r>
      <w:r>
        <w:t>, P., 2021. Medication-related hospital readmissions within 30 days of discharge—A retrospective study of risk factors in older adults. </w:t>
      </w:r>
      <w:r>
        <w:rPr>
          <w:i/>
          <w:iCs/>
        </w:rPr>
        <w:t>PLoS</w:t>
      </w:r>
      <w:r>
        <w:rPr>
          <w:i/>
          <w:iCs/>
        </w:rPr>
        <w:t xml:space="preserve"> One</w:t>
      </w:r>
      <w:r>
        <w:t>, </w:t>
      </w:r>
      <w:r>
        <w:rPr>
          <w:i/>
          <w:iCs/>
        </w:rPr>
        <w:t>16</w:t>
      </w:r>
      <w:r>
        <w:t>(6), p.e0253024.</w:t>
      </w:r>
      <w:r>
        <w:t xml:space="preserve"> </w:t>
      </w:r>
      <w:r>
        <w:rPr/>
        <w:fldChar w:fldCharType="begin"/>
      </w:r>
      <w:r>
        <w:instrText xml:space="preserve"> HYPERLINK "https://doi.org/10.1371/journal.pone.0253024" </w:instrText>
      </w:r>
      <w:r>
        <w:rPr/>
        <w:fldChar w:fldCharType="separate"/>
      </w:r>
      <w:r>
        <w:rPr>
          <w:rStyle w:val="style85"/>
        </w:rPr>
        <w:t>https://doi.org/10.1371/journal.pone.0253024</w:t>
      </w:r>
      <w:r>
        <w:rPr/>
        <w:fldChar w:fldCharType="end"/>
      </w:r>
      <w:r>
        <w:t xml:space="preserve"> </w:t>
      </w:r>
    </w:p>
    <w:p>
      <w:pPr>
        <w:pStyle w:val="style0"/>
        <w:rPr/>
      </w:pPr>
      <w:r>
        <w:t xml:space="preserve">Gov.uk, (2023). Antibiotic resistant infections and associated deaths increase. Available at: </w:t>
      </w:r>
      <w:r>
        <w:rPr/>
        <w:fldChar w:fldCharType="begin"/>
      </w:r>
      <w:r>
        <w:instrText xml:space="preserve"> HYPERLINK "https://www.gov.uk/government/news/antibiotic-resistant-infections-and-associated-deaths-increase" </w:instrText>
      </w:r>
      <w:r>
        <w:rPr/>
        <w:fldChar w:fldCharType="separate"/>
      </w:r>
      <w:r>
        <w:rPr>
          <w:rStyle w:val="style85"/>
        </w:rPr>
        <w:t>https://www.gov.uk/government/news/antibiotic-resistant-infections-and-associated-deaths-increase</w:t>
      </w:r>
      <w:r>
        <w:rPr/>
        <w:fldChar w:fldCharType="end"/>
      </w:r>
      <w:r>
        <w:t xml:space="preserve"> [Accessed: 10-11-2025]  </w:t>
      </w:r>
    </w:p>
    <w:p>
      <w:pPr>
        <w:pStyle w:val="style0"/>
        <w:rPr/>
      </w:pPr>
      <w:r>
        <w:t xml:space="preserve">Gov.uk, (2023). </w:t>
      </w:r>
      <w:r>
        <w:rPr>
          <w:i/>
          <w:iCs/>
        </w:rPr>
        <w:t>Point prevalence survey on healthcare-associated infections, antimicrobial use and antimicrobial stewardship in England, 2023.</w:t>
      </w:r>
      <w:r>
        <w:t xml:space="preserve"> Available at: </w:t>
      </w:r>
      <w:r>
        <w:rPr/>
        <w:fldChar w:fldCharType="begin"/>
      </w:r>
      <w:r>
        <w:instrText xml:space="preserve"> HYPERLINK "https://assets.publishing.service.gov.uk/media/6827325d010c5c28d1c7e728/HCAI-AMU-PPS-2023-report.pdf" </w:instrText>
      </w:r>
      <w:r>
        <w:rPr/>
        <w:fldChar w:fldCharType="separate"/>
      </w:r>
      <w:r>
        <w:rPr>
          <w:rStyle w:val="style85"/>
        </w:rPr>
        <w:t>https://assets.publishing.service.gov.uk/media/6827325d010c5c28d1c7e728/HCAI-AMU-PPS-2023-report.pdf</w:t>
      </w:r>
      <w:r>
        <w:rPr/>
        <w:fldChar w:fldCharType="end"/>
      </w:r>
      <w:r>
        <w:t xml:space="preserve"> [Accessed: 29.11.2025]</w:t>
      </w:r>
    </w:p>
    <w:bookmarkStart w:id="139" w:name="_Hlk213677788"/>
    <w:p>
      <w:pPr>
        <w:pStyle w:val="style0"/>
        <w:rPr/>
      </w:pPr>
      <w:r>
        <w:t xml:space="preserve">Gov.uk, </w:t>
      </w:r>
      <w:bookmarkEnd w:id="139"/>
      <w:r>
        <w:t xml:space="preserve">(2024). Antibiotic resistant infections continue to rise. Available at: </w:t>
      </w:r>
      <w:r>
        <w:rPr/>
        <w:fldChar w:fldCharType="begin"/>
      </w:r>
      <w:r>
        <w:instrText xml:space="preserve"> HYPERLINK "https://www.gov.uk/government/news/antibiotic-resistant-infections-continue-to-rise" </w:instrText>
      </w:r>
      <w:r>
        <w:rPr/>
        <w:fldChar w:fldCharType="separate"/>
      </w:r>
      <w:r>
        <w:rPr>
          <w:rStyle w:val="style85"/>
        </w:rPr>
        <w:t>https://www.gov.uk/government/news/antibiotic-resistant-infections-continue-to-rise</w:t>
      </w:r>
      <w:r>
        <w:rPr/>
        <w:fldChar w:fldCharType="end"/>
      </w:r>
      <w:r>
        <w:t xml:space="preserve"> [Accessed: 10-11-2025]</w:t>
      </w:r>
    </w:p>
    <w:p>
      <w:pPr>
        <w:pStyle w:val="style0"/>
        <w:rPr/>
      </w:pPr>
      <w:r>
        <w:t xml:space="preserve">Gov.uk, (2025). </w:t>
      </w:r>
      <w:r>
        <w:rPr/>
        <w:fldChar w:fldCharType="begin"/>
      </w:r>
      <w:r>
        <w:instrText xml:space="preserve"> HYPERLINK "file://C:/Users/d.bijlhout/Downloads/Annual%20epidemiological%20commentary:%20Gram-negative,%20MRSA,%20MSSA%20bacteraemia%20and%20C.%20difficile%20infections,%20up%20to%20and%20including%20financial%20year%202023%20to%202024.%20Available%20at:%20https:/www.gov.uk/government/statistics/mrsa-mssa-and-e-coli-bacteraemia-and-c-difficile-infection-annual-epidemiological-commentary/annual-epidemiological-commentary-gram-negative-mrsa-mssa-bacteraemia-and-c-difficile-infections-up-to-and-including-financial-year-2023-to-2024" </w:instrText>
      </w:r>
      <w:r>
        <w:rPr/>
        <w:fldChar w:fldCharType="separate"/>
      </w:r>
      <w:r>
        <w:rPr>
          <w:rStyle w:val="style85"/>
        </w:rPr>
        <w:t xml:space="preserve"> Annual epidemiological commentary: Gram-negative, MRSA, MSSA bacteraemia and C. difficile infections, up to and including financial year 2023 to 2024. Available at: https://www.gov.uk/government/statistics/mrsa-mssa-and-e-coli-bacteraemia-and-c-difficile-infection-annual-epidemiological-commentary/annual-epidemiological-commentary-gram-negative-mrsa-mssa-bacteraemia-and-c-difficile-infections-up-to-and-including-financial-year-2023-to-2024</w:t>
      </w:r>
      <w:r>
        <w:rPr/>
        <w:fldChar w:fldCharType="end"/>
      </w:r>
      <w:r>
        <w:t xml:space="preserve">  [Accessed: 10-11-2025]</w:t>
      </w:r>
    </w:p>
    <w:bookmarkStart w:id="140" w:name="_Hlk213677363"/>
    <w:bookmarkStart w:id="141" w:name="_Hlk213676448"/>
    <w:p>
      <w:pPr>
        <w:pStyle w:val="style0"/>
        <w:rPr/>
      </w:pPr>
      <w:r>
        <w:t>Gov.uk,</w:t>
      </w:r>
      <w:bookmarkEnd w:id="140"/>
      <w:r>
        <w:t xml:space="preserve"> </w:t>
      </w:r>
      <w:bookmarkEnd w:id="141"/>
      <w:r>
        <w:t xml:space="preserve">(2025b). UKHSA publishes latest survey on healthcare-associated infections. Available at: </w:t>
      </w:r>
      <w:r>
        <w:rPr/>
        <w:fldChar w:fldCharType="begin"/>
      </w:r>
      <w:r>
        <w:instrText xml:space="preserve"> HYPERLINK "https://www.gov.uk/government/news/ukhsa-publishes-latest-survey-on-healthcare-associated-infections" </w:instrText>
      </w:r>
      <w:r>
        <w:rPr/>
        <w:fldChar w:fldCharType="separate"/>
      </w:r>
      <w:r>
        <w:rPr>
          <w:rStyle w:val="style85"/>
        </w:rPr>
        <w:t>https://www.gov.uk/government/news/ukhsa-publishes-latest-survey-on-healthcare-associated-infections</w:t>
      </w:r>
      <w:r>
        <w:rPr/>
        <w:fldChar w:fldCharType="end"/>
      </w:r>
      <w:r>
        <w:t xml:space="preserve"> [Accessed: 10-11-2025]</w:t>
      </w:r>
    </w:p>
    <w:p>
      <w:pPr>
        <w:pStyle w:val="style0"/>
        <w:rPr/>
      </w:pPr>
      <w:r>
        <w:t>G</w:t>
      </w:r>
      <w:r>
        <w:t xml:space="preserve">ov.uk, (2025c). Available at: </w:t>
      </w:r>
      <w:r>
        <w:rPr/>
        <w:fldChar w:fldCharType="begin"/>
      </w:r>
      <w:r>
        <w:instrText xml:space="preserve"> HYPERLINK "https://assets.publishing.service.gov.uk/media/6827325d010c5c28d1c7e728/HCAI-AMU-PPS-2023-report.pdf" </w:instrText>
      </w:r>
      <w:r>
        <w:rPr/>
        <w:fldChar w:fldCharType="separate"/>
      </w:r>
      <w:r>
        <w:rPr>
          <w:rStyle w:val="style85"/>
        </w:rPr>
        <w:t>https://assets.publishing.service.gov.uk/media/6827325d010c5c28d1c7e728/HCAI-AMU-PPS-2023-report.pdf</w:t>
      </w:r>
      <w:r>
        <w:rPr/>
        <w:fldChar w:fldCharType="end"/>
      </w:r>
      <w:r>
        <w:t xml:space="preserve"> [Accessed: 10-11-2025]</w:t>
      </w:r>
    </w:p>
    <w:p>
      <w:pPr>
        <w:pStyle w:val="style0"/>
        <w:rPr/>
      </w:pPr>
      <w:r>
        <w:t xml:space="preserve">Guzman-Cottrill, J.A., Blatt, D.B., Bryant, K.A., McGrath, C.L., Zerr, D.M., Rosenthal, A., Kociolek, L.K., Murphy, C. and Ravin, K.A., (2025). SHEA practice update: infection prevention and control (IPC) in residential facilities for </w:t>
      </w:r>
      <w:r>
        <w:t>pediatric</w:t>
      </w:r>
      <w:r>
        <w:t xml:space="preserve"> patients and their families. </w:t>
      </w:r>
      <w:r>
        <w:rPr>
          <w:i/>
          <w:iCs/>
        </w:rPr>
        <w:t>Infection Control &amp; Hospital Epidemiology</w:t>
      </w:r>
      <w:r>
        <w:t>, </w:t>
      </w:r>
      <w:r>
        <w:rPr>
          <w:i/>
          <w:iCs/>
        </w:rPr>
        <w:t>46</w:t>
      </w:r>
      <w:r>
        <w:t>(1), pp.3-26.</w:t>
      </w:r>
      <w:r>
        <w:t xml:space="preserve"> </w:t>
      </w:r>
      <w:r>
        <w:rPr/>
        <w:fldChar w:fldCharType="begin"/>
      </w:r>
      <w:r>
        <w:instrText xml:space="preserve"> HYPERLINK "https://doi.org/10.1017/ice.2024.124" </w:instrText>
      </w:r>
      <w:r>
        <w:rPr/>
        <w:fldChar w:fldCharType="separate"/>
      </w:r>
      <w:r>
        <w:rPr>
          <w:rStyle w:val="style85"/>
        </w:rPr>
        <w:t>https://doi.org/10.1017/ice.2024.124</w:t>
      </w:r>
      <w:r>
        <w:rPr/>
        <w:fldChar w:fldCharType="end"/>
      </w:r>
      <w:r>
        <w:t xml:space="preserve"> </w:t>
      </w:r>
    </w:p>
    <w:p>
      <w:pPr>
        <w:pStyle w:val="style0"/>
        <w:rPr/>
      </w:pPr>
      <w:r>
        <w:t xml:space="preserve">Habibzadeh, H., </w:t>
      </w:r>
      <w:r>
        <w:t>Bagherzadi</w:t>
      </w:r>
      <w:r>
        <w:t xml:space="preserve">, A., </w:t>
      </w:r>
      <w:r>
        <w:t>Didarloo</w:t>
      </w:r>
      <w:r>
        <w:t xml:space="preserve">, A. and </w:t>
      </w:r>
      <w:r>
        <w:t>Khalkhali</w:t>
      </w:r>
      <w:r>
        <w:t xml:space="preserve">, H., 2021. The effect of patient education based on health belief model on hospital readmission preventive </w:t>
      </w:r>
      <w:r>
        <w:t>behaviors</w:t>
      </w:r>
      <w:r>
        <w:t xml:space="preserve"> and readmission rate in patients with a primary diagnosis of acute coronary syndrome: a quasi-experimental study. </w:t>
      </w:r>
      <w:r>
        <w:rPr>
          <w:i/>
          <w:iCs/>
        </w:rPr>
        <w:t>BMC Cardiovascular Disorders</w:t>
      </w:r>
      <w:r>
        <w:t>, </w:t>
      </w:r>
      <w:r>
        <w:rPr>
          <w:i/>
          <w:iCs/>
        </w:rPr>
        <w:t>21</w:t>
      </w:r>
      <w:r>
        <w:t>(1), p.595.</w:t>
      </w:r>
      <w:r>
        <w:t xml:space="preserve"> </w:t>
      </w:r>
      <w:r>
        <w:rPr/>
        <w:fldChar w:fldCharType="begin"/>
      </w:r>
      <w:r>
        <w:instrText xml:space="preserve"> HYPERLINK "https://doi.org/10.1186/s12872-021-02413-8" </w:instrText>
      </w:r>
      <w:r>
        <w:rPr/>
        <w:fldChar w:fldCharType="separate"/>
      </w:r>
      <w:r>
        <w:rPr>
          <w:rStyle w:val="style85"/>
        </w:rPr>
        <w:t>https://doi.org/10.1186/s12872-021-02413-8</w:t>
      </w:r>
      <w:r>
        <w:rPr/>
        <w:fldChar w:fldCharType="end"/>
      </w:r>
      <w:r>
        <w:t xml:space="preserve"> </w:t>
      </w:r>
    </w:p>
    <w:p>
      <w:pPr>
        <w:pStyle w:val="style0"/>
        <w:rPr/>
      </w:pPr>
      <w:r>
        <w:t>Hall, J.R., Savas-Hall, S. and Shaw, E.H., 2023. A deductive approach to a systematic review of entrepreneurship literature. </w:t>
      </w:r>
      <w:r>
        <w:rPr>
          <w:i/>
          <w:iCs/>
        </w:rPr>
        <w:t>Management Review Quarterly</w:t>
      </w:r>
      <w:r>
        <w:t>, </w:t>
      </w:r>
      <w:r>
        <w:rPr>
          <w:i/>
          <w:iCs/>
        </w:rPr>
        <w:t>73</w:t>
      </w:r>
      <w:r>
        <w:t>(3), pp.987-1016.</w:t>
      </w:r>
      <w:r>
        <w:t xml:space="preserve"> </w:t>
      </w:r>
      <w:r>
        <w:rPr/>
        <w:fldChar w:fldCharType="begin"/>
      </w:r>
      <w:r>
        <w:instrText xml:space="preserve"> HYPERLINK "https://doi.org/10.1007/s11301-022-00266-9" </w:instrText>
      </w:r>
      <w:r>
        <w:rPr/>
        <w:fldChar w:fldCharType="separate"/>
      </w:r>
      <w:r>
        <w:rPr>
          <w:rStyle w:val="style85"/>
        </w:rPr>
        <w:t>https://doi.org/10.1007/s11301-022-00266-9</w:t>
      </w:r>
      <w:r>
        <w:rPr/>
        <w:fldChar w:fldCharType="end"/>
      </w:r>
      <w:r>
        <w:t xml:space="preserve"> </w:t>
      </w:r>
    </w:p>
    <w:p>
      <w:pPr>
        <w:pStyle w:val="style0"/>
        <w:rPr/>
      </w:pPr>
      <w:r>
        <w:t>Handiyani</w:t>
      </w:r>
      <w:r>
        <w:t>, H., Kurniawan, M.H., Hariyati, R.T.S. and Nuraini, T., 2024. Post-discharge Follow-up Care: Nurses' Experience of Fostering Continuity of Care: A Qualitative Study. </w:t>
      </w:r>
      <w:r>
        <w:rPr>
          <w:i/>
          <w:iCs/>
        </w:rPr>
        <w:t>The Open Nursing Journal</w:t>
      </w:r>
      <w:r>
        <w:t>, </w:t>
      </w:r>
      <w:r>
        <w:rPr>
          <w:i/>
          <w:iCs/>
        </w:rPr>
        <w:t>18</w:t>
      </w:r>
      <w:r>
        <w:t>(1).</w:t>
      </w:r>
      <w:r>
        <w:t xml:space="preserve"> </w:t>
      </w:r>
      <w:r>
        <w:rPr/>
        <w:fldChar w:fldCharType="begin"/>
      </w:r>
      <w:r>
        <w:instrText xml:space="preserve"> HYPERLINK "http://dx.doi.org/10.2174/0118744346284419240205145438" </w:instrText>
      </w:r>
      <w:r>
        <w:rPr/>
        <w:fldChar w:fldCharType="separate"/>
      </w:r>
      <w:r>
        <w:rPr>
          <w:rStyle w:val="style85"/>
        </w:rPr>
        <w:t>http://dx.doi.org/10.2174/0118744346284419240205145438</w:t>
      </w:r>
      <w:r>
        <w:rPr/>
        <w:fldChar w:fldCharType="end"/>
      </w:r>
      <w:r>
        <w:t xml:space="preserve"> </w:t>
      </w:r>
    </w:p>
    <w:p>
      <w:pPr>
        <w:pStyle w:val="style0"/>
        <w:rPr/>
      </w:pPr>
      <w:r>
        <w:t>Hobman</w:t>
      </w:r>
      <w:r>
        <w:t>, A., Levack, W.M., Jones, B., Ingham, T.R., Fingleton, J., Weatherall, M., McNaughton, A.A. and McNaughton, H.K., 2023. Prevention of re-hospitalization for acute exacerbations: perspectives of people with chronic obstructive pulmonary disease: a qualitative study. </w:t>
      </w:r>
      <w:r>
        <w:rPr>
          <w:i/>
          <w:iCs/>
        </w:rPr>
        <w:t>International journal of chronic obstructive pulmonary disease</w:t>
      </w:r>
      <w:r>
        <w:t>, pp.207-218.</w:t>
      </w:r>
      <w:r>
        <w:t xml:space="preserve"> </w:t>
      </w:r>
      <w:r>
        <w:rPr/>
        <w:fldChar w:fldCharType="begin"/>
      </w:r>
      <w:r>
        <w:instrText xml:space="preserve"> HYPERLINK "https://doi.org/10.2147/COPD.S393645" </w:instrText>
      </w:r>
      <w:r>
        <w:rPr/>
        <w:fldChar w:fldCharType="separate"/>
      </w:r>
      <w:r>
        <w:rPr>
          <w:rStyle w:val="style85"/>
        </w:rPr>
        <w:t>https://doi.org/10.2147/COPD.S393645</w:t>
      </w:r>
      <w:r>
        <w:rPr/>
        <w:fldChar w:fldCharType="end"/>
      </w:r>
      <w:r>
        <w:t xml:space="preserve"> </w:t>
      </w:r>
    </w:p>
    <w:p>
      <w:pPr>
        <w:pStyle w:val="style0"/>
        <w:rPr/>
      </w:pPr>
      <w:r>
        <w:t xml:space="preserve">Huang, M., Van der Borght, C., Leithaus, M., </w:t>
      </w:r>
      <w:r>
        <w:t>Flamaing</w:t>
      </w:r>
      <w:r>
        <w:t xml:space="preserve">, J. and </w:t>
      </w:r>
      <w:r>
        <w:t>Goderis</w:t>
      </w:r>
      <w:r>
        <w:t>, G., 2020. Patients’ perceptions of frequent hospital admissions: a qualitative interview study with older people above 65 years of age. </w:t>
      </w:r>
      <w:r>
        <w:rPr>
          <w:i/>
          <w:iCs/>
        </w:rPr>
        <w:t>BMC geriatrics</w:t>
      </w:r>
      <w:r>
        <w:t>, </w:t>
      </w:r>
      <w:r>
        <w:rPr>
          <w:i/>
          <w:iCs/>
        </w:rPr>
        <w:t>20</w:t>
      </w:r>
      <w:r>
        <w:t>(1), p.332.</w:t>
      </w:r>
      <w:r>
        <w:t xml:space="preserve"> </w:t>
      </w:r>
      <w:r>
        <w:rPr/>
        <w:fldChar w:fldCharType="begin"/>
      </w:r>
      <w:r>
        <w:instrText xml:space="preserve"> HYPERLINK "https://doi.org/10.1186/s12877-020-01748-9" </w:instrText>
      </w:r>
      <w:r>
        <w:rPr/>
        <w:fldChar w:fldCharType="separate"/>
      </w:r>
      <w:r>
        <w:rPr>
          <w:rStyle w:val="style85"/>
        </w:rPr>
        <w:t>https://doi.org/10.1186/s12877-020-01748-9</w:t>
      </w:r>
      <w:r>
        <w:rPr/>
        <w:fldChar w:fldCharType="end"/>
      </w:r>
      <w:r>
        <w:t xml:space="preserve"> </w:t>
      </w:r>
    </w:p>
    <w:p>
      <w:pPr>
        <w:pStyle w:val="style0"/>
        <w:rPr/>
      </w:pPr>
      <w:r>
        <w:t>Hui-Wen, P.O., Fang-Ju, L.I.N., Chung-Yu, C.H.E.N. and Yi-Wen, C.H.I.U., (2023). Factors affecting the effectiveness of discharge planning implementation: a case-control cohort study. </w:t>
      </w:r>
      <w:r>
        <w:rPr>
          <w:i/>
          <w:iCs/>
        </w:rPr>
        <w:t>Journal of Nursing Research</w:t>
      </w:r>
      <w:r>
        <w:t>, </w:t>
      </w:r>
      <w:r>
        <w:rPr>
          <w:i/>
          <w:iCs/>
        </w:rPr>
        <w:t>31</w:t>
      </w:r>
      <w:r>
        <w:t>(3), p.e274.</w:t>
      </w:r>
      <w:r>
        <w:t xml:space="preserve"> </w:t>
      </w:r>
      <w:r>
        <w:rPr/>
        <w:fldChar w:fldCharType="begin"/>
      </w:r>
      <w:r>
        <w:instrText xml:space="preserve"> HYPERLINK "https://doi.org/10.1097/jnr.0000000000000555" </w:instrText>
      </w:r>
      <w:r>
        <w:rPr/>
        <w:fldChar w:fldCharType="separate"/>
      </w:r>
      <w:r>
        <w:rPr>
          <w:rStyle w:val="style85"/>
        </w:rPr>
        <w:t>https://doi.org/10.1097/jnr.0000000000000555</w:t>
      </w:r>
      <w:r>
        <w:rPr/>
        <w:fldChar w:fldCharType="end"/>
      </w:r>
      <w:r>
        <w:t xml:space="preserve"> </w:t>
      </w:r>
    </w:p>
    <w:p>
      <w:pPr>
        <w:pStyle w:val="style0"/>
        <w:rPr/>
      </w:pPr>
      <w:r>
        <w:t xml:space="preserve">Isigi, S.S., Parsa, A.D., </w:t>
      </w:r>
      <w:r>
        <w:t>Alasqah</w:t>
      </w:r>
      <w:r>
        <w:t>, I., Mahmud, I. and Kabir, R., 2023. Predisposing factors of nosocomial infections in hospitalized patients in the United Kingdom: systematic review. </w:t>
      </w:r>
      <w:r>
        <w:rPr>
          <w:i/>
          <w:iCs/>
        </w:rPr>
        <w:t>JMIR public health and surveillance</w:t>
      </w:r>
      <w:r>
        <w:t>, </w:t>
      </w:r>
      <w:r>
        <w:rPr>
          <w:i/>
          <w:iCs/>
        </w:rPr>
        <w:t>9</w:t>
      </w:r>
      <w:r>
        <w:t>, p.e43743.</w:t>
      </w:r>
      <w:r>
        <w:t xml:space="preserve"> </w:t>
      </w:r>
      <w:r>
        <w:rPr/>
        <w:fldChar w:fldCharType="begin"/>
      </w:r>
      <w:r>
        <w:instrText xml:space="preserve"> HYPERLINK "https://doi.org/10.2196/43743" </w:instrText>
      </w:r>
      <w:r>
        <w:rPr/>
        <w:fldChar w:fldCharType="separate"/>
      </w:r>
      <w:r>
        <w:rPr>
          <w:rStyle w:val="style85"/>
        </w:rPr>
        <w:t>https://doi.org/10.2196/43743</w:t>
      </w:r>
      <w:r>
        <w:rPr/>
        <w:fldChar w:fldCharType="end"/>
      </w:r>
      <w:r>
        <w:t xml:space="preserve"> </w:t>
      </w:r>
    </w:p>
    <w:p>
      <w:pPr>
        <w:pStyle w:val="style0"/>
        <w:rPr/>
      </w:pPr>
      <w:r>
        <w:t xml:space="preserve">Junjie, M. and </w:t>
      </w:r>
      <w:r>
        <w:t>Yingxin</w:t>
      </w:r>
      <w:r>
        <w:t>, M., 2022. The Discussions of Positivism and Interpretivism. </w:t>
      </w:r>
      <w:r>
        <w:rPr>
          <w:i/>
          <w:iCs/>
        </w:rPr>
        <w:t>Online Submission</w:t>
      </w:r>
      <w:r>
        <w:t>, </w:t>
      </w:r>
      <w:r>
        <w:rPr>
          <w:i/>
          <w:iCs/>
        </w:rPr>
        <w:t>4</w:t>
      </w:r>
      <w:r>
        <w:t>(1), pp.10-14.</w:t>
      </w:r>
      <w:r>
        <w:t xml:space="preserve"> </w:t>
      </w:r>
      <w:r>
        <w:rPr/>
        <w:fldChar w:fldCharType="begin"/>
      </w:r>
      <w:r>
        <w:instrText xml:space="preserve"> HYPERLINK "https://files.eric.ed.gov/fulltext/ED619359.pdf" </w:instrText>
      </w:r>
      <w:r>
        <w:rPr/>
        <w:fldChar w:fldCharType="separate"/>
      </w:r>
      <w:r>
        <w:rPr>
          <w:rStyle w:val="style85"/>
        </w:rPr>
        <w:t>https://files.eric.ed.gov/fulltext/ED619359.pdf</w:t>
      </w:r>
      <w:r>
        <w:rPr/>
        <w:fldChar w:fldCharType="end"/>
      </w:r>
      <w:r>
        <w:t xml:space="preserve"> </w:t>
      </w:r>
    </w:p>
    <w:p>
      <w:pPr>
        <w:pStyle w:val="style0"/>
        <w:rPr/>
      </w:pPr>
      <w:r>
        <w:t xml:space="preserve">Khatri, R., </w:t>
      </w:r>
      <w:r>
        <w:t>Endalamaw</w:t>
      </w:r>
      <w:r>
        <w:t xml:space="preserve">, A., </w:t>
      </w:r>
      <w:r>
        <w:t>Erku</w:t>
      </w:r>
      <w:r>
        <w:t xml:space="preserve">, D., </w:t>
      </w:r>
      <w:r>
        <w:t>Wolka</w:t>
      </w:r>
      <w:r>
        <w:t>, E., Nigatu, F., Zewdie, A. and Assefa, Y., 2023. Continuity and care coordination of primary health care: a scoping review. </w:t>
      </w:r>
      <w:r>
        <w:rPr>
          <w:i/>
          <w:iCs/>
        </w:rPr>
        <w:t>BMC Health Services Research</w:t>
      </w:r>
      <w:r>
        <w:t>, </w:t>
      </w:r>
      <w:r>
        <w:rPr>
          <w:i/>
          <w:iCs/>
        </w:rPr>
        <w:t>23</w:t>
      </w:r>
      <w:r>
        <w:t>(1), p.750.</w:t>
      </w:r>
      <w:r>
        <w:t xml:space="preserve"> </w:t>
      </w:r>
      <w:r>
        <w:rPr/>
        <w:fldChar w:fldCharType="begin"/>
      </w:r>
      <w:r>
        <w:instrText xml:space="preserve"> HYPERLINK "https://doi.org/10.1186/s12913-023-09718-8" </w:instrText>
      </w:r>
      <w:r>
        <w:rPr/>
        <w:fldChar w:fldCharType="separate"/>
      </w:r>
      <w:r>
        <w:rPr>
          <w:rStyle w:val="style85"/>
        </w:rPr>
        <w:t>https://doi.org/10.1186/s12913-023-09718-8</w:t>
      </w:r>
      <w:r>
        <w:rPr/>
        <w:fldChar w:fldCharType="end"/>
      </w:r>
      <w:r>
        <w:t xml:space="preserve"> </w:t>
      </w:r>
    </w:p>
    <w:p>
      <w:pPr>
        <w:pStyle w:val="style0"/>
        <w:rPr/>
      </w:pPr>
      <w:r>
        <w:t>King, L., Harrington, A., Nicholls, S., Thornton, K. and Tanner, E., 2023. Towards reduction of preventable hospital readmission: Older people and family members' views on planned self</w:t>
      </w:r>
      <w:r>
        <w:rPr>
          <w:rFonts w:ascii="Cambria Math" w:cs="Cambria Math" w:hAnsi="Cambria Math"/>
        </w:rPr>
        <w:t>‐</w:t>
      </w:r>
      <w:r>
        <w:t>management of care at home. </w:t>
      </w:r>
      <w:r>
        <w:rPr>
          <w:i/>
          <w:iCs/>
        </w:rPr>
        <w:t>Journal of clinical nursing</w:t>
      </w:r>
      <w:r>
        <w:t>, </w:t>
      </w:r>
      <w:r>
        <w:rPr>
          <w:i/>
          <w:iCs/>
        </w:rPr>
        <w:t>32</w:t>
      </w:r>
      <w:r>
        <w:t>(15-16), pp.4599-4613.</w:t>
      </w:r>
      <w:r>
        <w:t xml:space="preserve"> </w:t>
      </w:r>
      <w:r>
        <w:rPr/>
        <w:fldChar w:fldCharType="begin"/>
      </w:r>
      <w:r>
        <w:instrText xml:space="preserve"> HYPERLINK "https://doi.org/10.1111/jocn.16492" </w:instrText>
      </w:r>
      <w:r>
        <w:rPr/>
        <w:fldChar w:fldCharType="separate"/>
      </w:r>
      <w:r>
        <w:rPr>
          <w:rStyle w:val="style85"/>
        </w:rPr>
        <w:t>https://doi.org/10.1111/jocn.16492</w:t>
      </w:r>
      <w:r>
        <w:rPr/>
        <w:fldChar w:fldCharType="end"/>
      </w:r>
      <w:r>
        <w:t xml:space="preserve"> </w:t>
      </w:r>
    </w:p>
    <w:p>
      <w:pPr>
        <w:pStyle w:val="style0"/>
        <w:rPr/>
      </w:pPr>
      <w:r>
        <w:t xml:space="preserve">Kumar, S. and </w:t>
      </w:r>
      <w:r>
        <w:t>Ujire</w:t>
      </w:r>
      <w:r>
        <w:t>, D.K., 2024. Inductive and deductive approaches to qualitative research. </w:t>
      </w:r>
      <w:r>
        <w:rPr>
          <w:i/>
          <w:iCs/>
        </w:rPr>
        <w:t>International Journal of Multidisciplinary Educational Research</w:t>
      </w:r>
      <w:r>
        <w:t>, </w:t>
      </w:r>
      <w:r>
        <w:rPr>
          <w:i/>
          <w:iCs/>
        </w:rPr>
        <w:t>13</w:t>
      </w:r>
      <w:r>
        <w:t>(1), pp.58-63.</w:t>
      </w:r>
      <w:r>
        <w:t xml:space="preserve"> </w:t>
      </w:r>
      <w:r>
        <w:rPr/>
        <w:fldChar w:fldCharType="begin"/>
      </w:r>
      <w:r>
        <w:instrText xml:space="preserve"> HYPERLINK "http://ijmer.in.doi./2024/13.1.69" </w:instrText>
      </w:r>
      <w:r>
        <w:rPr/>
        <w:fldChar w:fldCharType="separate"/>
      </w:r>
      <w:r>
        <w:rPr>
          <w:rStyle w:val="style85"/>
        </w:rPr>
        <w:t>http://ijmer.in.doi./2024/13.1.69</w:t>
      </w:r>
      <w:r>
        <w:rPr/>
        <w:fldChar w:fldCharType="end"/>
      </w:r>
      <w:r>
        <w:t xml:space="preserve"> </w:t>
      </w:r>
    </w:p>
    <w:p>
      <w:pPr>
        <w:pStyle w:val="style0"/>
        <w:rPr/>
      </w:pPr>
      <w:r>
        <w:t>Lai, C.K., Towe, C.W., Patel, N.J., Brown, L.R., Claridge, J.A. and Ho, V.P., 2022. Re-admission in patients with necrotizing soft tissue infections: continuity of care matters. </w:t>
      </w:r>
      <w:r>
        <w:rPr>
          <w:i/>
          <w:iCs/>
        </w:rPr>
        <w:t>Surgical Infections</w:t>
      </w:r>
      <w:r>
        <w:t>, </w:t>
      </w:r>
      <w:r>
        <w:rPr>
          <w:i/>
          <w:iCs/>
        </w:rPr>
        <w:t>23</w:t>
      </w:r>
      <w:r>
        <w:t>(10), pp.866-872.</w:t>
      </w:r>
      <w:r>
        <w:t xml:space="preserve"> </w:t>
      </w:r>
      <w:r>
        <w:rPr/>
        <w:fldChar w:fldCharType="begin"/>
      </w:r>
      <w:r>
        <w:instrText xml:space="preserve"> HYPERLINK "https://doi.org/10.1089/sur.2022.243" </w:instrText>
      </w:r>
      <w:r>
        <w:rPr/>
        <w:fldChar w:fldCharType="separate"/>
      </w:r>
      <w:r>
        <w:rPr>
          <w:rStyle w:val="style85"/>
        </w:rPr>
        <w:t>https://doi.org/10.1089/sur.2022.243</w:t>
      </w:r>
      <w:r>
        <w:rPr/>
        <w:fldChar w:fldCharType="end"/>
      </w:r>
      <w:r>
        <w:t xml:space="preserve"> </w:t>
      </w:r>
    </w:p>
    <w:p>
      <w:pPr>
        <w:pStyle w:val="style0"/>
        <w:rPr/>
      </w:pPr>
      <w:r>
        <w:t>Lan, T., Liao, Y.H., Zhang, J., Yang, Z.P., Xu, G.S., Zhu, L. and Fan, D.M., (2021). Mortality and readmission rates after heart failure: a systematic review and meta-analysis. </w:t>
      </w:r>
      <w:r>
        <w:rPr>
          <w:i/>
          <w:iCs/>
        </w:rPr>
        <w:t>Therapeutics and clinical risk management</w:t>
      </w:r>
      <w:r>
        <w:t>, pp.1307-1320.</w:t>
      </w:r>
      <w:r>
        <w:t xml:space="preserve"> </w:t>
      </w:r>
      <w:r>
        <w:rPr/>
        <w:fldChar w:fldCharType="begin"/>
      </w:r>
      <w:r>
        <w:instrText xml:space="preserve"> HYPERLINK "https://doi.org/10.2147/TCRM.S340587" </w:instrText>
      </w:r>
      <w:r>
        <w:rPr/>
        <w:fldChar w:fldCharType="separate"/>
      </w:r>
      <w:r>
        <w:rPr>
          <w:rStyle w:val="style85"/>
        </w:rPr>
        <w:t>https://doi.org/10.2147/TCRM.S340587</w:t>
      </w:r>
      <w:r>
        <w:rPr/>
        <w:fldChar w:fldCharType="end"/>
      </w:r>
      <w:r>
        <w:t xml:space="preserve"> </w:t>
      </w:r>
      <w:r>
        <w:t xml:space="preserve"> </w:t>
      </w:r>
    </w:p>
    <w:p>
      <w:pPr>
        <w:pStyle w:val="style0"/>
        <w:rPr/>
      </w:pPr>
      <w:r>
        <w:t xml:space="preserve">Lazzarino, R., Borek, A.J., Brent, A.J., Welch, J., Honeyford, K., Daniels, R., </w:t>
      </w:r>
      <w:r>
        <w:t>Kinderlerer</w:t>
      </w:r>
      <w:r>
        <w:t>, A., Cooke, G., Patil, S., Gordon, A. and Goodman, P., 2025. The sepsis journey and where digital alerts can help: a qualitative, interview study with survivors and family members in England. </w:t>
      </w:r>
      <w:r>
        <w:rPr>
          <w:i/>
          <w:iCs/>
        </w:rPr>
        <w:t>Frontiers in Public Health</w:t>
      </w:r>
      <w:r>
        <w:t>, </w:t>
      </w:r>
      <w:r>
        <w:rPr>
          <w:i/>
          <w:iCs/>
        </w:rPr>
        <w:t>13</w:t>
      </w:r>
      <w:r>
        <w:t>, p.1521761.</w:t>
      </w:r>
      <w:r>
        <w:t xml:space="preserve"> </w:t>
      </w:r>
      <w:r>
        <w:rPr/>
        <w:fldChar w:fldCharType="begin"/>
      </w:r>
      <w:r>
        <w:instrText xml:space="preserve"> HYPERLINK "https://doi.org/10.3389/fpubh.2025.1521761" </w:instrText>
      </w:r>
      <w:r>
        <w:rPr/>
        <w:fldChar w:fldCharType="separate"/>
      </w:r>
      <w:r>
        <w:rPr>
          <w:rStyle w:val="style85"/>
        </w:rPr>
        <w:t>https://doi.org/10.3389/fpubh.2025.1521761</w:t>
      </w:r>
      <w:r>
        <w:rPr/>
        <w:fldChar w:fldCharType="end"/>
      </w:r>
      <w:r>
        <w:t xml:space="preserve"> </w:t>
      </w:r>
    </w:p>
    <w:p>
      <w:pPr>
        <w:pStyle w:val="style0"/>
        <w:rPr/>
      </w:pPr>
      <w:r>
        <w:t>Lindsay, R.K., Cunnington, P. and Dixon-Woods, M., 2025. Why is implementing remote monitoring in virtual wards (Hospital at Home) for people living with frailty so hard? Qualitative interview study. </w:t>
      </w:r>
      <w:r>
        <w:rPr>
          <w:i/>
          <w:iCs/>
        </w:rPr>
        <w:t>Age and Ageing</w:t>
      </w:r>
      <w:r>
        <w:t>, </w:t>
      </w:r>
      <w:r>
        <w:rPr>
          <w:i/>
          <w:iCs/>
        </w:rPr>
        <w:t>54</w:t>
      </w:r>
      <w:r>
        <w:t>(1), p.afaf003.</w:t>
      </w:r>
      <w:r>
        <w:t xml:space="preserve"> </w:t>
      </w:r>
      <w:r>
        <w:rPr/>
        <w:fldChar w:fldCharType="begin"/>
      </w:r>
      <w:r>
        <w:instrText xml:space="preserve"> HYPERLINK "https://doi.org/10.1093/ageing/afaf003" </w:instrText>
      </w:r>
      <w:r>
        <w:rPr/>
        <w:fldChar w:fldCharType="separate"/>
      </w:r>
      <w:r>
        <w:rPr>
          <w:rStyle w:val="style85"/>
        </w:rPr>
        <w:t>https://doi.org/10.1093/ageing/afaf003</w:t>
      </w:r>
      <w:r>
        <w:rPr/>
        <w:fldChar w:fldCharType="end"/>
      </w:r>
      <w:r>
        <w:t xml:space="preserve"> </w:t>
      </w:r>
    </w:p>
    <w:p>
      <w:pPr>
        <w:pStyle w:val="style0"/>
        <w:rPr/>
      </w:pPr>
      <w:r>
        <w:t>Liu, E., Linder, K.E. and Kuti, J.L., 2022. Antimicrobial stewardship at transitions of care to outpatient settings: synopsis and strategies. </w:t>
      </w:r>
      <w:r>
        <w:rPr>
          <w:i/>
          <w:iCs/>
        </w:rPr>
        <w:t>Antibiotics</w:t>
      </w:r>
      <w:r>
        <w:t>, </w:t>
      </w:r>
      <w:r>
        <w:rPr>
          <w:i/>
          <w:iCs/>
        </w:rPr>
        <w:t>11</w:t>
      </w:r>
      <w:r>
        <w:t>(8), p.1027.</w:t>
      </w:r>
      <w:r>
        <w:t xml:space="preserve"> </w:t>
      </w:r>
      <w:r>
        <w:rPr/>
        <w:fldChar w:fldCharType="begin"/>
      </w:r>
      <w:r>
        <w:instrText xml:space="preserve"> HYPERLINK "https://doi.org/10.3390/antibiotics11081027" </w:instrText>
      </w:r>
      <w:r>
        <w:rPr/>
        <w:fldChar w:fldCharType="separate"/>
      </w:r>
      <w:r>
        <w:rPr>
          <w:rStyle w:val="style85"/>
        </w:rPr>
        <w:t>https://doi.org/10.3390/antibiotics11081027</w:t>
      </w:r>
      <w:r>
        <w:rPr/>
        <w:fldChar w:fldCharType="end"/>
      </w:r>
      <w:r>
        <w:t xml:space="preserve"> </w:t>
      </w:r>
    </w:p>
    <w:p>
      <w:pPr>
        <w:pStyle w:val="style0"/>
        <w:rPr/>
      </w:pPr>
      <w:r>
        <w:t xml:space="preserve">Lowe, H., </w:t>
      </w:r>
      <w:r>
        <w:t>Woodd</w:t>
      </w:r>
      <w:r>
        <w:t>, S., Lange, I.L., Janjanin, S., Barnet, J. and Graham, W., 2021. Challenges and opportunities for infection prevention and control in hospitals in conflict-affected settings: a qualitative study. </w:t>
      </w:r>
      <w:r>
        <w:rPr>
          <w:i/>
          <w:iCs/>
        </w:rPr>
        <w:t>Conflict and health</w:t>
      </w:r>
      <w:r>
        <w:t>, </w:t>
      </w:r>
      <w:r>
        <w:rPr>
          <w:i/>
          <w:iCs/>
        </w:rPr>
        <w:t>15</w:t>
      </w:r>
      <w:r>
        <w:t>(1), p.94.</w:t>
      </w:r>
      <w:r>
        <w:t xml:space="preserve"> </w:t>
      </w:r>
      <w:r>
        <w:rPr/>
        <w:fldChar w:fldCharType="begin"/>
      </w:r>
      <w:r>
        <w:instrText xml:space="preserve"> HYPERLINK "https://doi.org/10.1186/s13031-021-00428-8" </w:instrText>
      </w:r>
      <w:r>
        <w:rPr/>
        <w:fldChar w:fldCharType="separate"/>
      </w:r>
      <w:r>
        <w:rPr>
          <w:rStyle w:val="style85"/>
        </w:rPr>
        <w:t>https://doi.org/10.1186/s13031-021-00428-8</w:t>
      </w:r>
      <w:r>
        <w:rPr/>
        <w:fldChar w:fldCharType="end"/>
      </w:r>
      <w:r>
        <w:t xml:space="preserve"> </w:t>
      </w:r>
    </w:p>
    <w:p>
      <w:pPr>
        <w:pStyle w:val="style0"/>
        <w:rPr/>
      </w:pPr>
      <w:r>
        <w:t>McGaughey, J., Fergusson, D.A., Van Bogaert, P. and Rose, L., 2021. Early warning systems and rapid response systems for the prevention of patient deterioration on acute adult hospital wards. </w:t>
      </w:r>
      <w:r>
        <w:rPr>
          <w:i/>
          <w:iCs/>
        </w:rPr>
        <w:t>Cochrane Database of Systematic Reviews</w:t>
      </w:r>
      <w:r>
        <w:t>, (11).</w:t>
      </w:r>
      <w:r>
        <w:t xml:space="preserve"> </w:t>
      </w:r>
      <w:r>
        <w:rPr/>
        <w:fldChar w:fldCharType="begin"/>
      </w:r>
      <w:r>
        <w:instrText xml:space="preserve"> HYPERLINK "https://doi.org/10.1002/14651858.CD005529.pub3" </w:instrText>
      </w:r>
      <w:r>
        <w:rPr/>
        <w:fldChar w:fldCharType="separate"/>
      </w:r>
      <w:r>
        <w:rPr>
          <w:rStyle w:val="style85"/>
        </w:rPr>
        <w:t>https://doi.org/10.1002/14651858.CD005529.pub3</w:t>
      </w:r>
      <w:r>
        <w:rPr/>
        <w:fldChar w:fldCharType="end"/>
      </w:r>
      <w:r>
        <w:t xml:space="preserve"> </w:t>
      </w:r>
    </w:p>
    <w:p>
      <w:pPr>
        <w:pStyle w:val="style0"/>
        <w:rPr>
          <w:color w:val="ee0000"/>
        </w:rPr>
      </w:pPr>
      <w:r>
        <w:rPr>
          <w:color w:val="ee0000"/>
        </w:rPr>
        <w:t>McGowan, C.R., Takahashi, E., Romig, L., Bertram, K., Kadir, A., Cummings, R. and Cardinal, L.J., 2022. Community-based surveillance of infectious diseases: a systematic review of drivers of success. </w:t>
      </w:r>
      <w:r>
        <w:rPr>
          <w:i/>
          <w:iCs/>
          <w:color w:val="ee0000"/>
        </w:rPr>
        <w:t>BMJ Global Health</w:t>
      </w:r>
      <w:r>
        <w:rPr>
          <w:color w:val="ee0000"/>
        </w:rPr>
        <w:t>, </w:t>
      </w:r>
      <w:r>
        <w:rPr>
          <w:i/>
          <w:iCs/>
          <w:color w:val="ee0000"/>
        </w:rPr>
        <w:t>7</w:t>
      </w:r>
      <w:r>
        <w:rPr>
          <w:color w:val="ee0000"/>
        </w:rPr>
        <w:t>(8).</w:t>
      </w:r>
      <w:r>
        <w:rPr>
          <w:color w:val="ee0000"/>
        </w:rPr>
        <w:t xml:space="preserve"> </w:t>
      </w:r>
      <w:r>
        <w:rPr/>
        <w:fldChar w:fldCharType="begin"/>
      </w:r>
      <w:r>
        <w:instrText xml:space="preserve"> HYPERLINK "https://doi.org/10.1136/bmjgh-2022-009934" </w:instrText>
      </w:r>
      <w:r>
        <w:rPr/>
        <w:fldChar w:fldCharType="separate"/>
      </w:r>
      <w:r>
        <w:rPr>
          <w:rStyle w:val="style85"/>
        </w:rPr>
        <w:t>https://doi.org/10.1136/bmjgh-2022-009934</w:t>
      </w:r>
      <w:r>
        <w:rPr/>
        <w:fldChar w:fldCharType="end"/>
      </w:r>
      <w:r>
        <w:rPr>
          <w:color w:val="ee0000"/>
        </w:rPr>
        <w:t xml:space="preserve"> </w:t>
      </w:r>
    </w:p>
    <w:p>
      <w:pPr>
        <w:pStyle w:val="style0"/>
        <w:rPr/>
      </w:pPr>
      <w:r>
        <w:t xml:space="preserve">McPeake, J., MacTavish, P., </w:t>
      </w:r>
      <w:r>
        <w:t>Puxty</w:t>
      </w:r>
      <w:r>
        <w:t>, K., Crook, C. and Quasim, T., 2025. Patient and family member experience of hospital readmission following critical illness. </w:t>
      </w:r>
      <w:r>
        <w:rPr>
          <w:i/>
          <w:iCs/>
        </w:rPr>
        <w:t>Intensive and Critical Care Nursing</w:t>
      </w:r>
      <w:r>
        <w:t>, </w:t>
      </w:r>
      <w:r>
        <w:rPr>
          <w:i/>
          <w:iCs/>
        </w:rPr>
        <w:t>87</w:t>
      </w:r>
      <w:r>
        <w:t>, p.103890.</w:t>
      </w:r>
      <w:r>
        <w:t xml:space="preserve"> </w:t>
      </w:r>
      <w:r>
        <w:rPr/>
        <w:fldChar w:fldCharType="begin"/>
      </w:r>
      <w:r>
        <w:instrText xml:space="preserve"> HYPERLINK "https://doi.org/10.1016/j.iccn.2024.103890" </w:instrText>
      </w:r>
      <w:r>
        <w:rPr/>
        <w:fldChar w:fldCharType="separate"/>
      </w:r>
      <w:r>
        <w:rPr>
          <w:rStyle w:val="style85"/>
        </w:rPr>
        <w:t>https://doi.org/10.1016/j.iccn.2024.103890</w:t>
      </w:r>
      <w:r>
        <w:rPr/>
        <w:fldChar w:fldCharType="end"/>
      </w:r>
      <w:r>
        <w:t xml:space="preserve"> </w:t>
      </w:r>
    </w:p>
    <w:p>
      <w:pPr>
        <w:pStyle w:val="style0"/>
        <w:rPr/>
      </w:pPr>
      <w:r>
        <w:t>Midby</w:t>
      </w:r>
      <w:r>
        <w:t>, J.S. and Miesner, A.R., 2024. Delayed and non-antibiotic therapy for urinary tract infections: a literature review. </w:t>
      </w:r>
      <w:r>
        <w:rPr>
          <w:i/>
          <w:iCs/>
        </w:rPr>
        <w:t>Journal of Pharmacy Practice</w:t>
      </w:r>
      <w:r>
        <w:t>, </w:t>
      </w:r>
      <w:r>
        <w:rPr>
          <w:i/>
          <w:iCs/>
        </w:rPr>
        <w:t>37</w:t>
      </w:r>
      <w:r>
        <w:t>(1), pp.212-224.</w:t>
      </w:r>
      <w:r>
        <w:t xml:space="preserve"> </w:t>
      </w:r>
      <w:r>
        <w:rPr/>
        <w:fldChar w:fldCharType="begin"/>
      </w:r>
      <w:r>
        <w:instrText xml:space="preserve"> HYPERLINK "https://doi.org/10.1177/08971900221128851" </w:instrText>
      </w:r>
      <w:r>
        <w:rPr/>
        <w:fldChar w:fldCharType="separate"/>
      </w:r>
      <w:r>
        <w:rPr>
          <w:rStyle w:val="style85"/>
        </w:rPr>
        <w:t>https://doi.org/10.1177/08971900221128851</w:t>
      </w:r>
      <w:r>
        <w:rPr/>
        <w:fldChar w:fldCharType="end"/>
      </w:r>
      <w:r>
        <w:t xml:space="preserve"> </w:t>
      </w:r>
    </w:p>
    <w:p>
      <w:pPr>
        <w:pStyle w:val="style0"/>
        <w:rPr/>
      </w:pPr>
      <w:r>
        <w:t xml:space="preserve">Moderngov.co.uk, (2025). Health Overview and Scrutiny Panel. Available at: </w:t>
      </w:r>
      <w:r>
        <w:rPr/>
        <w:fldChar w:fldCharType="begin"/>
      </w:r>
      <w:r>
        <w:instrText xml:space="preserve"> HYPERLINK "https://kingston.moderngov.co.uk/mgConvert2PDF.aspx" </w:instrText>
      </w:r>
      <w:r>
        <w:rPr/>
        <w:fldChar w:fldCharType="separate"/>
      </w:r>
      <w:r>
        <w:rPr>
          <w:rStyle w:val="style85"/>
        </w:rPr>
        <w:t>https://kingston.moderngov.co.uk/mgConvert2PDF.aspx</w:t>
      </w:r>
      <w:r>
        <w:rPr/>
        <w:fldChar w:fldCharType="end"/>
      </w:r>
      <w:r>
        <w:t xml:space="preserve">  [Accessed: 10-11-2025]</w:t>
      </w:r>
    </w:p>
    <w:p>
      <w:pPr>
        <w:pStyle w:val="style0"/>
        <w:rPr/>
      </w:pPr>
      <w:r>
        <w:t xml:space="preserve">NHS England, (2024). Annual Report and Accounts 2023-24. Available at: </w:t>
      </w:r>
      <w:r>
        <w:rPr/>
        <w:fldChar w:fldCharType="begin"/>
      </w:r>
      <w:r>
        <w:instrText xml:space="preserve"> HYPERLINK "https://assets.publishing.service.gov.uk/media/6709344a92bb81fcdbe7b728/nhs-england-annual-report-and-accounts-2023-to-2024.pdf?utm_source=chatgpt.com" </w:instrText>
      </w:r>
      <w:r>
        <w:rPr/>
        <w:fldChar w:fldCharType="separate"/>
      </w:r>
      <w:r>
        <w:rPr>
          <w:rStyle w:val="style85"/>
        </w:rPr>
        <w:t>https://assets.publishing.service.gov.uk/media/6709344a92bb81fcdbe7b728/nhs-england-annual-report-and-accounts-2023-to-2024.pdf</w:t>
      </w:r>
      <w:r>
        <w:rPr/>
        <w:fldChar w:fldCharType="end"/>
      </w:r>
      <w:r>
        <w:t xml:space="preserve">  [Accessed: 10-11-2025]</w:t>
      </w:r>
    </w:p>
    <w:bookmarkStart w:id="142" w:name="_Hlk216694858"/>
    <w:p>
      <w:pPr>
        <w:pStyle w:val="style0"/>
        <w:rPr>
          <w:color w:val="ee0000"/>
        </w:rPr>
      </w:pPr>
      <w:r>
        <w:rPr>
          <w:color w:val="ee0000"/>
        </w:rPr>
        <w:t>Nhs.uk, 2025</w:t>
      </w:r>
      <w:bookmarkEnd w:id="142"/>
      <w:r>
        <w:rPr>
          <w:color w:val="ee0000"/>
        </w:rPr>
        <w:t xml:space="preserve">. </w:t>
      </w:r>
      <w:r>
        <w:rPr>
          <w:i/>
          <w:iCs/>
          <w:color w:val="ee0000"/>
        </w:rPr>
        <w:t xml:space="preserve">Clinical response to local incidents and outbreaks of infectious disease: Commissioning guidance for ICBs. </w:t>
      </w:r>
      <w:r>
        <w:rPr>
          <w:color w:val="ee0000"/>
        </w:rPr>
        <w:t xml:space="preserve">Available at: </w:t>
      </w:r>
      <w:r>
        <w:rPr/>
        <w:fldChar w:fldCharType="begin"/>
      </w:r>
      <w:r>
        <w:instrText xml:space="preserve"> HYPERLINK "https://www.england.nhs.uk/long-read/clinical-response-outbreaks-of-infectious-disease-commissioning-guidance-icbs/" </w:instrText>
      </w:r>
      <w:r>
        <w:rPr/>
        <w:fldChar w:fldCharType="separate"/>
      </w:r>
      <w:r>
        <w:rPr>
          <w:rStyle w:val="style85"/>
        </w:rPr>
        <w:t>https://www.england.nhs.uk/long-read/clinical-response-outbreaks-of-infectious-disease-commissioning-guidance-icbs/</w:t>
      </w:r>
      <w:r>
        <w:rPr/>
        <w:fldChar w:fldCharType="end"/>
      </w:r>
      <w:r>
        <w:rPr>
          <w:color w:val="ee0000"/>
        </w:rPr>
        <w:t xml:space="preserve"> [Accessed: 13.12.2025]</w:t>
      </w:r>
    </w:p>
    <w:p>
      <w:pPr>
        <w:pStyle w:val="style0"/>
        <w:rPr/>
      </w:pPr>
      <w:r>
        <w:t xml:space="preserve">NHS UK, 2025. </w:t>
      </w:r>
      <w:r>
        <w:rPr>
          <w:i/>
          <w:iCs/>
        </w:rPr>
        <w:t>National infection prevention and control manual (NIPCM) for England.</w:t>
      </w:r>
      <w:r>
        <w:t xml:space="preserve"> Available at: </w:t>
      </w:r>
      <w:r>
        <w:rPr/>
        <w:fldChar w:fldCharType="begin"/>
      </w:r>
      <w:r>
        <w:instrText xml:space="preserve"> HYPERLINK "https://www.england.nhs.uk/national-infection-prevention-and-control-manual-nipcm-for-england/" </w:instrText>
      </w:r>
      <w:r>
        <w:rPr/>
        <w:fldChar w:fldCharType="separate"/>
      </w:r>
      <w:r>
        <w:rPr>
          <w:rStyle w:val="style85"/>
        </w:rPr>
        <w:t>https://www.england.nhs.uk/national-infection-prevention-and-control-manual-nipcm-for-england/</w:t>
      </w:r>
      <w:r>
        <w:rPr/>
        <w:fldChar w:fldCharType="end"/>
      </w:r>
      <w:r>
        <w:t xml:space="preserve"> [Accessed: 09.01.2026]</w:t>
      </w:r>
    </w:p>
    <w:p>
      <w:pPr>
        <w:pStyle w:val="style0"/>
        <w:rPr>
          <w:color w:val="ee0000"/>
        </w:rPr>
      </w:pPr>
      <w:r>
        <w:t xml:space="preserve">NHS UK, 2023. </w:t>
      </w:r>
      <w:r>
        <w:rPr>
          <w:i/>
          <w:iCs/>
        </w:rPr>
        <w:t>Education Framework for the Infection Prevention and Control Practitioner (IPC) Workforce.</w:t>
      </w:r>
      <w:r>
        <w:t xml:space="preserve"> Available at: </w:t>
      </w:r>
      <w:r>
        <w:rPr/>
        <w:fldChar w:fldCharType="begin"/>
      </w:r>
      <w:r>
        <w:instrText xml:space="preserve"> HYPERLINK "https://www.england.nhs.uk/wp-content/uploads/2022/04/PRN00460-Education-Framework-for-the-Infection-Prevention-and-Control-Practitioner-Workforce-October-2023.pdf" </w:instrText>
      </w:r>
      <w:r>
        <w:rPr/>
        <w:fldChar w:fldCharType="separate"/>
      </w:r>
      <w:r>
        <w:rPr>
          <w:rStyle w:val="style85"/>
        </w:rPr>
        <w:t>https://www.england.nhs.uk/wp-content/uploads/2022/04/PRN00460-Education-Framework-for-the-Infection-Prevention-and-Control-Practitioner-Workforce-October-2023.pdf</w:t>
      </w:r>
      <w:r>
        <w:rPr/>
        <w:fldChar w:fldCharType="end"/>
      </w:r>
      <w:r>
        <w:t xml:space="preserve"> [Accessed: 09.01.2026]</w:t>
      </w:r>
    </w:p>
    <w:p>
      <w:pPr>
        <w:pStyle w:val="style0"/>
        <w:rPr>
          <w:color w:val="ee0000"/>
        </w:rPr>
      </w:pPr>
      <w:r>
        <w:rPr>
          <w:color w:val="ee0000"/>
        </w:rPr>
        <w:t xml:space="preserve">Nii </w:t>
      </w:r>
      <w:r>
        <w:rPr>
          <w:color w:val="ee0000"/>
        </w:rPr>
        <w:t>Laryeafio</w:t>
      </w:r>
      <w:r>
        <w:rPr>
          <w:color w:val="ee0000"/>
        </w:rPr>
        <w:t xml:space="preserve">, M. and </w:t>
      </w:r>
      <w:r>
        <w:rPr>
          <w:color w:val="ee0000"/>
        </w:rPr>
        <w:t>Ogbewe</w:t>
      </w:r>
      <w:r>
        <w:rPr>
          <w:color w:val="ee0000"/>
        </w:rPr>
        <w:t>, O.C., 2023. Ethical consideration dilemma: systematic review of ethics in qualitative data collection through interviews. </w:t>
      </w:r>
      <w:r>
        <w:rPr>
          <w:i/>
          <w:iCs/>
          <w:color w:val="ee0000"/>
        </w:rPr>
        <w:t>Journal of Ethics in Entrepreneurship and Technology</w:t>
      </w:r>
      <w:r>
        <w:rPr>
          <w:color w:val="ee0000"/>
        </w:rPr>
        <w:t>, </w:t>
      </w:r>
      <w:r>
        <w:rPr>
          <w:i/>
          <w:iCs/>
          <w:color w:val="ee0000"/>
        </w:rPr>
        <w:t>3</w:t>
      </w:r>
      <w:r>
        <w:rPr>
          <w:color w:val="ee0000"/>
        </w:rPr>
        <w:t>(2), pp.94-110.</w:t>
      </w:r>
      <w:r>
        <w:rPr>
          <w:color w:val="ee0000"/>
        </w:rPr>
        <w:t xml:space="preserve"> </w:t>
      </w:r>
      <w:r>
        <w:rPr/>
        <w:fldChar w:fldCharType="begin"/>
      </w:r>
      <w:r>
        <w:instrText xml:space="preserve"> HYPERLINK "https://doi.org/10.1108/JEET-09-2022-0014" </w:instrText>
      </w:r>
      <w:r>
        <w:rPr/>
        <w:fldChar w:fldCharType="separate"/>
      </w:r>
      <w:r>
        <w:rPr>
          <w:rStyle w:val="style85"/>
        </w:rPr>
        <w:t>https://doi.org/10.1108/JEET-09-2022-0014</w:t>
      </w:r>
      <w:r>
        <w:rPr/>
        <w:fldChar w:fldCharType="end"/>
      </w:r>
      <w:r>
        <w:rPr>
          <w:color w:val="ee0000"/>
        </w:rPr>
        <w:t xml:space="preserve"> </w:t>
      </w:r>
    </w:p>
    <w:p>
      <w:pPr>
        <w:pStyle w:val="style0"/>
        <w:rPr/>
      </w:pPr>
      <w:r>
        <w:t xml:space="preserve">Nuffieldtrust.org.uk, (2025). Delayed discharges from hospital. Available at: </w:t>
      </w:r>
      <w:r>
        <w:rPr/>
        <w:fldChar w:fldCharType="begin"/>
      </w:r>
      <w:r>
        <w:instrText xml:space="preserve"> HYPERLINK "https://www.nuffieldtrust.org.uk/resource/delayed-discharges-from-hospital" </w:instrText>
      </w:r>
      <w:r>
        <w:rPr/>
        <w:fldChar w:fldCharType="separate"/>
      </w:r>
      <w:r>
        <w:rPr>
          <w:rStyle w:val="style85"/>
        </w:rPr>
        <w:t>https://www.nuffieldtrust.org.uk/resource/delayed-discharges-from-hospital</w:t>
      </w:r>
      <w:r>
        <w:rPr/>
        <w:fldChar w:fldCharType="end"/>
      </w:r>
      <w:r>
        <w:t xml:space="preserve">  </w:t>
      </w:r>
      <w:bookmarkStart w:id="143" w:name="_Hlk213676377"/>
      <w:r>
        <w:t>[Accessed: 10-11-2025]</w:t>
      </w:r>
    </w:p>
    <w:bookmarkEnd w:id="143"/>
    <w:p>
      <w:pPr>
        <w:pStyle w:val="style0"/>
        <w:rPr/>
      </w:pPr>
      <w:r>
        <w:t xml:space="preserve">Palla, U. and </w:t>
      </w:r>
      <w:r>
        <w:t>Iwunwa</w:t>
      </w:r>
      <w:r>
        <w:t>, M.G.C., 2025. Leveraging predictive models to enhance infection control and reduce cross-contamination in public health settings. </w:t>
      </w:r>
      <w:r>
        <w:rPr>
          <w:i/>
          <w:iCs/>
        </w:rPr>
        <w:t xml:space="preserve">International Journal of </w:t>
      </w:r>
      <w:r>
        <w:rPr>
          <w:i/>
          <w:iCs/>
        </w:rPr>
        <w:t>Research Publication and Reviews</w:t>
      </w:r>
      <w:r>
        <w:t>, </w:t>
      </w:r>
      <w:r>
        <w:rPr>
          <w:i/>
          <w:iCs/>
        </w:rPr>
        <w:t>6</w:t>
      </w:r>
      <w:r>
        <w:t>(1), p.407.</w:t>
      </w:r>
      <w:r>
        <w:t xml:space="preserve"> </w:t>
      </w:r>
      <w:r>
        <w:rPr/>
        <w:fldChar w:fldCharType="begin"/>
      </w:r>
      <w:r>
        <w:instrText xml:space="preserve"> HYPERLINK "https://www.researchgate.net/profile/Chidiebere-Iwunwa/publication/387865032_Leveraging_Predictive_Models_to_Enhance_Infection_Control_and_Reduce_Cross-Contamination_in_Public_Health_Settings/links/677ffde018faf13f0c3da286/Leveraging-Predictive-Models-to-Enhance-Infection-Control-and-Reduce-Cross-Contamination-in-Public-Health-Settings.pdf" </w:instrText>
      </w:r>
      <w:r>
        <w:rPr/>
        <w:fldChar w:fldCharType="separate"/>
      </w:r>
      <w:r>
        <w:rPr>
          <w:rStyle w:val="style85"/>
        </w:rPr>
        <w:t>https://www.researchgate.net/profile/Chidiebere-Iwunwa/publication/387865032_Leveraging_Predictive_Models_to_Enhance_Infection_Control_and_Reduce_Cross-Contamination_in_Public_Health_Settings/links/677ffde018faf13f0c3da286/Leveraging-Predictive-Models-to-Enhance-Infection-Control-and-Reduce-Cross-Contamination-in-Public-Health-Settings.pdf</w:t>
      </w:r>
      <w:r>
        <w:rPr/>
        <w:fldChar w:fldCharType="end"/>
      </w:r>
      <w:r>
        <w:t xml:space="preserve"> </w:t>
      </w:r>
    </w:p>
    <w:p>
      <w:pPr>
        <w:pStyle w:val="style0"/>
        <w:rPr>
          <w:color w:val="000000"/>
        </w:rPr>
      </w:pPr>
      <w:r>
        <w:rPr>
          <w:color w:val="000000"/>
        </w:rPr>
        <w:t>Patel, N., Davis, S.L., MacDonald, N.C., Medler, C.J., Kenney, R.M., Zervos, M.J. and Mercuro, N.J., 2022. Transitions of care: an untapped opportunity for antimicrobial stewardship. </w:t>
      </w:r>
      <w:r>
        <w:rPr>
          <w:i/>
          <w:iCs/>
          <w:color w:val="000000"/>
        </w:rPr>
        <w:t>Journal of the American College of Clinical Pharmacy</w:t>
      </w:r>
      <w:r>
        <w:rPr>
          <w:color w:val="000000"/>
        </w:rPr>
        <w:t>, </w:t>
      </w:r>
      <w:r>
        <w:rPr>
          <w:i/>
          <w:iCs/>
          <w:color w:val="000000"/>
        </w:rPr>
        <w:t>5</w:t>
      </w:r>
      <w:r>
        <w:rPr>
          <w:color w:val="000000"/>
        </w:rPr>
        <w:t>(6), pp.632-643.</w:t>
      </w:r>
      <w:r>
        <w:rPr>
          <w:color w:val="000000"/>
        </w:rPr>
        <w:t xml:space="preserve"> </w:t>
      </w:r>
      <w:r>
        <w:rPr/>
        <w:fldChar w:fldCharType="begin"/>
      </w:r>
      <w:r>
        <w:instrText xml:space="preserve"> HYPERLINK "https://doi.org/10.1002/jac5.1620" </w:instrText>
      </w:r>
      <w:r>
        <w:rPr/>
        <w:fldChar w:fldCharType="separate"/>
      </w:r>
      <w:r>
        <w:rPr>
          <w:rStyle w:val="style85"/>
        </w:rPr>
        <w:t>https://doi.org/10.1002/jac5.1620</w:t>
      </w:r>
      <w:r>
        <w:rPr/>
        <w:fldChar w:fldCharType="end"/>
      </w:r>
      <w:r>
        <w:rPr>
          <w:color w:val="000000"/>
        </w:rPr>
        <w:t xml:space="preserve"> </w:t>
      </w:r>
    </w:p>
    <w:p>
      <w:pPr>
        <w:pStyle w:val="style0"/>
        <w:rPr/>
      </w:pPr>
      <w:r>
        <w:t>Perera, T., Grewal, E., Ghali, W.A. and Tang, K.L., 2022. Perceived discharge quality and associations with hospital readmissions and emergency department use: a prospective cohort study. </w:t>
      </w:r>
      <w:r>
        <w:rPr>
          <w:i/>
          <w:iCs/>
        </w:rPr>
        <w:t>BMJ Open Quality</w:t>
      </w:r>
      <w:r>
        <w:t>, </w:t>
      </w:r>
      <w:r>
        <w:rPr>
          <w:i/>
          <w:iCs/>
        </w:rPr>
        <w:t>11</w:t>
      </w:r>
      <w:r>
        <w:t>(4).</w:t>
      </w:r>
      <w:r>
        <w:t xml:space="preserve"> </w:t>
      </w:r>
      <w:r>
        <w:rPr/>
        <w:fldChar w:fldCharType="begin"/>
      </w:r>
      <w:r>
        <w:instrText xml:space="preserve"> HYPERLINK "https://doi.org/10.1136/bmjoq-2022-001875" </w:instrText>
      </w:r>
      <w:r>
        <w:rPr/>
        <w:fldChar w:fldCharType="separate"/>
      </w:r>
      <w:r>
        <w:rPr>
          <w:rStyle w:val="style85"/>
        </w:rPr>
        <w:t>https://doi.org/10.1136/bmjoq-2022-001875</w:t>
      </w:r>
      <w:r>
        <w:rPr/>
        <w:fldChar w:fldCharType="end"/>
      </w:r>
      <w:r>
        <w:t xml:space="preserve"> </w:t>
      </w:r>
    </w:p>
    <w:p>
      <w:pPr>
        <w:pStyle w:val="style0"/>
        <w:rPr/>
      </w:pPr>
      <w:r>
        <w:t>Pollock, K., Wilson, E., Caswell, G., Latif, A., Caswell, A., Avery, A., Anderson, C., Crosby, V. and Faull, C., 2021. Family and health-care professionals managing medicines for patients with serious and terminal illness at home: a qualitative study. </w:t>
      </w:r>
      <w:r>
        <w:rPr>
          <w:i/>
          <w:iCs/>
        </w:rPr>
        <w:t>Health and Social Care Delivery Research</w:t>
      </w:r>
      <w:r>
        <w:t>, </w:t>
      </w:r>
      <w:r>
        <w:rPr>
          <w:i/>
          <w:iCs/>
        </w:rPr>
        <w:t>9</w:t>
      </w:r>
      <w:r>
        <w:t>(14), pp.1-162.</w:t>
      </w:r>
      <w:r>
        <w:t xml:space="preserve"> </w:t>
      </w:r>
      <w:r>
        <w:rPr/>
        <w:fldChar w:fldCharType="begin"/>
      </w:r>
      <w:r>
        <w:instrText xml:space="preserve"> HYPERLINK "https://doi.org/10.3310/hsdr09140" </w:instrText>
      </w:r>
      <w:r>
        <w:rPr/>
        <w:fldChar w:fldCharType="separate"/>
      </w:r>
      <w:r>
        <w:rPr>
          <w:rStyle w:val="style85"/>
        </w:rPr>
        <w:t>https://doi.org/10.3310/hsdr09140</w:t>
      </w:r>
      <w:r>
        <w:rPr/>
        <w:fldChar w:fldCharType="end"/>
      </w:r>
      <w:r>
        <w:t xml:space="preserve"> </w:t>
      </w:r>
    </w:p>
    <w:p>
      <w:pPr>
        <w:pStyle w:val="style0"/>
        <w:rPr/>
      </w:pPr>
      <w:r>
        <w:t>Pownall, M., 2025. Bridging qualitative methods and open research. </w:t>
      </w:r>
      <w:r>
        <w:rPr>
          <w:i/>
          <w:iCs/>
        </w:rPr>
        <w:t>Nature Reviews Psychology</w:t>
      </w:r>
      <w:r>
        <w:t>, </w:t>
      </w:r>
      <w:r>
        <w:rPr>
          <w:i/>
          <w:iCs/>
        </w:rPr>
        <w:t>4</w:t>
      </w:r>
      <w:r>
        <w:t>(9), pp.556-557.</w:t>
      </w:r>
      <w:r>
        <w:t xml:space="preserve"> </w:t>
      </w:r>
      <w:r>
        <w:rPr/>
        <w:fldChar w:fldCharType="begin"/>
      </w:r>
      <w:r>
        <w:instrText xml:space="preserve"> HYPERLINK "https://doi.org/10.1038/s44159-025-00477-3" </w:instrText>
      </w:r>
      <w:r>
        <w:rPr/>
        <w:fldChar w:fldCharType="separate"/>
      </w:r>
      <w:r>
        <w:rPr>
          <w:rStyle w:val="style85"/>
        </w:rPr>
        <w:t>https://doi.org/10.1038/s44159-025-00477-3</w:t>
      </w:r>
      <w:r>
        <w:rPr/>
        <w:fldChar w:fldCharType="end"/>
      </w:r>
      <w:r>
        <w:t xml:space="preserve"> </w:t>
      </w:r>
    </w:p>
    <w:p>
      <w:pPr>
        <w:pStyle w:val="style0"/>
        <w:rPr/>
      </w:pPr>
      <w:r>
        <w:t>Regen, E., Phelps, K., van Oppen, J.D., Riley, P., Lalseta, J., Martin, G., Mason, S.M. and Conroy, S., 2022. Emergency care for older people living with frailty: patient and carer perspectives. </w:t>
      </w:r>
      <w:r>
        <w:rPr>
          <w:i/>
          <w:iCs/>
        </w:rPr>
        <w:t>Emergency Medicine Journal</w:t>
      </w:r>
      <w:r>
        <w:t>, </w:t>
      </w:r>
      <w:r>
        <w:rPr>
          <w:i/>
          <w:iCs/>
        </w:rPr>
        <w:t>39</w:t>
      </w:r>
      <w:r>
        <w:t>(10), pp.726-732.</w:t>
      </w:r>
      <w:r>
        <w:t xml:space="preserve"> </w:t>
      </w:r>
      <w:r>
        <w:rPr/>
        <w:fldChar w:fldCharType="begin"/>
      </w:r>
      <w:r>
        <w:instrText xml:space="preserve"> HYPERLINK "https://doi.org/10.1136/emermed-2022-212420" </w:instrText>
      </w:r>
      <w:r>
        <w:rPr/>
        <w:fldChar w:fldCharType="separate"/>
      </w:r>
      <w:r>
        <w:rPr>
          <w:rStyle w:val="style85"/>
        </w:rPr>
        <w:t>https://doi.org/10.1136/emermed-2022-212420</w:t>
      </w:r>
      <w:r>
        <w:rPr/>
        <w:fldChar w:fldCharType="end"/>
      </w:r>
      <w:r>
        <w:t xml:space="preserve"> </w:t>
      </w:r>
    </w:p>
    <w:p>
      <w:pPr>
        <w:pStyle w:val="style0"/>
        <w:rPr/>
      </w:pPr>
      <w:r>
        <w:t>Rethlefsen</w:t>
      </w:r>
      <w:r>
        <w:t>, M.L. and Page, M.J., 2022. PRISMA 2020 and PRISMA-S: common questions on tracking records and the flow diagram. </w:t>
      </w:r>
      <w:r>
        <w:rPr>
          <w:i/>
          <w:iCs/>
        </w:rPr>
        <w:t>Journal of the Medical Library Association: JMLA</w:t>
      </w:r>
      <w:r>
        <w:t>, </w:t>
      </w:r>
      <w:r>
        <w:rPr>
          <w:i/>
          <w:iCs/>
        </w:rPr>
        <w:t>110</w:t>
      </w:r>
      <w:r>
        <w:t>(2), p.253.</w:t>
      </w:r>
      <w:r>
        <w:t xml:space="preserve"> </w:t>
      </w:r>
      <w:r>
        <w:rPr/>
        <w:fldChar w:fldCharType="begin"/>
      </w:r>
      <w:r>
        <w:instrText xml:space="preserve"> HYPERLINK "https://doi.org/10.5195/jmla.2022.1449" </w:instrText>
      </w:r>
      <w:r>
        <w:rPr/>
        <w:fldChar w:fldCharType="separate"/>
      </w:r>
      <w:r>
        <w:rPr>
          <w:rStyle w:val="style85"/>
        </w:rPr>
        <w:t>https://doi.org/10.5195/jmla.2022.1449</w:t>
      </w:r>
      <w:r>
        <w:rPr/>
        <w:fldChar w:fldCharType="end"/>
      </w:r>
      <w:r>
        <w:t xml:space="preserve"> </w:t>
      </w:r>
    </w:p>
    <w:p>
      <w:pPr>
        <w:pStyle w:val="style0"/>
        <w:rPr/>
      </w:pPr>
      <w:r>
        <w:t xml:space="preserve">Riester, M.R., Bosco, E., Silva, J.B., </w:t>
      </w:r>
      <w:r>
        <w:t>Bardenheier</w:t>
      </w:r>
      <w:r>
        <w:t>, B.H., Goyal, P., O’Neil, E.T., van Aalst, R., Chit, A., Gravenstein, S. and Zullo, A.R., 2022. Causes and timing of 30-day rehospitalization from skilled nursing facilities after a hospital admission for pneumonia or sepsis. </w:t>
      </w:r>
      <w:r>
        <w:rPr>
          <w:i/>
          <w:iCs/>
        </w:rPr>
        <w:t>PLoS</w:t>
      </w:r>
      <w:r>
        <w:rPr>
          <w:i/>
          <w:iCs/>
        </w:rPr>
        <w:t xml:space="preserve"> One</w:t>
      </w:r>
      <w:r>
        <w:t>, </w:t>
      </w:r>
      <w:r>
        <w:rPr>
          <w:i/>
          <w:iCs/>
        </w:rPr>
        <w:t>17</w:t>
      </w:r>
      <w:r>
        <w:t>(1), p.e0260664.</w:t>
      </w:r>
      <w:r>
        <w:t xml:space="preserve"> </w:t>
      </w:r>
      <w:r>
        <w:rPr/>
        <w:fldChar w:fldCharType="begin"/>
      </w:r>
      <w:r>
        <w:instrText xml:space="preserve"> HYPERLINK "https://doi.org/10.1371/journal.pone.0260664" </w:instrText>
      </w:r>
      <w:r>
        <w:rPr/>
        <w:fldChar w:fldCharType="separate"/>
      </w:r>
      <w:r>
        <w:rPr>
          <w:rStyle w:val="style85"/>
        </w:rPr>
        <w:t>https://doi.org/10.1371/journal.pone.0260664</w:t>
      </w:r>
      <w:r>
        <w:rPr/>
        <w:fldChar w:fldCharType="end"/>
      </w:r>
      <w:r>
        <w:t xml:space="preserve"> </w:t>
      </w:r>
    </w:p>
    <w:bookmarkStart w:id="144" w:name="_Hlk216694610"/>
    <w:p>
      <w:pPr>
        <w:pStyle w:val="style0"/>
        <w:rPr>
          <w:color w:val="ee0000"/>
        </w:rPr>
      </w:pPr>
      <w:r>
        <w:rPr>
          <w:color w:val="ee0000"/>
        </w:rPr>
        <w:t>Sanzone</w:t>
      </w:r>
      <w:bookmarkEnd w:id="144"/>
      <w:r>
        <w:rPr>
          <w:color w:val="ee0000"/>
        </w:rPr>
        <w:t xml:space="preserve">, E.M., Kam, O., Sanzone, K.E., Bai, M., Rodecker, N., Shad, M.U., Varghese, S.P., </w:t>
      </w:r>
      <w:r>
        <w:rPr>
          <w:color w:val="ee0000"/>
        </w:rPr>
        <w:t>Barlati</w:t>
      </w:r>
      <w:r>
        <w:rPr>
          <w:color w:val="ee0000"/>
        </w:rPr>
        <w:t xml:space="preserve">, S., Kirschner, M., Kooner, P. and </w:t>
      </w:r>
      <w:r>
        <w:rPr>
          <w:color w:val="ee0000"/>
        </w:rPr>
        <w:t>Velligan</w:t>
      </w:r>
      <w:r>
        <w:rPr>
          <w:color w:val="ee0000"/>
        </w:rPr>
        <w:t>, D.I., 2024. Mobile Delivery Program to Prevent Relapse and Improve Functioning in Patients With Psychiatric Diseases. </w:t>
      </w:r>
      <w:r>
        <w:rPr>
          <w:i/>
          <w:iCs/>
          <w:color w:val="ee0000"/>
        </w:rPr>
        <w:t>Journal of Psychiatric Practice®</w:t>
      </w:r>
      <w:r>
        <w:rPr>
          <w:color w:val="ee0000"/>
        </w:rPr>
        <w:t>, </w:t>
      </w:r>
      <w:r>
        <w:rPr>
          <w:i/>
          <w:iCs/>
          <w:color w:val="ee0000"/>
        </w:rPr>
        <w:t>30</w:t>
      </w:r>
      <w:r>
        <w:rPr>
          <w:color w:val="ee0000"/>
        </w:rPr>
        <w:t xml:space="preserve">(5), pp.364-373. </w:t>
      </w:r>
      <w:r>
        <w:rPr/>
        <w:fldChar w:fldCharType="begin"/>
      </w:r>
      <w:r>
        <w:instrText xml:space="preserve"> HYPERLINK "https://doi.org/10.1097/PRA.0000000000000807" </w:instrText>
      </w:r>
      <w:r>
        <w:rPr/>
        <w:fldChar w:fldCharType="separate"/>
      </w:r>
      <w:r>
        <w:rPr>
          <w:rStyle w:val="style85"/>
        </w:rPr>
        <w:t>https://doi.org/10.1097/PRA.0000000000000807</w:t>
      </w:r>
      <w:r>
        <w:rPr/>
        <w:fldChar w:fldCharType="end"/>
      </w:r>
      <w:r>
        <w:rPr>
          <w:color w:val="ee0000"/>
        </w:rPr>
        <w:t xml:space="preserve"> </w:t>
      </w:r>
    </w:p>
    <w:bookmarkStart w:id="145" w:name="_Hlk216719874"/>
    <w:p>
      <w:pPr>
        <w:pStyle w:val="style0"/>
        <w:rPr/>
      </w:pPr>
      <w:r>
        <w:t>Sarkis-Onofre</w:t>
      </w:r>
      <w:bookmarkEnd w:id="145"/>
      <w:r>
        <w:t xml:space="preserve">, R., Catalá-López, F., </w:t>
      </w:r>
      <w:r>
        <w:t>Aromataris</w:t>
      </w:r>
      <w:r>
        <w:t>, E. and Lockwood, C., 2021. How to properly use the PRISMA Statement. </w:t>
      </w:r>
      <w:r>
        <w:rPr>
          <w:i/>
          <w:iCs/>
        </w:rPr>
        <w:t>Systematic reviews</w:t>
      </w:r>
      <w:r>
        <w:t>, </w:t>
      </w:r>
      <w:r>
        <w:rPr>
          <w:i/>
          <w:iCs/>
        </w:rPr>
        <w:t>10</w:t>
      </w:r>
      <w:r>
        <w:t>(1), p.117.</w:t>
      </w:r>
      <w:r>
        <w:t xml:space="preserve"> </w:t>
      </w:r>
      <w:r>
        <w:rPr/>
        <w:fldChar w:fldCharType="begin"/>
      </w:r>
      <w:r>
        <w:instrText xml:space="preserve"> HYPERLINK "https://doi.org/10.1186/s13643-021-01671-z" </w:instrText>
      </w:r>
      <w:r>
        <w:rPr/>
        <w:fldChar w:fldCharType="separate"/>
      </w:r>
      <w:r>
        <w:rPr>
          <w:rStyle w:val="style85"/>
        </w:rPr>
        <w:t>https://doi.org/10.1186/s13643-021-01671-z</w:t>
      </w:r>
      <w:r>
        <w:rPr/>
        <w:fldChar w:fldCharType="end"/>
      </w:r>
      <w:r>
        <w:t xml:space="preserve"> </w:t>
      </w:r>
    </w:p>
    <w:p>
      <w:pPr>
        <w:pStyle w:val="style0"/>
        <w:rPr/>
      </w:pPr>
      <w:r>
        <w:t>Saunders, M.N. and Darabi, F., 2024. Using multi-and mixed methods research designs. In </w:t>
      </w:r>
      <w:r>
        <w:rPr>
          <w:i/>
          <w:iCs/>
        </w:rPr>
        <w:t>Field guide to researching employment and industrial relations</w:t>
      </w:r>
      <w:r>
        <w:t xml:space="preserve">, </w:t>
      </w:r>
      <w:r>
        <w:t>pp. 71-87.</w:t>
      </w:r>
      <w:r>
        <w:t xml:space="preserve"> </w:t>
      </w:r>
      <w:r>
        <w:rPr/>
        <w:fldChar w:fldCharType="begin"/>
      </w:r>
      <w:r>
        <w:instrText xml:space="preserve"> HYPERLINK "https://doi.org/10.4337/9781035313891.00018" </w:instrText>
      </w:r>
      <w:r>
        <w:rPr/>
        <w:fldChar w:fldCharType="separate"/>
      </w:r>
      <w:r>
        <w:rPr>
          <w:rStyle w:val="style85"/>
        </w:rPr>
        <w:t>https://doi.org/10.4337/9781035313891.00018</w:t>
      </w:r>
      <w:r>
        <w:rPr/>
        <w:fldChar w:fldCharType="end"/>
      </w:r>
      <w:r>
        <w:t xml:space="preserve"> </w:t>
      </w:r>
    </w:p>
    <w:p>
      <w:pPr>
        <w:pStyle w:val="style0"/>
        <w:rPr/>
      </w:pPr>
      <w:r>
        <w:t xml:space="preserve">Shaheen, N., Shaheen, A., Ramadan, A., </w:t>
      </w:r>
      <w:r>
        <w:t>Hefnawy</w:t>
      </w:r>
      <w:r>
        <w:t xml:space="preserve">, M.T., Ramadan, A., Ibrahim, I.A., Hassanein, M.E., Ashour, M.E. and </w:t>
      </w:r>
      <w:r>
        <w:t>Flouty</w:t>
      </w:r>
      <w:r>
        <w:t>, O., 2023. Appraising systematic reviews: a comprehensive guide to ensuring validity and reliability. </w:t>
      </w:r>
      <w:r>
        <w:rPr>
          <w:i/>
          <w:iCs/>
        </w:rPr>
        <w:t>Frontiers in research metrics and analytics</w:t>
      </w:r>
      <w:r>
        <w:t>, </w:t>
      </w:r>
      <w:r>
        <w:rPr>
          <w:i/>
          <w:iCs/>
        </w:rPr>
        <w:t>8</w:t>
      </w:r>
      <w:r>
        <w:t>, p.1268045.</w:t>
      </w:r>
      <w:r>
        <w:t xml:space="preserve"> </w:t>
      </w:r>
      <w:r>
        <w:rPr/>
        <w:fldChar w:fldCharType="begin"/>
      </w:r>
      <w:r>
        <w:instrText xml:space="preserve"> HYPERLINK "https://doi.org/10.3389/frma.2023.1268045" </w:instrText>
      </w:r>
      <w:r>
        <w:rPr/>
        <w:fldChar w:fldCharType="separate"/>
      </w:r>
      <w:r>
        <w:rPr>
          <w:rStyle w:val="style85"/>
        </w:rPr>
        <w:t>https://doi.org/10.3389/frma.2023.1268045</w:t>
      </w:r>
      <w:r>
        <w:rPr/>
        <w:fldChar w:fldCharType="end"/>
      </w:r>
      <w:r>
        <w:t xml:space="preserve"> </w:t>
      </w:r>
      <w:r>
        <w:tab/>
      </w:r>
      <w:r>
        <w:t xml:space="preserve"> </w:t>
      </w:r>
    </w:p>
    <w:p>
      <w:pPr>
        <w:pStyle w:val="style0"/>
        <w:rPr/>
      </w:pPr>
      <w:r>
        <w:t xml:space="preserve">Shi, C., </w:t>
      </w:r>
      <w:r>
        <w:t>Dumville</w:t>
      </w:r>
      <w:r>
        <w:t xml:space="preserve">, J., Rubinstein, F., Norman, G., Ullah, A., Bashir, S., Bower, P. and Vardy, E.R., 2024. Inpatient-level care at home delivered by virtual wards and hospital at home: a </w:t>
      </w:r>
      <w:r>
        <w:t>systematic review and meta-analysis of complex interventions and their components. </w:t>
      </w:r>
      <w:r>
        <w:rPr>
          <w:i/>
          <w:iCs/>
        </w:rPr>
        <w:t>BMC medicine</w:t>
      </w:r>
      <w:r>
        <w:t>, </w:t>
      </w:r>
      <w:r>
        <w:rPr>
          <w:i/>
          <w:iCs/>
        </w:rPr>
        <w:t>22</w:t>
      </w:r>
      <w:r>
        <w:t>(1), p.145.</w:t>
      </w:r>
      <w:r>
        <w:t xml:space="preserve"> </w:t>
      </w:r>
      <w:r>
        <w:rPr/>
        <w:fldChar w:fldCharType="begin"/>
      </w:r>
      <w:r>
        <w:instrText xml:space="preserve"> HYPERLINK "https://doi.org/10.1186/s12916-024-03312-3" </w:instrText>
      </w:r>
      <w:r>
        <w:rPr/>
        <w:fldChar w:fldCharType="separate"/>
      </w:r>
      <w:r>
        <w:rPr>
          <w:rStyle w:val="style85"/>
        </w:rPr>
        <w:t>https://doi.org/10.1186/s12916-024-03312-3</w:t>
      </w:r>
      <w:r>
        <w:rPr/>
        <w:fldChar w:fldCharType="end"/>
      </w:r>
      <w:r>
        <w:t xml:space="preserve"> </w:t>
      </w:r>
    </w:p>
    <w:p>
      <w:pPr>
        <w:pStyle w:val="style0"/>
        <w:rPr/>
      </w:pPr>
      <w:r>
        <w:t>Sifo</w:t>
      </w:r>
      <w:r>
        <w:t xml:space="preserve">, W., 2025. Systems Theory Towards a New Interpretive Paradigm: From the Concept of Component to the Concept of Action. </w:t>
      </w:r>
      <w:r>
        <w:rPr>
          <w:i/>
          <w:iCs/>
        </w:rPr>
        <w:t>Athens Journal of Philosophy, 5</w:t>
      </w:r>
      <w:r>
        <w:t>, pp. 1-17.</w:t>
      </w:r>
      <w:r>
        <w:t xml:space="preserve"> </w:t>
      </w:r>
      <w:r>
        <w:rPr/>
        <w:fldChar w:fldCharType="begin"/>
      </w:r>
      <w:r>
        <w:instrText xml:space="preserve"> HYPERLINK "https://doi.org/10.30958/ajphil.X-Y-Z" </w:instrText>
      </w:r>
      <w:r>
        <w:rPr/>
        <w:fldChar w:fldCharType="separate"/>
      </w:r>
      <w:r>
        <w:rPr>
          <w:rStyle w:val="style85"/>
        </w:rPr>
        <w:t>https://doi.org/10.30958/ajphil.X-Y-Z</w:t>
      </w:r>
      <w:r>
        <w:rPr/>
        <w:fldChar w:fldCharType="end"/>
      </w:r>
      <w:r>
        <w:t xml:space="preserve"> </w:t>
      </w:r>
      <w:r>
        <w:t xml:space="preserve"> </w:t>
      </w:r>
    </w:p>
    <w:p>
      <w:pPr>
        <w:pStyle w:val="style0"/>
        <w:rPr/>
      </w:pPr>
      <w:r>
        <w:t>Stavrou, F., Adams, J., Patel, H.P., Vassilev, I. and Samuel, D., 2024. Exploring Older People's Experiences and Factors Associated With 30</w:t>
      </w:r>
      <w:r>
        <w:rPr>
          <w:rFonts w:ascii="Cambria Math" w:cs="Cambria Math" w:hAnsi="Cambria Math"/>
        </w:rPr>
        <w:t>‐</w:t>
      </w:r>
      <w:r>
        <w:t>Day Hospital Readmission: A Qualitative Study Using Interpretive Phenomenological Analysis. </w:t>
      </w:r>
      <w:r>
        <w:rPr>
          <w:i/>
          <w:iCs/>
        </w:rPr>
        <w:t>International Journal of Older People Nursing</w:t>
      </w:r>
      <w:r>
        <w:t>, </w:t>
      </w:r>
      <w:r>
        <w:rPr>
          <w:i/>
          <w:iCs/>
        </w:rPr>
        <w:t>19</w:t>
      </w:r>
      <w:r>
        <w:t>(6), p.e12662.</w:t>
      </w:r>
      <w:r>
        <w:t xml:space="preserve"> </w:t>
      </w:r>
      <w:r>
        <w:rPr/>
        <w:fldChar w:fldCharType="begin"/>
      </w:r>
      <w:r>
        <w:instrText xml:space="preserve"> HYPERLINK "https://doi.org/10.1111/opn.12662" </w:instrText>
      </w:r>
      <w:r>
        <w:rPr/>
        <w:fldChar w:fldCharType="separate"/>
      </w:r>
      <w:r>
        <w:rPr>
          <w:rStyle w:val="style85"/>
        </w:rPr>
        <w:t>https://doi.org/10.1111/opn.12662</w:t>
      </w:r>
      <w:r>
        <w:rPr/>
        <w:fldChar w:fldCharType="end"/>
      </w:r>
      <w:r>
        <w:t xml:space="preserve"> </w:t>
      </w:r>
    </w:p>
    <w:p>
      <w:pPr>
        <w:pStyle w:val="style0"/>
        <w:rPr/>
      </w:pPr>
      <w:r>
        <w:t>Subbe</w:t>
      </w:r>
      <w:r>
        <w:t xml:space="preserve">, C., Hughes, D.A., Lewis, S., Holmes, E.A., Kalkman, C., So, R., </w:t>
      </w:r>
      <w:r>
        <w:t>Tranka</w:t>
      </w:r>
      <w:r>
        <w:t>, S. and Welch, J., (2023). Value of improving patient safety: health economic considerations for rapid response systems–a rapid review of the literature and expert round table. </w:t>
      </w:r>
      <w:r>
        <w:rPr>
          <w:i/>
          <w:iCs/>
        </w:rPr>
        <w:t>BMJ open</w:t>
      </w:r>
      <w:r>
        <w:t>, </w:t>
      </w:r>
      <w:r>
        <w:rPr>
          <w:i/>
          <w:iCs/>
        </w:rPr>
        <w:t>13</w:t>
      </w:r>
      <w:r>
        <w:t>(4), p.e065819.</w:t>
      </w:r>
      <w:r>
        <w:t xml:space="preserve"> </w:t>
      </w:r>
      <w:r>
        <w:rPr/>
        <w:fldChar w:fldCharType="begin"/>
      </w:r>
      <w:r>
        <w:instrText xml:space="preserve"> HYPERLINK "https://doi.org/10.1136/bmjopen-2022-065819" </w:instrText>
      </w:r>
      <w:r>
        <w:rPr/>
        <w:fldChar w:fldCharType="separate"/>
      </w:r>
      <w:r>
        <w:rPr>
          <w:rStyle w:val="style85"/>
        </w:rPr>
        <w:t>https://doi.org/10.1136/bmjopen-2022-065819</w:t>
      </w:r>
      <w:r>
        <w:rPr/>
        <w:fldChar w:fldCharType="end"/>
      </w:r>
      <w:r>
        <w:t xml:space="preserve"> </w:t>
      </w:r>
    </w:p>
    <w:p>
      <w:pPr>
        <w:pStyle w:val="style0"/>
        <w:rPr/>
      </w:pPr>
      <w:r>
        <w:t>Suksatan</w:t>
      </w:r>
      <w:r>
        <w:t xml:space="preserve">, W. and </w:t>
      </w:r>
      <w:r>
        <w:t>Tankumpuan</w:t>
      </w:r>
      <w:r>
        <w:t>, T., (2022). The effectiveness of transition care interventions from hospital to home on rehospitalization in older patients with heart failure: an integrative review. </w:t>
      </w:r>
      <w:r>
        <w:rPr>
          <w:i/>
          <w:iCs/>
        </w:rPr>
        <w:t>Home Health Care Management &amp; Practice</w:t>
      </w:r>
      <w:r>
        <w:t>, </w:t>
      </w:r>
      <w:r>
        <w:rPr>
          <w:i/>
          <w:iCs/>
        </w:rPr>
        <w:t>34</w:t>
      </w:r>
      <w:r>
        <w:t>(1), pp.63-71.</w:t>
      </w:r>
      <w:r>
        <w:t xml:space="preserve"> </w:t>
      </w:r>
      <w:r>
        <w:rPr/>
        <w:fldChar w:fldCharType="begin"/>
      </w:r>
      <w:r>
        <w:instrText xml:space="preserve"> HYPERLINK "https://doi.org/10.1177/10848223211023887" </w:instrText>
      </w:r>
      <w:r>
        <w:rPr/>
        <w:fldChar w:fldCharType="separate"/>
      </w:r>
      <w:r>
        <w:rPr>
          <w:rStyle w:val="style85"/>
        </w:rPr>
        <w:t>https://doi.org/10.1177/10848223211023887</w:t>
      </w:r>
      <w:r>
        <w:rPr/>
        <w:fldChar w:fldCharType="end"/>
      </w:r>
      <w:r>
        <w:t xml:space="preserve"> </w:t>
      </w:r>
    </w:p>
    <w:p>
      <w:pPr>
        <w:pStyle w:val="style0"/>
        <w:rPr/>
      </w:pPr>
      <w:r>
        <w:t>Tang, K.W.K., Millar, B.C. and Moore, J.E., (2023). Antimicrobial resistance (AMR). </w:t>
      </w:r>
      <w:r>
        <w:rPr>
          <w:i/>
          <w:iCs/>
        </w:rPr>
        <w:t>British journal of biomedical science</w:t>
      </w:r>
      <w:r>
        <w:t>, </w:t>
      </w:r>
      <w:r>
        <w:rPr>
          <w:i/>
          <w:iCs/>
        </w:rPr>
        <w:t>80</w:t>
      </w:r>
      <w:r>
        <w:t>, p.11387.</w:t>
      </w:r>
      <w:r>
        <w:t xml:space="preserve"> </w:t>
      </w:r>
      <w:r>
        <w:rPr/>
        <w:fldChar w:fldCharType="begin"/>
      </w:r>
      <w:r>
        <w:instrText xml:space="preserve"> HYPERLINK "https://doi.org/10.3389/bjbs.2023.11387" </w:instrText>
      </w:r>
      <w:r>
        <w:rPr/>
        <w:fldChar w:fldCharType="separate"/>
      </w:r>
      <w:r>
        <w:rPr>
          <w:rStyle w:val="style85"/>
        </w:rPr>
        <w:t>https://doi.org/10.3389/bjbs.2023.11387</w:t>
      </w:r>
      <w:r>
        <w:rPr/>
        <w:fldChar w:fldCharType="end"/>
      </w:r>
      <w:r>
        <w:t xml:space="preserve"> </w:t>
      </w:r>
      <w:r>
        <w:t xml:space="preserve"> </w:t>
      </w:r>
    </w:p>
    <w:p>
      <w:pPr>
        <w:pStyle w:val="style0"/>
        <w:rPr/>
      </w:pPr>
      <w:r>
        <w:t>Tomczyk, S., Twyman, A., de Kraker, M.E., Rehse, A.P.C., Tartari, E., Toledo, J.P., Cassini, A., Pittet, D. and Allegranzi, B., 2022. The first WHO global survey on infection prevention and control in health-care facilities. </w:t>
      </w:r>
      <w:r>
        <w:rPr>
          <w:i/>
          <w:iCs/>
        </w:rPr>
        <w:t>The Lancet Infectious Diseases</w:t>
      </w:r>
      <w:r>
        <w:t>, </w:t>
      </w:r>
      <w:r>
        <w:rPr>
          <w:i/>
          <w:iCs/>
        </w:rPr>
        <w:t>22</w:t>
      </w:r>
      <w:r>
        <w:t>(6), pp.845-856.</w:t>
      </w:r>
      <w:r>
        <w:t xml:space="preserve"> </w:t>
      </w:r>
      <w:r>
        <w:rPr/>
        <w:fldChar w:fldCharType="begin"/>
      </w:r>
      <w:r>
        <w:instrText xml:space="preserve"> HYPERLINK "https://doi.org/10.1016/S1473-3099(21)00809-4" </w:instrText>
      </w:r>
      <w:r>
        <w:rPr/>
        <w:fldChar w:fldCharType="separate"/>
      </w:r>
      <w:r>
        <w:rPr>
          <w:rStyle w:val="style85"/>
        </w:rPr>
        <w:t>https://doi.org/10.1016/S1473-3099(21)00809-4</w:t>
      </w:r>
      <w:r>
        <w:rPr/>
        <w:fldChar w:fldCharType="end"/>
      </w:r>
      <w:r>
        <w:t xml:space="preserve"> </w:t>
      </w:r>
    </w:p>
    <w:p>
      <w:pPr>
        <w:pStyle w:val="style0"/>
        <w:rPr>
          <w:color w:val="000000"/>
        </w:rPr>
      </w:pPr>
      <w:r>
        <w:rPr>
          <w:color w:val="000000"/>
        </w:rPr>
        <w:t>Topham, E.W., Bristol, A., Luther, B., Elmore, C.E., Johnson, E. and Wallace, A.S., 2022. Caregiver inclusion in ideal discharge teaching: implications for transitions from hospital to home. </w:t>
      </w:r>
      <w:r>
        <w:rPr>
          <w:i/>
          <w:iCs/>
          <w:color w:val="000000"/>
        </w:rPr>
        <w:t>Professional case management</w:t>
      </w:r>
      <w:r>
        <w:rPr>
          <w:color w:val="000000"/>
        </w:rPr>
        <w:t>, </w:t>
      </w:r>
      <w:r>
        <w:rPr>
          <w:i/>
          <w:iCs/>
          <w:color w:val="000000"/>
        </w:rPr>
        <w:t>27</w:t>
      </w:r>
      <w:r>
        <w:rPr>
          <w:color w:val="000000"/>
        </w:rPr>
        <w:t>(4), pp.181-193.</w:t>
      </w:r>
      <w:r>
        <w:rPr>
          <w:color w:val="000000"/>
        </w:rPr>
        <w:t xml:space="preserve"> </w:t>
      </w:r>
      <w:r>
        <w:rPr/>
        <w:fldChar w:fldCharType="begin"/>
      </w:r>
      <w:r>
        <w:instrText xml:space="preserve"> HYPERLINK "https://doi.org/10.1097/NCM.0000000000000563" </w:instrText>
      </w:r>
      <w:r>
        <w:rPr/>
        <w:fldChar w:fldCharType="separate"/>
      </w:r>
      <w:r>
        <w:rPr>
          <w:rStyle w:val="style85"/>
        </w:rPr>
        <w:t>https://doi.org/10.1097/NCM.0000000000000563</w:t>
      </w:r>
      <w:r>
        <w:rPr/>
        <w:fldChar w:fldCharType="end"/>
      </w:r>
      <w:r>
        <w:rPr>
          <w:color w:val="000000"/>
        </w:rPr>
        <w:t xml:space="preserve"> </w:t>
      </w:r>
    </w:p>
    <w:p>
      <w:pPr>
        <w:pStyle w:val="style0"/>
        <w:rPr/>
      </w:pPr>
      <w:r>
        <w:t xml:space="preserve">UK Health Security Agency, (2023). Point prevalence survey on healthcare associated infections, antimicrobial use and antimicrobial stewardship in England, 2023. Available at: </w:t>
      </w:r>
      <w:r>
        <w:rPr/>
        <w:fldChar w:fldCharType="begin"/>
      </w:r>
      <w:r>
        <w:instrText xml:space="preserve"> HYPERLINK "https://assets.publishing.service.gov.uk/media/6827325d010c5c28d1c7e728/HCAI-AMU-PPS-2023-report.pdf" </w:instrText>
      </w:r>
      <w:r>
        <w:rPr/>
        <w:fldChar w:fldCharType="separate"/>
      </w:r>
      <w:r>
        <w:rPr>
          <w:rStyle w:val="style85"/>
        </w:rPr>
        <w:t>https://assets.publishing.service.gov.uk/media/6827325d010c5c28d1c7e728/HCAI-AMU-PPS-2023-report.pdf</w:t>
      </w:r>
      <w:r>
        <w:rPr/>
        <w:fldChar w:fldCharType="end"/>
      </w:r>
      <w:r>
        <w:t xml:space="preserve"> [Accessed: 10-11-2025]</w:t>
      </w:r>
    </w:p>
    <w:p>
      <w:pPr>
        <w:pStyle w:val="style0"/>
        <w:rPr/>
      </w:pPr>
      <w:r>
        <w:t xml:space="preserve">UK Health Security Agency, (2025). Increase in Clostridioides difficile infections (CDI): current epidemiology, data and investigations – Technical report. Available at: </w:t>
      </w:r>
      <w:r>
        <w:rPr/>
        <w:fldChar w:fldCharType="begin"/>
      </w:r>
      <w:r>
        <w:instrText xml:space="preserve"> HYPERLINK "https://www.gov.uk/government/publications/increase-in-clostridioides-difficile-infections-technical-report/increase-in-clostridioides-difficile-infections-cdi-current-epidemiology-data-and-investigations-technical-report" </w:instrText>
      </w:r>
      <w:r>
        <w:rPr/>
        <w:fldChar w:fldCharType="separate"/>
      </w:r>
      <w:r>
        <w:rPr>
          <w:rStyle w:val="style85"/>
        </w:rPr>
        <w:t>https://www.gov.uk/government/publications/increase-in-clostridioides-difficile-infections-technical-report/increase-in-clostridioides-difficile-infections-cdi-current-epidemiology-data-and-investigations-technical-report</w:t>
      </w:r>
      <w:r>
        <w:rPr/>
        <w:fldChar w:fldCharType="end"/>
      </w:r>
      <w:r>
        <w:t xml:space="preserve"> [Accessed: 10-11-2025]</w:t>
      </w:r>
    </w:p>
    <w:p>
      <w:pPr>
        <w:pStyle w:val="style0"/>
        <w:rPr/>
      </w:pPr>
      <w:r>
        <w:t xml:space="preserve">UKHSA, (2025). Healthcare Associated Infections (HCAI). Available at: </w:t>
      </w:r>
      <w:r>
        <w:rPr/>
        <w:fldChar w:fldCharType="begin"/>
      </w:r>
      <w:r>
        <w:instrText xml:space="preserve"> HYPERLINK "https://ukhsa-dashboard.data.gov.uk/healthcare-associated-infections-hcai/healthcare-associated-infections" </w:instrText>
      </w:r>
      <w:r>
        <w:rPr/>
        <w:fldChar w:fldCharType="separate"/>
      </w:r>
      <w:r>
        <w:rPr>
          <w:rStyle w:val="style85"/>
        </w:rPr>
        <w:t>https://ukhsa-dashboard.data.gov.uk/healthcare-associated-infections-hcai/healthcare-associated-infections</w:t>
      </w:r>
      <w:r>
        <w:rPr/>
        <w:fldChar w:fldCharType="end"/>
      </w:r>
      <w:r>
        <w:t xml:space="preserve">  [Accessed: 10-11-2025]</w:t>
      </w:r>
    </w:p>
    <w:p>
      <w:pPr>
        <w:pStyle w:val="style0"/>
        <w:rPr>
          <w:lang w:val="nl-NL"/>
        </w:rPr>
      </w:pPr>
      <w:r>
        <w:t xml:space="preserve">van der Does, A.M., </w:t>
      </w:r>
      <w:r>
        <w:t>Kneepkens</w:t>
      </w:r>
      <w:r>
        <w:t xml:space="preserve">, E.L., </w:t>
      </w:r>
      <w:r>
        <w:t>Uitvlugt</w:t>
      </w:r>
      <w:r>
        <w:t xml:space="preserve">, E.B., Jansen, S.L., Schilder, L., </w:t>
      </w:r>
      <w:r>
        <w:t>Tokmaji</w:t>
      </w:r>
      <w:r>
        <w:t xml:space="preserve">, G., </w:t>
      </w:r>
      <w:r>
        <w:t>Wijers</w:t>
      </w:r>
      <w:r>
        <w:t xml:space="preserve">, S.C., </w:t>
      </w:r>
      <w:r>
        <w:t>Radersma</w:t>
      </w:r>
      <w:r>
        <w:t>, M., Heijnen, J.N.M., Teunissen, P.F. and Hulshof, P.B., 2020. Preventability of unplanned readmissions within 30 days of discharge. A cross-sectional, single-</w:t>
      </w:r>
      <w:r>
        <w:t>center</w:t>
      </w:r>
      <w:r>
        <w:t xml:space="preserve"> study. </w:t>
      </w:r>
      <w:r>
        <w:rPr>
          <w:i/>
          <w:iCs/>
          <w:lang w:val="nl-NL"/>
        </w:rPr>
        <w:t>PLoS one</w:t>
      </w:r>
      <w:r>
        <w:rPr>
          <w:lang w:val="nl-NL"/>
        </w:rPr>
        <w:t>, </w:t>
      </w:r>
      <w:r>
        <w:rPr>
          <w:i/>
          <w:iCs/>
          <w:lang w:val="nl-NL"/>
        </w:rPr>
        <w:t>15</w:t>
      </w:r>
      <w:r>
        <w:rPr>
          <w:lang w:val="nl-NL"/>
        </w:rPr>
        <w:t>(4), p.e0229940.</w:t>
      </w:r>
      <w:r>
        <w:rPr>
          <w:lang w:val="nl-NL"/>
        </w:rPr>
        <w:t xml:space="preserve"> </w:t>
      </w:r>
      <w:r>
        <w:rPr/>
        <w:fldChar w:fldCharType="begin"/>
      </w:r>
      <w:r>
        <w:instrText xml:space="preserve"> HYPERLINK "https://doi.org/10.1371/journal.pone.0229940" </w:instrText>
      </w:r>
      <w:r>
        <w:rPr/>
        <w:fldChar w:fldCharType="separate"/>
      </w:r>
      <w:r>
        <w:rPr>
          <w:rStyle w:val="style85"/>
          <w:lang w:val="nl-NL"/>
        </w:rPr>
        <w:t>https://doi.org/10.1371/journal.pone.0229940</w:t>
      </w:r>
      <w:r>
        <w:rPr/>
        <w:fldChar w:fldCharType="end"/>
      </w:r>
      <w:r>
        <w:rPr>
          <w:lang w:val="nl-NL"/>
        </w:rPr>
        <w:t xml:space="preserve"> </w:t>
      </w:r>
    </w:p>
    <w:p>
      <w:pPr>
        <w:pStyle w:val="style0"/>
        <w:rPr/>
      </w:pPr>
      <w:r>
        <w:rPr>
          <w:lang w:val="nl-NL"/>
        </w:rPr>
        <w:t xml:space="preserve">van der Werff, S.D., van Rooden, S.M., Henriksson, A., Behnke, M., Aghdassi, S.J., van Mourik, M.S. and Nauclér, P., 2025. </w:t>
      </w:r>
      <w:r>
        <w:t>The future of healthcare</w:t>
      </w:r>
      <w:r>
        <w:rPr>
          <w:rFonts w:ascii="Cambria Math" w:cs="Cambria Math" w:hAnsi="Cambria Math"/>
        </w:rPr>
        <w:t>‐</w:t>
      </w:r>
      <w:r>
        <w:t xml:space="preserve">associated infection </w:t>
      </w:r>
      <w:r>
        <w:t>surveillance: Automated surveillance and using the potential of artificial intelligence. </w:t>
      </w:r>
      <w:r>
        <w:rPr>
          <w:i/>
          <w:iCs/>
        </w:rPr>
        <w:t>Journal of Internal Medicine</w:t>
      </w:r>
      <w:r>
        <w:t>.</w:t>
      </w:r>
      <w:r>
        <w:t xml:space="preserve"> </w:t>
      </w:r>
      <w:r>
        <w:rPr/>
        <w:fldChar w:fldCharType="begin"/>
      </w:r>
      <w:r>
        <w:instrText xml:space="preserve"> HYPERLINK "https://doi.org/10.1111/joim.20100" </w:instrText>
      </w:r>
      <w:r>
        <w:rPr/>
        <w:fldChar w:fldCharType="separate"/>
      </w:r>
      <w:r>
        <w:rPr>
          <w:rStyle w:val="style85"/>
        </w:rPr>
        <w:t>https://doi.org/10.1111/joim.20100</w:t>
      </w:r>
      <w:r>
        <w:rPr/>
        <w:fldChar w:fldCharType="end"/>
      </w:r>
      <w:r>
        <w:t xml:space="preserve"> </w:t>
      </w:r>
    </w:p>
    <w:p>
      <w:pPr>
        <w:pStyle w:val="style0"/>
        <w:rPr/>
      </w:pPr>
      <w:r>
        <w:t xml:space="preserve">Van Dort, B.A., Ritchie, A., </w:t>
      </w:r>
      <w:r>
        <w:t>Penm</w:t>
      </w:r>
      <w:r>
        <w:t xml:space="preserve">, J., Gray, T.J., </w:t>
      </w:r>
      <w:r>
        <w:t>Ronnachit</w:t>
      </w:r>
      <w:r>
        <w:t xml:space="preserve">, A. and </w:t>
      </w:r>
      <w:r>
        <w:t>Baysari</w:t>
      </w:r>
      <w:r>
        <w:t>, M.T., 2024. A tale of 2 digital hospitals: A qualitative study of antimicrobial stewardship teams. </w:t>
      </w:r>
      <w:r>
        <w:rPr>
          <w:i/>
          <w:iCs/>
        </w:rPr>
        <w:t>British Journal of Clinical Pharmacology</w:t>
      </w:r>
      <w:r>
        <w:t>, </w:t>
      </w:r>
      <w:r>
        <w:rPr>
          <w:i/>
          <w:iCs/>
        </w:rPr>
        <w:t>90</w:t>
      </w:r>
      <w:r>
        <w:t>(4), pp.1152-1161.</w:t>
      </w:r>
      <w:r>
        <w:t xml:space="preserve"> </w:t>
      </w:r>
      <w:r>
        <w:rPr/>
        <w:fldChar w:fldCharType="begin"/>
      </w:r>
      <w:r>
        <w:instrText xml:space="preserve"> HYPERLINK "https://doi.org/10.1111/bcp.16001" </w:instrText>
      </w:r>
      <w:r>
        <w:rPr/>
        <w:fldChar w:fldCharType="separate"/>
      </w:r>
      <w:r>
        <w:rPr>
          <w:rStyle w:val="style85"/>
        </w:rPr>
        <w:t>https://doi.org/10.1111/bcp.16001</w:t>
      </w:r>
      <w:r>
        <w:rPr/>
        <w:fldChar w:fldCharType="end"/>
      </w:r>
      <w:r>
        <w:t xml:space="preserve"> </w:t>
      </w:r>
    </w:p>
    <w:p>
      <w:pPr>
        <w:pStyle w:val="style0"/>
        <w:rPr/>
      </w:pPr>
      <w:r>
        <w:t>Verway</w:t>
      </w:r>
      <w:r>
        <w:t>, M., Brown, K.A., Marchand-Austin, A., Diong, C., Lee, S., Langford, B., Schwartz, K.L., MacFadden, D.R., Patel, S.N., Sander, B. and Johnstone, J., 2022. Prevalence and mortality associated with bloodstream organisms: a population-wide retrospective cohort study. </w:t>
      </w:r>
      <w:r>
        <w:rPr>
          <w:i/>
          <w:iCs/>
        </w:rPr>
        <w:t>Journal of Clinical Microbiology</w:t>
      </w:r>
      <w:r>
        <w:t>, </w:t>
      </w:r>
      <w:r>
        <w:rPr>
          <w:i/>
          <w:iCs/>
        </w:rPr>
        <w:t>60</w:t>
      </w:r>
      <w:r>
        <w:t>(4), pp.e02429-21.</w:t>
      </w:r>
      <w:r>
        <w:t xml:space="preserve"> </w:t>
      </w:r>
      <w:r>
        <w:rPr/>
        <w:fldChar w:fldCharType="begin"/>
      </w:r>
      <w:r>
        <w:instrText xml:space="preserve"> HYPERLINK "https://doi.org/10.1128/jcm.02429-21" </w:instrText>
      </w:r>
      <w:r>
        <w:rPr/>
        <w:fldChar w:fldCharType="separate"/>
      </w:r>
      <w:r>
        <w:rPr>
          <w:rStyle w:val="style85"/>
        </w:rPr>
        <w:t>https://doi.org/10.1128/jcm.02429-21</w:t>
      </w:r>
      <w:r>
        <w:rPr/>
        <w:fldChar w:fldCharType="end"/>
      </w:r>
      <w:r>
        <w:t xml:space="preserve"> </w:t>
      </w:r>
    </w:p>
    <w:p>
      <w:pPr>
        <w:pStyle w:val="style0"/>
        <w:rPr/>
      </w:pPr>
      <w:r>
        <w:t>Wang, D.Y., Eccles, R., Bell, J., Chua, A.H., Salvi, S., Schellack, N., Marks, P. and Wong, Y.C., 2021. Management of acute upper respiratory tract infection: the role of early intervention. </w:t>
      </w:r>
      <w:r>
        <w:rPr>
          <w:i/>
          <w:iCs/>
        </w:rPr>
        <w:t>Expert review of respiratory medicine</w:t>
      </w:r>
      <w:r>
        <w:t>, </w:t>
      </w:r>
      <w:r>
        <w:rPr>
          <w:i/>
          <w:iCs/>
        </w:rPr>
        <w:t>15</w:t>
      </w:r>
      <w:r>
        <w:t>(12), pp.1517-1523.</w:t>
      </w:r>
      <w:r>
        <w:t xml:space="preserve"> </w:t>
      </w:r>
      <w:r>
        <w:rPr/>
        <w:fldChar w:fldCharType="begin"/>
      </w:r>
      <w:r>
        <w:instrText xml:space="preserve"> HYPERLINK "https://doi.org/10.1080/17476348.2021.1988569" </w:instrText>
      </w:r>
      <w:r>
        <w:rPr/>
        <w:fldChar w:fldCharType="separate"/>
      </w:r>
      <w:r>
        <w:rPr>
          <w:rStyle w:val="style85"/>
        </w:rPr>
        <w:t>https://doi.org/10.1080/17476348.2021.1988569</w:t>
      </w:r>
      <w:r>
        <w:rPr/>
        <w:fldChar w:fldCharType="end"/>
      </w:r>
      <w:r>
        <w:t xml:space="preserve"> </w:t>
      </w:r>
    </w:p>
    <w:bookmarkStart w:id="146" w:name="_Hlk213676601"/>
    <w:p>
      <w:pPr>
        <w:pStyle w:val="style0"/>
        <w:rPr/>
      </w:pPr>
      <w:r>
        <w:t xml:space="preserve">Who.int, </w:t>
      </w:r>
      <w:bookmarkEnd w:id="146"/>
      <w:r>
        <w:t xml:space="preserve">(2023). Antimicrobial resistance. Available at: </w:t>
      </w:r>
      <w:r>
        <w:rPr/>
        <w:fldChar w:fldCharType="begin"/>
      </w:r>
      <w:r>
        <w:instrText xml:space="preserve"> HYPERLINK "https://www.who.int/news-room/fact-sheets/detail/antimicrobial-resistance" </w:instrText>
      </w:r>
      <w:r>
        <w:rPr/>
        <w:fldChar w:fldCharType="separate"/>
      </w:r>
      <w:r>
        <w:rPr>
          <w:rStyle w:val="style85"/>
        </w:rPr>
        <w:t>https://www.who.int/news-room/fact-sheets/detail/antimicrobial-resistance</w:t>
      </w:r>
      <w:r>
        <w:rPr/>
        <w:fldChar w:fldCharType="end"/>
      </w:r>
      <w:r>
        <w:t xml:space="preserve"> [Accessed: 10-11-2025]</w:t>
      </w:r>
    </w:p>
    <w:p>
      <w:pPr>
        <w:pStyle w:val="style0"/>
        <w:rPr/>
      </w:pPr>
      <w:r>
        <w:t>Yeatts, D., Tiwari, C., Coleman, S., Yeatts, M. and Sobering, K., 2025. A Qualitative Study of Unplanned Hospital Readmissions: Patient Perspectives on Their Hospital to Home Transition. </w:t>
      </w:r>
      <w:r>
        <w:rPr>
          <w:i/>
          <w:iCs/>
        </w:rPr>
        <w:t>Nursing Reports</w:t>
      </w:r>
      <w:r>
        <w:t>, </w:t>
      </w:r>
      <w:r>
        <w:rPr>
          <w:i/>
          <w:iCs/>
        </w:rPr>
        <w:t>15</w:t>
      </w:r>
      <w:r>
        <w:t>(6), p.192.</w:t>
      </w:r>
      <w:r>
        <w:t xml:space="preserve"> </w:t>
      </w:r>
      <w:r>
        <w:rPr/>
        <w:fldChar w:fldCharType="begin"/>
      </w:r>
      <w:r>
        <w:instrText xml:space="preserve"> HYPERLINK "https://doi.org/10.3390/nursrep15060192" </w:instrText>
      </w:r>
      <w:r>
        <w:rPr/>
        <w:fldChar w:fldCharType="separate"/>
      </w:r>
      <w:r>
        <w:rPr>
          <w:rStyle w:val="style85"/>
        </w:rPr>
        <w:t>https://doi.org/10.3390/nursrep15060192</w:t>
      </w:r>
      <w:r>
        <w:rPr/>
        <w:fldChar w:fldCharType="end"/>
      </w:r>
      <w:r>
        <w:t xml:space="preserve"> </w:t>
      </w:r>
    </w:p>
    <w:p>
      <w:pPr>
        <w:pStyle w:val="style0"/>
        <w:rPr/>
      </w:pPr>
      <w:r>
        <w:t>Yuan, X., Wang, P. and Liu, J., (2025). A novel intelligent approach for infection protection using a multidisciplinary collaboration in regional general hospitals. </w:t>
      </w:r>
      <w:r>
        <w:rPr>
          <w:i/>
          <w:iCs/>
        </w:rPr>
        <w:t>Scientific Reports</w:t>
      </w:r>
      <w:r>
        <w:t>, </w:t>
      </w:r>
      <w:r>
        <w:rPr>
          <w:i/>
          <w:iCs/>
        </w:rPr>
        <w:t>15</w:t>
      </w:r>
      <w:r>
        <w:t>(1), p.22639.</w:t>
      </w:r>
      <w:r>
        <w:t xml:space="preserve"> </w:t>
      </w:r>
      <w:r>
        <w:rPr/>
        <w:fldChar w:fldCharType="begin"/>
      </w:r>
      <w:r>
        <w:instrText xml:space="preserve"> HYPERLINK "https://doi.org/10.1038/s41598-025-06329-7" </w:instrText>
      </w:r>
      <w:r>
        <w:rPr/>
        <w:fldChar w:fldCharType="separate"/>
      </w:r>
      <w:r>
        <w:rPr>
          <w:rStyle w:val="style85"/>
        </w:rPr>
        <w:t>https://doi.org/10.1038/s41598-025-06329-7</w:t>
      </w:r>
      <w:r>
        <w:rPr/>
        <w:fldChar w:fldCharType="end"/>
      </w:r>
      <w:r>
        <w:t xml:space="preserve"> </w:t>
      </w:r>
      <w:r>
        <w:t xml:space="preserve"> </w:t>
      </w:r>
    </w:p>
    <w:p>
      <w:pPr>
        <w:pStyle w:val="style0"/>
        <w:rPr/>
      </w:pPr>
      <w:r>
        <w:t>Zhao, A., Sun, J. and Liu, Y., (2023). Understanding bacterial biofilms: From definition to treatment strategies. </w:t>
      </w:r>
      <w:r>
        <w:rPr>
          <w:i/>
          <w:iCs/>
        </w:rPr>
        <w:t>Frontiers in cellular and infection microbiology</w:t>
      </w:r>
      <w:r>
        <w:t>, </w:t>
      </w:r>
      <w:r>
        <w:rPr>
          <w:i/>
          <w:iCs/>
        </w:rPr>
        <w:t>13</w:t>
      </w:r>
      <w:r>
        <w:t>, p.1137947.</w:t>
      </w:r>
      <w:r>
        <w:t xml:space="preserve"> </w:t>
      </w:r>
      <w:r>
        <w:rPr/>
        <w:fldChar w:fldCharType="begin"/>
      </w:r>
      <w:r>
        <w:instrText xml:space="preserve"> HYPERLINK "https://doi.org/10.3389/fcimb.2023.1137947" </w:instrText>
      </w:r>
      <w:r>
        <w:rPr/>
        <w:fldChar w:fldCharType="separate"/>
      </w:r>
      <w:r>
        <w:rPr>
          <w:rStyle w:val="style85"/>
        </w:rPr>
        <w:t>https://doi.org/10.3389/fcimb.2023.1137947</w:t>
      </w:r>
      <w:r>
        <w:rPr/>
        <w:fldChar w:fldCharType="end"/>
      </w:r>
      <w:r>
        <w:t xml:space="preserve"> </w:t>
      </w:r>
    </w:p>
    <w:p>
      <w:pPr>
        <w:pStyle w:val="style0"/>
        <w:rPr/>
      </w:pPr>
      <w:r>
        <w:t>McGowan, L.J., Powell, R. and French, D.P., 2020. How can use of the Theoretical Domains Framework be optimized in qualitative research? A rapid systematic review. </w:t>
      </w:r>
      <w:r>
        <w:rPr>
          <w:i/>
          <w:iCs/>
        </w:rPr>
        <w:t>British journal of health psychology</w:t>
      </w:r>
      <w:r>
        <w:t>, </w:t>
      </w:r>
      <w:r>
        <w:rPr>
          <w:i/>
          <w:iCs/>
        </w:rPr>
        <w:t>25</w:t>
      </w:r>
      <w:r>
        <w:t>(3), pp.677-694.</w:t>
      </w:r>
      <w:r>
        <w:t xml:space="preserve"> </w:t>
      </w:r>
      <w:r>
        <w:rPr/>
        <w:fldChar w:fldCharType="begin"/>
      </w:r>
      <w:r>
        <w:instrText xml:space="preserve"> HYPERLINK "https://bpspsychub.onlinelibrary.wiley.com/doi/pdfdirect/10.1111/bjhp.12437" </w:instrText>
      </w:r>
      <w:r>
        <w:rPr/>
        <w:fldChar w:fldCharType="separate"/>
      </w:r>
      <w:r>
        <w:rPr>
          <w:rStyle w:val="style85"/>
        </w:rPr>
        <w:t>https://bpspsychub.onlinelibrary.wiley.com/doi/pdfdirect/10.1111/bjhp.12437</w:t>
      </w:r>
      <w:r>
        <w:rPr/>
        <w:fldChar w:fldCharType="end"/>
      </w:r>
    </w:p>
    <w:p>
      <w:pPr>
        <w:pStyle w:val="style0"/>
        <w:rPr/>
      </w:pPr>
      <w:r>
        <w:t xml:space="preserve">Filip, R., Gheorghita Puscaselu, R., </w:t>
      </w:r>
      <w:r>
        <w:t>Anchidin-Norocel</w:t>
      </w:r>
      <w:r>
        <w:t xml:space="preserve">, L., </w:t>
      </w:r>
      <w:r>
        <w:t>Dimian</w:t>
      </w:r>
      <w:r>
        <w:t>, M. and Savage, W.K., 2022. Global challenges to public health care systems during the COVID-19 pandemic: a review of pandemic measures and problems. </w:t>
      </w:r>
      <w:r>
        <w:rPr>
          <w:i/>
          <w:iCs/>
        </w:rPr>
        <w:t>Journal of personalized medicine</w:t>
      </w:r>
      <w:r>
        <w:t>, </w:t>
      </w:r>
      <w:r>
        <w:rPr>
          <w:i/>
          <w:iCs/>
        </w:rPr>
        <w:t>12</w:t>
      </w:r>
      <w:r>
        <w:t>(8), p.1295.</w:t>
      </w:r>
      <w:r>
        <w:t xml:space="preserve"> </w:t>
      </w:r>
      <w:r>
        <w:rPr/>
        <w:fldChar w:fldCharType="begin"/>
      </w:r>
      <w:r>
        <w:instrText xml:space="preserve"> HYPERLINK "https://doi.org/10.3390/jpm12081295" </w:instrText>
      </w:r>
      <w:r>
        <w:rPr/>
        <w:fldChar w:fldCharType="separate"/>
      </w:r>
      <w:r>
        <w:rPr>
          <w:rStyle w:val="style85"/>
        </w:rPr>
        <w:t>https://doi.org/10.3390/jpm12081295</w:t>
      </w:r>
      <w:r>
        <w:rPr/>
        <w:fldChar w:fldCharType="end"/>
      </w:r>
    </w:p>
    <w:p>
      <w:pPr>
        <w:pStyle w:val="style0"/>
        <w:rPr>
          <w:lang w:val="en-IN"/>
        </w:rPr>
      </w:pPr>
      <w:r>
        <w:t>Becker, C., Zumbrunn, S., Beck, K., Vincent, A., Loretz, N., Müller, J., Amacher, S.A., Schaefert, R. and Hunziker, S., 2021. Interventions to improve communication at hospital discharge and rates of readmission: a systematic review and meta-analysis. </w:t>
      </w:r>
      <w:r>
        <w:rPr>
          <w:i/>
          <w:iCs/>
        </w:rPr>
        <w:t>JAMA Network Open</w:t>
      </w:r>
      <w:r>
        <w:t>, </w:t>
      </w:r>
      <w:r>
        <w:rPr>
          <w:i/>
          <w:iCs/>
        </w:rPr>
        <w:t>4</w:t>
      </w:r>
      <w:r>
        <w:t>(8), pp.e2119346-e2119346.</w:t>
      </w:r>
      <w:r>
        <w:t xml:space="preserve"> </w:t>
      </w:r>
      <w:r>
        <w:rPr/>
        <w:fldChar w:fldCharType="begin"/>
      </w:r>
      <w:r>
        <w:instrText xml:space="preserve"> HYPERLINK "https://doi.org/10.1001/jamanetworkopen.2021.19346" </w:instrText>
      </w:r>
      <w:r>
        <w:rPr/>
        <w:fldChar w:fldCharType="separate"/>
      </w:r>
      <w:r>
        <w:rPr>
          <w:rStyle w:val="style85"/>
        </w:rPr>
        <w:t>https://doi.org/</w:t>
      </w:r>
      <w:r>
        <w:rPr>
          <w:rStyle w:val="style85"/>
          <w:lang w:val="en-IN"/>
        </w:rPr>
        <w:t>10.1001/jamanetworkopen.2021.19346</w:t>
      </w:r>
      <w:r>
        <w:rPr/>
        <w:fldChar w:fldCharType="end"/>
      </w:r>
      <w:r>
        <w:rPr>
          <w:lang w:val="en-IN"/>
        </w:rPr>
        <w:t xml:space="preserve"> </w:t>
      </w:r>
    </w:p>
    <w:p>
      <w:pPr>
        <w:pStyle w:val="style0"/>
        <w:rPr/>
      </w:pPr>
      <w:r>
        <w:t>Tabish, S.A., 2024. </w:t>
      </w:r>
      <w:r>
        <w:rPr>
          <w:i/>
          <w:iCs/>
        </w:rPr>
        <w:t>Health Care Management: Principles and Practice</w:t>
      </w:r>
      <w:r>
        <w:t>. Springer.</w:t>
      </w:r>
      <w:r>
        <w:t xml:space="preserve"> </w:t>
      </w:r>
      <w:r>
        <w:rPr/>
        <w:fldChar w:fldCharType="begin"/>
      </w:r>
      <w:r>
        <w:instrText xml:space="preserve"> HYPERLINK "https://www.academia.edu/download/118957117/My_Springer_Book.pdf" </w:instrText>
      </w:r>
      <w:r>
        <w:rPr/>
        <w:fldChar w:fldCharType="separate"/>
      </w:r>
      <w:r>
        <w:rPr>
          <w:rStyle w:val="style85"/>
        </w:rPr>
        <w:t>https://www.academia.edu/download/118957117/My_Springer_Book.pdf</w:t>
      </w:r>
      <w:r>
        <w:rPr/>
        <w:fldChar w:fldCharType="end"/>
      </w:r>
    </w:p>
    <w:p>
      <w:pPr>
        <w:pStyle w:val="style0"/>
        <w:rPr/>
      </w:pPr>
      <w:r>
        <w:t>Muteeb</w:t>
      </w:r>
      <w:r>
        <w:t>, G., Rehman, M.T., Shahwan, M. and Aatif, M., 2023. Origin of antibiotics and antibiotic resistance, and their impacts on drug development: A narrative review. </w:t>
      </w:r>
      <w:r>
        <w:rPr>
          <w:i/>
          <w:iCs/>
        </w:rPr>
        <w:t>Pharmaceuticals</w:t>
      </w:r>
      <w:r>
        <w:t>, </w:t>
      </w:r>
      <w:r>
        <w:rPr>
          <w:i/>
          <w:iCs/>
        </w:rPr>
        <w:t>16</w:t>
      </w:r>
      <w:r>
        <w:t>(11), p.1615.</w:t>
      </w:r>
      <w:r>
        <w:t xml:space="preserve"> </w:t>
      </w:r>
      <w:r>
        <w:rPr/>
        <w:fldChar w:fldCharType="begin"/>
      </w:r>
      <w:r>
        <w:instrText xml:space="preserve"> HYPERLINK "https://doi.org/10.3390/ph16111615" </w:instrText>
      </w:r>
      <w:r>
        <w:rPr/>
        <w:fldChar w:fldCharType="separate"/>
      </w:r>
      <w:r>
        <w:rPr>
          <w:rStyle w:val="style85"/>
        </w:rPr>
        <w:t>https://doi.org/10.3390/ph16111615</w:t>
      </w:r>
      <w:r>
        <w:rPr/>
        <w:fldChar w:fldCharType="end"/>
      </w:r>
    </w:p>
    <w:p>
      <w:pPr>
        <w:pStyle w:val="style0"/>
        <w:rPr/>
      </w:pPr>
      <w:r>
        <w:t>Will, C.M., 2020. The problem and the productivity of ignorance: public health campaigns on antibiotic stewardship. The Sociological Review, 68(1), pp.55-76.</w:t>
      </w:r>
      <w:r>
        <w:t xml:space="preserve"> </w:t>
      </w:r>
      <w:r>
        <w:rPr/>
        <w:fldChar w:fldCharType="begin"/>
      </w:r>
      <w:r>
        <w:instrText xml:space="preserve"> HYPERLINK "https://journals.sagepub.com/doi/pdf/10.1177/0038026119887330" </w:instrText>
      </w:r>
      <w:r>
        <w:rPr/>
        <w:fldChar w:fldCharType="separate"/>
      </w:r>
      <w:r>
        <w:rPr>
          <w:rStyle w:val="style85"/>
        </w:rPr>
        <w:t>https://journals.sagepub.com/doi/pdf/10.1177/0038026119887330</w:t>
      </w:r>
      <w:r>
        <w:rPr/>
        <w:fldChar w:fldCharType="end"/>
      </w:r>
    </w:p>
    <w:p>
      <w:pPr>
        <w:pStyle w:val="style0"/>
        <w:rPr/>
      </w:pPr>
      <w:r>
        <w:t>Hui, W., 2025. Research on cross-organizational integration and sharing strategies of digital health resources in the context of cloud platforms. </w:t>
      </w:r>
      <w:r>
        <w:rPr>
          <w:i/>
          <w:iCs/>
        </w:rPr>
        <w:t>Scientific Reports</w:t>
      </w:r>
      <w:r>
        <w:t>, </w:t>
      </w:r>
      <w:r>
        <w:rPr>
          <w:i/>
          <w:iCs/>
        </w:rPr>
        <w:t>15</w:t>
      </w:r>
      <w:r>
        <w:t>(1), p.17296.</w:t>
      </w:r>
      <w:r>
        <w:t xml:space="preserve"> </w:t>
      </w:r>
      <w:r>
        <w:rPr/>
        <w:fldChar w:fldCharType="begin"/>
      </w:r>
      <w:r>
        <w:instrText xml:space="preserve"> HYPERLINK "https://doi.org/10.1038/s41598-025-01520-2" </w:instrText>
      </w:r>
      <w:r>
        <w:rPr/>
        <w:fldChar w:fldCharType="separate"/>
      </w:r>
      <w:r>
        <w:rPr>
          <w:rStyle w:val="style85"/>
        </w:rPr>
        <w:t>https://doi.org/10.1038/s41598-025-01520-2</w:t>
      </w:r>
      <w:r>
        <w:rPr/>
        <w:fldChar w:fldCharType="end"/>
      </w:r>
    </w:p>
    <w:p>
      <w:pPr>
        <w:pStyle w:val="style0"/>
        <w:rPr/>
      </w:pPr>
      <w:r>
        <w:t>Mcneill</w:t>
      </w:r>
      <w:r>
        <w:t>, H. and Khairat, S., 2020. Impact of intensive care unit readmissions on patient outcomes and the evaluation of the national early warning score to prevent readmissions: literature review. </w:t>
      </w:r>
      <w:r>
        <w:rPr>
          <w:i/>
          <w:iCs/>
        </w:rPr>
        <w:t>JMIR perioperative medicine</w:t>
      </w:r>
      <w:r>
        <w:t>, </w:t>
      </w:r>
      <w:r>
        <w:rPr>
          <w:i/>
          <w:iCs/>
        </w:rPr>
        <w:t>3</w:t>
      </w:r>
      <w:r>
        <w:t>(1), p.e13782.</w:t>
      </w:r>
      <w:r>
        <w:t xml:space="preserve"> </w:t>
      </w:r>
      <w:r>
        <w:rPr/>
        <w:fldChar w:fldCharType="begin"/>
      </w:r>
      <w:r>
        <w:instrText xml:space="preserve"> HYPERLINK "https://doi.org/10.2196/13782" </w:instrText>
      </w:r>
      <w:r>
        <w:rPr/>
        <w:fldChar w:fldCharType="separate"/>
      </w:r>
      <w:r>
        <w:rPr>
          <w:rStyle w:val="style85"/>
        </w:rPr>
        <w:t>https://doi.org/10.2196/13782</w:t>
      </w:r>
      <w:r>
        <w:rPr/>
        <w:fldChar w:fldCharType="end"/>
      </w:r>
    </w:p>
    <w:p>
      <w:pPr>
        <w:pStyle w:val="style0"/>
        <w:rPr/>
      </w:pPr>
      <w:r>
        <w:t>Tulli, G. and Toccafondi, G., 2021. Integrating infection and sepsis management through holistic early warning systems and heuristic approaches: a concept proposal. </w:t>
      </w:r>
      <w:r>
        <w:rPr>
          <w:i/>
          <w:iCs/>
        </w:rPr>
        <w:t>Diagnosis</w:t>
      </w:r>
      <w:r>
        <w:t>, </w:t>
      </w:r>
      <w:r>
        <w:rPr>
          <w:i/>
          <w:iCs/>
        </w:rPr>
        <w:t>8</w:t>
      </w:r>
      <w:r>
        <w:t>(4), pp.427-438.</w:t>
      </w:r>
      <w:r>
        <w:t xml:space="preserve"> </w:t>
      </w:r>
      <w:r>
        <w:rPr/>
        <w:fldChar w:fldCharType="begin"/>
      </w:r>
      <w:r>
        <w:instrText xml:space="preserve"> HYPERLINK "https://doi.org/10.1515/dx-2020-0142" </w:instrText>
      </w:r>
      <w:r>
        <w:rPr/>
        <w:fldChar w:fldCharType="separate"/>
      </w:r>
      <w:r>
        <w:rPr>
          <w:rStyle w:val="style85"/>
        </w:rPr>
        <w:t>https://doi.org/10.1515/dx-2020-0142</w:t>
      </w:r>
      <w:r>
        <w:rPr/>
        <w:fldChar w:fldCharType="end"/>
      </w:r>
    </w:p>
    <w:p>
      <w:pPr>
        <w:pStyle w:val="style0"/>
        <w:rPr/>
      </w:pPr>
      <w:r>
        <w:t>Curran, E.T., Burnett, E., Robinson, J. and Loveday, H., 2021. A comparison of the nationally important infection prevention and control documents in NHS England and NHS Scotland. </w:t>
      </w:r>
      <w:r>
        <w:rPr>
          <w:i/>
          <w:iCs/>
        </w:rPr>
        <w:t>Journal of infection prevention</w:t>
      </w:r>
      <w:r>
        <w:t>, </w:t>
      </w:r>
      <w:r>
        <w:rPr>
          <w:i/>
          <w:iCs/>
        </w:rPr>
        <w:t>22</w:t>
      </w:r>
      <w:r>
        <w:t>(2), pp.75-82.</w:t>
      </w:r>
      <w:r>
        <w:t xml:space="preserve"> </w:t>
      </w:r>
      <w:r>
        <w:rPr/>
        <w:fldChar w:fldCharType="begin"/>
      </w:r>
      <w:r>
        <w:instrText xml:space="preserve"> HYPERLINK "https://journals.sagepub.com/doi/pdf/10.1177/1757177420971849" </w:instrText>
      </w:r>
      <w:r>
        <w:rPr/>
        <w:fldChar w:fldCharType="separate"/>
      </w:r>
      <w:r>
        <w:rPr>
          <w:rStyle w:val="style85"/>
        </w:rPr>
        <w:t>https://journals.sagepub.com/doi/pdf/10.1177/1757177420971849</w:t>
      </w:r>
      <w:r>
        <w:rPr/>
        <w:fldChar w:fldCharType="end"/>
      </w:r>
    </w:p>
    <w:p>
      <w:pPr>
        <w:pStyle w:val="style0"/>
        <w:rPr/>
      </w:pPr>
      <w:r>
        <w:t>O’Brien, W.J., Gupta, K. and Itani, K.M., 2020. Association of postoperative infection with risk of long-term infection and mortality. </w:t>
      </w:r>
      <w:r>
        <w:rPr>
          <w:i/>
          <w:iCs/>
        </w:rPr>
        <w:t>JAMA surgery</w:t>
      </w:r>
      <w:r>
        <w:t>, </w:t>
      </w:r>
      <w:r>
        <w:rPr>
          <w:i/>
          <w:iCs/>
        </w:rPr>
        <w:t>155</w:t>
      </w:r>
      <w:r>
        <w:t>(1), pp.61-68.</w:t>
      </w:r>
      <w:r>
        <w:t xml:space="preserve"> </w:t>
      </w:r>
      <w:r>
        <w:rPr/>
        <w:fldChar w:fldCharType="begin"/>
      </w:r>
      <w:r>
        <w:instrText xml:space="preserve"> HYPERLINK "https://jamanetwork.com/journals/jamasurgery/articlepdf/2753820/jamasurgery_obrien_2019_oi_190071.pdf" </w:instrText>
      </w:r>
      <w:r>
        <w:rPr/>
        <w:fldChar w:fldCharType="separate"/>
      </w:r>
      <w:r>
        <w:rPr>
          <w:rStyle w:val="style85"/>
        </w:rPr>
        <w:t>https://jamanetwork.com/journals/jamasurgery/articlepdf/2753820/jamasurgery_obrien_2019_oi_190071.pdf</w:t>
      </w:r>
      <w:r>
        <w:rPr/>
        <w:fldChar w:fldCharType="end"/>
      </w:r>
      <w:r>
        <w:t xml:space="preserve"> </w:t>
      </w:r>
    </w:p>
    <w:p>
      <w:pPr>
        <w:pStyle w:val="style0"/>
        <w:rPr/>
      </w:pPr>
      <w:r>
        <w:t xml:space="preserve">Abdelhalim, A., </w:t>
      </w:r>
      <w:r>
        <w:t>Zargoush</w:t>
      </w:r>
      <w:r>
        <w:t>, M., Archer, N. and Roham, M., 2024. Decoding the persistence of delayed hospital discharge: An in</w:t>
      </w:r>
      <w:r>
        <w:rPr>
          <w:rFonts w:ascii="Cambria Math" w:cs="Cambria Math" w:hAnsi="Cambria Math"/>
        </w:rPr>
        <w:t>‐</w:t>
      </w:r>
      <w:r>
        <w:t>depth scoping review and insights from two decades. </w:t>
      </w:r>
      <w:r>
        <w:rPr>
          <w:i/>
          <w:iCs/>
        </w:rPr>
        <w:t>Health Expectations</w:t>
      </w:r>
      <w:r>
        <w:t>, </w:t>
      </w:r>
      <w:r>
        <w:rPr>
          <w:i/>
          <w:iCs/>
        </w:rPr>
        <w:t>27</w:t>
      </w:r>
      <w:r>
        <w:t>(2), p.e14050.</w:t>
      </w:r>
      <w:r>
        <w:t xml:space="preserve"> </w:t>
      </w:r>
      <w:r>
        <w:rPr/>
        <w:fldChar w:fldCharType="begin"/>
      </w:r>
      <w:r>
        <w:instrText xml:space="preserve"> HYPERLINK "https://doi.org/10.1111/hex.14050" </w:instrText>
      </w:r>
      <w:r>
        <w:rPr/>
        <w:fldChar w:fldCharType="separate"/>
      </w:r>
      <w:r>
        <w:rPr>
          <w:rStyle w:val="style85"/>
        </w:rPr>
        <w:t>https://doi.org/10.1111/hex.14050</w:t>
      </w:r>
      <w:r>
        <w:rPr/>
        <w:fldChar w:fldCharType="end"/>
      </w:r>
      <w:r>
        <w:t xml:space="preserve"> </w:t>
      </w:r>
    </w:p>
    <w:bookmarkStart w:id="147" w:name="_Toc214575512"/>
    <w:p>
      <w:pPr>
        <w:pStyle w:val="style0"/>
        <w:spacing w:lineRule="auto" w:line="259"/>
        <w:jc w:val="left"/>
        <w:rPr/>
      </w:pPr>
      <w:r>
        <w:br w:type="page"/>
      </w:r>
    </w:p>
    <w:bookmarkStart w:id="148" w:name="_Toc218894254"/>
    <w:p>
      <w:pPr>
        <w:pStyle w:val="style1"/>
        <w:rPr/>
      </w:pPr>
      <w:r>
        <w:t>Appendix 1: CASP quality assessment</w:t>
      </w:r>
      <w:bookmarkEnd w:id="148"/>
      <w:r>
        <w:t xml:space="preserve"> </w:t>
      </w:r>
    </w:p>
    <w:bookmarkStart w:id="149" w:name="_Hlk218890676"/>
    <w:tbl>
      <w:tblPr>
        <w:tblStyle w:val="style154"/>
        <w:tblW w:w="5000" w:type="pct"/>
        <w:tblLook w:val="04A0" w:firstRow="1" w:lastRow="0" w:firstColumn="1" w:lastColumn="0" w:noHBand="0" w:noVBand="1"/>
      </w:tblPr>
      <w:tblGrid>
        <w:gridCol w:w="1764"/>
        <w:gridCol w:w="839"/>
        <w:gridCol w:w="870"/>
        <w:gridCol w:w="631"/>
        <w:gridCol w:w="647"/>
        <w:gridCol w:w="554"/>
        <w:gridCol w:w="730"/>
        <w:gridCol w:w="553"/>
        <w:gridCol w:w="790"/>
        <w:gridCol w:w="655"/>
        <w:gridCol w:w="643"/>
        <w:gridCol w:w="560"/>
      </w:tblGrid>
      <w:tr>
        <w:trPr/>
        <w:tc>
          <w:tcPr>
            <w:tcW w:w="636" w:type="pct"/>
            <w:tcBorders/>
          </w:tcPr>
          <w:p>
            <w:pPr>
              <w:pStyle w:val="style0"/>
              <w:spacing w:after="160" w:lineRule="auto" w:line="259"/>
              <w:rPr>
                <w:b/>
                <w:bCs/>
                <w:i/>
                <w:iCs/>
              </w:rPr>
            </w:pPr>
            <w:r>
              <w:rPr>
                <w:b/>
                <w:bCs/>
                <w:i/>
                <w:iCs/>
              </w:rPr>
              <w:t xml:space="preserve">CASP criteria </w:t>
            </w:r>
          </w:p>
        </w:tc>
        <w:tc>
          <w:tcPr>
            <w:tcW w:w="496" w:type="pct"/>
            <w:tcBorders/>
          </w:tcPr>
          <w:p>
            <w:pPr>
              <w:pStyle w:val="style0"/>
              <w:spacing w:after="160" w:lineRule="auto" w:line="259"/>
              <w:rPr>
                <w:b/>
                <w:bCs/>
              </w:rPr>
            </w:pPr>
            <w:r>
              <w:rPr>
                <w:b/>
                <w:bCs/>
              </w:rPr>
              <w:t xml:space="preserve">McPeake </w:t>
            </w:r>
            <w:r>
              <w:rPr>
                <w:b/>
                <w:bCs/>
                <w:i/>
                <w:iCs/>
              </w:rPr>
              <w:t xml:space="preserve">et al., </w:t>
            </w:r>
            <w:r>
              <w:rPr>
                <w:b/>
                <w:bCs/>
              </w:rPr>
              <w:t>2025</w:t>
            </w:r>
          </w:p>
        </w:tc>
        <w:tc>
          <w:tcPr>
            <w:tcW w:w="511" w:type="pct"/>
            <w:tcBorders/>
          </w:tcPr>
          <w:p>
            <w:pPr>
              <w:pStyle w:val="style0"/>
              <w:spacing w:after="160" w:lineRule="auto" w:line="259"/>
              <w:rPr>
                <w:b/>
                <w:bCs/>
              </w:rPr>
            </w:pPr>
            <w:r>
              <w:rPr>
                <w:b/>
                <w:bCs/>
              </w:rPr>
              <w:t xml:space="preserve">Lazzarino </w:t>
            </w:r>
            <w:r>
              <w:rPr>
                <w:b/>
                <w:bCs/>
                <w:i/>
                <w:iCs/>
              </w:rPr>
              <w:t xml:space="preserve">et al., </w:t>
            </w:r>
            <w:r>
              <w:rPr>
                <w:b/>
                <w:bCs/>
              </w:rPr>
              <w:t>2025</w:t>
            </w:r>
          </w:p>
        </w:tc>
        <w:tc>
          <w:tcPr>
            <w:tcW w:w="374" w:type="pct"/>
            <w:tcBorders/>
          </w:tcPr>
          <w:p>
            <w:pPr>
              <w:pStyle w:val="style0"/>
              <w:spacing w:after="160" w:lineRule="auto" w:line="259"/>
              <w:rPr>
                <w:b/>
                <w:bCs/>
              </w:rPr>
            </w:pPr>
            <w:r>
              <w:rPr>
                <w:b/>
                <w:bCs/>
              </w:rPr>
              <w:t xml:space="preserve">Elkjær </w:t>
            </w:r>
            <w:r>
              <w:rPr>
                <w:b/>
                <w:bCs/>
                <w:i/>
                <w:iCs/>
              </w:rPr>
              <w:t xml:space="preserve">et al., </w:t>
            </w:r>
            <w:r>
              <w:rPr>
                <w:b/>
                <w:bCs/>
              </w:rPr>
              <w:t>2023</w:t>
            </w:r>
          </w:p>
        </w:tc>
        <w:tc>
          <w:tcPr>
            <w:tcW w:w="366" w:type="pct"/>
            <w:tcBorders/>
          </w:tcPr>
          <w:p>
            <w:pPr>
              <w:pStyle w:val="style0"/>
              <w:spacing w:after="160" w:lineRule="auto" w:line="259"/>
              <w:rPr>
                <w:b/>
                <w:bCs/>
              </w:rPr>
            </w:pPr>
            <w:r>
              <w:rPr>
                <w:b/>
                <w:bCs/>
              </w:rPr>
              <w:t xml:space="preserve">Yeatts </w:t>
            </w:r>
            <w:r>
              <w:rPr>
                <w:b/>
                <w:bCs/>
                <w:i/>
                <w:iCs/>
              </w:rPr>
              <w:t xml:space="preserve">et al., </w:t>
            </w:r>
            <w:r>
              <w:rPr>
                <w:b/>
                <w:bCs/>
              </w:rPr>
              <w:t>2025</w:t>
            </w:r>
          </w:p>
        </w:tc>
        <w:tc>
          <w:tcPr>
            <w:tcW w:w="319" w:type="pct"/>
            <w:tcBorders/>
          </w:tcPr>
          <w:p>
            <w:pPr>
              <w:pStyle w:val="style0"/>
              <w:spacing w:after="160" w:lineRule="auto" w:line="259"/>
              <w:rPr>
                <w:b/>
                <w:bCs/>
              </w:rPr>
            </w:pPr>
            <w:r>
              <w:rPr>
                <w:b/>
                <w:bCs/>
              </w:rPr>
              <w:t xml:space="preserve">Van Dort </w:t>
            </w:r>
            <w:r>
              <w:rPr>
                <w:b/>
                <w:bCs/>
                <w:i/>
                <w:iCs/>
              </w:rPr>
              <w:t xml:space="preserve">et al., </w:t>
            </w:r>
            <w:r>
              <w:rPr>
                <w:b/>
                <w:bCs/>
              </w:rPr>
              <w:t>2024</w:t>
            </w:r>
          </w:p>
        </w:tc>
        <w:tc>
          <w:tcPr>
            <w:tcW w:w="430" w:type="pct"/>
            <w:tcBorders/>
          </w:tcPr>
          <w:p>
            <w:pPr>
              <w:pStyle w:val="style0"/>
              <w:spacing w:after="160" w:lineRule="auto" w:line="259"/>
              <w:rPr>
                <w:b/>
                <w:bCs/>
              </w:rPr>
            </w:pPr>
            <w:r>
              <w:rPr>
                <w:b/>
                <w:bCs/>
              </w:rPr>
              <w:t xml:space="preserve">Stavrou </w:t>
            </w:r>
            <w:r>
              <w:rPr>
                <w:b/>
                <w:bCs/>
                <w:i/>
                <w:iCs/>
              </w:rPr>
              <w:t xml:space="preserve">et al., </w:t>
            </w:r>
            <w:r>
              <w:rPr>
                <w:b/>
                <w:bCs/>
              </w:rPr>
              <w:t>2024</w:t>
            </w:r>
          </w:p>
        </w:tc>
        <w:tc>
          <w:tcPr>
            <w:tcW w:w="319" w:type="pct"/>
            <w:tcBorders/>
          </w:tcPr>
          <w:p>
            <w:pPr>
              <w:pStyle w:val="style0"/>
              <w:spacing w:after="160" w:lineRule="auto" w:line="259"/>
              <w:rPr>
                <w:b/>
                <w:bCs/>
              </w:rPr>
            </w:pPr>
            <w:r>
              <w:rPr>
                <w:b/>
                <w:bCs/>
              </w:rPr>
              <w:t xml:space="preserve">King </w:t>
            </w:r>
            <w:r>
              <w:rPr>
                <w:b/>
                <w:bCs/>
                <w:i/>
                <w:iCs/>
              </w:rPr>
              <w:t xml:space="preserve">et al., </w:t>
            </w:r>
            <w:r>
              <w:rPr>
                <w:b/>
                <w:bCs/>
              </w:rPr>
              <w:t>2023</w:t>
            </w:r>
          </w:p>
        </w:tc>
        <w:tc>
          <w:tcPr>
            <w:tcW w:w="460" w:type="pct"/>
            <w:tcBorders/>
          </w:tcPr>
          <w:p>
            <w:pPr>
              <w:pStyle w:val="style0"/>
              <w:spacing w:after="160" w:lineRule="auto" w:line="259"/>
              <w:rPr>
                <w:b/>
                <w:bCs/>
              </w:rPr>
            </w:pPr>
            <w:r>
              <w:rPr>
                <w:b/>
                <w:bCs/>
              </w:rPr>
              <w:t>Hobman</w:t>
            </w:r>
            <w:r>
              <w:rPr>
                <w:b/>
                <w:bCs/>
              </w:rPr>
              <w:t xml:space="preserve"> </w:t>
            </w:r>
            <w:r>
              <w:rPr>
                <w:b/>
                <w:bCs/>
                <w:i/>
                <w:iCs/>
              </w:rPr>
              <w:t xml:space="preserve">et al., </w:t>
            </w:r>
            <w:r>
              <w:rPr>
                <w:b/>
                <w:bCs/>
              </w:rPr>
              <w:t>2023</w:t>
            </w:r>
          </w:p>
        </w:tc>
        <w:tc>
          <w:tcPr>
            <w:tcW w:w="385" w:type="pct"/>
            <w:tcBorders/>
          </w:tcPr>
          <w:p>
            <w:pPr>
              <w:pStyle w:val="style0"/>
              <w:spacing w:after="160" w:lineRule="auto" w:line="259"/>
              <w:rPr>
                <w:b/>
                <w:bCs/>
              </w:rPr>
            </w:pPr>
            <w:r>
              <w:rPr>
                <w:b/>
                <w:bCs/>
              </w:rPr>
              <w:t xml:space="preserve">Huang </w:t>
            </w:r>
            <w:r>
              <w:rPr>
                <w:b/>
                <w:bCs/>
                <w:i/>
                <w:iCs/>
              </w:rPr>
              <w:t xml:space="preserve">et al., </w:t>
            </w:r>
            <w:r>
              <w:rPr>
                <w:b/>
                <w:bCs/>
              </w:rPr>
              <w:t>2020</w:t>
            </w:r>
          </w:p>
        </w:tc>
        <w:tc>
          <w:tcPr>
            <w:tcW w:w="374" w:type="pct"/>
            <w:tcBorders/>
          </w:tcPr>
          <w:p>
            <w:pPr>
              <w:pStyle w:val="style0"/>
              <w:spacing w:after="160" w:lineRule="auto" w:line="259"/>
              <w:rPr>
                <w:b/>
                <w:bCs/>
              </w:rPr>
            </w:pPr>
            <w:r>
              <w:rPr>
                <w:b/>
                <w:bCs/>
              </w:rPr>
              <w:t xml:space="preserve">Beatty </w:t>
            </w:r>
            <w:r>
              <w:rPr>
                <w:b/>
                <w:bCs/>
                <w:i/>
                <w:iCs/>
              </w:rPr>
              <w:t xml:space="preserve">et al., </w:t>
            </w:r>
            <w:r>
              <w:rPr>
                <w:b/>
                <w:bCs/>
              </w:rPr>
              <w:t>2023</w:t>
            </w:r>
          </w:p>
        </w:tc>
        <w:tc>
          <w:tcPr>
            <w:tcW w:w="329" w:type="pct"/>
            <w:tcBorders/>
          </w:tcPr>
          <w:p>
            <w:pPr>
              <w:pStyle w:val="style0"/>
              <w:spacing w:after="160" w:lineRule="auto" w:line="259"/>
              <w:rPr>
                <w:b/>
                <w:bCs/>
                <w:lang w:val="nl-NL"/>
              </w:rPr>
            </w:pPr>
            <w:r>
              <w:rPr>
                <w:b/>
                <w:bCs/>
                <w:lang w:val="nl-NL"/>
              </w:rPr>
              <w:t xml:space="preserve">van der Does </w:t>
            </w:r>
            <w:r>
              <w:rPr>
                <w:b/>
                <w:bCs/>
                <w:i/>
                <w:iCs/>
                <w:lang w:val="nl-NL"/>
              </w:rPr>
              <w:t xml:space="preserve">et al., </w:t>
            </w:r>
            <w:r>
              <w:rPr>
                <w:b/>
                <w:bCs/>
                <w:lang w:val="nl-NL"/>
              </w:rPr>
              <w:t>2020</w:t>
            </w:r>
          </w:p>
        </w:tc>
      </w:tr>
      <w:tr>
        <w:tblPrEx/>
        <w:trPr/>
        <w:tc>
          <w:tcPr>
            <w:tcW w:w="636" w:type="pct"/>
            <w:tcBorders/>
          </w:tcPr>
          <w:p>
            <w:pPr>
              <w:pStyle w:val="style0"/>
              <w:spacing w:after="160" w:lineRule="auto" w:line="259"/>
              <w:rPr/>
            </w:pPr>
            <w:r>
              <w:t>Clear research aim stated</w:t>
            </w:r>
          </w:p>
        </w:tc>
        <w:tc>
          <w:tcPr>
            <w:tcW w:w="496" w:type="pct"/>
            <w:tcBorders/>
          </w:tcPr>
          <w:p>
            <w:pPr>
              <w:pStyle w:val="style0"/>
              <w:spacing w:after="160" w:lineRule="auto" w:line="259"/>
              <w:rPr/>
            </w:pPr>
            <w:r>
              <w:t xml:space="preserve">Yes </w:t>
            </w:r>
          </w:p>
        </w:tc>
        <w:tc>
          <w:tcPr>
            <w:tcW w:w="511"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66"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30"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60" w:type="pct"/>
            <w:tcBorders/>
          </w:tcPr>
          <w:p>
            <w:pPr>
              <w:pStyle w:val="style0"/>
              <w:spacing w:after="160" w:lineRule="auto" w:line="259"/>
              <w:rPr/>
            </w:pPr>
            <w:r>
              <w:t>Yes</w:t>
            </w:r>
          </w:p>
        </w:tc>
        <w:tc>
          <w:tcPr>
            <w:tcW w:w="385"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29" w:type="pct"/>
            <w:tcBorders/>
          </w:tcPr>
          <w:p>
            <w:pPr>
              <w:pStyle w:val="style0"/>
              <w:spacing w:after="160" w:lineRule="auto" w:line="259"/>
              <w:rPr/>
            </w:pPr>
            <w:r>
              <w:t>Yes</w:t>
            </w:r>
          </w:p>
        </w:tc>
      </w:tr>
      <w:tr>
        <w:tblPrEx/>
        <w:trPr/>
        <w:tc>
          <w:tcPr>
            <w:tcW w:w="636" w:type="pct"/>
            <w:tcBorders/>
          </w:tcPr>
          <w:p>
            <w:pPr>
              <w:pStyle w:val="style0"/>
              <w:spacing w:after="160" w:lineRule="auto" w:line="259"/>
              <w:rPr/>
            </w:pPr>
            <w:r>
              <w:t>Appropriate methodology</w:t>
            </w:r>
          </w:p>
        </w:tc>
        <w:tc>
          <w:tcPr>
            <w:tcW w:w="496" w:type="pct"/>
            <w:tcBorders/>
          </w:tcPr>
          <w:p>
            <w:pPr>
              <w:pStyle w:val="style0"/>
              <w:spacing w:after="160" w:lineRule="auto" w:line="259"/>
              <w:rPr/>
            </w:pPr>
            <w:r>
              <w:t>Yes</w:t>
            </w:r>
          </w:p>
        </w:tc>
        <w:tc>
          <w:tcPr>
            <w:tcW w:w="511"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66"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30"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60" w:type="pct"/>
            <w:tcBorders/>
          </w:tcPr>
          <w:p>
            <w:pPr>
              <w:pStyle w:val="style0"/>
              <w:spacing w:after="160" w:lineRule="auto" w:line="259"/>
              <w:rPr/>
            </w:pPr>
            <w:r>
              <w:t>Yes</w:t>
            </w:r>
          </w:p>
        </w:tc>
        <w:tc>
          <w:tcPr>
            <w:tcW w:w="385"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29" w:type="pct"/>
            <w:tcBorders/>
          </w:tcPr>
          <w:p>
            <w:pPr>
              <w:pStyle w:val="style0"/>
              <w:spacing w:after="160" w:lineRule="auto" w:line="259"/>
              <w:rPr/>
            </w:pPr>
            <w:r>
              <w:t>Yes</w:t>
            </w:r>
          </w:p>
        </w:tc>
      </w:tr>
      <w:tr>
        <w:tblPrEx/>
        <w:trPr/>
        <w:tc>
          <w:tcPr>
            <w:tcW w:w="636" w:type="pct"/>
            <w:tcBorders/>
          </w:tcPr>
          <w:p>
            <w:pPr>
              <w:pStyle w:val="style0"/>
              <w:spacing w:after="160" w:lineRule="auto" w:line="259"/>
              <w:rPr/>
            </w:pPr>
            <w:r>
              <w:t>Appropriate study design</w:t>
            </w:r>
          </w:p>
        </w:tc>
        <w:tc>
          <w:tcPr>
            <w:tcW w:w="496" w:type="pct"/>
            <w:tcBorders/>
          </w:tcPr>
          <w:p>
            <w:pPr>
              <w:pStyle w:val="style0"/>
              <w:spacing w:after="160" w:lineRule="auto" w:line="259"/>
              <w:rPr/>
            </w:pPr>
            <w:r>
              <w:t>Yes</w:t>
            </w:r>
          </w:p>
        </w:tc>
        <w:tc>
          <w:tcPr>
            <w:tcW w:w="511"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66"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30"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60" w:type="pct"/>
            <w:tcBorders/>
          </w:tcPr>
          <w:p>
            <w:pPr>
              <w:pStyle w:val="style0"/>
              <w:spacing w:after="160" w:lineRule="auto" w:line="259"/>
              <w:rPr/>
            </w:pPr>
            <w:r>
              <w:t>Yes</w:t>
            </w:r>
          </w:p>
        </w:tc>
        <w:tc>
          <w:tcPr>
            <w:tcW w:w="385"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29" w:type="pct"/>
            <w:tcBorders/>
          </w:tcPr>
          <w:p>
            <w:pPr>
              <w:pStyle w:val="style0"/>
              <w:spacing w:after="160" w:lineRule="auto" w:line="259"/>
              <w:rPr/>
            </w:pPr>
            <w:r>
              <w:t>Yes</w:t>
            </w:r>
          </w:p>
        </w:tc>
      </w:tr>
      <w:tr>
        <w:tblPrEx/>
        <w:trPr/>
        <w:tc>
          <w:tcPr>
            <w:tcW w:w="636" w:type="pct"/>
            <w:tcBorders/>
          </w:tcPr>
          <w:p>
            <w:pPr>
              <w:pStyle w:val="style0"/>
              <w:spacing w:after="160" w:lineRule="auto" w:line="259"/>
              <w:rPr/>
            </w:pPr>
            <w:r>
              <w:t>Appropriate recruitment strategy</w:t>
            </w:r>
          </w:p>
        </w:tc>
        <w:tc>
          <w:tcPr>
            <w:tcW w:w="496" w:type="pct"/>
            <w:tcBorders/>
          </w:tcPr>
          <w:p>
            <w:pPr>
              <w:pStyle w:val="style0"/>
              <w:spacing w:after="160" w:lineRule="auto" w:line="259"/>
              <w:rPr/>
            </w:pPr>
            <w:r>
              <w:t>Yes</w:t>
            </w:r>
          </w:p>
        </w:tc>
        <w:tc>
          <w:tcPr>
            <w:tcW w:w="511"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66"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30"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60" w:type="pct"/>
            <w:tcBorders/>
          </w:tcPr>
          <w:p>
            <w:pPr>
              <w:pStyle w:val="style0"/>
              <w:spacing w:after="160" w:lineRule="auto" w:line="259"/>
              <w:rPr/>
            </w:pPr>
            <w:r>
              <w:t>Yes</w:t>
            </w:r>
          </w:p>
        </w:tc>
        <w:tc>
          <w:tcPr>
            <w:tcW w:w="385"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29" w:type="pct"/>
            <w:tcBorders/>
          </w:tcPr>
          <w:p>
            <w:pPr>
              <w:pStyle w:val="style0"/>
              <w:spacing w:after="160" w:lineRule="auto" w:line="259"/>
              <w:rPr/>
            </w:pPr>
            <w:r>
              <w:t>Yes</w:t>
            </w:r>
          </w:p>
        </w:tc>
      </w:tr>
      <w:tr>
        <w:tblPrEx/>
        <w:trPr/>
        <w:tc>
          <w:tcPr>
            <w:tcW w:w="636" w:type="pct"/>
            <w:tcBorders/>
          </w:tcPr>
          <w:p>
            <w:pPr>
              <w:pStyle w:val="style0"/>
              <w:spacing w:after="160" w:lineRule="auto" w:line="259"/>
              <w:rPr/>
            </w:pPr>
            <w:r>
              <w:t>Data collected rigorously</w:t>
            </w:r>
          </w:p>
        </w:tc>
        <w:tc>
          <w:tcPr>
            <w:tcW w:w="496" w:type="pct"/>
            <w:tcBorders/>
          </w:tcPr>
          <w:p>
            <w:pPr>
              <w:pStyle w:val="style0"/>
              <w:spacing w:after="160" w:lineRule="auto" w:line="259"/>
              <w:rPr/>
            </w:pPr>
            <w:r>
              <w:t>Yes</w:t>
            </w:r>
          </w:p>
        </w:tc>
        <w:tc>
          <w:tcPr>
            <w:tcW w:w="511"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66"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30"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60" w:type="pct"/>
            <w:tcBorders/>
          </w:tcPr>
          <w:p>
            <w:pPr>
              <w:pStyle w:val="style0"/>
              <w:spacing w:after="160" w:lineRule="auto" w:line="259"/>
              <w:rPr/>
            </w:pPr>
            <w:r>
              <w:t>Yes</w:t>
            </w:r>
          </w:p>
        </w:tc>
        <w:tc>
          <w:tcPr>
            <w:tcW w:w="385"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29" w:type="pct"/>
            <w:tcBorders/>
          </w:tcPr>
          <w:p>
            <w:pPr>
              <w:pStyle w:val="style0"/>
              <w:spacing w:after="160" w:lineRule="auto" w:line="259"/>
              <w:rPr/>
            </w:pPr>
            <w:r>
              <w:t>Yes</w:t>
            </w:r>
          </w:p>
        </w:tc>
      </w:tr>
      <w:tr>
        <w:tblPrEx/>
        <w:trPr/>
        <w:tc>
          <w:tcPr>
            <w:tcW w:w="636" w:type="pct"/>
            <w:tcBorders/>
          </w:tcPr>
          <w:p>
            <w:pPr>
              <w:pStyle w:val="style0"/>
              <w:spacing w:after="160" w:lineRule="auto" w:line="259"/>
              <w:rPr/>
            </w:pPr>
            <w:r>
              <w:t>Researcher–participant relationship considered</w:t>
            </w:r>
          </w:p>
        </w:tc>
        <w:tc>
          <w:tcPr>
            <w:tcW w:w="496" w:type="pct"/>
            <w:tcBorders/>
          </w:tcPr>
          <w:p>
            <w:pPr>
              <w:pStyle w:val="style0"/>
              <w:spacing w:after="160" w:lineRule="auto" w:line="259"/>
              <w:rPr/>
            </w:pPr>
            <w:r>
              <w:t xml:space="preserve">No </w:t>
            </w:r>
          </w:p>
        </w:tc>
        <w:tc>
          <w:tcPr>
            <w:tcW w:w="511" w:type="pct"/>
            <w:tcBorders/>
          </w:tcPr>
          <w:p>
            <w:pPr>
              <w:pStyle w:val="style0"/>
              <w:spacing w:after="160" w:lineRule="auto" w:line="259"/>
              <w:rPr/>
            </w:pPr>
            <w:r>
              <w:t xml:space="preserve">No </w:t>
            </w:r>
          </w:p>
        </w:tc>
        <w:tc>
          <w:tcPr>
            <w:tcW w:w="374" w:type="pct"/>
            <w:tcBorders/>
          </w:tcPr>
          <w:p>
            <w:pPr>
              <w:pStyle w:val="style0"/>
              <w:spacing w:after="160" w:lineRule="auto" w:line="259"/>
              <w:rPr/>
            </w:pPr>
            <w:r>
              <w:t xml:space="preserve">No </w:t>
            </w:r>
          </w:p>
        </w:tc>
        <w:tc>
          <w:tcPr>
            <w:tcW w:w="366"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30"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60" w:type="pct"/>
            <w:tcBorders/>
          </w:tcPr>
          <w:p>
            <w:pPr>
              <w:pStyle w:val="style0"/>
              <w:spacing w:after="160" w:lineRule="auto" w:line="259"/>
              <w:rPr/>
            </w:pPr>
            <w:r>
              <w:t>Yes</w:t>
            </w:r>
          </w:p>
        </w:tc>
        <w:tc>
          <w:tcPr>
            <w:tcW w:w="385" w:type="pct"/>
            <w:tcBorders/>
          </w:tcPr>
          <w:p>
            <w:pPr>
              <w:pStyle w:val="style0"/>
              <w:spacing w:after="160" w:lineRule="auto" w:line="259"/>
              <w:rPr/>
            </w:pPr>
            <w:r>
              <w:t xml:space="preserve">No </w:t>
            </w:r>
          </w:p>
        </w:tc>
        <w:tc>
          <w:tcPr>
            <w:tcW w:w="374" w:type="pct"/>
            <w:tcBorders/>
          </w:tcPr>
          <w:p>
            <w:pPr>
              <w:pStyle w:val="style0"/>
              <w:spacing w:after="160" w:lineRule="auto" w:line="259"/>
              <w:rPr/>
            </w:pPr>
            <w:r>
              <w:t xml:space="preserve"> No </w:t>
            </w:r>
          </w:p>
        </w:tc>
        <w:tc>
          <w:tcPr>
            <w:tcW w:w="329" w:type="pct"/>
            <w:tcBorders/>
          </w:tcPr>
          <w:p>
            <w:pPr>
              <w:pStyle w:val="style0"/>
              <w:spacing w:after="160" w:lineRule="auto" w:line="259"/>
              <w:rPr/>
            </w:pPr>
            <w:r>
              <w:t xml:space="preserve">No </w:t>
            </w:r>
          </w:p>
        </w:tc>
      </w:tr>
      <w:tr>
        <w:tblPrEx/>
        <w:trPr/>
        <w:tc>
          <w:tcPr>
            <w:tcW w:w="636" w:type="pct"/>
            <w:tcBorders/>
          </w:tcPr>
          <w:p>
            <w:pPr>
              <w:pStyle w:val="style0"/>
              <w:spacing w:after="160" w:lineRule="auto" w:line="259"/>
              <w:rPr/>
            </w:pPr>
            <w:r>
              <w:t>Ethical issues addressed</w:t>
            </w:r>
          </w:p>
        </w:tc>
        <w:tc>
          <w:tcPr>
            <w:tcW w:w="496" w:type="pct"/>
            <w:tcBorders/>
          </w:tcPr>
          <w:p>
            <w:pPr>
              <w:pStyle w:val="style0"/>
              <w:spacing w:after="160" w:lineRule="auto" w:line="259"/>
              <w:rPr/>
            </w:pPr>
            <w:r>
              <w:t>Yes</w:t>
            </w:r>
          </w:p>
        </w:tc>
        <w:tc>
          <w:tcPr>
            <w:tcW w:w="511"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66"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30"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60" w:type="pct"/>
            <w:tcBorders/>
          </w:tcPr>
          <w:p>
            <w:pPr>
              <w:pStyle w:val="style0"/>
              <w:spacing w:after="160" w:lineRule="auto" w:line="259"/>
              <w:rPr/>
            </w:pPr>
            <w:r>
              <w:t>Yes</w:t>
            </w:r>
          </w:p>
        </w:tc>
        <w:tc>
          <w:tcPr>
            <w:tcW w:w="385"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29" w:type="pct"/>
            <w:tcBorders/>
          </w:tcPr>
          <w:p>
            <w:pPr>
              <w:pStyle w:val="style0"/>
              <w:spacing w:after="160" w:lineRule="auto" w:line="259"/>
              <w:rPr/>
            </w:pPr>
            <w:r>
              <w:t>Yes</w:t>
            </w:r>
          </w:p>
        </w:tc>
      </w:tr>
      <w:tr>
        <w:tblPrEx/>
        <w:trPr/>
        <w:tc>
          <w:tcPr>
            <w:tcW w:w="636" w:type="pct"/>
            <w:tcBorders/>
          </w:tcPr>
          <w:p>
            <w:pPr>
              <w:pStyle w:val="style0"/>
              <w:spacing w:after="160" w:lineRule="auto" w:line="259"/>
              <w:rPr/>
            </w:pPr>
            <w:r>
              <w:t>Data analysis sufficientl</w:t>
            </w:r>
            <w:r>
              <w:t>y rigorous</w:t>
            </w:r>
          </w:p>
        </w:tc>
        <w:tc>
          <w:tcPr>
            <w:tcW w:w="496" w:type="pct"/>
            <w:tcBorders/>
          </w:tcPr>
          <w:p>
            <w:pPr>
              <w:pStyle w:val="style0"/>
              <w:spacing w:after="160" w:lineRule="auto" w:line="259"/>
              <w:rPr/>
            </w:pPr>
            <w:r>
              <w:t>Yes</w:t>
            </w:r>
          </w:p>
        </w:tc>
        <w:tc>
          <w:tcPr>
            <w:tcW w:w="511"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66"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30"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60" w:type="pct"/>
            <w:tcBorders/>
          </w:tcPr>
          <w:p>
            <w:pPr>
              <w:pStyle w:val="style0"/>
              <w:spacing w:after="160" w:lineRule="auto" w:line="259"/>
              <w:rPr/>
            </w:pPr>
            <w:r>
              <w:t>Yes</w:t>
            </w:r>
          </w:p>
        </w:tc>
        <w:tc>
          <w:tcPr>
            <w:tcW w:w="385"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29" w:type="pct"/>
            <w:tcBorders/>
          </w:tcPr>
          <w:p>
            <w:pPr>
              <w:pStyle w:val="style0"/>
              <w:spacing w:after="160" w:lineRule="auto" w:line="259"/>
              <w:rPr/>
            </w:pPr>
            <w:r>
              <w:t>Yes</w:t>
            </w:r>
          </w:p>
        </w:tc>
      </w:tr>
      <w:tr>
        <w:tblPrEx/>
        <w:trPr/>
        <w:tc>
          <w:tcPr>
            <w:tcW w:w="636" w:type="pct"/>
            <w:tcBorders/>
          </w:tcPr>
          <w:p>
            <w:pPr>
              <w:pStyle w:val="style0"/>
              <w:spacing w:after="160" w:lineRule="auto" w:line="259"/>
              <w:rPr/>
            </w:pPr>
            <w:r>
              <w:t>Clear statement of findings</w:t>
            </w:r>
          </w:p>
        </w:tc>
        <w:tc>
          <w:tcPr>
            <w:tcW w:w="496" w:type="pct"/>
            <w:tcBorders/>
          </w:tcPr>
          <w:p>
            <w:pPr>
              <w:pStyle w:val="style0"/>
              <w:spacing w:after="160" w:lineRule="auto" w:line="259"/>
              <w:rPr/>
            </w:pPr>
            <w:r>
              <w:t>Yes</w:t>
            </w:r>
          </w:p>
        </w:tc>
        <w:tc>
          <w:tcPr>
            <w:tcW w:w="511"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66"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30"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60" w:type="pct"/>
            <w:tcBorders/>
          </w:tcPr>
          <w:p>
            <w:pPr>
              <w:pStyle w:val="style0"/>
              <w:spacing w:after="160" w:lineRule="auto" w:line="259"/>
              <w:rPr/>
            </w:pPr>
            <w:r>
              <w:t>Yes</w:t>
            </w:r>
          </w:p>
        </w:tc>
        <w:tc>
          <w:tcPr>
            <w:tcW w:w="385"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29" w:type="pct"/>
            <w:tcBorders/>
          </w:tcPr>
          <w:p>
            <w:pPr>
              <w:pStyle w:val="style0"/>
              <w:spacing w:after="160" w:lineRule="auto" w:line="259"/>
              <w:rPr/>
            </w:pPr>
            <w:r>
              <w:t>Yes</w:t>
            </w:r>
          </w:p>
        </w:tc>
      </w:tr>
      <w:tr>
        <w:tblPrEx/>
        <w:trPr/>
        <w:tc>
          <w:tcPr>
            <w:tcW w:w="636" w:type="pct"/>
            <w:tcBorders/>
          </w:tcPr>
          <w:p>
            <w:pPr>
              <w:pStyle w:val="style0"/>
              <w:spacing w:after="160" w:lineRule="auto" w:line="259"/>
              <w:rPr/>
            </w:pPr>
            <w:r>
              <w:t>Value of research clearly stated</w:t>
            </w:r>
          </w:p>
        </w:tc>
        <w:tc>
          <w:tcPr>
            <w:tcW w:w="496" w:type="pct"/>
            <w:tcBorders/>
          </w:tcPr>
          <w:p>
            <w:pPr>
              <w:pStyle w:val="style0"/>
              <w:spacing w:after="160" w:lineRule="auto" w:line="259"/>
              <w:rPr/>
            </w:pPr>
            <w:r>
              <w:t>Yes</w:t>
            </w:r>
          </w:p>
        </w:tc>
        <w:tc>
          <w:tcPr>
            <w:tcW w:w="511"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66"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30" w:type="pct"/>
            <w:tcBorders/>
          </w:tcPr>
          <w:p>
            <w:pPr>
              <w:pStyle w:val="style0"/>
              <w:spacing w:after="160" w:lineRule="auto" w:line="259"/>
              <w:rPr/>
            </w:pPr>
            <w:r>
              <w:t>Yes</w:t>
            </w:r>
          </w:p>
        </w:tc>
        <w:tc>
          <w:tcPr>
            <w:tcW w:w="319" w:type="pct"/>
            <w:tcBorders/>
          </w:tcPr>
          <w:p>
            <w:pPr>
              <w:pStyle w:val="style0"/>
              <w:spacing w:after="160" w:lineRule="auto" w:line="259"/>
              <w:rPr/>
            </w:pPr>
            <w:r>
              <w:t>Yes</w:t>
            </w:r>
          </w:p>
        </w:tc>
        <w:tc>
          <w:tcPr>
            <w:tcW w:w="460" w:type="pct"/>
            <w:tcBorders/>
          </w:tcPr>
          <w:p>
            <w:pPr>
              <w:pStyle w:val="style0"/>
              <w:spacing w:after="160" w:lineRule="auto" w:line="259"/>
              <w:rPr/>
            </w:pPr>
            <w:r>
              <w:t>Yes</w:t>
            </w:r>
          </w:p>
        </w:tc>
        <w:tc>
          <w:tcPr>
            <w:tcW w:w="385" w:type="pct"/>
            <w:tcBorders/>
          </w:tcPr>
          <w:p>
            <w:pPr>
              <w:pStyle w:val="style0"/>
              <w:spacing w:after="160" w:lineRule="auto" w:line="259"/>
              <w:rPr/>
            </w:pPr>
            <w:r>
              <w:t>Yes</w:t>
            </w:r>
          </w:p>
        </w:tc>
        <w:tc>
          <w:tcPr>
            <w:tcW w:w="374" w:type="pct"/>
            <w:tcBorders/>
          </w:tcPr>
          <w:p>
            <w:pPr>
              <w:pStyle w:val="style0"/>
              <w:spacing w:after="160" w:lineRule="auto" w:line="259"/>
              <w:rPr/>
            </w:pPr>
            <w:r>
              <w:t>Yes</w:t>
            </w:r>
          </w:p>
        </w:tc>
        <w:tc>
          <w:tcPr>
            <w:tcW w:w="329" w:type="pct"/>
            <w:tcBorders/>
          </w:tcPr>
          <w:p>
            <w:pPr>
              <w:pStyle w:val="style0"/>
              <w:spacing w:after="160" w:lineRule="auto" w:line="259"/>
              <w:rPr/>
            </w:pPr>
            <w:r>
              <w:t>Yes</w:t>
            </w:r>
          </w:p>
        </w:tc>
      </w:tr>
      <w:bookmarkEnd w:id="149"/>
    </w:tbl>
    <w:p>
      <w:pPr>
        <w:pStyle w:val="style0"/>
        <w:spacing w:lineRule="auto" w:line="259"/>
        <w:rPr/>
      </w:pPr>
      <w:r>
        <w:br w:type="page"/>
      </w:r>
      <w:bookmarkEnd w:id="147"/>
      <w:r>
        <w:t xml:space="preserve">To be removed and must be in your chapter 4 in a accurately formatted table. See my earlier comment use smaller font size and copy your table as an image </w:t>
      </w:r>
    </w:p>
    <w:sectPr>
      <w:footerReference w:type="even" r:id="rId9"/>
      <w:footerReference w:type="default" r:id="rId1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0"/>
    <w:family w:val="swiss"/>
    <w:pitch w:val="variable"/>
    <w:sig w:usb0="E0002EFF" w:usb1="C000785B" w:usb2="00000009" w:usb3="00000000" w:csb0="000001FF" w:csb1="00000000"/>
  </w:font>
  <w:font w:name="Segoe UI Symbol">
    <w:altName w:val="Segoe UI Symbol"/>
    <w:panose1 w:val="020b0502040002020203"/>
    <w:charset w:val="00"/>
    <w:family w:val="swiss"/>
    <w:pitch w:val="variable"/>
    <w:sig w:usb0="800001E3" w:usb1="1200FFEF" w:usb2="00040000" w:usb3="00000000" w:csb0="00000001" w:csb1="00000000"/>
  </w:font>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DengXian">
    <w:altName w:val="等线"/>
    <w:panose1 w:val="02010600030001010101"/>
    <w:charset w:val="86"/>
    <w:family w:val="auto"/>
    <w:pitch w:val="variable"/>
    <w:sig w:usb0="A00002BF" w:usb1="38CF7CFA" w:usb2="00000016" w:usb3="00000000" w:csb0="0004000F" w:csb1="00000000"/>
  </w:font>
  <w:font w:name="DengXian Light">
    <w:altName w:val="等线 Light"/>
    <w:panose1 w:val="00000000000000000000"/>
    <w:charset w:val="86"/>
    <w:family w:val="auto"/>
    <w:pitch w:val="variable"/>
    <w:sig w:usb0="A00002BF" w:usb1="38CF7CFA" w:usb2="00000016" w:usb3="00000000" w:csb0="0004000F" w:csb1="00000000"/>
  </w:font>
  <w:font w:name="Calibri Light">
    <w:altName w:val="Calibri Light"/>
    <w:panose1 w:val="020f0302020002030204"/>
    <w:charset w:val="00"/>
    <w:family w:val="swiss"/>
    <w:pitch w:val="variable"/>
    <w:sig w:usb0="E4002EFF" w:usb1="C2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SimSun">
    <w:altName w:val="宋体"/>
    <w:panose1 w:val="02010600030001010101"/>
    <w:charset w:val="86"/>
    <w:family w:val="auto"/>
    <w:pitch w:val="variable"/>
    <w:sig w:usb0="00000203" w:usb1="288F0000" w:usb2="00000016" w:usb3="00000000" w:csb0="00040001" w:csb1="00000000"/>
  </w:font>
  <w:font w:name="Cambria Math">
    <w:altName w:val="Cambria Math"/>
    <w:panose1 w:val="02040503050004030204"/>
    <w:charset w:val="00"/>
    <w:family w:val="roman"/>
    <w:pitch w:val="variable"/>
    <w:sig w:usb0="E00006FF" w:usb1="420024FF" w:usb2="02000000" w:usb3="00000000" w:csb0="0000019F" w:csb1="00000000"/>
  </w:font>
  <w:font w:name="Segoe UI">
    <w:altName w:val="Segoe UI"/>
    <w:panose1 w:val="020b0502040002020203"/>
    <w:charset w:val="00"/>
    <w:family w:val="swiss"/>
    <w:pitch w:val="variable"/>
    <w:sig w:usb0="E4002EFF" w:usb1="C000E47F"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宋体">
    <w:altName w:val=""/>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spacing w:after="0"/>
      <w:ind w:right="-3"/>
      <w:jc w:val="right"/>
      <w:rPr/>
    </w:pPr>
    <w:r>
      <w:rPr>
        <w:rFonts w:ascii="Calibri" w:hAnsi="Calibri"/>
      </w:rPr>
      <w:fldChar w:fldCharType="begin"/>
    </w:r>
    <w:r>
      <w:instrText xml:space="preserve"> PAGE   \* MERGEFORMAT </w:instrText>
    </w:r>
    <w:r>
      <w:rPr>
        <w:rFonts w:ascii="Calibri" w:hAnsi="Calibri"/>
      </w:rPr>
      <w:fldChar w:fldCharType="separate"/>
    </w:r>
    <w:r>
      <w:rPr>
        <w:rFonts w:ascii="Calibri" w:cs="Calibri" w:eastAsia="Calibri" w:hAnsi="Calibri"/>
      </w:rPr>
      <w:t>1</w:t>
    </w:r>
    <w:r>
      <w:rPr>
        <w:rFonts w:ascii="Calibri" w:cs="Calibri" w:eastAsia="Calibri" w:hAnsi="Calibri"/>
      </w:rPr>
      <w:fldChar w:fldCharType="end"/>
    </w:r>
    <w:r>
      <w:rPr>
        <w:rFonts w:ascii="Calibri" w:cs="Calibri" w:eastAsia="Calibri" w:hAnsi="Calibri"/>
      </w:rPr>
      <w:t xml:space="preserve"> </w:t>
    </w:r>
  </w:p>
  <w:p>
    <w:pPr>
      <w:pStyle w:val="style0"/>
      <w:tabs>
        <w:tab w:val="center" w:leader="none" w:pos="4405"/>
      </w:tabs>
      <w:spacing w:after="0"/>
      <w:rPr/>
    </w:pPr>
    <w:r>
      <w:rPr>
        <w:rFonts w:ascii="Calibri" w:cs="Calibri" w:eastAsia="Calibri" w:hAnsi="Calibri"/>
      </w:rPr>
      <w:t xml:space="preserve">[Your Name] </w:t>
    </w:r>
    <w:r>
      <w:rPr>
        <w:rFonts w:ascii="Calibri" w:cs="Calibri" w:eastAsia="Calibri" w:hAnsi="Calibri"/>
      </w:rPr>
      <w:tab/>
    </w:r>
    <w:r>
      <w:rPr>
        <w:rFonts w:ascii="Calibri" w:cs="Calibri" w:eastAsia="Calibri" w:hAnsi="Calibri"/>
      </w:rPr>
      <w:t xml:space="preserve">Dissertation </w:t>
    </w: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spacing w:after="0"/>
      <w:ind w:right="-3"/>
      <w:jc w:val="right"/>
      <w:rPr/>
    </w:pPr>
    <w:r>
      <w:rPr>
        <w:rFonts w:ascii="Calibri" w:hAnsi="Calibri"/>
      </w:rPr>
      <w:fldChar w:fldCharType="begin"/>
    </w:r>
    <w:r>
      <w:instrText xml:space="preserve"> PAGE   \* MERGEFORMAT </w:instrText>
    </w:r>
    <w:r>
      <w:rPr>
        <w:rFonts w:ascii="Calibri" w:hAnsi="Calibri"/>
      </w:rPr>
      <w:fldChar w:fldCharType="separate"/>
    </w:r>
    <w:r>
      <w:rPr>
        <w:rFonts w:ascii="Calibri" w:cs="Calibri" w:eastAsia="Calibri" w:hAnsi="Calibri"/>
        <w:noProof/>
      </w:rPr>
      <w:t>25</w:t>
    </w:r>
    <w:r>
      <w:rPr>
        <w:rFonts w:ascii="Calibri" w:cs="Calibri" w:eastAsia="Calibri" w:hAnsi="Calibri"/>
      </w:rPr>
      <w:fldChar w:fldCharType="end"/>
    </w:r>
    <w:r>
      <w:rPr>
        <w:rFonts w:ascii="Calibri" w:cs="Calibri" w:eastAsia="Calibri" w:hAnsi="Calibri"/>
      </w:rPr>
      <w:t xml:space="preserve"> </w:t>
    </w:r>
  </w:p>
  <w:p>
    <w:pPr>
      <w:pStyle w:val="style0"/>
      <w:tabs>
        <w:tab w:val="center" w:leader="none" w:pos="4405"/>
      </w:tabs>
      <w:spacing w:after="0"/>
      <w:rPr/>
    </w:pPr>
    <w:r>
      <w:rPr>
        <w:rFonts w:ascii="Calibri" w:cs="Calibri" w:eastAsia="Calibri" w:hAnsi="Calibri"/>
      </w:rPr>
      <w:t xml:space="preserve">[Your Name] </w:t>
    </w:r>
    <w:r>
      <w:rPr>
        <w:rFonts w:ascii="Calibri" w:cs="Calibri" w:eastAsia="Calibri" w:hAnsi="Calibri"/>
      </w:rPr>
      <w:tab/>
    </w:r>
    <w:r>
      <w:rPr>
        <w:rFonts w:ascii="Calibri" w:cs="Calibri" w:eastAsia="Calibri" w:hAnsi="Calibri"/>
      </w:rPr>
      <w:t xml:space="preserve">Dissertation </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687020BE"/>
    <w:lvl w:ilvl="0" w:tplc="6DDE5B92">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1">
    <w:nsid w:val="00000001"/>
    <w:multiLevelType w:val="hybridMultilevel"/>
    <w:tmpl w:val="0714CE50"/>
    <w:lvl w:ilvl="0" w:tplc="562AF748">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2">
    <w:nsid w:val="00000002"/>
    <w:multiLevelType w:val="hybridMultilevel"/>
    <w:tmpl w:val="E87A3684"/>
    <w:lvl w:ilvl="0" w:tplc="C6C27F2E">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3">
    <w:nsid w:val="00000003"/>
    <w:multiLevelType w:val="hybridMultilevel"/>
    <w:tmpl w:val="05FA84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6B401198"/>
    <w:lvl w:ilvl="0" w:tplc="452AEF3A">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5">
    <w:nsid w:val="00000005"/>
    <w:multiLevelType w:val="hybridMultilevel"/>
    <w:tmpl w:val="4A8C6D60"/>
    <w:lvl w:ilvl="0" w:tplc="8DA8F106">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6">
    <w:nsid w:val="00000006"/>
    <w:multiLevelType w:val="hybridMultilevel"/>
    <w:tmpl w:val="B624F5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A10E3BA0"/>
    <w:lvl w:ilvl="0" w:tplc="BEDED198">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8">
    <w:nsid w:val="00000008"/>
    <w:multiLevelType w:val="hybridMultilevel"/>
    <w:tmpl w:val="ABCA15EC"/>
    <w:lvl w:ilvl="0" w:tplc="59AA3948">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9">
    <w:nsid w:val="00000009"/>
    <w:multiLevelType w:val="hybridMultilevel"/>
    <w:tmpl w:val="E84C6D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0000000A"/>
    <w:multiLevelType w:val="multilevel"/>
    <w:tmpl w:val="47084D5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1">
    <w:nsid w:val="0000000B"/>
    <w:multiLevelType w:val="hybridMultilevel"/>
    <w:tmpl w:val="F5DA2C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nsid w:val="0000000C"/>
    <w:multiLevelType w:val="hybridMultilevel"/>
    <w:tmpl w:val="B7E0A7B4"/>
    <w:lvl w:ilvl="0" w:tplc="1F183620">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13">
    <w:nsid w:val="0000000D"/>
    <w:multiLevelType w:val="hybridMultilevel"/>
    <w:tmpl w:val="7C289C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0000000E"/>
    <w:multiLevelType w:val="multilevel"/>
    <w:tmpl w:val="030655C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6"/>
  </w:num>
  <w:num w:numId="2">
    <w:abstractNumId w:val="8"/>
  </w:num>
  <w:num w:numId="3">
    <w:abstractNumId w:val="12"/>
  </w:num>
  <w:num w:numId="4">
    <w:abstractNumId w:val="4"/>
  </w:num>
  <w:num w:numId="5">
    <w:abstractNumId w:val="0"/>
  </w:num>
  <w:num w:numId="6">
    <w:abstractNumId w:val="1"/>
  </w:num>
  <w:num w:numId="7">
    <w:abstractNumId w:val="5"/>
  </w:num>
  <w:num w:numId="8">
    <w:abstractNumId w:val="7"/>
  </w:num>
  <w:num w:numId="9">
    <w:abstractNumId w:val="2"/>
  </w:num>
  <w:num w:numId="10">
    <w:abstractNumId w:val="3"/>
  </w:num>
  <w:num w:numId="11">
    <w:abstractNumId w:val="13"/>
  </w:num>
  <w:num w:numId="12">
    <w:abstractNumId w:val="9"/>
  </w:num>
  <w:num w:numId="13">
    <w:abstractNumId w:val="11"/>
  </w:num>
  <w:num w:numId="14">
    <w:abstractNumId w:val="10"/>
  </w:num>
  <w:num w:numId="15">
    <w:abstractNumId w:val="1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1"/>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DengXian" w:hAnsi="Calibri"/>
        <w:kern w:val="2"/>
        <w:sz w:val="22"/>
        <w:szCs w:val="22"/>
        <w:lang w:val="en-GB" w:bidi="ar-SA" w:eastAsia="zh-CN"/>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lineRule="auto" w:line="240"/>
      <w:jc w:val="both"/>
    </w:pPr>
    <w:rPr>
      <w:rFonts w:ascii="Arial" w:hAnsi="Arial"/>
      <w:color w:val="000000"/>
    </w:rPr>
  </w:style>
  <w:style w:type="paragraph" w:styleId="style1">
    <w:name w:val="heading 1"/>
    <w:next w:val="style0"/>
    <w:link w:val="style4097"/>
    <w:qFormat/>
    <w:uiPriority w:val="9"/>
    <w:pPr>
      <w:keepNext/>
      <w:keepLines/>
      <w:spacing w:after="152" w:lineRule="auto" w:line="360"/>
      <w:ind w:left="10" w:right="2" w:hanging="10"/>
      <w:jc w:val="center"/>
      <w:outlineLvl w:val="0"/>
    </w:pPr>
    <w:rPr>
      <w:rFonts w:ascii="Arial" w:cs="Times New Roman" w:eastAsia="Times New Roman" w:hAnsi="Arial"/>
      <w:b/>
      <w:color w:val="000000"/>
      <w:sz w:val="24"/>
    </w:rPr>
  </w:style>
  <w:style w:type="paragraph" w:styleId="style2">
    <w:name w:val="heading 2"/>
    <w:next w:val="style0"/>
    <w:link w:val="style4098"/>
    <w:qFormat/>
    <w:uiPriority w:val="9"/>
    <w:pPr>
      <w:keepNext/>
      <w:keepLines/>
      <w:spacing w:after="152" w:lineRule="auto" w:line="265"/>
      <w:ind w:left="10" w:right="2" w:hanging="10"/>
      <w:outlineLvl w:val="1"/>
    </w:pPr>
    <w:rPr>
      <w:rFonts w:ascii="Arial" w:cs="Times New Roman" w:eastAsia="Times New Roman" w:hAnsi="Arial"/>
      <w:b/>
      <w:color w:val="000000"/>
      <w:sz w:val="24"/>
    </w:rPr>
  </w:style>
  <w:style w:type="paragraph" w:styleId="style3">
    <w:name w:val="heading 3"/>
    <w:next w:val="style0"/>
    <w:link w:val="style4099"/>
    <w:qFormat/>
    <w:uiPriority w:val="9"/>
    <w:pPr>
      <w:keepNext/>
      <w:keepLines/>
      <w:spacing w:after="181" w:lineRule="auto" w:line="360"/>
      <w:outlineLvl w:val="2"/>
    </w:pPr>
    <w:rPr>
      <w:rFonts w:ascii="Arial" w:cs="Times New Roman" w:eastAsia="Times New Roman" w:hAnsi="Arial"/>
      <w:b/>
      <w:color w:val="000000"/>
      <w:u w:color="000000"/>
    </w:rPr>
  </w:style>
  <w:style w:type="paragraph" w:styleId="style4">
    <w:name w:val="heading 4"/>
    <w:basedOn w:val="style0"/>
    <w:next w:val="style0"/>
    <w:link w:val="style4102"/>
    <w:qFormat/>
    <w:uiPriority w:val="9"/>
    <w:pPr>
      <w:keepNext/>
      <w:keepLines/>
      <w:spacing w:before="40" w:after="0"/>
      <w:jc w:val="center"/>
      <w:outlineLvl w:val="3"/>
    </w:pPr>
    <w:rPr>
      <w:rFonts w:cs="Times New Roman" w:eastAsia="DengXian Light"/>
      <w:b/>
      <w:iCs/>
    </w:rPr>
  </w:style>
  <w:style w:type="paragraph" w:styleId="style5">
    <w:name w:val="heading 5"/>
    <w:basedOn w:val="style0"/>
    <w:next w:val="style0"/>
    <w:link w:val="style4103"/>
    <w:qFormat/>
    <w:uiPriority w:val="9"/>
    <w:pPr>
      <w:keepNext/>
      <w:keepLines/>
      <w:spacing w:before="40" w:after="0"/>
      <w:jc w:val="center"/>
      <w:outlineLvl w:val="4"/>
    </w:pPr>
    <w:rPr>
      <w:rFonts w:cs="Times New Roman" w:eastAsia="DengXian Light"/>
      <w:b/>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1a722739-e606-4090-a434-6c9f998e13b5"/>
    <w:basedOn w:val="style65"/>
    <w:next w:val="style4097"/>
    <w:link w:val="style1"/>
    <w:uiPriority w:val="9"/>
    <w:rPr>
      <w:rFonts w:ascii="Arial" w:cs="Times New Roman" w:eastAsia="Times New Roman" w:hAnsi="Arial"/>
      <w:b/>
      <w:color w:val="000000"/>
      <w:sz w:val="24"/>
    </w:rPr>
  </w:style>
  <w:style w:type="character" w:customStyle="1" w:styleId="style4098">
    <w:name w:val="Heading 2 Char_3fe6a571-7bfe-42ae-ac01-04aeae571f43"/>
    <w:basedOn w:val="style65"/>
    <w:next w:val="style4098"/>
    <w:link w:val="style2"/>
    <w:uiPriority w:val="9"/>
    <w:rPr>
      <w:rFonts w:ascii="Arial" w:cs="Times New Roman" w:eastAsia="Times New Roman" w:hAnsi="Arial"/>
      <w:b/>
      <w:color w:val="000000"/>
      <w:sz w:val="24"/>
    </w:rPr>
  </w:style>
  <w:style w:type="character" w:customStyle="1" w:styleId="style4099">
    <w:name w:val="Heading 3 Char_43acafcf-298a-498b-9628-dac4f7ef9529"/>
    <w:basedOn w:val="style65"/>
    <w:next w:val="style4099"/>
    <w:link w:val="style3"/>
    <w:uiPriority w:val="9"/>
    <w:rPr>
      <w:rFonts w:ascii="Arial" w:cs="Times New Roman" w:eastAsia="Times New Roman" w:hAnsi="Arial"/>
      <w:b/>
      <w:color w:val="000000"/>
      <w:u w:color="000000"/>
    </w:rPr>
  </w:style>
  <w:style w:type="paragraph" w:styleId="style19">
    <w:name w:val="toc 1"/>
    <w:next w:val="style19"/>
    <w:uiPriority w:val="39"/>
    <w:pPr>
      <w:spacing w:after="109" w:lineRule="auto" w:line="249"/>
      <w:ind w:left="25" w:right="19" w:hanging="10"/>
    </w:pPr>
    <w:rPr>
      <w:rFonts w:ascii="Times New Roman" w:cs="Times New Roman" w:eastAsia="Times New Roman" w:hAnsi="Times New Roman"/>
      <w:color w:val="000000"/>
      <w:sz w:val="24"/>
    </w:rPr>
  </w:style>
  <w:style w:type="table" w:customStyle="1" w:styleId="style4100">
    <w:name w:val="Grid Table 2 - Accent 11"/>
    <w:basedOn w:val="style105"/>
    <w:next w:val="style4100"/>
    <w:uiPriority w:val="47"/>
    <w:pPr>
      <w:spacing w:after="0" w:lineRule="auto" w:line="240"/>
    </w:pPr>
    <w:rPr/>
    <w:tblPr>
      <w:tblStyleRowBandSize w:val="1"/>
      <w:tblStyleColBandSize w:val="1"/>
      <w:tblBorders>
        <w:top w:val="single" w:sz="2" w:space="0" w:color="8eaadb"/>
        <w:bottom w:val="single" w:sz="2" w:space="0" w:color="8eaadb"/>
        <w:insideH w:val="single" w:sz="2" w:space="0" w:color="8eaadb"/>
        <w:insideV w:val="single" w:sz="2" w:space="0" w:color="8eaadb"/>
      </w:tblBorders>
    </w:tblPr>
    <w:tblStylePr w:type="firstRow">
      <w:pPr/>
      <w:rPr>
        <w:b/>
        <w:bCs/>
      </w:rPr>
      <w:tblPr/>
      <w:tcPr>
        <w:tcBorders>
          <w:top w:val="nil"/>
          <w:bottom w:val="single" w:sz="12" w:space="0" w:color="8eaadb"/>
          <w:insideH w:val="nil"/>
          <w:insideV w:val="nil"/>
        </w:tcBorders>
        <w:shd w:val="clear" w:color="auto" w:fill="ffffff"/>
      </w:tcPr>
    </w:tblStylePr>
    <w:tblStylePr w:type="lastRow">
      <w:pPr/>
      <w:rPr>
        <w:b/>
        <w:bCs/>
      </w:rPr>
      <w:tblPr/>
      <w:tcPr>
        <w:tcBorders>
          <w:top w:val="double" w:sz="2" w:space="0" w:color="8eaadb"/>
          <w:bottom w:val="nil"/>
          <w:insideH w:val="nil"/>
          <w:insideV w:val="nil"/>
        </w:tcBorders>
        <w:shd w:val="clear" w:color="auto" w:fill="ffffff"/>
      </w:tcPr>
    </w:tblStylePr>
    <w:tblStylePr w:type="band1Horz">
      <w:pPr/>
      <w:tblPr/>
      <w:tcPr>
        <w:tcBorders/>
        <w:shd w:val="clear" w:color="auto" w:fill="d9e2f3"/>
      </w:tcPr>
    </w:tblStylePr>
    <w:tblStylePr w:type="firstCol">
      <w:pPr/>
      <w:rPr>
        <w:b/>
        <w:bCs/>
      </w:rPr>
      <w:tcPr>
        <w:tcBorders/>
      </w:tcPr>
    </w:tblStylePr>
    <w:tblStylePr w:type="lastCol">
      <w:pPr/>
      <w:rPr>
        <w:b/>
        <w:bCs/>
      </w:rPr>
      <w:tcPr>
        <w:tcBorders/>
      </w:tcPr>
    </w:tblStylePr>
    <w:tblStylePr w:type="band1Vert">
      <w:pPr/>
      <w:tblPr/>
      <w:tcPr>
        <w:tcBorders/>
        <w:shd w:val="clear" w:color="auto" w:fill="d9e2f3"/>
      </w:tcPr>
    </w:tblStylePr>
    <w:tcPr>
      <w:tcBorders/>
    </w:tcPr>
  </w:style>
  <w:style w:type="character" w:styleId="style85">
    <w:name w:val="Hyperlink"/>
    <w:basedOn w:val="style65"/>
    <w:next w:val="style85"/>
    <w:uiPriority w:val="99"/>
    <w:rPr>
      <w:color w:val="0563c1"/>
      <w:u w:val="single"/>
    </w:rPr>
  </w:style>
  <w:style w:type="paragraph" w:styleId="style266">
    <w:name w:val="TOC Heading"/>
    <w:basedOn w:val="style1"/>
    <w:next w:val="style0"/>
    <w:qFormat/>
    <w:uiPriority w:val="39"/>
    <w:pPr>
      <w:spacing w:before="240" w:after="0" w:lineRule="auto" w:line="259"/>
      <w:ind w:left="0" w:right="0" w:firstLine="0"/>
      <w:jc w:val="left"/>
      <w:outlineLvl w:val="9"/>
    </w:pPr>
    <w:rPr>
      <w:rFonts w:ascii="Calibri Light" w:eastAsia="DengXian Light" w:hAnsi="Calibri Light"/>
      <w:b w:val="false"/>
      <w:color w:val="2f5496"/>
      <w:kern w:val="0"/>
      <w:sz w:val="32"/>
      <w:szCs w:val="32"/>
      <w:lang w:val="en-US" w:eastAsia="en-US"/>
      <w14:ligatures xmlns:w14="http://schemas.microsoft.com/office/word/2010/wordml" w14:val="none"/>
    </w:rPr>
  </w:style>
  <w:style w:type="paragraph" w:styleId="style20">
    <w:name w:val="toc 2"/>
    <w:basedOn w:val="style0"/>
    <w:next w:val="style0"/>
    <w:uiPriority w:val="39"/>
    <w:pPr>
      <w:spacing w:after="100"/>
      <w:ind w:left="220"/>
    </w:pPr>
    <w:rPr/>
  </w:style>
  <w:style w:type="paragraph" w:styleId="style21">
    <w:name w:val="toc 3"/>
    <w:basedOn w:val="style0"/>
    <w:next w:val="style0"/>
    <w:uiPriority w:val="39"/>
    <w:pPr>
      <w:spacing w:after="100"/>
      <w:ind w:left="440"/>
    </w:pPr>
    <w:rPr/>
  </w:style>
  <w:style w:type="character" w:customStyle="1" w:styleId="style4101">
    <w:name w:val="Unresolved Mention1"/>
    <w:basedOn w:val="style65"/>
    <w:next w:val="style4101"/>
    <w:uiPriority w:val="99"/>
    <w:rPr>
      <w:color w:val="605e5c"/>
      <w:shd w:val="clear" w:color="auto" w:fill="e1dfdd"/>
    </w:rPr>
  </w:style>
  <w:style w:type="paragraph" w:styleId="style179">
    <w:name w:val="List Paragraph"/>
    <w:basedOn w:val="style0"/>
    <w:next w:val="style179"/>
    <w:qFormat/>
    <w:uiPriority w:val="34"/>
    <w:pPr>
      <w:ind w:left="720"/>
      <w:contextualSpacing/>
    </w:pPr>
    <w:rPr/>
  </w:style>
  <w:style w:type="character" w:customStyle="1" w:styleId="style4102">
    <w:name w:val="Heading 4 Char_965582fb-6b40-4c24-9bae-95943fdc5a75"/>
    <w:basedOn w:val="style65"/>
    <w:next w:val="style4102"/>
    <w:link w:val="style4"/>
    <w:uiPriority w:val="9"/>
    <w:rPr>
      <w:rFonts w:ascii="Arial" w:cs="Times New Roman" w:eastAsia="DengXian Light" w:hAnsi="Arial"/>
      <w:b/>
      <w:iCs/>
      <w:color w:val="000000"/>
    </w:rPr>
  </w:style>
  <w:style w:type="character" w:customStyle="1" w:styleId="style4103">
    <w:name w:val="Heading 5 Char_387a48e5-f836-4895-87d0-b65316a7d982"/>
    <w:basedOn w:val="style65"/>
    <w:next w:val="style4103"/>
    <w:link w:val="style5"/>
    <w:uiPriority w:val="9"/>
    <w:rPr>
      <w:rFonts w:ascii="Arial" w:cs="Times New Roman" w:eastAsia="DengXian Light" w:hAnsi="Arial"/>
      <w:b/>
      <w:color w:val="000000"/>
    </w:rPr>
  </w:style>
  <w:style w:type="paragraph" w:styleId="style35">
    <w:name w:val="table of figures"/>
    <w:basedOn w:val="style0"/>
    <w:next w:val="style0"/>
    <w:uiPriority w:val="99"/>
    <w:pPr>
      <w:spacing w:after="0"/>
    </w:pPr>
    <w:rPr/>
  </w:style>
  <w:style w:type="paragraph" w:styleId="style178">
    <w:name w:val="Revision"/>
    <w:next w:val="style178"/>
    <w:uiPriority w:val="99"/>
    <w:pPr>
      <w:spacing w:after="0" w:lineRule="auto" w:line="240"/>
    </w:pPr>
    <w:rPr>
      <w:rFonts w:ascii="Arial" w:hAnsi="Arial"/>
      <w:color w:val="000000"/>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04"/>
    <w:uiPriority w:val="99"/>
    <w:pPr/>
    <w:rPr>
      <w:sz w:val="20"/>
      <w:szCs w:val="20"/>
    </w:rPr>
  </w:style>
  <w:style w:type="character" w:customStyle="1" w:styleId="style4104">
    <w:name w:val="Comment Text Char"/>
    <w:basedOn w:val="style65"/>
    <w:next w:val="style4104"/>
    <w:link w:val="style30"/>
    <w:uiPriority w:val="99"/>
    <w:rPr>
      <w:rFonts w:ascii="Arial" w:hAnsi="Arial"/>
      <w:color w:val="000000"/>
      <w:sz w:val="20"/>
      <w:szCs w:val="20"/>
    </w:rPr>
  </w:style>
  <w:style w:type="paragraph" w:styleId="style106">
    <w:name w:val="annotation subject"/>
    <w:basedOn w:val="style30"/>
    <w:next w:val="style30"/>
    <w:link w:val="style4105"/>
    <w:uiPriority w:val="99"/>
    <w:pPr/>
    <w:rPr>
      <w:b/>
      <w:bCs/>
    </w:rPr>
  </w:style>
  <w:style w:type="character" w:customStyle="1" w:styleId="style4105">
    <w:name w:val="Comment Subject Char"/>
    <w:basedOn w:val="style4104"/>
    <w:next w:val="style4105"/>
    <w:link w:val="style106"/>
    <w:uiPriority w:val="99"/>
    <w:rPr>
      <w:rFonts w:ascii="Arial" w:hAnsi="Arial"/>
      <w:b/>
      <w:bCs/>
      <w:color w:val="000000"/>
      <w:sz w:val="20"/>
      <w:szCs w:val="20"/>
    </w:rPr>
  </w:style>
  <w:style w:type="character" w:customStyle="1" w:styleId="style4106">
    <w:name w:val="Unresolved Mention2"/>
    <w:basedOn w:val="style65"/>
    <w:next w:val="style4106"/>
    <w:uiPriority w:val="99"/>
    <w:rPr>
      <w:color w:val="605e5c"/>
      <w:shd w:val="clear" w:color="auto" w:fill="e1dfdd"/>
    </w:rPr>
  </w:style>
  <w:style w:type="paragraph" w:styleId="style153">
    <w:name w:val="Balloon Text"/>
    <w:basedOn w:val="style0"/>
    <w:next w:val="style153"/>
    <w:link w:val="style4107"/>
    <w:uiPriority w:val="99"/>
    <w:pPr>
      <w:spacing w:after="0"/>
    </w:pPr>
    <w:rPr>
      <w:rFonts w:ascii="Tahoma" w:cs="Tahoma" w:hAnsi="Tahoma"/>
      <w:sz w:val="16"/>
      <w:szCs w:val="16"/>
    </w:rPr>
  </w:style>
  <w:style w:type="character" w:customStyle="1" w:styleId="style4107">
    <w:name w:val="Balloon Text Char"/>
    <w:basedOn w:val="style65"/>
    <w:next w:val="style4107"/>
    <w:link w:val="style153"/>
    <w:uiPriority w:val="99"/>
    <w:rPr>
      <w:rFonts w:ascii="Tahoma" w:cs="Tahoma" w:hAnsi="Tahoma"/>
      <w:color w:val="000000"/>
      <w:sz w:val="16"/>
      <w:szCs w:val="16"/>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94">
    <w:name w:val="Normal (Web)"/>
    <w:basedOn w:val="style0"/>
    <w:next w:val="style94"/>
    <w:uiPriority w:val="99"/>
    <w:pPr/>
    <w:rPr>
      <w:rFonts w:ascii="Times New Roman" w:cs="Times New Roman" w:hAnsi="Times New Roman"/>
      <w:sz w:val="24"/>
      <w:szCs w:val="24"/>
    </w:rPr>
  </w:style>
  <w:style w:type="character" w:customStyle="1" w:styleId="style4108">
    <w:name w:val="Unresolved Mention"/>
    <w:basedOn w:val="style65"/>
    <w:next w:val="style4108"/>
    <w:uiPriority w:val="99"/>
    <w:rPr>
      <w:color w:val="605e5c"/>
      <w:shd w:val="clear" w:color="auto" w:fill="e1dfdd"/>
    </w:rPr>
  </w:style>
</w:styles>
</file>

<file path=word/_rels/document.xml.rels><?xml version="1.0" encoding="UTF-8"?>
<Relationships xmlns="http://schemas.openxmlformats.org/package/2006/relationships"><Relationship Id="rId11" Type="http://schemas.openxmlformats.org/officeDocument/2006/relationships/styles" Target="styles.xml"/><Relationship Id="rId10" Type="http://schemas.openxmlformats.org/officeDocument/2006/relationships/footer" Target="footer2.xml"/><Relationship Id="rId13" Type="http://schemas.openxmlformats.org/officeDocument/2006/relationships/settings" Target="settings.xml"/><Relationship Id="rId12"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customXml" Target="ink/ink1.xml"/><Relationship Id="rId4" Type="http://schemas.openxmlformats.org/officeDocument/2006/relationships/customXml" Target="ink/ink2.xml"/><Relationship Id="rId9" Type="http://schemas.openxmlformats.org/officeDocument/2006/relationships/footer" Target="footer1.xml"/><Relationship Id="rId15" Type="http://schemas.openxmlformats.org/officeDocument/2006/relationships/customXml" Target="../customXml/item1.xml"/><Relationship Id="rId14" Type="http://schemas.openxmlformats.org/officeDocument/2006/relationships/theme" Target="theme/theme1.xml"/><Relationship Id="rId5" Type="http://schemas.openxmlformats.org/officeDocument/2006/relationships/customXml" Target="ink/ink3.xml"/><Relationship Id="rId6" Type="http://schemas.openxmlformats.org/officeDocument/2006/relationships/customXml" Target="ink/ink4.xml"/><Relationship Id="rId7" Type="http://schemas.openxmlformats.org/officeDocument/2006/relationships/image" Target="media/image2.png"/><Relationship Id="rId8"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A7F03C-A876-488C-8826-1C3AA52F2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Words>21395</Words>
  <Pages>65</Pages>
  <Characters>136281</Characters>
  <Application>WPS Office</Application>
  <DocSecurity>0</DocSecurity>
  <Paragraphs>1047</Paragraphs>
  <ScaleCrop>false</ScaleCrop>
  <Company>University of Wales Trinity Saint David</Company>
  <LinksUpToDate>false</LinksUpToDate>
  <CharactersWithSpaces>157058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2024-03-25T11:15:00Z</dcterms:created>
  <dc:creator>Diola Bijlhout</dc:creator>
  <lastModifiedBy>CPH2371</lastModifiedBy>
  <lastPrinted>2023-09-21T02:18:00Z</lastPrinted>
  <dcterms:modified xsi:type="dcterms:W3CDTF">2026-01-14T11:26:18Z</dcterms:modified>
  <revision>1160</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4fc2cc8784c14608b7bb2831a7c6826c</vt:lpwstr>
  </property>
</Properties>
</file>